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81370D" w:rsidP="0081370D">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34A2629F" wp14:editId="54AE4DF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81370D" w:rsidP="0081370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14 May 2017</w:t>
            </w:r>
          </w:p>
          <w:p w:rsidR="0081370D" w:rsidRPr="00982084" w:rsidRDefault="0081370D" w:rsidP="0081370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214AEE">
              <w:rPr>
                <w:rFonts w:ascii="Verdana" w:hAnsi="Verdana"/>
                <w:sz w:val="20"/>
              </w:rPr>
              <w:t>AI 1.16 (WRC-19)</w:t>
            </w:r>
          </w:p>
        </w:tc>
        <w:tc>
          <w:tcPr>
            <w:tcW w:w="3402" w:type="dxa"/>
          </w:tcPr>
          <w:p w:rsidR="000069D4" w:rsidRPr="0081370D" w:rsidRDefault="0081370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5A/420-E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1370D" w:rsidRDefault="0081370D" w:rsidP="00A5173C">
            <w:pPr>
              <w:shd w:val="solid" w:color="FFFFFF" w:fill="FFFFFF"/>
              <w:spacing w:before="0" w:line="240" w:lineRule="atLeast"/>
              <w:rPr>
                <w:rFonts w:ascii="Verdana" w:hAnsi="Verdana"/>
                <w:sz w:val="20"/>
                <w:lang w:eastAsia="zh-CN"/>
              </w:rPr>
            </w:pPr>
            <w:r>
              <w:rPr>
                <w:rFonts w:ascii="Verdana" w:hAnsi="Verdana"/>
                <w:b/>
                <w:sz w:val="20"/>
                <w:lang w:eastAsia="zh-CN"/>
              </w:rPr>
              <w:t>16 May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1370D" w:rsidRDefault="0081370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14AEE" w:rsidTr="00D046A7">
        <w:trPr>
          <w:cantSplit/>
        </w:trPr>
        <w:tc>
          <w:tcPr>
            <w:tcW w:w="9889" w:type="dxa"/>
            <w:gridSpan w:val="2"/>
          </w:tcPr>
          <w:p w:rsidR="00214AEE" w:rsidRDefault="00214AEE" w:rsidP="00214AEE">
            <w:pPr>
              <w:pStyle w:val="Source"/>
              <w:rPr>
                <w:lang w:eastAsia="zh-CN"/>
              </w:rPr>
            </w:pPr>
            <w:bookmarkStart w:id="5" w:name="dsource" w:colFirst="0" w:colLast="0"/>
            <w:bookmarkEnd w:id="4"/>
            <w:r>
              <w:rPr>
                <w:lang w:eastAsia="zh-CN"/>
              </w:rPr>
              <w:t>France</w:t>
            </w:r>
          </w:p>
        </w:tc>
      </w:tr>
      <w:tr w:rsidR="00214AEE" w:rsidTr="00D046A7">
        <w:trPr>
          <w:cantSplit/>
        </w:trPr>
        <w:tc>
          <w:tcPr>
            <w:tcW w:w="9889" w:type="dxa"/>
            <w:gridSpan w:val="2"/>
          </w:tcPr>
          <w:p w:rsidR="00214AEE" w:rsidRDefault="00214AEE" w:rsidP="00214AEE">
            <w:pPr>
              <w:pStyle w:val="Title1"/>
              <w:rPr>
                <w:lang w:eastAsia="zh-CN"/>
              </w:rPr>
            </w:pPr>
            <w:bookmarkStart w:id="6" w:name="drec" w:colFirst="0" w:colLast="0"/>
            <w:bookmarkEnd w:id="5"/>
            <w:r>
              <w:rPr>
                <w:lang w:eastAsia="zh-CN"/>
              </w:rPr>
              <w:t xml:space="preserve">ELEMENTS of discussion on UK </w:t>
            </w:r>
            <w:r w:rsidRPr="004C4132">
              <w:rPr>
                <w:lang w:eastAsia="zh-CN"/>
              </w:rPr>
              <w:t>aggregate RLAN measurements from airborne platforms to support studies under WRC-19 agenda item 1.16</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214AEE" w:rsidRPr="00BC7F1C" w:rsidRDefault="00214AEE" w:rsidP="00214AEE">
      <w:pPr>
        <w:pStyle w:val="Heading1"/>
      </w:pPr>
      <w:bookmarkStart w:id="8" w:name="dbreak"/>
      <w:bookmarkEnd w:id="7"/>
      <w:bookmarkEnd w:id="8"/>
      <w:r>
        <w:t>1</w:t>
      </w:r>
      <w:r>
        <w:tab/>
      </w:r>
      <w:r w:rsidRPr="00214AEE">
        <w:t>Introduction</w:t>
      </w:r>
    </w:p>
    <w:p w:rsidR="00214AEE" w:rsidRDefault="00214AEE" w:rsidP="00214AEE">
      <w:r>
        <w:t>During the work on agenda item (WRC-19), and facing the quite large range of different assumptions considered in the sharing analysis with FSS, UK OFCOM made a proposal to make use of measurements performed at 2.4 GHz for comparison with the model used at 5 GHz in order to provide a more limited range of assumptions.</w:t>
      </w:r>
    </w:p>
    <w:p w:rsidR="00214AEE" w:rsidRDefault="00214AEE" w:rsidP="00D81CB2">
      <w:r>
        <w:t xml:space="preserve">This analysis has been presented in ITU-R WP 5A (see </w:t>
      </w:r>
      <w:r w:rsidR="00D81CB2">
        <w:t>D</w:t>
      </w:r>
      <w:r>
        <w:t xml:space="preserve">ocument </w:t>
      </w:r>
      <w:hyperlink r:id="rId8" w:history="1">
        <w:r w:rsidRPr="00D81CB2">
          <w:rPr>
            <w:rStyle w:val="Hyperlink"/>
          </w:rPr>
          <w:t>5A/298</w:t>
        </w:r>
      </w:hyperlink>
      <w:r>
        <w:t xml:space="preserve"> Annex 26) but a number of details are still to be finalised.</w:t>
      </w:r>
    </w:p>
    <w:p w:rsidR="00214AEE" w:rsidRPr="00B90914" w:rsidRDefault="00214AEE" w:rsidP="00214AEE">
      <w:r w:rsidRPr="00B90914">
        <w:t>The present document provides further analysis on the measurement performed by UK OFCOM for 2.4 GHz WIFI. The following main elements are analysed:</w:t>
      </w:r>
    </w:p>
    <w:p w:rsidR="00214AEE" w:rsidRPr="002F20BF" w:rsidRDefault="00214AEE" w:rsidP="00214AEE">
      <w:pPr>
        <w:pStyle w:val="enumlev1"/>
      </w:pPr>
      <w:r>
        <w:t>–</w:t>
      </w:r>
      <w:r>
        <w:tab/>
      </w:r>
      <w:r w:rsidRPr="002F20BF">
        <w:t>I</w:t>
      </w:r>
      <w:r>
        <w:t>ndo</w:t>
      </w:r>
      <w:r w:rsidRPr="002F20BF">
        <w:t>or/outdoor attenuation</w:t>
      </w:r>
    </w:p>
    <w:p w:rsidR="00214AEE" w:rsidRPr="002F20BF" w:rsidRDefault="00214AEE" w:rsidP="00214AEE">
      <w:pPr>
        <w:pStyle w:val="enumlev1"/>
      </w:pPr>
      <w:r>
        <w:t>–</w:t>
      </w:r>
      <w:r>
        <w:tab/>
      </w:r>
      <w:r w:rsidRPr="002F20BF">
        <w:t>2.4 GHz mean EIRP</w:t>
      </w:r>
    </w:p>
    <w:p w:rsidR="00214AEE" w:rsidRPr="002F20BF" w:rsidRDefault="00214AEE" w:rsidP="00214AEE">
      <w:pPr>
        <w:pStyle w:val="enumlev1"/>
      </w:pPr>
      <w:r>
        <w:t>–</w:t>
      </w:r>
      <w:r>
        <w:tab/>
      </w:r>
      <w:proofErr w:type="spellStart"/>
      <w:r w:rsidRPr="002F20BF">
        <w:t>Nb</w:t>
      </w:r>
      <w:proofErr w:type="spellEnd"/>
      <w:r w:rsidRPr="002F20BF">
        <w:t xml:space="preserve"> of </w:t>
      </w:r>
      <w:proofErr w:type="spellStart"/>
      <w:r w:rsidRPr="002F20BF">
        <w:t>RLAN</w:t>
      </w:r>
      <w:proofErr w:type="spellEnd"/>
      <w:r w:rsidRPr="002F20BF">
        <w:t xml:space="preserve"> over the measurement area</w:t>
      </w:r>
    </w:p>
    <w:p w:rsidR="00214AEE" w:rsidRDefault="00214AEE" w:rsidP="00214AEE">
      <w:r>
        <w:t>It provides additional calculations and proposes consequential conclusions for the assumptions used at 5 GHz.</w:t>
      </w:r>
    </w:p>
    <w:p w:rsidR="00214AEE" w:rsidRPr="00BC7F1C" w:rsidRDefault="00D81CB2" w:rsidP="00D81CB2">
      <w:pPr>
        <w:pStyle w:val="Heading1"/>
      </w:pPr>
      <w:r>
        <w:t>2</w:t>
      </w:r>
      <w:r>
        <w:tab/>
      </w:r>
      <w:r w:rsidR="00214AEE">
        <w:t>General considerations on the model</w:t>
      </w:r>
    </w:p>
    <w:p w:rsidR="00214AEE" w:rsidRDefault="00214AEE" w:rsidP="00214AEE">
      <w:r>
        <w:t>The RLAN 5 GHz deployment/parameters model used in ECC report 244 takes into account a number of assumptions, which, for a majority, are given with a range of values. This model forms the basis for the analysis of the 2.4 GHz measurements and, for comparison purposes, UK OFCOM proposed to consider similar deployment/parameters model at 2.4 GHz.</w:t>
      </w:r>
    </w:p>
    <w:p w:rsidR="00214AEE" w:rsidRDefault="00214AEE" w:rsidP="00214AEE">
      <w:r>
        <w:t>The following table provides the list of elements related to this model and corresponding range of values. It also provides in its last column, for each of these elements, comments by France on the agreement or need for additional considerations.</w:t>
      </w:r>
    </w:p>
    <w:p w:rsidR="00214AEE" w:rsidRDefault="00214AEE" w:rsidP="00214AEE">
      <w:pPr>
        <w:pStyle w:val="ListParagraph"/>
        <w:jc w:val="center"/>
      </w:pPr>
      <w:r w:rsidRPr="00137FDB">
        <w:rPr>
          <w:noProof/>
          <w:lang w:eastAsia="zh-CN"/>
        </w:rPr>
        <w:drawing>
          <wp:inline distT="0" distB="0" distL="0" distR="0" wp14:anchorId="258B2BE8" wp14:editId="67203BFF">
            <wp:extent cx="5760720" cy="309677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96773"/>
                    </a:xfrm>
                    <a:prstGeom prst="rect">
                      <a:avLst/>
                    </a:prstGeom>
                    <a:noFill/>
                    <a:ln>
                      <a:noFill/>
                    </a:ln>
                  </pic:spPr>
                </pic:pic>
              </a:graphicData>
            </a:graphic>
          </wp:inline>
        </w:drawing>
      </w:r>
    </w:p>
    <w:p w:rsidR="00214AEE" w:rsidRDefault="00214AEE" w:rsidP="00214AEE">
      <w:r>
        <w:t>It can be seen that such panel of assumptions is quite complicated and lead to a high number of different scenarios of 243 (5 elements presenting 3 different values) and a large difference in dB on the results. This gives additional support to the UK OFCOM initiative to find a relevant way to limit these assumptions in a view of shrinking the final range of results.</w:t>
      </w:r>
    </w:p>
    <w:p w:rsidR="00214AEE" w:rsidRPr="00BC7F1C" w:rsidRDefault="00D81CB2" w:rsidP="00D81CB2">
      <w:pPr>
        <w:pStyle w:val="Heading1"/>
      </w:pPr>
      <w:r>
        <w:t>3</w:t>
      </w:r>
      <w:r>
        <w:tab/>
      </w:r>
      <w:r w:rsidR="00214AEE" w:rsidRPr="00BC7F1C">
        <w:t>I</w:t>
      </w:r>
      <w:r w:rsidR="00214AEE">
        <w:t>ndo</w:t>
      </w:r>
      <w:r w:rsidR="00214AEE" w:rsidRPr="00BC7F1C">
        <w:t>or/</w:t>
      </w:r>
      <w:r w:rsidR="00214AEE" w:rsidRPr="00D81CB2">
        <w:t>outdoor</w:t>
      </w:r>
      <w:r w:rsidR="00214AEE" w:rsidRPr="00BC7F1C">
        <w:t xml:space="preserve"> attenuation</w:t>
      </w:r>
    </w:p>
    <w:p w:rsidR="00214AEE" w:rsidRDefault="00214AEE" w:rsidP="00214AEE">
      <w:r>
        <w:t>The current figures used in the analysis at 5 GHz are 12 dB, 14.5 and 17 dB, applied to all indoor RLAN, i.e. on an average basis.</w:t>
      </w:r>
    </w:p>
    <w:p w:rsidR="00214AEE" w:rsidRDefault="00214AEE" w:rsidP="00214AEE">
      <w:r>
        <w:t>The rationale for these figures are the following:</w:t>
      </w:r>
    </w:p>
    <w:p w:rsidR="00214AEE" w:rsidRDefault="00C81FFC" w:rsidP="00C81FFC">
      <w:pPr>
        <w:pStyle w:val="enumlev1"/>
      </w:pPr>
      <w:r>
        <w:t>–</w:t>
      </w:r>
      <w:r>
        <w:tab/>
      </w:r>
      <w:proofErr w:type="gramStart"/>
      <w:r w:rsidR="00214AEE">
        <w:t>the</w:t>
      </w:r>
      <w:proofErr w:type="gramEnd"/>
      <w:r w:rsidR="00214AEE">
        <w:t xml:space="preserve"> initial proposal made in JTG 4-5-6-7 (by US and RLAN industry) was to apply an indoor/outdoor attenuation following a Gaussian distribution with a mean of </w:t>
      </w:r>
      <w:r w:rsidR="000E6202">
        <w:br/>
      </w:r>
      <w:r w:rsidR="00214AEE">
        <w:t xml:space="preserve">17 dB + 7 dB standard deviation. Such distribution, applied to a high number of RLAN corresponds to an average fixed value of 12 </w:t>
      </w:r>
      <w:proofErr w:type="spellStart"/>
      <w:r w:rsidR="00214AEE">
        <w:t>dB.</w:t>
      </w:r>
      <w:proofErr w:type="spellEnd"/>
    </w:p>
    <w:p w:rsidR="00214AEE" w:rsidRDefault="00C81FFC" w:rsidP="00C81FFC">
      <w:pPr>
        <w:pStyle w:val="enumlev1"/>
      </w:pPr>
      <w:r>
        <w:t>–</w:t>
      </w:r>
      <w:r>
        <w:tab/>
      </w:r>
      <w:proofErr w:type="gramStart"/>
      <w:r w:rsidR="00214AEE">
        <w:t>alternatively</w:t>
      </w:r>
      <w:proofErr w:type="gramEnd"/>
      <w:r w:rsidR="00214AEE">
        <w:t xml:space="preserve">, some administrations proposed in </w:t>
      </w:r>
      <w:proofErr w:type="spellStart"/>
      <w:r w:rsidR="00214AEE">
        <w:t>JTG</w:t>
      </w:r>
      <w:proofErr w:type="spellEnd"/>
      <w:r w:rsidR="00214AEE">
        <w:t xml:space="preserve"> to </w:t>
      </w:r>
      <w:proofErr w:type="spellStart"/>
      <w:r w:rsidR="00214AEE">
        <w:t>used</w:t>
      </w:r>
      <w:proofErr w:type="spellEnd"/>
      <w:r w:rsidR="00214AEE">
        <w:t xml:space="preserve"> the 17 dB figure as an average fixed value.</w:t>
      </w:r>
    </w:p>
    <w:p w:rsidR="00214AEE" w:rsidRDefault="00C81FFC" w:rsidP="00C81FFC">
      <w:pPr>
        <w:pStyle w:val="enumlev1"/>
      </w:pPr>
      <w:r>
        <w:t>–</w:t>
      </w:r>
      <w:r>
        <w:tab/>
      </w:r>
      <w:r w:rsidR="00214AEE">
        <w:t xml:space="preserve">Subsequently, for the measurement analysis purpose, UK OFCOM proposed to use a medium value of 14.5 </w:t>
      </w:r>
      <w:proofErr w:type="spellStart"/>
      <w:r w:rsidR="00214AEE">
        <w:t>dB.</w:t>
      </w:r>
      <w:proofErr w:type="spellEnd"/>
    </w:p>
    <w:p w:rsidR="00214AEE" w:rsidRDefault="00214AEE" w:rsidP="00214AEE">
      <w:r>
        <w:t xml:space="preserve">At 2.4 GHz, the </w:t>
      </w:r>
      <w:r w:rsidRPr="00335106">
        <w:t xml:space="preserve">figures </w:t>
      </w:r>
      <w:r>
        <w:t>of 5.9, 8.4 and 10.9 dB were proposed by the UK OFCOM, based on the figure of 8.6 dB used in previous analysis at national level, together with a dispersion of ± 2.5 dB</w:t>
      </w:r>
      <w:r w:rsidRPr="00335106">
        <w:t xml:space="preserve"> </w:t>
      </w:r>
      <w:r>
        <w:t>similar as the one at 5 GHz.</w:t>
      </w:r>
    </w:p>
    <w:p w:rsidR="00214AEE" w:rsidRDefault="00214AEE" w:rsidP="00D81CB2">
      <w:r>
        <w:t xml:space="preserve">Since then, ITU-R Study Group 3 has very recently adopted </w:t>
      </w:r>
      <w:r w:rsidRPr="001750A2">
        <w:t>Draft ne</w:t>
      </w:r>
      <w:r>
        <w:t>w Recommendation ITU-R P.[BEL] on</w:t>
      </w:r>
      <w:r w:rsidRPr="001750A2">
        <w:t xml:space="preserve"> </w:t>
      </w:r>
      <w:r>
        <w:t>“</w:t>
      </w:r>
      <w:r w:rsidRPr="001750A2">
        <w:t>Prediction of Building Entry Los</w:t>
      </w:r>
      <w:r>
        <w:t xml:space="preserve">s” as given in </w:t>
      </w:r>
      <w:r w:rsidR="00D81CB2">
        <w:t>D</w:t>
      </w:r>
      <w:r>
        <w:t xml:space="preserve">ocument </w:t>
      </w:r>
      <w:hyperlink r:id="rId10" w:history="1">
        <w:r w:rsidRPr="00D81CB2">
          <w:rPr>
            <w:rStyle w:val="Hyperlink"/>
          </w:rPr>
          <w:t>3/57rev1</w:t>
        </w:r>
      </w:hyperlink>
      <w:r>
        <w:t>) providing a model valid in the 80 MHz to 100 GHz frequency range.</w:t>
      </w:r>
    </w:p>
    <w:p w:rsidR="00214AEE" w:rsidRDefault="00214AEE" w:rsidP="00214AEE">
      <w:r>
        <w:t>The following figures provides the corresponding Building Entry Loss (BEL) distributions at</w:t>
      </w:r>
      <w:r w:rsidR="00D81CB2">
        <w:br/>
      </w:r>
      <w:r>
        <w:t xml:space="preserve"> 2.4 GHz and 5.4 GHz at 0° elevation, with the corresponding median and average values.</w:t>
      </w:r>
    </w:p>
    <w:p w:rsidR="00D81CB2" w:rsidRDefault="00D81CB2">
      <w:pPr>
        <w:tabs>
          <w:tab w:val="clear" w:pos="1134"/>
          <w:tab w:val="clear" w:pos="1871"/>
          <w:tab w:val="clear" w:pos="2268"/>
        </w:tabs>
        <w:overflowPunct/>
        <w:autoSpaceDE/>
        <w:autoSpaceDN/>
        <w:adjustRightInd/>
        <w:spacing w:before="0"/>
        <w:textAlignment w:val="auto"/>
      </w:pPr>
      <w:r>
        <w:br w:type="page"/>
      </w:r>
    </w:p>
    <w:p w:rsidR="00D81CB2" w:rsidRDefault="00D81CB2" w:rsidP="00D81CB2">
      <w:pPr>
        <w:pStyle w:val="FigureNo"/>
      </w:pPr>
      <w:r>
        <w:t>Figure 1</w:t>
      </w:r>
    </w:p>
    <w:p w:rsidR="00214AEE" w:rsidRDefault="00214AEE" w:rsidP="00214AEE">
      <w:pPr>
        <w:pStyle w:val="ListParagraph"/>
        <w:jc w:val="center"/>
      </w:pPr>
      <w:r>
        <w:rPr>
          <w:noProof/>
          <w:lang w:eastAsia="zh-CN"/>
        </w:rPr>
        <w:drawing>
          <wp:inline distT="0" distB="0" distL="0" distR="0" wp14:anchorId="5AAA81DF" wp14:editId="5A4538DA">
            <wp:extent cx="2869315" cy="2914015"/>
            <wp:effectExtent l="0" t="0" r="762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769" cy="2915492"/>
                    </a:xfrm>
                    <a:prstGeom prst="rect">
                      <a:avLst/>
                    </a:prstGeom>
                    <a:noFill/>
                  </pic:spPr>
                </pic:pic>
              </a:graphicData>
            </a:graphic>
          </wp:inline>
        </w:drawing>
      </w:r>
      <w:r>
        <w:rPr>
          <w:noProof/>
          <w:lang w:eastAsia="zh-CN"/>
        </w:rPr>
        <w:drawing>
          <wp:inline distT="0" distB="0" distL="0" distR="0" wp14:anchorId="2CA2F22A" wp14:editId="02310F7A">
            <wp:extent cx="2845636" cy="29184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842" cy="2939184"/>
                    </a:xfrm>
                    <a:prstGeom prst="rect">
                      <a:avLst/>
                    </a:prstGeom>
                    <a:noFill/>
                  </pic:spPr>
                </pic:pic>
              </a:graphicData>
            </a:graphic>
          </wp:inline>
        </w:drawing>
      </w:r>
    </w:p>
    <w:p w:rsidR="00214AEE" w:rsidRDefault="00214AEE" w:rsidP="00214AEE">
      <w:r>
        <w:t>These figures depict a very small difference in BEL for the 2.4 GHz and the 5.4 GHz bands, with in particular average values of 10.47 dB and 10.89 dB, respectively.</w:t>
      </w:r>
    </w:p>
    <w:p w:rsidR="00214AEE" w:rsidRDefault="00214AEE" w:rsidP="00214AEE">
      <w:r>
        <w:t>In addition, the following figure provide a comparison of the BEL at 2.4 GHz and 5.4 GHz for all elevations.</w:t>
      </w:r>
    </w:p>
    <w:p w:rsidR="00D81CB2" w:rsidRDefault="00D81CB2" w:rsidP="00D81CB2">
      <w:pPr>
        <w:pStyle w:val="FigureNo"/>
      </w:pPr>
      <w:r>
        <w:t>Figure 2</w:t>
      </w:r>
    </w:p>
    <w:p w:rsidR="00214AEE" w:rsidRDefault="00214AEE" w:rsidP="00214AEE">
      <w:pPr>
        <w:pStyle w:val="ListParagraph"/>
        <w:jc w:val="center"/>
      </w:pPr>
      <w:r>
        <w:rPr>
          <w:noProof/>
          <w:lang w:eastAsia="zh-CN"/>
        </w:rPr>
        <w:drawing>
          <wp:inline distT="0" distB="0" distL="0" distR="0" wp14:anchorId="2F2B631C" wp14:editId="2E85EDF6">
            <wp:extent cx="4584700" cy="3023870"/>
            <wp:effectExtent l="0" t="0" r="635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3023870"/>
                    </a:xfrm>
                    <a:prstGeom prst="rect">
                      <a:avLst/>
                    </a:prstGeom>
                    <a:noFill/>
                  </pic:spPr>
                </pic:pic>
              </a:graphicData>
            </a:graphic>
          </wp:inline>
        </w:drawing>
      </w:r>
    </w:p>
    <w:p w:rsidR="00214AEE" w:rsidRPr="00335106" w:rsidRDefault="00214AEE" w:rsidP="00214AEE">
      <w:pPr>
        <w:pStyle w:val="ListParagraph"/>
      </w:pPr>
    </w:p>
    <w:p w:rsidR="00214AEE" w:rsidRDefault="00214AEE" w:rsidP="00214AEE">
      <w:r>
        <w:t xml:space="preserve">This figure confirms the small difference between the BEL for the 2 bands, actually ranging 0.37 to 0.54 </w:t>
      </w:r>
      <w:proofErr w:type="spellStart"/>
      <w:r>
        <w:t>dB.</w:t>
      </w:r>
      <w:proofErr w:type="spellEnd"/>
      <w:r>
        <w:t xml:space="preserve"> For the following considerations, it is proposed to use a fixed difference of 0.5 </w:t>
      </w:r>
      <w:proofErr w:type="spellStart"/>
      <w:r>
        <w:t>dB.</w:t>
      </w:r>
      <w:proofErr w:type="spellEnd"/>
    </w:p>
    <w:p w:rsidR="00214AEE" w:rsidRDefault="00214AEE" w:rsidP="00214AEE">
      <w:r>
        <w:t>This shows that the values of indoor/outdoor attenuation used by UK OFCOM at 2.4 GHz (i.e. 8.6 dB medium) are too optimistic. The figures used at 2.4 GHz should hence be only shifted by 0.5 dB compared to those used at 5 GHz.</w:t>
      </w:r>
    </w:p>
    <w:p w:rsidR="00214AEE" w:rsidRDefault="00214AEE" w:rsidP="00214AEE">
      <w:r>
        <w:t xml:space="preserve">Further, since </w:t>
      </w:r>
      <w:r w:rsidRPr="001750A2">
        <w:t>Draft ne</w:t>
      </w:r>
      <w:r>
        <w:t>w Recommendation ITU-R P</w:t>
      </w:r>
      <w:proofErr w:type="gramStart"/>
      <w:r>
        <w:t>.[</w:t>
      </w:r>
      <w:proofErr w:type="gramEnd"/>
      <w:r>
        <w:t>BEL] provides the basis for a single value, it now becomes useless to maintain a range of values and it is therefore proposed for the analysis of the 2.4 GHz measurements, to only consider a single value for both bands.</w:t>
      </w:r>
    </w:p>
    <w:p w:rsidR="00214AEE" w:rsidRDefault="00214AEE" w:rsidP="00214AEE">
      <w:r>
        <w:t>To do so, it is proposed to consider the 2.4 GHz measurement footprint (see below) as given in the UK OFCOM study.</w:t>
      </w:r>
    </w:p>
    <w:p w:rsidR="00D81CB2" w:rsidRDefault="00D81CB2" w:rsidP="00D81CB2">
      <w:pPr>
        <w:pStyle w:val="FigureNo"/>
      </w:pPr>
      <w:r>
        <w:t>Figure 3</w:t>
      </w:r>
    </w:p>
    <w:p w:rsidR="00214AEE" w:rsidRDefault="00214AEE" w:rsidP="00214AEE">
      <w:pPr>
        <w:pStyle w:val="ListParagraph"/>
        <w:jc w:val="center"/>
      </w:pPr>
      <w:r>
        <w:rPr>
          <w:noProof/>
          <w:sz w:val="19"/>
          <w:szCs w:val="19"/>
          <w:lang w:eastAsia="zh-CN"/>
        </w:rPr>
        <w:drawing>
          <wp:inline distT="0" distB="0" distL="0" distR="0" wp14:anchorId="6306B71A" wp14:editId="13AB5E41">
            <wp:extent cx="3075257" cy="276606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craftCalFootprint.emf"/>
                    <pic:cNvPicPr/>
                  </pic:nvPicPr>
                  <pic:blipFill rotWithShape="1">
                    <a:blip r:embed="rId14">
                      <a:extLst>
                        <a:ext uri="{28A0092B-C50C-407E-A947-70E740481C1C}">
                          <a14:useLocalDpi xmlns:a14="http://schemas.microsoft.com/office/drawing/2010/main" val="0"/>
                        </a:ext>
                      </a:extLst>
                    </a:blip>
                    <a:srcRect l="2722" t="5341" r="6189" b="1610"/>
                    <a:stretch/>
                  </pic:blipFill>
                  <pic:spPr bwMode="auto">
                    <a:xfrm>
                      <a:off x="0" y="0"/>
                      <a:ext cx="3079064" cy="2769484"/>
                    </a:xfrm>
                    <a:prstGeom prst="rect">
                      <a:avLst/>
                    </a:prstGeom>
                    <a:ln>
                      <a:noFill/>
                    </a:ln>
                    <a:extLst>
                      <a:ext uri="{53640926-AAD7-44D8-BBD7-CCE9431645EC}">
                        <a14:shadowObscured xmlns:a14="http://schemas.microsoft.com/office/drawing/2010/main"/>
                      </a:ext>
                    </a:extLst>
                  </pic:spPr>
                </pic:pic>
              </a:graphicData>
            </a:graphic>
          </wp:inline>
        </w:drawing>
      </w:r>
    </w:p>
    <w:p w:rsidR="00214AEE" w:rsidRDefault="00214AEE" w:rsidP="00214AEE">
      <w:r>
        <w:t>Considering this footprint and the 7 km altitude of the plane used for the measurements, it is possible to calculate the average elevation over the footprint at which the measurements have been performed and to deduce the corresponding average BEL at 2.4 GHz:</w:t>
      </w:r>
    </w:p>
    <w:p w:rsidR="00214AEE" w:rsidRDefault="00C81FFC" w:rsidP="00C81FFC">
      <w:pPr>
        <w:pStyle w:val="enumlev1"/>
      </w:pPr>
      <w:r>
        <w:t>–</w:t>
      </w:r>
      <w:r>
        <w:tab/>
      </w:r>
      <w:r w:rsidR="00214AEE">
        <w:t>Average elevation = 13.4 °</w:t>
      </w:r>
    </w:p>
    <w:p w:rsidR="00214AEE" w:rsidRDefault="00C81FFC" w:rsidP="00C81FFC">
      <w:pPr>
        <w:pStyle w:val="enumlev1"/>
      </w:pPr>
      <w:r>
        <w:t>–</w:t>
      </w:r>
      <w:r>
        <w:tab/>
      </w:r>
      <w:r w:rsidR="00214AEE">
        <w:t>Average BEL at 2.4 GHz (based on ITU-R P</w:t>
      </w:r>
      <w:proofErr w:type="gramStart"/>
      <w:r w:rsidR="00214AEE">
        <w:t>.[</w:t>
      </w:r>
      <w:proofErr w:type="gramEnd"/>
      <w:r w:rsidR="00214AEE">
        <w:t>BEL] model) = 11.62 dB</w:t>
      </w:r>
    </w:p>
    <w:p w:rsidR="00214AEE" w:rsidRDefault="00C81FFC" w:rsidP="00C81FFC">
      <w:pPr>
        <w:pStyle w:val="enumlev1"/>
      </w:pPr>
      <w:r>
        <w:t>–</w:t>
      </w:r>
      <w:r>
        <w:tab/>
      </w:r>
      <w:r w:rsidR="00214AEE">
        <w:t>Average BEL at 5.4 GHz (based on ITU-R P</w:t>
      </w:r>
      <w:proofErr w:type="gramStart"/>
      <w:r w:rsidR="00214AEE">
        <w:t>.[</w:t>
      </w:r>
      <w:proofErr w:type="gramEnd"/>
      <w:r w:rsidR="00214AEE">
        <w:t>BEL] model) = 12.12 dB</w:t>
      </w:r>
    </w:p>
    <w:p w:rsidR="00214AEE" w:rsidRDefault="00214AEE" w:rsidP="00214AEE">
      <w:r>
        <w:t>On this basis, it is proposed to undertake the 2.4 GHz measurements analysis with building entry losses of 11.6 dB at 2.4 GHz and 12.1 dB (i.e. 0.5 dB higher) at 5 GHz.</w:t>
      </w:r>
    </w:p>
    <w:p w:rsidR="00214AEE" w:rsidRDefault="00214AEE" w:rsidP="00214AEE">
      <w:r>
        <w:t>It is however to be noted that the use of these figures should limited to the comparison of the models at 2.4 GHz and 5 GHz.</w:t>
      </w:r>
    </w:p>
    <w:p w:rsidR="00214AEE" w:rsidRDefault="00214AEE" w:rsidP="00214AEE">
      <w:r>
        <w:t xml:space="preserve">For subsequent sharing analysis at 5 GHz, the average BEL will have to be based on the </w:t>
      </w:r>
      <w:r w:rsidR="000E6202">
        <w:br/>
      </w:r>
      <w:r>
        <w:t>ITU-R P.[BEL] model using the elevation corresponding to the case under study (e.g. FSS, EESS, MSS).</w:t>
      </w:r>
    </w:p>
    <w:p w:rsidR="00214AEE" w:rsidRDefault="00D81CB2" w:rsidP="00D81CB2">
      <w:pPr>
        <w:pStyle w:val="Heading1"/>
      </w:pPr>
      <w:r>
        <w:t>4</w:t>
      </w:r>
      <w:r>
        <w:tab/>
      </w:r>
      <w:r w:rsidR="00214AEE" w:rsidRPr="00BC7F1C">
        <w:t xml:space="preserve">2.4 GHz mean </w:t>
      </w:r>
      <w:r w:rsidR="00214AEE" w:rsidRPr="00D81CB2">
        <w:t>EIRP</w:t>
      </w:r>
    </w:p>
    <w:p w:rsidR="00214AEE" w:rsidRDefault="00214AEE" w:rsidP="00D81CB2">
      <w:pPr>
        <w:spacing w:afterLines="50" w:after="120"/>
      </w:pPr>
      <w:r>
        <w:t>The mean e.i.r.p. used at 5 GHz is 19 dBm, based on the following distribution.</w:t>
      </w:r>
    </w:p>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214AEE" w:rsidRPr="008B6A6B" w:rsidTr="00D81CB2">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 xml:space="preserve">RLAN </w:t>
            </w:r>
            <w:r>
              <w:t>e.i.r.p.</w:t>
            </w:r>
            <w:r w:rsidRPr="008B6A6B">
              <w:t xml:space="preserve"> Level</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 xml:space="preserve">200 </w:t>
            </w:r>
            <w:proofErr w:type="spellStart"/>
            <w:r w:rsidRPr="008B6A6B">
              <w:t>mW</w:t>
            </w:r>
            <w:proofErr w:type="spellEnd"/>
          </w:p>
          <w:p w:rsidR="00214AEE" w:rsidRPr="008B6A6B" w:rsidRDefault="00214AEE" w:rsidP="00D81CB2">
            <w:pPr>
              <w:pStyle w:val="Tablehead"/>
            </w:pPr>
            <w:r w:rsidRPr="008B6A6B">
              <w:t>(Omni-Directional)</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 xml:space="preserve">80 </w:t>
            </w:r>
            <w:proofErr w:type="spellStart"/>
            <w:r w:rsidRPr="008B6A6B">
              <w:t>mW</w:t>
            </w:r>
            <w:proofErr w:type="spellEnd"/>
          </w:p>
          <w:p w:rsidR="00214AEE" w:rsidRPr="008B6A6B" w:rsidRDefault="00214AEE" w:rsidP="00D81CB2">
            <w:pPr>
              <w:pStyle w:val="Tablehead"/>
            </w:pPr>
            <w:r w:rsidRPr="008B6A6B">
              <w:t>(Omni-Directional)</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 xml:space="preserve">50 </w:t>
            </w:r>
            <w:proofErr w:type="spellStart"/>
            <w:r w:rsidRPr="008B6A6B">
              <w:t>mW</w:t>
            </w:r>
            <w:proofErr w:type="spellEnd"/>
          </w:p>
          <w:p w:rsidR="00214AEE" w:rsidRPr="008B6A6B" w:rsidRDefault="00214AEE" w:rsidP="00D81CB2">
            <w:pPr>
              <w:pStyle w:val="Tablehead"/>
            </w:pPr>
            <w:r w:rsidRPr="008B6A6B">
              <w:t>(Omni-Directional)</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 xml:space="preserve">25 </w:t>
            </w:r>
            <w:proofErr w:type="spellStart"/>
            <w:r w:rsidRPr="008B6A6B">
              <w:t>mW</w:t>
            </w:r>
            <w:proofErr w:type="spellEnd"/>
          </w:p>
          <w:p w:rsidR="00214AEE" w:rsidRPr="008B6A6B" w:rsidRDefault="00214AEE" w:rsidP="00D81CB2">
            <w:pPr>
              <w:pStyle w:val="Tablehead"/>
            </w:pPr>
            <w:r w:rsidRPr="008B6A6B">
              <w:t>(Omni-Directional)</w:t>
            </w:r>
          </w:p>
        </w:tc>
      </w:tr>
      <w:tr w:rsidR="00214AEE" w:rsidRPr="008B6A6B" w:rsidTr="00D81CB2">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4AEE" w:rsidRPr="008B6A6B" w:rsidRDefault="00214AEE" w:rsidP="00D81CB2">
            <w:pPr>
              <w:pStyle w:val="Tabletext"/>
              <w:jc w:val="center"/>
            </w:pPr>
            <w:r w:rsidRPr="008B6A6B">
              <w:t xml:space="preserve">RLAN </w:t>
            </w:r>
            <w:r>
              <w:t>d</w:t>
            </w:r>
            <w:r w:rsidRPr="008B6A6B">
              <w:t xml:space="preserve">evice </w:t>
            </w:r>
            <w:r>
              <w:t>p</w:t>
            </w:r>
            <w:r w:rsidRPr="008B6A6B">
              <w:t>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19%</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27%</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15%</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39%</w:t>
            </w:r>
          </w:p>
        </w:tc>
      </w:tr>
    </w:tbl>
    <w:p w:rsidR="00214AEE" w:rsidRPr="002B4730" w:rsidRDefault="00214AEE" w:rsidP="00214AEE">
      <w:r>
        <w:t>It can be noted that it represents a difference of 4 dB compared to the maximum e.i.r.p (23 dBm).</w:t>
      </w:r>
    </w:p>
    <w:p w:rsidR="00214AEE" w:rsidRDefault="00214AEE" w:rsidP="00214AEE">
      <w:r>
        <w:t xml:space="preserve">For the 2.4 GHz band, UK OFCOM initially performed its analysis using the maximum e.i.r.p </w:t>
      </w:r>
      <w:r w:rsidR="000E6202">
        <w:br/>
      </w:r>
      <w:r>
        <w:t xml:space="preserve">(20 dBm) and is now proposing a mean e.i.r.p of 17.6 dBm (i.e. 2.4 dB below the max), considering a similar distribution as at 5 GHz, only replacing the value of 200 </w:t>
      </w:r>
      <w:proofErr w:type="spellStart"/>
      <w:r>
        <w:t>mW</w:t>
      </w:r>
      <w:proofErr w:type="spellEnd"/>
      <w:r>
        <w:t xml:space="preserve"> by 100 </w:t>
      </w:r>
      <w:proofErr w:type="spellStart"/>
      <w:r>
        <w:t>mW</w:t>
      </w:r>
      <w:proofErr w:type="spellEnd"/>
      <w:r>
        <w:t>.</w:t>
      </w:r>
    </w:p>
    <w:p w:rsidR="00214AEE" w:rsidRDefault="00214AEE" w:rsidP="00C81FFC">
      <w:r>
        <w:t>France expresses doubt about such value, taking into account the following main elements:</w:t>
      </w:r>
    </w:p>
    <w:p w:rsidR="00214AEE" w:rsidRDefault="00C81FFC" w:rsidP="00C81FFC">
      <w:pPr>
        <w:pStyle w:val="enumlev1"/>
      </w:pPr>
      <w:r>
        <w:t>–</w:t>
      </w:r>
      <w:r>
        <w:tab/>
      </w:r>
      <w:r w:rsidR="00214AEE">
        <w:t>5 GHz RLAN are designed to provide very high data rates over very large bandwidth (in particular 80 and 160 MHz) whereas 2.4 GHz RLAN are limited to 20 and 40 MHz bandwidths</w:t>
      </w:r>
    </w:p>
    <w:p w:rsidR="00214AEE" w:rsidRDefault="00C81FFC" w:rsidP="00C81FFC">
      <w:pPr>
        <w:pStyle w:val="enumlev1"/>
      </w:pPr>
      <w:r>
        <w:t>–</w:t>
      </w:r>
      <w:r>
        <w:tab/>
      </w:r>
      <w:r w:rsidR="00214AEE">
        <w:t>Propagation conditions are obviously more favourable at 2.4 GHz compared to 5 GHz</w:t>
      </w:r>
    </w:p>
    <w:p w:rsidR="00214AEE" w:rsidRDefault="00C81FFC" w:rsidP="00C81FFC">
      <w:pPr>
        <w:pStyle w:val="enumlev1"/>
      </w:pPr>
      <w:r>
        <w:t>–</w:t>
      </w:r>
      <w:r>
        <w:tab/>
      </w:r>
      <w:r w:rsidR="00214AEE">
        <w:t>ECC Report 244 RLAN deployment model, based on JRC work, makes the assumption that no additional 5 GHz AP will be needed compared to 2.4 GHz, all AP being bi-band, hence considering that coverage of both bands will be the same.</w:t>
      </w:r>
    </w:p>
    <w:p w:rsidR="00214AEE" w:rsidRDefault="00C81FFC" w:rsidP="00C81FFC">
      <w:pPr>
        <w:pStyle w:val="enumlev1"/>
      </w:pPr>
      <w:r>
        <w:t>–</w:t>
      </w:r>
      <w:r>
        <w:tab/>
      </w:r>
      <w:r w:rsidR="00214AEE">
        <w:t>Current literature show that, at same data rate, S/N required at 5 GHz is higher than at 2.4 GHz (see CISCO CUWSS quick reference guide):</w:t>
      </w:r>
    </w:p>
    <w:p w:rsidR="00214AEE" w:rsidRPr="006419F9" w:rsidRDefault="00214AEE" w:rsidP="00214AEE"/>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9ED"/>
        <w:tblCellMar>
          <w:left w:w="0" w:type="dxa"/>
          <w:right w:w="0" w:type="dxa"/>
        </w:tblCellMar>
        <w:tblLook w:val="04A0" w:firstRow="1" w:lastRow="0" w:firstColumn="1" w:lastColumn="0" w:noHBand="0" w:noVBand="1"/>
      </w:tblPr>
      <w:tblGrid>
        <w:gridCol w:w="1271"/>
        <w:gridCol w:w="998"/>
        <w:gridCol w:w="845"/>
        <w:gridCol w:w="714"/>
        <w:gridCol w:w="992"/>
      </w:tblGrid>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head"/>
              <w:rPr>
                <w:color w:val="333333"/>
                <w:lang w:eastAsia="fr-FR"/>
              </w:rPr>
            </w:pPr>
            <w:r>
              <w:rPr>
                <w:lang w:eastAsia="fr-FR"/>
              </w:rPr>
              <w:t xml:space="preserve">Data rate for </w:t>
            </w:r>
            <w:r w:rsidRPr="00BC5B60">
              <w:rPr>
                <w:lang w:eastAsia="fr-FR"/>
              </w:rPr>
              <w:t>20\40 MHz</w:t>
            </w:r>
          </w:p>
        </w:tc>
        <w:tc>
          <w:tcPr>
            <w:tcW w:w="998"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2.4 GHz Min RSSI</w:t>
            </w:r>
          </w:p>
        </w:tc>
        <w:tc>
          <w:tcPr>
            <w:tcW w:w="845"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2.4 GHz Min SNR</w:t>
            </w:r>
          </w:p>
        </w:tc>
        <w:tc>
          <w:tcPr>
            <w:tcW w:w="714"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5 GHz Min RSSI</w:t>
            </w:r>
          </w:p>
        </w:tc>
        <w:tc>
          <w:tcPr>
            <w:tcW w:w="992"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5 GHz Min SNR</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14.4\30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-82</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11</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-79</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28.9\60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-79</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-76</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17</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43.3\90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-77</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16</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-74</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19</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57.8\120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-74</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19</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-71</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22</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86.7\180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-70</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23</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-67</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26</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115.6\240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-66</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27</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-63</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30</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130\270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-65</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28</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-62</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31</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144.4\300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-64</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29</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-61</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32</w:t>
            </w:r>
          </w:p>
        </w:tc>
      </w:tr>
    </w:tbl>
    <w:p w:rsidR="00214AEE" w:rsidRDefault="00214AEE" w:rsidP="00214AEE">
      <w:r>
        <w:t>On this principle, it is proposed below to make compared simulations of mean e.i.r.p. in both bands considering similar coverage under different configurations.</w:t>
      </w:r>
    </w:p>
    <w:p w:rsidR="00214AEE" w:rsidRDefault="00214AEE" w:rsidP="00214AEE">
      <w:r>
        <w:t>The following assumptions are taken into account:</w:t>
      </w:r>
    </w:p>
    <w:p w:rsidR="00214AEE" w:rsidRDefault="00214AEE" w:rsidP="00214AEE">
      <w:pPr>
        <w:pStyle w:val="ListParagraph"/>
      </w:pPr>
      <w:r w:rsidRPr="00A448D0">
        <w:rPr>
          <w:noProof/>
          <w:lang w:eastAsia="zh-CN"/>
        </w:rPr>
        <w:drawing>
          <wp:inline distT="0" distB="0" distL="0" distR="0" wp14:anchorId="304B961E" wp14:editId="5ECAC0B5">
            <wp:extent cx="5760720" cy="258102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81028"/>
                    </a:xfrm>
                    <a:prstGeom prst="rect">
                      <a:avLst/>
                    </a:prstGeom>
                    <a:noFill/>
                    <a:ln>
                      <a:noFill/>
                    </a:ln>
                  </pic:spPr>
                </pic:pic>
              </a:graphicData>
            </a:graphic>
          </wp:inline>
        </w:drawing>
      </w:r>
    </w:p>
    <w:p w:rsidR="00214AEE" w:rsidRDefault="00214AEE" w:rsidP="00214AEE">
      <w:pPr>
        <w:pStyle w:val="ListParagraph"/>
      </w:pPr>
    </w:p>
    <w:p w:rsidR="00214AEE" w:rsidRDefault="00214AEE" w:rsidP="00214AEE">
      <w:r>
        <w:t>The principles of the simulations are:</w:t>
      </w:r>
    </w:p>
    <w:p w:rsidR="00214AEE" w:rsidRDefault="00C81FFC" w:rsidP="00C81FFC">
      <w:pPr>
        <w:pStyle w:val="enumlev1"/>
      </w:pPr>
      <w:r>
        <w:t>–</w:t>
      </w:r>
      <w:r>
        <w:tab/>
      </w:r>
      <w:r w:rsidR="00214AEE">
        <w:t>To set-up simulation layout with a central AP and UE distributed within a certain radius,</w:t>
      </w:r>
    </w:p>
    <w:p w:rsidR="00D81CB2" w:rsidRDefault="00D81CB2" w:rsidP="00D81CB2">
      <w:pPr>
        <w:pStyle w:val="FigureNo"/>
      </w:pPr>
      <w:r>
        <w:t>Figure 4</w:t>
      </w:r>
    </w:p>
    <w:p w:rsidR="00214AEE" w:rsidRDefault="00214AEE" w:rsidP="00214AEE">
      <w:pPr>
        <w:pStyle w:val="ListParagraph"/>
        <w:jc w:val="center"/>
      </w:pPr>
      <w:r>
        <w:rPr>
          <w:noProof/>
          <w:lang w:eastAsia="zh-CN"/>
        </w:rPr>
        <w:drawing>
          <wp:inline distT="0" distB="0" distL="0" distR="0" wp14:anchorId="234FC85B" wp14:editId="46C6146A">
            <wp:extent cx="2415540" cy="2243997"/>
            <wp:effectExtent l="0" t="0" r="381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9847" cy="2257288"/>
                    </a:xfrm>
                    <a:prstGeom prst="rect">
                      <a:avLst/>
                    </a:prstGeom>
                    <a:noFill/>
                  </pic:spPr>
                </pic:pic>
              </a:graphicData>
            </a:graphic>
          </wp:inline>
        </w:drawing>
      </w:r>
    </w:p>
    <w:p w:rsidR="00214AEE" w:rsidRDefault="00C81FFC" w:rsidP="00C81FFC">
      <w:pPr>
        <w:pStyle w:val="enumlev1"/>
      </w:pPr>
      <w:r>
        <w:t>–</w:t>
      </w:r>
      <w:r>
        <w:tab/>
      </w:r>
      <w:r w:rsidR="00214AEE">
        <w:t>For each UE case, determine the bandwidth based on the distribution above and calculate the required e.i.r.p. for both AP and UE to reach the required S/N taking into the different AP, UE (gain, NF, interference noise) and simulations parameters (radius, possible additional losses or building attenuation)</w:t>
      </w:r>
    </w:p>
    <w:p w:rsidR="00214AEE" w:rsidRDefault="00C81FFC" w:rsidP="00C81FFC">
      <w:pPr>
        <w:pStyle w:val="enumlev1"/>
      </w:pPr>
      <w:r>
        <w:t>–</w:t>
      </w:r>
      <w:r>
        <w:tab/>
      </w:r>
      <w:r w:rsidR="00214AEE">
        <w:t>Propagation model used is the ITU model for indoor attenuation, i.e.:</w:t>
      </w:r>
    </w:p>
    <w:p w:rsidR="00214AEE" w:rsidRDefault="00C81FFC" w:rsidP="00C81FFC">
      <w:pPr>
        <w:pStyle w:val="enumlev2"/>
        <w:rPr>
          <w:lang w:val="fr-FR"/>
        </w:rPr>
      </w:pPr>
      <w:r>
        <w:rPr>
          <w:lang w:val="fr-FR"/>
        </w:rPr>
        <w:t>º</w:t>
      </w:r>
      <w:r>
        <w:rPr>
          <w:lang w:val="fr-FR"/>
        </w:rPr>
        <w:tab/>
      </w:r>
      <w:r w:rsidR="00214AEE" w:rsidRPr="00274A22">
        <w:rPr>
          <w:lang w:val="fr-FR"/>
        </w:rPr>
        <w:t xml:space="preserve">L = 20log(f) + N log(d) </w:t>
      </w:r>
      <w:r w:rsidR="00214AEE">
        <w:rPr>
          <w:lang w:val="fr-FR"/>
        </w:rPr>
        <w:t>+ Pf(n) – 28</w:t>
      </w:r>
    </w:p>
    <w:p w:rsidR="00214AEE" w:rsidRDefault="00C81FFC" w:rsidP="00C81FFC">
      <w:pPr>
        <w:pStyle w:val="enumlev2"/>
      </w:pPr>
      <w:r w:rsidRPr="00C81FFC">
        <w:t>º</w:t>
      </w:r>
      <w:r w:rsidRPr="00C81FFC">
        <w:tab/>
      </w:r>
      <w:r w:rsidR="00214AEE" w:rsidRPr="00B13C62">
        <w:t xml:space="preserve">N = 30 for both bands (although it can vary </w:t>
      </w:r>
      <w:r w:rsidR="00214AEE">
        <w:t xml:space="preserve">from 28 at around 2 GHz to 31 </w:t>
      </w:r>
      <w:r w:rsidR="00D81CB2">
        <w:br/>
      </w:r>
      <w:r w:rsidR="00214AEE">
        <w:t>at 5 GHz)</w:t>
      </w:r>
    </w:p>
    <w:p w:rsidR="00214AEE" w:rsidRPr="00B13C62" w:rsidRDefault="00C81FFC" w:rsidP="00C81FFC">
      <w:pPr>
        <w:pStyle w:val="enumlev2"/>
      </w:pPr>
      <w:r w:rsidRPr="00C81FFC">
        <w:t>º</w:t>
      </w:r>
      <w:r w:rsidRPr="00C81FFC">
        <w:tab/>
      </w:r>
      <w:proofErr w:type="gramStart"/>
      <w:r w:rsidR="00214AEE" w:rsidRPr="00C25F1A">
        <w:t>Pf(</w:t>
      </w:r>
      <w:proofErr w:type="gramEnd"/>
      <w:r w:rsidR="00214AEE" w:rsidRPr="00C25F1A">
        <w:t>n), representing the additional loss due to floor penetration</w:t>
      </w:r>
      <w:r w:rsidR="00214AEE">
        <w:t xml:space="preserve"> is</w:t>
      </w:r>
      <w:r w:rsidR="00214AEE" w:rsidRPr="00C25F1A">
        <w:t xml:space="preserve"> not used</w:t>
      </w:r>
      <w:r w:rsidR="00214AEE">
        <w:t>, replaced by a fixed 6 dB figure in some simulations</w:t>
      </w:r>
    </w:p>
    <w:p w:rsidR="00214AEE" w:rsidRDefault="00C81FFC" w:rsidP="00C81FFC">
      <w:pPr>
        <w:pStyle w:val="enumlev1"/>
      </w:pPr>
      <w:r>
        <w:t>–</w:t>
      </w:r>
      <w:r>
        <w:tab/>
      </w:r>
      <w:r w:rsidR="00214AEE">
        <w:t>Run sufficient calculations to obtain a stable value for the mean e.i.r.p. (1</w:t>
      </w:r>
      <w:r w:rsidR="00D81CB2">
        <w:t> </w:t>
      </w:r>
      <w:r w:rsidR="00214AEE">
        <w:t>000 run has been considered)</w:t>
      </w:r>
    </w:p>
    <w:p w:rsidR="00214AEE" w:rsidRDefault="00C81FFC" w:rsidP="00C81FFC">
      <w:pPr>
        <w:pStyle w:val="enumlev1"/>
      </w:pPr>
      <w:r>
        <w:t>–</w:t>
      </w:r>
      <w:r>
        <w:tab/>
      </w:r>
      <w:r w:rsidR="00214AEE">
        <w:t>Determine the simulation layout to obtain a mean e.i.r.p.</w:t>
      </w:r>
      <w:r>
        <w:t xml:space="preserve"> </w:t>
      </w:r>
      <w:r w:rsidR="00214AEE">
        <w:t>of 19 dBm at 5 GHz over AP and UE</w:t>
      </w:r>
    </w:p>
    <w:p w:rsidR="00214AEE" w:rsidRDefault="00C81FFC" w:rsidP="00C81FFC">
      <w:pPr>
        <w:pStyle w:val="enumlev1"/>
      </w:pPr>
      <w:r>
        <w:t>–</w:t>
      </w:r>
      <w:r>
        <w:tab/>
      </w:r>
      <w:r w:rsidR="00214AEE">
        <w:t>Calculate the mean e.i.r.p.</w:t>
      </w:r>
      <w:r w:rsidR="00D81CB2">
        <w:t xml:space="preserve"> </w:t>
      </w:r>
      <w:r w:rsidR="00214AEE">
        <w:t>at 2.4 GHz based on similar layout.</w:t>
      </w:r>
    </w:p>
    <w:p w:rsidR="00214AEE" w:rsidRPr="00C81FFC" w:rsidRDefault="00214AEE" w:rsidP="00C81FFC">
      <w:pPr>
        <w:pStyle w:val="Headingb"/>
        <w:rPr>
          <w:lang w:val="en-GB"/>
        </w:rPr>
      </w:pPr>
      <w:r w:rsidRPr="00C81FFC">
        <w:rPr>
          <w:lang w:val="en-GB"/>
        </w:rPr>
        <w:t>First layout conditions:</w:t>
      </w:r>
    </w:p>
    <w:p w:rsidR="00214AEE" w:rsidRDefault="00C81FFC" w:rsidP="00C81FFC">
      <w:pPr>
        <w:pStyle w:val="enumlev1"/>
      </w:pPr>
      <w:r>
        <w:t>–</w:t>
      </w:r>
      <w:r>
        <w:tab/>
      </w:r>
      <w:r w:rsidR="00214AEE">
        <w:t>Open space without any additional losses</w:t>
      </w:r>
    </w:p>
    <w:p w:rsidR="00214AEE" w:rsidRDefault="00C81FFC" w:rsidP="00C81FFC">
      <w:pPr>
        <w:pStyle w:val="enumlev1"/>
      </w:pPr>
      <w:r>
        <w:t>–</w:t>
      </w:r>
      <w:r>
        <w:tab/>
      </w:r>
      <w:r w:rsidR="00214AEE">
        <w:t>Layout radius of 33 m to obtain 19 dBm mean e.i.r.p at 5 GHz</w:t>
      </w:r>
    </w:p>
    <w:p w:rsidR="00214AEE" w:rsidRDefault="00C81FFC" w:rsidP="00C81FFC">
      <w:pPr>
        <w:pStyle w:val="enumlev1"/>
      </w:pPr>
      <w:r>
        <w:t>–</w:t>
      </w:r>
      <w:r>
        <w:tab/>
      </w:r>
      <w:r w:rsidR="00214AEE">
        <w:t>Mean e.i.r.p at 2.4 GHz calculated at 8.5 dBm, i.e. a mean/max ratio of 11.5 dB</w:t>
      </w:r>
    </w:p>
    <w:p w:rsidR="00214AEE" w:rsidRPr="00C81FFC" w:rsidRDefault="00214AEE" w:rsidP="00214AEE">
      <w:pPr>
        <w:pStyle w:val="Headingb"/>
        <w:rPr>
          <w:lang w:val="en-GB"/>
        </w:rPr>
      </w:pPr>
      <w:r w:rsidRPr="00C81FFC">
        <w:rPr>
          <w:lang w:val="en-GB"/>
        </w:rPr>
        <w:t>Second layout conditions:</w:t>
      </w:r>
    </w:p>
    <w:p w:rsidR="00214AEE" w:rsidRDefault="00C81FFC" w:rsidP="00C81FFC">
      <w:pPr>
        <w:pStyle w:val="enumlev1"/>
      </w:pPr>
      <w:r>
        <w:t>–</w:t>
      </w:r>
      <w:r>
        <w:tab/>
      </w:r>
      <w:r w:rsidR="00214AEE">
        <w:t>Space with 6 dB floor/wall losses after 5 m</w:t>
      </w:r>
    </w:p>
    <w:p w:rsidR="00214AEE" w:rsidRDefault="00C81FFC" w:rsidP="00C81FFC">
      <w:pPr>
        <w:pStyle w:val="enumlev1"/>
      </w:pPr>
      <w:r>
        <w:t>–</w:t>
      </w:r>
      <w:r>
        <w:tab/>
      </w:r>
      <w:r w:rsidR="00214AEE">
        <w:t>Layout radius of 21 m to obtain 19</w:t>
      </w:r>
      <w:r>
        <w:t> </w:t>
      </w:r>
      <w:r w:rsidR="00214AEE">
        <w:t>dBm mean e.i.r.p at 5 GHz</w:t>
      </w:r>
    </w:p>
    <w:p w:rsidR="00214AEE" w:rsidRDefault="00C81FFC" w:rsidP="00C81FFC">
      <w:pPr>
        <w:pStyle w:val="enumlev1"/>
      </w:pPr>
      <w:r>
        <w:t>–</w:t>
      </w:r>
      <w:r>
        <w:tab/>
      </w:r>
      <w:r w:rsidR="00214AEE">
        <w:t>Mean e.i.r.p at 2.4 GHz calculated at 8.7 dBm, i.e. a mean/max ratio of 11.3 dB</w:t>
      </w:r>
    </w:p>
    <w:p w:rsidR="00214AEE" w:rsidRPr="00C81FFC" w:rsidRDefault="00214AEE" w:rsidP="00214AEE">
      <w:pPr>
        <w:pStyle w:val="Headingb"/>
        <w:rPr>
          <w:lang w:val="en-GB"/>
        </w:rPr>
      </w:pPr>
      <w:r w:rsidRPr="00C81FFC">
        <w:rPr>
          <w:lang w:val="en-GB"/>
        </w:rPr>
        <w:t>Third layout conditions:</w:t>
      </w:r>
    </w:p>
    <w:p w:rsidR="00214AEE" w:rsidRDefault="00C81FFC" w:rsidP="00C81FFC">
      <w:pPr>
        <w:pStyle w:val="enumlev1"/>
      </w:pPr>
      <w:r>
        <w:t>–</w:t>
      </w:r>
      <w:r>
        <w:tab/>
      </w:r>
      <w:r w:rsidR="00214AEE">
        <w:t>Space with indoor/outdoor attenuation losses after 12 m</w:t>
      </w:r>
    </w:p>
    <w:p w:rsidR="00214AEE" w:rsidRDefault="00C81FFC" w:rsidP="00C81FFC">
      <w:pPr>
        <w:pStyle w:val="enumlev1"/>
      </w:pPr>
      <w:r>
        <w:t>–</w:t>
      </w:r>
      <w:r>
        <w:tab/>
      </w:r>
      <w:r w:rsidR="00214AEE">
        <w:t>Layout radius of 17 m to obtain 19</w:t>
      </w:r>
      <w:r>
        <w:t> </w:t>
      </w:r>
      <w:r w:rsidR="00214AEE">
        <w:t>dBm mean e.i.r.p at 5 GHz</w:t>
      </w:r>
    </w:p>
    <w:p w:rsidR="00214AEE" w:rsidRDefault="00C81FFC" w:rsidP="00C81FFC">
      <w:pPr>
        <w:pStyle w:val="enumlev1"/>
      </w:pPr>
      <w:r>
        <w:t>–</w:t>
      </w:r>
      <w:r>
        <w:tab/>
      </w:r>
      <w:r w:rsidR="00214AEE">
        <w:t>Mean e.i.r.p at 2.4 GHz calculated at 9.5 dBm, i.e. a mean/max ratio of 10.5 dB</w:t>
      </w:r>
    </w:p>
    <w:p w:rsidR="00214AEE" w:rsidRPr="00662998" w:rsidRDefault="00214AEE" w:rsidP="00C81FFC">
      <w:pPr>
        <w:pStyle w:val="Headingb"/>
      </w:pPr>
      <w:r>
        <w:t>Fourth</w:t>
      </w:r>
      <w:r w:rsidRPr="00662998">
        <w:t xml:space="preserve"> layout conditions:</w:t>
      </w:r>
    </w:p>
    <w:p w:rsidR="00214AEE" w:rsidRDefault="00C81FFC" w:rsidP="00C81FFC">
      <w:pPr>
        <w:pStyle w:val="enumlev1"/>
      </w:pPr>
      <w:r>
        <w:t>–</w:t>
      </w:r>
      <w:r>
        <w:tab/>
      </w:r>
      <w:r w:rsidR="00214AEE">
        <w:t>Space with indoor/outdoor attenuation losses after 12 m and floor/wall losses after 5 m</w:t>
      </w:r>
    </w:p>
    <w:p w:rsidR="00214AEE" w:rsidRDefault="00C81FFC" w:rsidP="00C81FFC">
      <w:pPr>
        <w:pStyle w:val="enumlev1"/>
      </w:pPr>
      <w:r>
        <w:t>–</w:t>
      </w:r>
      <w:r>
        <w:tab/>
      </w:r>
      <w:r w:rsidR="00214AEE">
        <w:t>Layout radius of 15 m to obtain 19</w:t>
      </w:r>
      <w:r>
        <w:t> </w:t>
      </w:r>
      <w:r w:rsidR="00214AEE">
        <w:t>dBm mean e.i.r.p at 5 GHz</w:t>
      </w:r>
    </w:p>
    <w:p w:rsidR="00214AEE" w:rsidRDefault="00C81FFC" w:rsidP="00C81FFC">
      <w:pPr>
        <w:pStyle w:val="enumlev1"/>
      </w:pPr>
      <w:r>
        <w:t>–</w:t>
      </w:r>
      <w:r>
        <w:tab/>
      </w:r>
      <w:r w:rsidR="00214AEE">
        <w:t>Mean e.i.r.p at 2.4 GHz calculated at 13 dBm, i.e. a mean/max ratio of 7 dB</w:t>
      </w:r>
    </w:p>
    <w:p w:rsidR="00214AEE" w:rsidRPr="00662998" w:rsidRDefault="00214AEE" w:rsidP="00C81FFC">
      <w:pPr>
        <w:pStyle w:val="Headingb"/>
      </w:pPr>
      <w:r>
        <w:t xml:space="preserve">Fifth </w:t>
      </w:r>
      <w:r w:rsidRPr="00662998">
        <w:t>layout conditions:</w:t>
      </w:r>
    </w:p>
    <w:p w:rsidR="00214AEE" w:rsidRDefault="00C81FFC" w:rsidP="00C81FFC">
      <w:pPr>
        <w:pStyle w:val="enumlev1"/>
      </w:pPr>
      <w:r>
        <w:t>–</w:t>
      </w:r>
      <w:r>
        <w:tab/>
      </w:r>
      <w:r w:rsidR="00214AEE">
        <w:t>Space with indoor/outdoor attenuation losses and floor/wall losses after 5 m</w:t>
      </w:r>
    </w:p>
    <w:p w:rsidR="00214AEE" w:rsidRDefault="00C81FFC" w:rsidP="00C81FFC">
      <w:pPr>
        <w:pStyle w:val="enumlev1"/>
      </w:pPr>
      <w:r>
        <w:t>–</w:t>
      </w:r>
      <w:r>
        <w:tab/>
      </w:r>
      <w:r w:rsidR="00214AEE">
        <w:t>Layout radius of 9.5 m to obtain 19dBm mean e.i.r.p at 5 GHz</w:t>
      </w:r>
    </w:p>
    <w:p w:rsidR="00214AEE" w:rsidRDefault="00C81FFC" w:rsidP="00C81FFC">
      <w:pPr>
        <w:pStyle w:val="enumlev1"/>
      </w:pPr>
      <w:r>
        <w:t>–</w:t>
      </w:r>
      <w:r>
        <w:tab/>
      </w:r>
      <w:r w:rsidR="00214AEE">
        <w:t>Mean e.i.r.p at 2.4 GHz calculated at 8.5 dBm, i.e. a mean/max ratio of 11.5 dB</w:t>
      </w:r>
    </w:p>
    <w:p w:rsidR="00214AEE" w:rsidRDefault="00214AEE" w:rsidP="00C81FFC">
      <w:r>
        <w:t>Although these 5 simulations may not represent a full set of possibilities, it can already be shown that a mean</w:t>
      </w:r>
      <w:r w:rsidRPr="00211167">
        <w:t xml:space="preserve"> </w:t>
      </w:r>
      <w:r>
        <w:t>e.i.r.p of 17.6 dB at 2.4 GHz (i.e. 2.4 dB mean/max ratio) is not representative to similar condition leading to a 19 dBm</w:t>
      </w:r>
      <w:r w:rsidRPr="008F7B81">
        <w:t xml:space="preserve"> </w:t>
      </w:r>
      <w:r>
        <w:t>mean</w:t>
      </w:r>
      <w:r w:rsidRPr="00211167">
        <w:t xml:space="preserve"> </w:t>
      </w:r>
      <w:r>
        <w:t xml:space="preserve">e.i.r.p at 5 GHz. On the contrary, these simulations, considering various cases, lead to a mean/max ratio at 2.4 GHz of 7 to 11.5 </w:t>
      </w:r>
      <w:proofErr w:type="spellStart"/>
      <w:r>
        <w:t>dB.</w:t>
      </w:r>
      <w:proofErr w:type="spellEnd"/>
    </w:p>
    <w:p w:rsidR="00214AEE" w:rsidRDefault="00214AEE" w:rsidP="00C81FFC">
      <w:r>
        <w:t xml:space="preserve">One could argue that similar simulations could be made considering a mean e.i.r.p of 17.6 dB at </w:t>
      </w:r>
      <w:r w:rsidR="00C81FFC">
        <w:br/>
      </w:r>
      <w:r>
        <w:t>2.4 GHz to assess the maximum coverage at this frequency. This indeed show a much higher coverage radius, but means that to ensure similar coverage at 5 GHz, additional AP would be required. Corresponding calculations are provided below.</w:t>
      </w:r>
    </w:p>
    <w:p w:rsidR="00214AEE" w:rsidRPr="00C81FFC" w:rsidRDefault="00214AEE" w:rsidP="00C81FFC">
      <w:pPr>
        <w:pStyle w:val="Headingb"/>
        <w:rPr>
          <w:lang w:val="en-GB"/>
        </w:rPr>
      </w:pPr>
      <w:r w:rsidRPr="00C81FFC">
        <w:rPr>
          <w:lang w:val="en-GB"/>
        </w:rPr>
        <w:t>First layout conditions:</w:t>
      </w:r>
    </w:p>
    <w:p w:rsidR="00214AEE" w:rsidRDefault="00C81FFC" w:rsidP="00C81FFC">
      <w:pPr>
        <w:pStyle w:val="enumlev1"/>
      </w:pPr>
      <w:r>
        <w:t>–</w:t>
      </w:r>
      <w:r>
        <w:tab/>
      </w:r>
      <w:r w:rsidR="00214AEE">
        <w:t>Open space without any additional losses</w:t>
      </w:r>
    </w:p>
    <w:p w:rsidR="00214AEE" w:rsidRDefault="00C81FFC" w:rsidP="00C81FFC">
      <w:pPr>
        <w:pStyle w:val="enumlev1"/>
      </w:pPr>
      <w:r>
        <w:t>–</w:t>
      </w:r>
      <w:r>
        <w:tab/>
      </w:r>
      <w:r w:rsidR="00214AEE">
        <w:t>Layout radius of 33 m to obtain 19 dBm mean e.i.r.p at 5 GHz</w:t>
      </w:r>
    </w:p>
    <w:p w:rsidR="00214AEE" w:rsidRDefault="00C81FFC" w:rsidP="00C81FFC">
      <w:pPr>
        <w:pStyle w:val="enumlev1"/>
      </w:pPr>
      <w:r>
        <w:t>–</w:t>
      </w:r>
      <w:r>
        <w:tab/>
      </w:r>
      <w:r w:rsidR="00214AEE">
        <w:t>Layout radius to obtain 17.6 dBm mean e.i.r.p at 2.4 GHz = 74 m</w:t>
      </w:r>
    </w:p>
    <w:p w:rsidR="00214AEE" w:rsidRDefault="00C81FFC" w:rsidP="00C81FFC">
      <w:pPr>
        <w:pStyle w:val="enumlev1"/>
      </w:pPr>
      <w:r>
        <w:t>–</w:t>
      </w:r>
      <w:r>
        <w:tab/>
      </w:r>
      <w:r w:rsidR="00214AEE">
        <w:t>Ratio of area = 5 i.e. 7 dB increase in number of 5 GHz AP</w:t>
      </w:r>
    </w:p>
    <w:p w:rsidR="00214AEE" w:rsidRPr="00C81FFC" w:rsidRDefault="00214AEE" w:rsidP="00C81FFC">
      <w:pPr>
        <w:pStyle w:val="Headingb"/>
        <w:rPr>
          <w:lang w:val="en-GB"/>
        </w:rPr>
      </w:pPr>
      <w:r w:rsidRPr="00C81FFC">
        <w:rPr>
          <w:lang w:val="en-GB"/>
        </w:rPr>
        <w:t>Second layout conditions:</w:t>
      </w:r>
    </w:p>
    <w:p w:rsidR="00214AEE" w:rsidRDefault="00C81FFC" w:rsidP="00C81FFC">
      <w:pPr>
        <w:pStyle w:val="enumlev1"/>
      </w:pPr>
      <w:r>
        <w:t>–</w:t>
      </w:r>
      <w:r>
        <w:tab/>
      </w:r>
      <w:r w:rsidR="00214AEE">
        <w:t>Space with 6 dB floor/wall losses after 5 m</w:t>
      </w:r>
    </w:p>
    <w:p w:rsidR="00214AEE" w:rsidRDefault="00C81FFC" w:rsidP="00C81FFC">
      <w:pPr>
        <w:pStyle w:val="enumlev1"/>
      </w:pPr>
      <w:r>
        <w:t>–</w:t>
      </w:r>
      <w:r>
        <w:tab/>
      </w:r>
      <w:r w:rsidR="00214AEE">
        <w:t>Layout radius of 21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46 m</w:t>
      </w:r>
    </w:p>
    <w:p w:rsidR="00214AEE" w:rsidRDefault="00C81FFC" w:rsidP="00C81FFC">
      <w:pPr>
        <w:pStyle w:val="enumlev1"/>
      </w:pPr>
      <w:r>
        <w:t>–</w:t>
      </w:r>
      <w:r>
        <w:tab/>
      </w:r>
      <w:r w:rsidR="00214AEE">
        <w:t>Ratio of area = 4.8 i.e. 6.8 dB increase in number of 5 GHz AP</w:t>
      </w:r>
    </w:p>
    <w:p w:rsidR="00214AEE" w:rsidRPr="00C81FFC" w:rsidRDefault="00214AEE" w:rsidP="00C81FFC">
      <w:pPr>
        <w:pStyle w:val="Headingb"/>
        <w:rPr>
          <w:lang w:val="en-GB"/>
        </w:rPr>
      </w:pPr>
      <w:r w:rsidRPr="00C81FFC">
        <w:rPr>
          <w:lang w:val="en-GB"/>
        </w:rPr>
        <w:t>Third layout conditions:</w:t>
      </w:r>
    </w:p>
    <w:p w:rsidR="00214AEE" w:rsidRDefault="00C81FFC" w:rsidP="00C81FFC">
      <w:pPr>
        <w:pStyle w:val="enumlev1"/>
      </w:pPr>
      <w:r>
        <w:t>–</w:t>
      </w:r>
      <w:r>
        <w:tab/>
      </w:r>
      <w:r w:rsidR="00214AEE">
        <w:t>Space with indoor/outdoor attenuation losses after 12 m</w:t>
      </w:r>
    </w:p>
    <w:p w:rsidR="00214AEE" w:rsidRDefault="00C81FFC" w:rsidP="00C81FFC">
      <w:pPr>
        <w:pStyle w:val="enumlev1"/>
      </w:pPr>
      <w:r>
        <w:t>–</w:t>
      </w:r>
      <w:r>
        <w:tab/>
      </w:r>
      <w:r w:rsidR="00214AEE">
        <w:t>Layout radius of 17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33 m</w:t>
      </w:r>
    </w:p>
    <w:p w:rsidR="00214AEE" w:rsidRDefault="00C81FFC" w:rsidP="00C81FFC">
      <w:pPr>
        <w:pStyle w:val="enumlev1"/>
      </w:pPr>
      <w:r>
        <w:t>–</w:t>
      </w:r>
      <w:r>
        <w:tab/>
      </w:r>
      <w:r w:rsidR="00214AEE">
        <w:t>Ratio of area = 3.77 i.e. 5.8 dB increase in number of 5 GHz AP</w:t>
      </w:r>
    </w:p>
    <w:p w:rsidR="00214AEE" w:rsidRPr="00C81FFC" w:rsidRDefault="00214AEE" w:rsidP="00C81FFC">
      <w:pPr>
        <w:pStyle w:val="Headingb"/>
        <w:rPr>
          <w:lang w:val="en-GB"/>
        </w:rPr>
      </w:pPr>
      <w:r w:rsidRPr="00C81FFC">
        <w:rPr>
          <w:lang w:val="en-GB"/>
        </w:rPr>
        <w:t>Fourth layout conditions:</w:t>
      </w:r>
    </w:p>
    <w:p w:rsidR="00214AEE" w:rsidRDefault="00C81FFC" w:rsidP="00C81FFC">
      <w:pPr>
        <w:pStyle w:val="enumlev1"/>
      </w:pPr>
      <w:r>
        <w:t>–</w:t>
      </w:r>
      <w:r>
        <w:tab/>
      </w:r>
      <w:r w:rsidR="00214AEE">
        <w:t>Space with indoor/outdoor attenuation losses after 12 m and floor/wall losses after 5 m</w:t>
      </w:r>
    </w:p>
    <w:p w:rsidR="00214AEE" w:rsidRDefault="00C81FFC" w:rsidP="00C81FFC">
      <w:pPr>
        <w:pStyle w:val="enumlev1"/>
      </w:pPr>
      <w:r>
        <w:t>–</w:t>
      </w:r>
      <w:r>
        <w:tab/>
      </w:r>
      <w:r w:rsidR="00214AEE">
        <w:t>Layout radius of 15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21.5 m</w:t>
      </w:r>
    </w:p>
    <w:p w:rsidR="00214AEE" w:rsidRDefault="00C81FFC" w:rsidP="00C81FFC">
      <w:pPr>
        <w:pStyle w:val="enumlev1"/>
      </w:pPr>
      <w:r>
        <w:t>–</w:t>
      </w:r>
      <w:r>
        <w:tab/>
      </w:r>
      <w:r w:rsidR="00214AEE">
        <w:t>Ratio of area = 2 i.e. 3 dB increase in number of 5 GHz AP</w:t>
      </w:r>
    </w:p>
    <w:p w:rsidR="00214AEE" w:rsidRPr="00C81FFC" w:rsidRDefault="00214AEE" w:rsidP="00C81FFC">
      <w:pPr>
        <w:pStyle w:val="Headingb"/>
        <w:rPr>
          <w:lang w:val="en-GB"/>
        </w:rPr>
      </w:pPr>
      <w:r w:rsidRPr="00C81FFC">
        <w:rPr>
          <w:lang w:val="en-GB"/>
        </w:rPr>
        <w:t>Fifth layout conditions:</w:t>
      </w:r>
    </w:p>
    <w:p w:rsidR="00214AEE" w:rsidRDefault="00C81FFC" w:rsidP="00C81FFC">
      <w:pPr>
        <w:pStyle w:val="enumlev1"/>
      </w:pPr>
      <w:r>
        <w:t>–</w:t>
      </w:r>
      <w:r>
        <w:tab/>
      </w:r>
      <w:r w:rsidR="00214AEE">
        <w:t>Space with indoor/outdoor attenuation losses and floor/wall losses after 5 m</w:t>
      </w:r>
    </w:p>
    <w:p w:rsidR="00214AEE" w:rsidRDefault="00C81FFC" w:rsidP="00C81FFC">
      <w:pPr>
        <w:pStyle w:val="enumlev1"/>
      </w:pPr>
      <w:r>
        <w:t>–</w:t>
      </w:r>
      <w:r>
        <w:tab/>
      </w:r>
      <w:r w:rsidR="00214AEE">
        <w:t>Layout radius of 9.5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20.5 m</w:t>
      </w:r>
    </w:p>
    <w:p w:rsidR="00214AEE" w:rsidRDefault="00C81FFC" w:rsidP="00C81FFC">
      <w:pPr>
        <w:pStyle w:val="enumlev1"/>
      </w:pPr>
      <w:r>
        <w:t>–</w:t>
      </w:r>
      <w:r>
        <w:tab/>
      </w:r>
      <w:r w:rsidR="00214AEE">
        <w:t>Ratio of area = 4.65 i.e. 6.7 dB increase in number of 5 GHz AP</w:t>
      </w:r>
    </w:p>
    <w:p w:rsidR="00214AEE" w:rsidRDefault="00214AEE" w:rsidP="00C81FFC">
      <w:r>
        <w:t xml:space="preserve">These calculations show that, if a 17.6 dBm mean e.i.r.p at 2.4 GHz is considered in the measurement analysis, between 2 and 5 times more AP would be required to ensure similar coverage at 5 GHz. These factor (between 3 and 7 dB) would </w:t>
      </w:r>
      <w:proofErr w:type="spellStart"/>
      <w:r>
        <w:t>bave</w:t>
      </w:r>
      <w:proofErr w:type="spellEnd"/>
      <w:r>
        <w:t xml:space="preserve"> to be considered when translating the results of the 2.4 GHz measurement analysis into assumptions at 5 GHz.</w:t>
      </w:r>
    </w:p>
    <w:p w:rsidR="00214AEE" w:rsidRDefault="00214AEE" w:rsidP="00C81FFC">
      <w:r>
        <w:t>As a conclusion, it is therefore necessary to set-up the mean e.i.r.p at 2.4 GHz at a level allowing comparison with assumptions used at 5 GHz. Although the above calculations depicts a mean/max ratio in the range 7 to 11.5 dB, it is proposed to take into account the more conservative assumption with a mean/max ratio of 7 dB, i.e. a 13 dBm mean e.i.r.p at 2.4 GHz.</w:t>
      </w:r>
    </w:p>
    <w:p w:rsidR="00214AEE" w:rsidRPr="00BC7F1C" w:rsidRDefault="00D81CB2" w:rsidP="00D81CB2">
      <w:pPr>
        <w:pStyle w:val="Heading1"/>
      </w:pPr>
      <w:r>
        <w:t>5</w:t>
      </w:r>
      <w:r>
        <w:tab/>
      </w:r>
      <w:r w:rsidR="00214AEE" w:rsidRPr="00D81CB2">
        <w:t>Victim</w:t>
      </w:r>
      <w:r w:rsidR="00214AEE" w:rsidRPr="002B4730">
        <w:t xml:space="preserve"> bandwidth overlap (or channelization factor)</w:t>
      </w:r>
    </w:p>
    <w:p w:rsidR="00214AEE" w:rsidRDefault="00214AEE" w:rsidP="00D81CB2">
      <w:r>
        <w:t>The method to calculate the number of overlapping RLAN in the victim bandwidth and the corresponding average bandwidth factor was derived and agreed during the work of JTG.</w:t>
      </w:r>
    </w:p>
    <w:p w:rsidR="00214AEE" w:rsidRDefault="00214AEE" w:rsidP="00D81CB2">
      <w:r>
        <w:t>Similar calculations have been made at 2.4 GHz, under 2 baseline assumptions, differing on the number of possible non-overlapping 20 MHz channels usable in this band (either 3 or 4). These calculations are given in the following excel file.</w:t>
      </w:r>
    </w:p>
    <w:p w:rsidR="00214AEE" w:rsidRDefault="000E6202" w:rsidP="00214AEE">
      <w:pPr>
        <w:jc w:val="center"/>
        <w:rPr>
          <w:rFonts w:ascii="Arial" w:hAnsi="Arial" w:cs="Arial"/>
          <w:sz w:val="22"/>
          <w:szCs w:val="22"/>
        </w:rPr>
      </w:pPr>
      <w:r>
        <w:rPr>
          <w:rFonts w:ascii="Arial" w:hAnsi="Arial" w:cs="Arial"/>
          <w:sz w:val="22"/>
          <w:szCs w:val="22"/>
        </w:rPr>
        <w:object w:dxaOrig="1358"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2pt" o:ole="">
            <v:imagedata r:id="rId17" o:title=""/>
          </v:shape>
          <o:OLEObject Type="Embed" ProgID="Package" ShapeID="_x0000_i1025" DrawAspect="Icon" ObjectID="_1558783567" r:id="rId18"/>
        </w:object>
      </w:r>
    </w:p>
    <w:p w:rsidR="00214AEE" w:rsidRDefault="00214AEE" w:rsidP="00214AEE">
      <w:pPr>
        <w:rPr>
          <w:rFonts w:ascii="Arial" w:hAnsi="Arial" w:cs="Arial"/>
          <w:sz w:val="22"/>
          <w:szCs w:val="22"/>
        </w:rPr>
      </w:pPr>
    </w:p>
    <w:p w:rsidR="00214AEE" w:rsidRDefault="00214AEE" w:rsidP="00C52512">
      <w:r>
        <w:t>The results are the following:</w:t>
      </w:r>
    </w:p>
    <w:p w:rsidR="00214AEE" w:rsidRDefault="00D81CB2" w:rsidP="00D81CB2">
      <w:pPr>
        <w:pStyle w:val="enumlev1"/>
      </w:pPr>
      <w:r>
        <w:t>–</w:t>
      </w:r>
      <w:r>
        <w:tab/>
      </w:r>
      <w:r w:rsidR="00214AEE">
        <w:t>Baseline 1 (4 times 20 MHz channels)</w:t>
      </w:r>
    </w:p>
    <w:p w:rsidR="00214AEE" w:rsidRPr="00D81CB2" w:rsidRDefault="00214AEE" w:rsidP="00214AEE">
      <w:pPr>
        <w:pStyle w:val="ListParagraph"/>
        <w:numPr>
          <w:ilvl w:val="1"/>
          <w:numId w:val="1"/>
        </w:numPr>
        <w:rPr>
          <w:rFonts w:asciiTheme="majorBidi" w:hAnsiTheme="majorBidi" w:cstheme="majorBidi"/>
        </w:rPr>
      </w:pPr>
      <w:r>
        <w:t xml:space="preserve">% </w:t>
      </w:r>
      <w:r w:rsidRPr="00D81CB2">
        <w:rPr>
          <w:rFonts w:asciiTheme="majorBidi" w:hAnsiTheme="majorBidi" w:cstheme="majorBidi"/>
        </w:rPr>
        <w:t>of Overlapping RLAN = 87.5%</w:t>
      </w:r>
    </w:p>
    <w:p w:rsidR="00214AEE" w:rsidRDefault="00214AEE" w:rsidP="00214AEE">
      <w:pPr>
        <w:pStyle w:val="ListParagraph"/>
        <w:numPr>
          <w:ilvl w:val="1"/>
          <w:numId w:val="1"/>
        </w:numPr>
      </w:pPr>
      <w:r w:rsidRPr="00D81CB2">
        <w:rPr>
          <w:rFonts w:asciiTheme="majorBidi" w:hAnsiTheme="majorBidi" w:cstheme="majorBidi"/>
        </w:rPr>
        <w:t>Average bandwidth factor = 2.43 dB</w:t>
      </w:r>
    </w:p>
    <w:p w:rsidR="00214AEE" w:rsidRDefault="00D81CB2" w:rsidP="00D81CB2">
      <w:pPr>
        <w:pStyle w:val="enumlev1"/>
      </w:pPr>
      <w:r>
        <w:t>–</w:t>
      </w:r>
      <w:r>
        <w:tab/>
      </w:r>
      <w:r w:rsidR="00214AEE">
        <w:t>Baseline 2 (3 times 20 MHz channels)</w:t>
      </w:r>
    </w:p>
    <w:p w:rsidR="00214AEE" w:rsidRPr="00D81CB2" w:rsidRDefault="00214AEE" w:rsidP="00214AEE">
      <w:pPr>
        <w:pStyle w:val="ListParagraph"/>
        <w:numPr>
          <w:ilvl w:val="1"/>
          <w:numId w:val="1"/>
        </w:numPr>
        <w:rPr>
          <w:rFonts w:asciiTheme="majorBidi" w:hAnsiTheme="majorBidi" w:cstheme="majorBidi"/>
        </w:rPr>
      </w:pPr>
      <w:r w:rsidRPr="00D81CB2">
        <w:rPr>
          <w:rFonts w:asciiTheme="majorBidi" w:hAnsiTheme="majorBidi" w:cstheme="majorBidi"/>
        </w:rPr>
        <w:t>% of Overlapping RLAN = 100%</w:t>
      </w:r>
    </w:p>
    <w:p w:rsidR="00214AEE" w:rsidRDefault="00214AEE" w:rsidP="00214AEE">
      <w:pPr>
        <w:pStyle w:val="ListParagraph"/>
        <w:numPr>
          <w:ilvl w:val="1"/>
          <w:numId w:val="1"/>
        </w:numPr>
      </w:pPr>
      <w:r w:rsidRPr="00D81CB2">
        <w:rPr>
          <w:rFonts w:asciiTheme="majorBidi" w:hAnsiTheme="majorBidi" w:cstheme="majorBidi"/>
        </w:rPr>
        <w:t>Average bandwidth factor = 2.34 dB</w:t>
      </w:r>
    </w:p>
    <w:p w:rsidR="00214AEE" w:rsidRDefault="00214AEE" w:rsidP="00D81CB2">
      <w:r w:rsidRPr="009C09F1">
        <w:t xml:space="preserve">The most conservative case is the Baseline 2 and it is hence proposed to retain </w:t>
      </w:r>
      <w:r>
        <w:t>a 100</w:t>
      </w:r>
      <w:r w:rsidRPr="009C09F1">
        <w:t xml:space="preserve">% of Overlapping RLAN </w:t>
      </w:r>
      <w:r>
        <w:t>and an average bandwidth factor of 2.34 dB in the analysis of the 2.4 GHz measurements.</w:t>
      </w:r>
    </w:p>
    <w:p w:rsidR="00214AEE" w:rsidRPr="008A4E4F" w:rsidRDefault="00D81CB2" w:rsidP="00D81CB2">
      <w:pPr>
        <w:pStyle w:val="Heading1"/>
      </w:pPr>
      <w:r>
        <w:t>6</w:t>
      </w:r>
      <w:r>
        <w:tab/>
      </w:r>
      <w:r w:rsidR="00214AEE" w:rsidRPr="008A4E4F">
        <w:t>Other parameters</w:t>
      </w:r>
    </w:p>
    <w:p w:rsidR="00214AEE" w:rsidRPr="000217B9" w:rsidRDefault="00D81CB2" w:rsidP="00D81CB2">
      <w:pPr>
        <w:pStyle w:val="Heading2"/>
      </w:pPr>
      <w:r>
        <w:t>6.1</w:t>
      </w:r>
      <w:r>
        <w:tab/>
      </w:r>
      <w:r w:rsidR="00214AEE" w:rsidRPr="000217B9">
        <w:t xml:space="preserve">Translating the “5 GHz </w:t>
      </w:r>
      <w:r w:rsidR="00214AEE" w:rsidRPr="00D81CB2">
        <w:t>factor</w:t>
      </w:r>
      <w:r w:rsidR="00214AEE" w:rsidRPr="000217B9">
        <w:t>” into “2.4 GHz factor”</w:t>
      </w:r>
    </w:p>
    <w:p w:rsidR="00214AEE" w:rsidRDefault="00214AEE" w:rsidP="00D81CB2">
      <w:r>
        <w:t>In ECC report 244, the “</w:t>
      </w:r>
      <w:r w:rsidRPr="00CA1B08">
        <w:t>5 GHz factor</w:t>
      </w:r>
      <w:r>
        <w:t>” represents the ratio of RLAN operating in the 5 GHz range over the total number of RLAN.</w:t>
      </w:r>
    </w:p>
    <w:p w:rsidR="00214AEE" w:rsidRDefault="00214AEE" w:rsidP="00D81CB2">
      <w:r>
        <w:t>The UK OFCOM proposed to use a similar factor for the 2.4 GHz band, assuming that in this band, it is the complement to 1 of the “</w:t>
      </w:r>
      <w:r w:rsidRPr="00CA1B08">
        <w:t>5 GHz factor</w:t>
      </w:r>
      <w:r>
        <w:t>”.</w:t>
      </w:r>
    </w:p>
    <w:p w:rsidR="00214AEE" w:rsidRDefault="00214AEE" w:rsidP="00D81CB2">
      <w:r>
        <w:t>This is fully correct in principle and in particular for the case of the maximum and medium “</w:t>
      </w:r>
      <w:r w:rsidRPr="00CA1B08">
        <w:t>5 GHz factor</w:t>
      </w:r>
      <w:r>
        <w:t>” of 97% and 74 %, respectively, leading to minimum and medium factors of 3% and 26% at 2.4 GHz.</w:t>
      </w:r>
    </w:p>
    <w:p w:rsidR="00214AEE" w:rsidRDefault="00214AEE" w:rsidP="00D81CB2">
      <w:r>
        <w:t>However, when considering the minimum “</w:t>
      </w:r>
      <w:r w:rsidRPr="00CA1B08">
        <w:t>5 GHz factor</w:t>
      </w:r>
      <w:r>
        <w:t>” of 50%, this is not correct anymore, since the argument for this 50% figure is that part of the total RLAN number will use the 2.4 GHz as well as the 60 GHz bands. It is therefore not correct to translate the “</w:t>
      </w:r>
      <w:r w:rsidRPr="00CA1B08">
        <w:t>5 GHz factor</w:t>
      </w:r>
      <w:r>
        <w:t>” of 50% into a “2.4</w:t>
      </w:r>
      <w:r w:rsidRPr="00CA1B08">
        <w:t xml:space="preserve"> GHz factor</w:t>
      </w:r>
      <w:r>
        <w:t>” of 50%.</w:t>
      </w:r>
    </w:p>
    <w:p w:rsidR="00214AEE" w:rsidRDefault="00214AEE" w:rsidP="00D81CB2">
      <w:r>
        <w:t>For this case, it is proposed to set the maximum “2.4</w:t>
      </w:r>
      <w:r w:rsidRPr="00CA1B08">
        <w:t xml:space="preserve"> GHz factor</w:t>
      </w:r>
      <w:r>
        <w:t>” at the same level as the medium value, i.e. 26%.</w:t>
      </w:r>
    </w:p>
    <w:p w:rsidR="00214AEE" w:rsidRPr="000217B9" w:rsidRDefault="00D81CB2" w:rsidP="00D81CB2">
      <w:pPr>
        <w:pStyle w:val="Heading2"/>
      </w:pPr>
      <w:r>
        <w:t>6.2</w:t>
      </w:r>
      <w:r>
        <w:tab/>
      </w:r>
      <w:proofErr w:type="spellStart"/>
      <w:r w:rsidR="00214AEE">
        <w:t>Buzy</w:t>
      </w:r>
      <w:proofErr w:type="spellEnd"/>
      <w:r w:rsidR="00214AEE">
        <w:t xml:space="preserve"> hour measurement factor</w:t>
      </w:r>
    </w:p>
    <w:p w:rsidR="00214AEE" w:rsidRDefault="00214AEE" w:rsidP="00D81CB2">
      <w:r>
        <w:t>The measurements performed by the UK OFCOM were made in the middle afternoon, hence not representing a busy hour.</w:t>
      </w:r>
    </w:p>
    <w:p w:rsidR="00214AEE" w:rsidRDefault="00214AEE" w:rsidP="00D81CB2">
      <w:r>
        <w:t>UK OFCOM has been proposing to use an additional factor of 90% to be applied to the “busy hour population factor”, hence representing a factor of 0.45 dB on the measurements.</w:t>
      </w:r>
    </w:p>
    <w:p w:rsidR="00214AEE" w:rsidRDefault="00214AEE" w:rsidP="00D81CB2">
      <w:r>
        <w:t xml:space="preserve">In the absence of any other evidence, France agrees with this approach and value. It is however proposed to maintain the “busy hour population factor” as they are for the 5 GHz band and then to apply the busy hour measurement factor after all calculation by shifting the measurement </w:t>
      </w:r>
      <w:r w:rsidR="00C52512">
        <w:br/>
      </w:r>
      <w:r>
        <w:t xml:space="preserve">by + 0.45 </w:t>
      </w:r>
      <w:proofErr w:type="spellStart"/>
      <w:r>
        <w:t>dB.</w:t>
      </w:r>
      <w:proofErr w:type="spellEnd"/>
      <w:r>
        <w:t xml:space="preserve">  </w:t>
      </w:r>
    </w:p>
    <w:p w:rsidR="00214AEE" w:rsidRPr="0018766E" w:rsidRDefault="00D81CB2" w:rsidP="00D81CB2">
      <w:pPr>
        <w:pStyle w:val="Heading2"/>
      </w:pPr>
      <w:r>
        <w:t>6.3</w:t>
      </w:r>
      <w:r>
        <w:tab/>
      </w:r>
      <w:r w:rsidR="00214AEE" w:rsidRPr="00D81CB2">
        <w:t>Population</w:t>
      </w:r>
      <w:r w:rsidR="00214AEE" w:rsidRPr="0018766E">
        <w:t xml:space="preserve"> deployment over measurement area</w:t>
      </w:r>
    </w:p>
    <w:p w:rsidR="00214AEE" w:rsidRDefault="00214AEE" w:rsidP="00D81CB2">
      <w:r>
        <w:t xml:space="preserve">The UK OFCOM analysis of the 2.4 GHz measurements are considering 5 different areas, based on the 2.4 GHz </w:t>
      </w:r>
      <w:r w:rsidRPr="00454CFE">
        <w:t>measurement</w:t>
      </w:r>
      <w:r>
        <w:t xml:space="preserve"> footprint (see below).</w:t>
      </w:r>
    </w:p>
    <w:p w:rsidR="00C52512" w:rsidRDefault="00C52512" w:rsidP="00C52512">
      <w:pPr>
        <w:pStyle w:val="FigureNo"/>
      </w:pPr>
      <w:r>
        <w:t>Figure 5</w:t>
      </w:r>
    </w:p>
    <w:p w:rsidR="00214AEE" w:rsidRDefault="00214AEE" w:rsidP="00214AEE">
      <w:pPr>
        <w:pStyle w:val="ListParagraph"/>
        <w:jc w:val="center"/>
      </w:pPr>
      <w:r>
        <w:rPr>
          <w:noProof/>
          <w:lang w:eastAsia="zh-CN"/>
        </w:rPr>
        <w:drawing>
          <wp:inline distT="0" distB="0" distL="0" distR="0" wp14:anchorId="3809F9AE" wp14:editId="71BC5383">
            <wp:extent cx="3075257" cy="2766060"/>
            <wp:effectExtent l="0" t="0" r="0" b="0"/>
            <wp:docPr id="7"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craftCalFootprint.emf"/>
                    <pic:cNvPicPr/>
                  </pic:nvPicPr>
                  <pic:blipFill rotWithShape="1">
                    <a:blip r:embed="rId14">
                      <a:extLst>
                        <a:ext uri="{28A0092B-C50C-407E-A947-70E740481C1C}">
                          <a14:useLocalDpi xmlns:a14="http://schemas.microsoft.com/office/drawing/2010/main" val="0"/>
                        </a:ext>
                      </a:extLst>
                    </a:blip>
                    <a:srcRect l="2722" t="5341" r="6189" b="1610"/>
                    <a:stretch/>
                  </pic:blipFill>
                  <pic:spPr bwMode="auto">
                    <a:xfrm>
                      <a:off x="0" y="0"/>
                      <a:ext cx="3079064" cy="2769484"/>
                    </a:xfrm>
                    <a:prstGeom prst="rect">
                      <a:avLst/>
                    </a:prstGeom>
                    <a:ln>
                      <a:noFill/>
                    </a:ln>
                    <a:extLst>
                      <a:ext uri="{53640926-AAD7-44D8-BBD7-CCE9431645EC}">
                        <a14:shadowObscured xmlns:a14="http://schemas.microsoft.com/office/drawing/2010/main"/>
                      </a:ext>
                    </a:extLst>
                  </pic:spPr>
                </pic:pic>
              </a:graphicData>
            </a:graphic>
          </wp:inline>
        </w:drawing>
      </w:r>
    </w:p>
    <w:p w:rsidR="00214AEE" w:rsidRDefault="00214AEE" w:rsidP="00D81CB2">
      <w:r>
        <w:t>For the “Central London” scenario, the UK OFCOM has considered the following number of 2.4 GHz RLAN AP.</w:t>
      </w:r>
    </w:p>
    <w:p w:rsidR="00C52512" w:rsidRDefault="00C52512">
      <w:pPr>
        <w:tabs>
          <w:tab w:val="clear" w:pos="1134"/>
          <w:tab w:val="clear" w:pos="1871"/>
          <w:tab w:val="clear" w:pos="2268"/>
        </w:tabs>
        <w:overflowPunct/>
        <w:autoSpaceDE/>
        <w:autoSpaceDN/>
        <w:adjustRightInd/>
        <w:spacing w:before="0"/>
        <w:textAlignment w:val="auto"/>
        <w:rPr>
          <w:rFonts w:ascii="Arial" w:hAnsi="Arial" w:cs="Arial"/>
          <w:snapToGrid w:val="0"/>
          <w:sz w:val="22"/>
          <w:szCs w:val="22"/>
          <w:highlight w:val="yellow"/>
        </w:rPr>
      </w:pPr>
      <w:r>
        <w:rPr>
          <w:highlight w:val="yellow"/>
        </w:rPr>
        <w:br w:type="page"/>
      </w:r>
    </w:p>
    <w:p w:rsidR="00214AEE" w:rsidRDefault="00214AEE" w:rsidP="00214AEE">
      <w:pPr>
        <w:pStyle w:val="ListParagraph"/>
        <w:rPr>
          <w:highlight w:val="yellow"/>
        </w:rPr>
      </w:pPr>
    </w:p>
    <w:tbl>
      <w:tblPr>
        <w:tblStyle w:val="TableGrid"/>
        <w:tblW w:w="0" w:type="auto"/>
        <w:jc w:val="center"/>
        <w:tblLook w:val="04A0" w:firstRow="1" w:lastRow="0" w:firstColumn="1" w:lastColumn="0" w:noHBand="0" w:noVBand="1"/>
      </w:tblPr>
      <w:tblGrid>
        <w:gridCol w:w="1240"/>
        <w:gridCol w:w="840"/>
        <w:gridCol w:w="840"/>
        <w:gridCol w:w="840"/>
        <w:gridCol w:w="840"/>
        <w:gridCol w:w="840"/>
        <w:gridCol w:w="872"/>
      </w:tblGrid>
      <w:tr w:rsidR="00214AEE" w:rsidRPr="007228D2" w:rsidTr="00D81CB2">
        <w:trPr>
          <w:jc w:val="center"/>
        </w:trPr>
        <w:tc>
          <w:tcPr>
            <w:tcW w:w="1240" w:type="dxa"/>
            <w:noWrap/>
            <w:vAlign w:val="center"/>
            <w:hideMark/>
          </w:tcPr>
          <w:p w:rsidR="00214AEE" w:rsidRPr="007228D2" w:rsidRDefault="00214AEE" w:rsidP="00C52512">
            <w:pPr>
              <w:pStyle w:val="Tabletext"/>
              <w:jc w:val="center"/>
            </w:pPr>
            <w:r>
              <w:t>Contour</w:t>
            </w:r>
          </w:p>
        </w:tc>
        <w:tc>
          <w:tcPr>
            <w:tcW w:w="840" w:type="dxa"/>
            <w:vAlign w:val="center"/>
            <w:hideMark/>
          </w:tcPr>
          <w:p w:rsidR="00214AEE" w:rsidRPr="007228D2" w:rsidRDefault="00214AEE" w:rsidP="00C52512">
            <w:pPr>
              <w:pStyle w:val="Tabletext"/>
              <w:jc w:val="center"/>
              <w:rPr>
                <w:bCs/>
              </w:rPr>
            </w:pPr>
            <w:r>
              <w:rPr>
                <w:bCs/>
              </w:rPr>
              <w:t>1</w:t>
            </w:r>
          </w:p>
        </w:tc>
        <w:tc>
          <w:tcPr>
            <w:tcW w:w="840" w:type="dxa"/>
            <w:vAlign w:val="center"/>
            <w:hideMark/>
          </w:tcPr>
          <w:p w:rsidR="00214AEE" w:rsidRPr="007228D2" w:rsidRDefault="00214AEE" w:rsidP="00C52512">
            <w:pPr>
              <w:pStyle w:val="Tabletext"/>
              <w:jc w:val="center"/>
              <w:rPr>
                <w:bCs/>
              </w:rPr>
            </w:pPr>
            <w:r>
              <w:rPr>
                <w:bCs/>
              </w:rPr>
              <w:t>2</w:t>
            </w:r>
          </w:p>
        </w:tc>
        <w:tc>
          <w:tcPr>
            <w:tcW w:w="840" w:type="dxa"/>
            <w:vAlign w:val="center"/>
            <w:hideMark/>
          </w:tcPr>
          <w:p w:rsidR="00214AEE" w:rsidRPr="007228D2" w:rsidRDefault="00214AEE" w:rsidP="00C52512">
            <w:pPr>
              <w:pStyle w:val="Tabletext"/>
              <w:jc w:val="center"/>
              <w:rPr>
                <w:bCs/>
              </w:rPr>
            </w:pPr>
            <w:r>
              <w:rPr>
                <w:bCs/>
              </w:rPr>
              <w:t>3</w:t>
            </w:r>
          </w:p>
        </w:tc>
        <w:tc>
          <w:tcPr>
            <w:tcW w:w="840" w:type="dxa"/>
            <w:vAlign w:val="center"/>
            <w:hideMark/>
          </w:tcPr>
          <w:p w:rsidR="00214AEE" w:rsidRPr="007228D2" w:rsidRDefault="00214AEE" w:rsidP="00C52512">
            <w:pPr>
              <w:pStyle w:val="Tabletext"/>
              <w:jc w:val="center"/>
              <w:rPr>
                <w:bCs/>
              </w:rPr>
            </w:pPr>
            <w:r>
              <w:rPr>
                <w:bCs/>
              </w:rPr>
              <w:t>4</w:t>
            </w:r>
          </w:p>
        </w:tc>
        <w:tc>
          <w:tcPr>
            <w:tcW w:w="840" w:type="dxa"/>
            <w:vAlign w:val="center"/>
            <w:hideMark/>
          </w:tcPr>
          <w:p w:rsidR="00214AEE" w:rsidRPr="007228D2" w:rsidRDefault="00214AEE" w:rsidP="00C52512">
            <w:pPr>
              <w:pStyle w:val="Tabletext"/>
              <w:jc w:val="center"/>
              <w:rPr>
                <w:bCs/>
              </w:rPr>
            </w:pPr>
            <w:r>
              <w:rPr>
                <w:bCs/>
              </w:rPr>
              <w:t>5</w:t>
            </w:r>
          </w:p>
        </w:tc>
        <w:tc>
          <w:tcPr>
            <w:tcW w:w="840" w:type="dxa"/>
            <w:noWrap/>
            <w:vAlign w:val="center"/>
            <w:hideMark/>
          </w:tcPr>
          <w:p w:rsidR="00214AEE" w:rsidRPr="007228D2" w:rsidRDefault="00214AEE" w:rsidP="00C52512">
            <w:pPr>
              <w:pStyle w:val="Tabletext"/>
              <w:jc w:val="center"/>
              <w:rPr>
                <w:bCs/>
              </w:rPr>
            </w:pPr>
            <w:r w:rsidRPr="007228D2">
              <w:rPr>
                <w:bCs/>
              </w:rPr>
              <w:t>TOTAL</w:t>
            </w:r>
          </w:p>
        </w:tc>
      </w:tr>
      <w:tr w:rsidR="00214AEE" w:rsidRPr="00F962BA" w:rsidTr="00D81CB2">
        <w:trPr>
          <w:jc w:val="center"/>
        </w:trPr>
        <w:tc>
          <w:tcPr>
            <w:tcW w:w="1240" w:type="dxa"/>
            <w:noWrap/>
            <w:vAlign w:val="center"/>
            <w:hideMark/>
          </w:tcPr>
          <w:p w:rsidR="00214AEE" w:rsidRPr="0018766E" w:rsidRDefault="00214AEE" w:rsidP="00C52512">
            <w:pPr>
              <w:pStyle w:val="Tabletext"/>
              <w:jc w:val="center"/>
            </w:pPr>
            <w:r>
              <w:t>Composite antenna levels</w:t>
            </w:r>
          </w:p>
        </w:tc>
        <w:tc>
          <w:tcPr>
            <w:tcW w:w="840" w:type="dxa"/>
            <w:vAlign w:val="center"/>
            <w:hideMark/>
          </w:tcPr>
          <w:p w:rsidR="00214AEE" w:rsidRPr="0018766E" w:rsidRDefault="00214AEE" w:rsidP="00C52512">
            <w:pPr>
              <w:pStyle w:val="Tabletext"/>
              <w:jc w:val="center"/>
              <w:rPr>
                <w:bCs/>
              </w:rPr>
            </w:pPr>
            <w:r w:rsidRPr="0018766E">
              <w:rPr>
                <w:bCs/>
              </w:rPr>
              <w:t>-121 to -118</w:t>
            </w:r>
          </w:p>
        </w:tc>
        <w:tc>
          <w:tcPr>
            <w:tcW w:w="840" w:type="dxa"/>
            <w:vAlign w:val="center"/>
            <w:hideMark/>
          </w:tcPr>
          <w:p w:rsidR="00214AEE" w:rsidRPr="0018766E" w:rsidRDefault="00214AEE" w:rsidP="00C52512">
            <w:pPr>
              <w:pStyle w:val="Tabletext"/>
              <w:jc w:val="center"/>
              <w:rPr>
                <w:bCs/>
              </w:rPr>
            </w:pPr>
            <w:r w:rsidRPr="0018766E">
              <w:rPr>
                <w:bCs/>
              </w:rPr>
              <w:t>-124 to -121</w:t>
            </w:r>
          </w:p>
        </w:tc>
        <w:tc>
          <w:tcPr>
            <w:tcW w:w="840" w:type="dxa"/>
            <w:vAlign w:val="center"/>
            <w:hideMark/>
          </w:tcPr>
          <w:p w:rsidR="00214AEE" w:rsidRPr="0018766E" w:rsidRDefault="00214AEE" w:rsidP="00C52512">
            <w:pPr>
              <w:pStyle w:val="Tabletext"/>
              <w:jc w:val="center"/>
              <w:rPr>
                <w:bCs/>
              </w:rPr>
            </w:pPr>
            <w:r w:rsidRPr="0018766E">
              <w:rPr>
                <w:bCs/>
              </w:rPr>
              <w:t>-127 to -124</w:t>
            </w:r>
          </w:p>
        </w:tc>
        <w:tc>
          <w:tcPr>
            <w:tcW w:w="840" w:type="dxa"/>
            <w:vAlign w:val="center"/>
            <w:hideMark/>
          </w:tcPr>
          <w:p w:rsidR="00214AEE" w:rsidRPr="0018766E" w:rsidRDefault="00214AEE" w:rsidP="00C52512">
            <w:pPr>
              <w:pStyle w:val="Tabletext"/>
              <w:jc w:val="center"/>
              <w:rPr>
                <w:bCs/>
              </w:rPr>
            </w:pPr>
            <w:r w:rsidRPr="0018766E">
              <w:rPr>
                <w:bCs/>
              </w:rPr>
              <w:t>-130 to -127</w:t>
            </w:r>
          </w:p>
        </w:tc>
        <w:tc>
          <w:tcPr>
            <w:tcW w:w="840" w:type="dxa"/>
            <w:vAlign w:val="center"/>
            <w:hideMark/>
          </w:tcPr>
          <w:p w:rsidR="00214AEE" w:rsidRPr="0018766E" w:rsidRDefault="00214AEE" w:rsidP="00C52512">
            <w:pPr>
              <w:pStyle w:val="Tabletext"/>
              <w:jc w:val="center"/>
              <w:rPr>
                <w:bCs/>
              </w:rPr>
            </w:pPr>
            <w:r w:rsidRPr="0018766E">
              <w:rPr>
                <w:bCs/>
              </w:rPr>
              <w:t>-133 to -130</w:t>
            </w:r>
          </w:p>
        </w:tc>
        <w:tc>
          <w:tcPr>
            <w:tcW w:w="840" w:type="dxa"/>
            <w:noWrap/>
            <w:vAlign w:val="center"/>
            <w:hideMark/>
          </w:tcPr>
          <w:p w:rsidR="00214AEE" w:rsidRPr="0018766E" w:rsidRDefault="00214AEE" w:rsidP="00C52512">
            <w:pPr>
              <w:pStyle w:val="Tabletext"/>
              <w:jc w:val="center"/>
              <w:rPr>
                <w:bCs/>
              </w:rPr>
            </w:pPr>
          </w:p>
        </w:tc>
      </w:tr>
      <w:tr w:rsidR="00214AEE" w:rsidRPr="00F962BA" w:rsidTr="00D81CB2">
        <w:trPr>
          <w:trHeight w:val="288"/>
          <w:jc w:val="center"/>
        </w:trPr>
        <w:tc>
          <w:tcPr>
            <w:tcW w:w="1240" w:type="dxa"/>
            <w:noWrap/>
            <w:vAlign w:val="center"/>
            <w:hideMark/>
          </w:tcPr>
          <w:p w:rsidR="00214AEE" w:rsidRPr="0018766E" w:rsidRDefault="00214AEE" w:rsidP="00C52512">
            <w:pPr>
              <w:pStyle w:val="Tabletext"/>
              <w:jc w:val="center"/>
              <w:rPr>
                <w:bCs/>
              </w:rPr>
            </w:pPr>
            <w:r w:rsidRPr="0018766E">
              <w:rPr>
                <w:bCs/>
              </w:rPr>
              <w:t xml:space="preserve">NB </w:t>
            </w:r>
            <w:r>
              <w:rPr>
                <w:bCs/>
              </w:rPr>
              <w:t xml:space="preserve">of </w:t>
            </w:r>
            <w:r w:rsidRPr="0018766E">
              <w:rPr>
                <w:bCs/>
              </w:rPr>
              <w:t>RLAN</w:t>
            </w:r>
            <w:r>
              <w:rPr>
                <w:bCs/>
              </w:rPr>
              <w:t xml:space="preserve"> (millions)</w:t>
            </w:r>
          </w:p>
        </w:tc>
        <w:tc>
          <w:tcPr>
            <w:tcW w:w="840" w:type="dxa"/>
            <w:noWrap/>
            <w:vAlign w:val="center"/>
            <w:hideMark/>
          </w:tcPr>
          <w:p w:rsidR="00214AEE" w:rsidRPr="0018766E" w:rsidRDefault="00214AEE" w:rsidP="00C52512">
            <w:pPr>
              <w:pStyle w:val="Tabletext"/>
              <w:jc w:val="center"/>
              <w:rPr>
                <w:bCs/>
              </w:rPr>
            </w:pPr>
            <w:r w:rsidRPr="0018766E">
              <w:rPr>
                <w:bCs/>
              </w:rPr>
              <w:t>1.03</w:t>
            </w:r>
          </w:p>
        </w:tc>
        <w:tc>
          <w:tcPr>
            <w:tcW w:w="840" w:type="dxa"/>
            <w:noWrap/>
            <w:vAlign w:val="center"/>
            <w:hideMark/>
          </w:tcPr>
          <w:p w:rsidR="00214AEE" w:rsidRPr="0018766E" w:rsidRDefault="00214AEE" w:rsidP="00C52512">
            <w:pPr>
              <w:pStyle w:val="Tabletext"/>
              <w:jc w:val="center"/>
              <w:rPr>
                <w:bCs/>
              </w:rPr>
            </w:pPr>
            <w:r w:rsidRPr="0018766E">
              <w:rPr>
                <w:bCs/>
              </w:rPr>
              <w:t>0.79</w:t>
            </w:r>
          </w:p>
        </w:tc>
        <w:tc>
          <w:tcPr>
            <w:tcW w:w="840" w:type="dxa"/>
            <w:noWrap/>
            <w:vAlign w:val="center"/>
            <w:hideMark/>
          </w:tcPr>
          <w:p w:rsidR="00214AEE" w:rsidRPr="0018766E" w:rsidRDefault="00214AEE" w:rsidP="00C52512">
            <w:pPr>
              <w:pStyle w:val="Tabletext"/>
              <w:jc w:val="center"/>
              <w:rPr>
                <w:bCs/>
              </w:rPr>
            </w:pPr>
            <w:r w:rsidRPr="0018766E">
              <w:rPr>
                <w:bCs/>
              </w:rPr>
              <w:t>1.13</w:t>
            </w:r>
          </w:p>
        </w:tc>
        <w:tc>
          <w:tcPr>
            <w:tcW w:w="840" w:type="dxa"/>
            <w:noWrap/>
            <w:vAlign w:val="center"/>
            <w:hideMark/>
          </w:tcPr>
          <w:p w:rsidR="00214AEE" w:rsidRPr="0018766E" w:rsidRDefault="00214AEE" w:rsidP="00C52512">
            <w:pPr>
              <w:pStyle w:val="Tabletext"/>
              <w:jc w:val="center"/>
              <w:rPr>
                <w:bCs/>
              </w:rPr>
            </w:pPr>
            <w:r w:rsidRPr="0018766E">
              <w:rPr>
                <w:bCs/>
              </w:rPr>
              <w:t>1.66</w:t>
            </w:r>
          </w:p>
        </w:tc>
        <w:tc>
          <w:tcPr>
            <w:tcW w:w="840" w:type="dxa"/>
            <w:noWrap/>
            <w:vAlign w:val="center"/>
            <w:hideMark/>
          </w:tcPr>
          <w:p w:rsidR="00214AEE" w:rsidRPr="0018766E" w:rsidRDefault="00214AEE" w:rsidP="00C52512">
            <w:pPr>
              <w:pStyle w:val="Tabletext"/>
              <w:jc w:val="center"/>
              <w:rPr>
                <w:bCs/>
              </w:rPr>
            </w:pPr>
            <w:r w:rsidRPr="0018766E">
              <w:rPr>
                <w:bCs/>
              </w:rPr>
              <w:t>1.28</w:t>
            </w:r>
          </w:p>
        </w:tc>
        <w:tc>
          <w:tcPr>
            <w:tcW w:w="840" w:type="dxa"/>
            <w:noWrap/>
            <w:vAlign w:val="center"/>
            <w:hideMark/>
          </w:tcPr>
          <w:p w:rsidR="00214AEE" w:rsidRPr="0018766E" w:rsidRDefault="00214AEE" w:rsidP="00C52512">
            <w:pPr>
              <w:pStyle w:val="Tabletext"/>
              <w:jc w:val="center"/>
              <w:rPr>
                <w:bCs/>
              </w:rPr>
            </w:pPr>
            <w:r w:rsidRPr="0018766E">
              <w:rPr>
                <w:bCs/>
              </w:rPr>
              <w:t>5.89</w:t>
            </w:r>
          </w:p>
        </w:tc>
      </w:tr>
    </w:tbl>
    <w:p w:rsidR="00214AEE" w:rsidRDefault="00214AEE" w:rsidP="00D81CB2">
      <w:r w:rsidRPr="0018766E">
        <w:t xml:space="preserve">These </w:t>
      </w:r>
      <w:r>
        <w:t>figures were based on an estimated RLAN AP density of 4.3 thousands RLAN per km² for area 1 and 2.7 thousands RLAN per km² for area 2 to 5.</w:t>
      </w:r>
    </w:p>
    <w:p w:rsidR="00214AEE" w:rsidRDefault="00214AEE" w:rsidP="00D81CB2">
      <w:r>
        <w:t>In the UK OFCOM analysis, these ratio were derived from specific zones as follows:</w:t>
      </w:r>
    </w:p>
    <w:p w:rsidR="00214AEE" w:rsidRPr="00B60368" w:rsidRDefault="00214AEE" w:rsidP="00214AEE">
      <w:pPr>
        <w:pStyle w:val="ListParagraph"/>
      </w:pPr>
      <w:r>
        <w:t xml:space="preserve"> </w:t>
      </w:r>
      <w:r>
        <w:tab/>
      </w:r>
    </w:p>
    <w:tbl>
      <w:tblPr>
        <w:tblStyle w:val="TableGrid"/>
        <w:tblW w:w="0" w:type="auto"/>
        <w:jc w:val="center"/>
        <w:tblLook w:val="04A0" w:firstRow="1" w:lastRow="0" w:firstColumn="1" w:lastColumn="0" w:noHBand="0" w:noVBand="1"/>
      </w:tblPr>
      <w:tblGrid>
        <w:gridCol w:w="1240"/>
        <w:gridCol w:w="1559"/>
        <w:gridCol w:w="1494"/>
      </w:tblGrid>
      <w:tr w:rsidR="00214AEE" w:rsidRPr="007228D2" w:rsidTr="00D81CB2">
        <w:trPr>
          <w:jc w:val="center"/>
        </w:trPr>
        <w:tc>
          <w:tcPr>
            <w:tcW w:w="1240" w:type="dxa"/>
            <w:noWrap/>
            <w:vAlign w:val="center"/>
            <w:hideMark/>
          </w:tcPr>
          <w:p w:rsidR="00214AEE" w:rsidRPr="007228D2" w:rsidRDefault="00214AEE" w:rsidP="00C52512">
            <w:pPr>
              <w:pStyle w:val="Tabletext"/>
            </w:pPr>
            <w:r>
              <w:t>Zone</w:t>
            </w:r>
          </w:p>
        </w:tc>
        <w:tc>
          <w:tcPr>
            <w:tcW w:w="1559" w:type="dxa"/>
            <w:vAlign w:val="center"/>
            <w:hideMark/>
          </w:tcPr>
          <w:p w:rsidR="00214AEE" w:rsidRPr="007228D2" w:rsidRDefault="00214AEE" w:rsidP="00C52512">
            <w:pPr>
              <w:pStyle w:val="Tabletext"/>
              <w:rPr>
                <w:bCs/>
              </w:rPr>
            </w:pPr>
            <w:r>
              <w:rPr>
                <w:bCs/>
              </w:rPr>
              <w:t>Inner London</w:t>
            </w:r>
          </w:p>
        </w:tc>
        <w:tc>
          <w:tcPr>
            <w:tcW w:w="1494" w:type="dxa"/>
            <w:vAlign w:val="center"/>
            <w:hideMark/>
          </w:tcPr>
          <w:p w:rsidR="00214AEE" w:rsidRPr="007228D2" w:rsidRDefault="00214AEE" w:rsidP="00C52512">
            <w:pPr>
              <w:pStyle w:val="Tabletext"/>
              <w:rPr>
                <w:bCs/>
              </w:rPr>
            </w:pPr>
            <w:r>
              <w:rPr>
                <w:bCs/>
              </w:rPr>
              <w:t>Lewisham</w:t>
            </w:r>
          </w:p>
        </w:tc>
      </w:tr>
      <w:tr w:rsidR="00214AEE" w:rsidRPr="007228D2" w:rsidTr="00D81CB2">
        <w:trPr>
          <w:jc w:val="center"/>
        </w:trPr>
        <w:tc>
          <w:tcPr>
            <w:tcW w:w="1240" w:type="dxa"/>
            <w:noWrap/>
            <w:vAlign w:val="center"/>
            <w:hideMark/>
          </w:tcPr>
          <w:p w:rsidR="00214AEE" w:rsidRPr="007228D2" w:rsidRDefault="00214AEE" w:rsidP="00C52512">
            <w:pPr>
              <w:pStyle w:val="Tabletext"/>
            </w:pPr>
            <w:r>
              <w:t>Population (</w:t>
            </w:r>
            <w:proofErr w:type="spellStart"/>
            <w:r>
              <w:t>inh</w:t>
            </w:r>
            <w:proofErr w:type="spellEnd"/>
            <w:r>
              <w:t>.)</w:t>
            </w:r>
          </w:p>
        </w:tc>
        <w:tc>
          <w:tcPr>
            <w:tcW w:w="1559" w:type="dxa"/>
            <w:vAlign w:val="center"/>
            <w:hideMark/>
          </w:tcPr>
          <w:p w:rsidR="00214AEE" w:rsidRPr="007228D2" w:rsidRDefault="00214AEE" w:rsidP="00C52512">
            <w:pPr>
              <w:pStyle w:val="Tabletext"/>
              <w:rPr>
                <w:bCs/>
              </w:rPr>
            </w:pPr>
            <w:r>
              <w:rPr>
                <w:bCs/>
              </w:rPr>
              <w:t>3 241 000</w:t>
            </w:r>
          </w:p>
        </w:tc>
        <w:tc>
          <w:tcPr>
            <w:tcW w:w="1494" w:type="dxa"/>
            <w:vAlign w:val="center"/>
            <w:hideMark/>
          </w:tcPr>
          <w:p w:rsidR="00214AEE" w:rsidRPr="007228D2" w:rsidRDefault="00214AEE" w:rsidP="00C52512">
            <w:pPr>
              <w:pStyle w:val="Tabletext"/>
              <w:rPr>
                <w:bCs/>
              </w:rPr>
            </w:pPr>
            <w:r>
              <w:rPr>
                <w:bCs/>
              </w:rPr>
              <w:t>276 900</w:t>
            </w:r>
          </w:p>
        </w:tc>
      </w:tr>
      <w:tr w:rsidR="00214AEE" w:rsidRPr="007228D2" w:rsidTr="00D81CB2">
        <w:trPr>
          <w:trHeight w:val="288"/>
          <w:jc w:val="center"/>
        </w:trPr>
        <w:tc>
          <w:tcPr>
            <w:tcW w:w="1240" w:type="dxa"/>
            <w:noWrap/>
            <w:vAlign w:val="center"/>
            <w:hideMark/>
          </w:tcPr>
          <w:p w:rsidR="00214AEE" w:rsidRPr="007228D2" w:rsidRDefault="00214AEE" w:rsidP="00C52512">
            <w:pPr>
              <w:pStyle w:val="Tabletext"/>
              <w:rPr>
                <w:bCs/>
              </w:rPr>
            </w:pPr>
            <w:r>
              <w:rPr>
                <w:bCs/>
              </w:rPr>
              <w:t>Area (km²)</w:t>
            </w:r>
          </w:p>
        </w:tc>
        <w:tc>
          <w:tcPr>
            <w:tcW w:w="1559" w:type="dxa"/>
            <w:noWrap/>
            <w:vAlign w:val="center"/>
            <w:hideMark/>
          </w:tcPr>
          <w:p w:rsidR="00214AEE" w:rsidRPr="007228D2" w:rsidRDefault="00214AEE" w:rsidP="00C52512">
            <w:pPr>
              <w:pStyle w:val="Tabletext"/>
              <w:rPr>
                <w:bCs/>
              </w:rPr>
            </w:pPr>
            <w:r>
              <w:rPr>
                <w:bCs/>
              </w:rPr>
              <w:t>327.9</w:t>
            </w:r>
          </w:p>
        </w:tc>
        <w:tc>
          <w:tcPr>
            <w:tcW w:w="1494" w:type="dxa"/>
            <w:noWrap/>
            <w:vAlign w:val="center"/>
            <w:hideMark/>
          </w:tcPr>
          <w:p w:rsidR="00214AEE" w:rsidRPr="007228D2" w:rsidRDefault="00214AEE" w:rsidP="00C52512">
            <w:pPr>
              <w:pStyle w:val="Tabletext"/>
              <w:rPr>
                <w:bCs/>
              </w:rPr>
            </w:pPr>
            <w:r>
              <w:rPr>
                <w:bCs/>
              </w:rPr>
              <w:t>35.1</w:t>
            </w:r>
          </w:p>
        </w:tc>
      </w:tr>
      <w:tr w:rsidR="00214AEE" w:rsidRPr="007228D2" w:rsidTr="00D81CB2">
        <w:trPr>
          <w:trHeight w:val="288"/>
          <w:jc w:val="center"/>
        </w:trPr>
        <w:tc>
          <w:tcPr>
            <w:tcW w:w="1240" w:type="dxa"/>
            <w:noWrap/>
            <w:vAlign w:val="center"/>
            <w:hideMark/>
          </w:tcPr>
          <w:p w:rsidR="00214AEE" w:rsidRPr="007228D2" w:rsidRDefault="00214AEE" w:rsidP="00C52512">
            <w:pPr>
              <w:pStyle w:val="Tabletext"/>
              <w:rPr>
                <w:bCs/>
              </w:rPr>
            </w:pPr>
            <w:r>
              <w:rPr>
                <w:bCs/>
              </w:rPr>
              <w:t>Density</w:t>
            </w:r>
            <w:r w:rsidRPr="007228D2">
              <w:rPr>
                <w:bCs/>
              </w:rPr>
              <w:t xml:space="preserve"> </w:t>
            </w:r>
            <w:r>
              <w:rPr>
                <w:bCs/>
              </w:rPr>
              <w:t xml:space="preserve">of </w:t>
            </w:r>
            <w:r w:rsidRPr="007228D2">
              <w:rPr>
                <w:bCs/>
              </w:rPr>
              <w:t>RLAN</w:t>
            </w:r>
            <w:r>
              <w:rPr>
                <w:bCs/>
              </w:rPr>
              <w:t xml:space="preserve"> / km²</w:t>
            </w:r>
          </w:p>
        </w:tc>
        <w:tc>
          <w:tcPr>
            <w:tcW w:w="1559" w:type="dxa"/>
            <w:noWrap/>
            <w:vAlign w:val="center"/>
            <w:hideMark/>
          </w:tcPr>
          <w:p w:rsidR="00214AEE" w:rsidRPr="007228D2" w:rsidRDefault="00214AEE" w:rsidP="00C52512">
            <w:pPr>
              <w:pStyle w:val="Tabletext"/>
              <w:rPr>
                <w:bCs/>
              </w:rPr>
            </w:pPr>
            <w:r>
              <w:rPr>
                <w:bCs/>
              </w:rPr>
              <w:t>4.3</w:t>
            </w:r>
          </w:p>
        </w:tc>
        <w:tc>
          <w:tcPr>
            <w:tcW w:w="1494" w:type="dxa"/>
            <w:noWrap/>
            <w:vAlign w:val="center"/>
            <w:hideMark/>
          </w:tcPr>
          <w:p w:rsidR="00214AEE" w:rsidRPr="007228D2" w:rsidRDefault="00214AEE" w:rsidP="00C52512">
            <w:pPr>
              <w:pStyle w:val="Tabletext"/>
              <w:rPr>
                <w:bCs/>
              </w:rPr>
            </w:pPr>
            <w:r>
              <w:rPr>
                <w:bCs/>
              </w:rPr>
              <w:t>2.7</w:t>
            </w:r>
          </w:p>
        </w:tc>
      </w:tr>
      <w:tr w:rsidR="00214AEE" w:rsidRPr="007228D2" w:rsidTr="00D81CB2">
        <w:trPr>
          <w:trHeight w:val="288"/>
          <w:jc w:val="center"/>
        </w:trPr>
        <w:tc>
          <w:tcPr>
            <w:tcW w:w="1240" w:type="dxa"/>
            <w:noWrap/>
            <w:vAlign w:val="center"/>
            <w:hideMark/>
          </w:tcPr>
          <w:p w:rsidR="00214AEE" w:rsidRPr="007228D2" w:rsidRDefault="00214AEE" w:rsidP="00C52512">
            <w:pPr>
              <w:pStyle w:val="Tabletext"/>
              <w:rPr>
                <w:bCs/>
              </w:rPr>
            </w:pPr>
            <w:r>
              <w:rPr>
                <w:bCs/>
              </w:rPr>
              <w:t xml:space="preserve">Total </w:t>
            </w:r>
            <w:r w:rsidRPr="007228D2">
              <w:rPr>
                <w:bCs/>
              </w:rPr>
              <w:t xml:space="preserve">NB </w:t>
            </w:r>
            <w:r>
              <w:rPr>
                <w:bCs/>
              </w:rPr>
              <w:t xml:space="preserve">of </w:t>
            </w:r>
            <w:r w:rsidRPr="007228D2">
              <w:rPr>
                <w:bCs/>
              </w:rPr>
              <w:t>RLAN</w:t>
            </w:r>
            <w:r>
              <w:rPr>
                <w:bCs/>
              </w:rPr>
              <w:t xml:space="preserve"> AP</w:t>
            </w:r>
          </w:p>
        </w:tc>
        <w:tc>
          <w:tcPr>
            <w:tcW w:w="1559" w:type="dxa"/>
            <w:noWrap/>
            <w:vAlign w:val="center"/>
            <w:hideMark/>
          </w:tcPr>
          <w:p w:rsidR="00214AEE" w:rsidRPr="007228D2" w:rsidRDefault="00214AEE" w:rsidP="00C52512">
            <w:pPr>
              <w:pStyle w:val="Tabletext"/>
              <w:rPr>
                <w:bCs/>
              </w:rPr>
            </w:pPr>
            <w:r>
              <w:rPr>
                <w:bCs/>
              </w:rPr>
              <w:t>1 396 900</w:t>
            </w:r>
          </w:p>
        </w:tc>
        <w:tc>
          <w:tcPr>
            <w:tcW w:w="1494" w:type="dxa"/>
            <w:noWrap/>
            <w:vAlign w:val="center"/>
            <w:hideMark/>
          </w:tcPr>
          <w:p w:rsidR="00214AEE" w:rsidRPr="007228D2" w:rsidRDefault="00214AEE" w:rsidP="00C52512">
            <w:pPr>
              <w:pStyle w:val="Tabletext"/>
              <w:rPr>
                <w:bCs/>
              </w:rPr>
            </w:pPr>
            <w:r>
              <w:rPr>
                <w:bCs/>
              </w:rPr>
              <w:t>95 900</w:t>
            </w:r>
          </w:p>
        </w:tc>
      </w:tr>
    </w:tbl>
    <w:p w:rsidR="00214AEE" w:rsidRDefault="00214AEE" w:rsidP="00214AEE">
      <w:pPr>
        <w:pStyle w:val="ListParagraph"/>
      </w:pPr>
    </w:p>
    <w:p w:rsidR="00214AEE" w:rsidRDefault="00214AEE" w:rsidP="00D81CB2">
      <w:r>
        <w:t>This hence further allows to determine a density of RLAN AP per inhabitant.</w:t>
      </w:r>
    </w:p>
    <w:p w:rsidR="00214AEE" w:rsidRDefault="00214AEE" w:rsidP="00D81CB2"/>
    <w:tbl>
      <w:tblPr>
        <w:tblStyle w:val="TableGrid"/>
        <w:tblW w:w="0" w:type="auto"/>
        <w:jc w:val="center"/>
        <w:tblLook w:val="04A0" w:firstRow="1" w:lastRow="0" w:firstColumn="1" w:lastColumn="0" w:noHBand="0" w:noVBand="1"/>
      </w:tblPr>
      <w:tblGrid>
        <w:gridCol w:w="1240"/>
        <w:gridCol w:w="1559"/>
        <w:gridCol w:w="1494"/>
      </w:tblGrid>
      <w:tr w:rsidR="00214AEE" w:rsidRPr="007228D2" w:rsidTr="00D81CB2">
        <w:trPr>
          <w:jc w:val="center"/>
        </w:trPr>
        <w:tc>
          <w:tcPr>
            <w:tcW w:w="1240" w:type="dxa"/>
            <w:noWrap/>
            <w:vAlign w:val="center"/>
            <w:hideMark/>
          </w:tcPr>
          <w:p w:rsidR="00214AEE" w:rsidRPr="007228D2" w:rsidRDefault="00214AEE" w:rsidP="00C52512">
            <w:pPr>
              <w:pStyle w:val="Tabletext"/>
            </w:pPr>
            <w:r>
              <w:t>Zone</w:t>
            </w:r>
          </w:p>
        </w:tc>
        <w:tc>
          <w:tcPr>
            <w:tcW w:w="1559" w:type="dxa"/>
            <w:vAlign w:val="center"/>
            <w:hideMark/>
          </w:tcPr>
          <w:p w:rsidR="00214AEE" w:rsidRPr="007228D2" w:rsidRDefault="00214AEE" w:rsidP="00C52512">
            <w:pPr>
              <w:pStyle w:val="Tabletext"/>
              <w:rPr>
                <w:bCs/>
              </w:rPr>
            </w:pPr>
            <w:r>
              <w:rPr>
                <w:bCs/>
              </w:rPr>
              <w:t>Inner London</w:t>
            </w:r>
          </w:p>
        </w:tc>
        <w:tc>
          <w:tcPr>
            <w:tcW w:w="1494" w:type="dxa"/>
            <w:vAlign w:val="center"/>
            <w:hideMark/>
          </w:tcPr>
          <w:p w:rsidR="00214AEE" w:rsidRPr="007228D2" w:rsidRDefault="00214AEE" w:rsidP="00C52512">
            <w:pPr>
              <w:pStyle w:val="Tabletext"/>
              <w:rPr>
                <w:bCs/>
              </w:rPr>
            </w:pPr>
            <w:r>
              <w:rPr>
                <w:bCs/>
              </w:rPr>
              <w:t>Lewisham</w:t>
            </w:r>
          </w:p>
        </w:tc>
      </w:tr>
      <w:tr w:rsidR="00214AEE" w:rsidRPr="007228D2" w:rsidTr="00D81CB2">
        <w:trPr>
          <w:jc w:val="center"/>
        </w:trPr>
        <w:tc>
          <w:tcPr>
            <w:tcW w:w="1240" w:type="dxa"/>
            <w:noWrap/>
            <w:vAlign w:val="center"/>
            <w:hideMark/>
          </w:tcPr>
          <w:p w:rsidR="00214AEE" w:rsidRPr="007228D2" w:rsidRDefault="00214AEE" w:rsidP="00C52512">
            <w:pPr>
              <w:pStyle w:val="Tabletext"/>
            </w:pPr>
            <w:r>
              <w:t xml:space="preserve">RLAN AP density / </w:t>
            </w:r>
            <w:proofErr w:type="spellStart"/>
            <w:r>
              <w:t>inh</w:t>
            </w:r>
            <w:proofErr w:type="spellEnd"/>
            <w:r>
              <w:t>.</w:t>
            </w:r>
          </w:p>
        </w:tc>
        <w:tc>
          <w:tcPr>
            <w:tcW w:w="1559" w:type="dxa"/>
            <w:vAlign w:val="center"/>
            <w:hideMark/>
          </w:tcPr>
          <w:p w:rsidR="00214AEE" w:rsidRPr="007228D2" w:rsidRDefault="00214AEE" w:rsidP="00C52512">
            <w:pPr>
              <w:pStyle w:val="Tabletext"/>
              <w:rPr>
                <w:bCs/>
              </w:rPr>
            </w:pPr>
            <w:r>
              <w:rPr>
                <w:bCs/>
              </w:rPr>
              <w:t>0.431</w:t>
            </w:r>
          </w:p>
        </w:tc>
        <w:tc>
          <w:tcPr>
            <w:tcW w:w="1494" w:type="dxa"/>
            <w:vAlign w:val="center"/>
            <w:hideMark/>
          </w:tcPr>
          <w:p w:rsidR="00214AEE" w:rsidRPr="007228D2" w:rsidRDefault="00214AEE" w:rsidP="00C52512">
            <w:pPr>
              <w:pStyle w:val="Tabletext"/>
              <w:rPr>
                <w:bCs/>
              </w:rPr>
            </w:pPr>
            <w:r>
              <w:rPr>
                <w:bCs/>
              </w:rPr>
              <w:t>0.346</w:t>
            </w:r>
          </w:p>
        </w:tc>
      </w:tr>
    </w:tbl>
    <w:p w:rsidR="00214AEE" w:rsidRDefault="00214AEE" w:rsidP="00214AEE">
      <w:pPr>
        <w:pStyle w:val="ListParagraph"/>
      </w:pPr>
    </w:p>
    <w:p w:rsidR="00214AEE" w:rsidRDefault="00214AEE" w:rsidP="00D81CB2">
      <w:r>
        <w:t xml:space="preserve">As a comparison, the following table provides the number of inhabitants </w:t>
      </w:r>
      <w:r w:rsidRPr="00C11421">
        <w:t>(source : European Commission GEOSTAT grid)</w:t>
      </w:r>
      <w:r>
        <w:t xml:space="preserve"> for each of the contour zone considered by UK OFCOM for the “central London” scenario (</w:t>
      </w:r>
      <w:proofErr w:type="spellStart"/>
      <w:r>
        <w:t>centered</w:t>
      </w:r>
      <w:proofErr w:type="spellEnd"/>
      <w:r>
        <w:t xml:space="preserve"> on Soho) in order to determine the corresponding density of RLAN AP per inhabitant.</w:t>
      </w:r>
    </w:p>
    <w:p w:rsidR="00214AEE" w:rsidRDefault="00214AEE" w:rsidP="00214AEE">
      <w:pPr>
        <w:pStyle w:val="ListParagraph"/>
      </w:pPr>
    </w:p>
    <w:tbl>
      <w:tblPr>
        <w:tblStyle w:val="TableGrid"/>
        <w:tblW w:w="0" w:type="auto"/>
        <w:jc w:val="center"/>
        <w:tblLook w:val="04A0" w:firstRow="1" w:lastRow="0" w:firstColumn="1" w:lastColumn="0" w:noHBand="0" w:noVBand="1"/>
      </w:tblPr>
      <w:tblGrid>
        <w:gridCol w:w="1387"/>
        <w:gridCol w:w="840"/>
        <w:gridCol w:w="840"/>
        <w:gridCol w:w="840"/>
        <w:gridCol w:w="840"/>
        <w:gridCol w:w="840"/>
        <w:gridCol w:w="872"/>
      </w:tblGrid>
      <w:tr w:rsidR="00214AEE" w:rsidRPr="007228D2" w:rsidTr="00C52512">
        <w:trPr>
          <w:jc w:val="center"/>
        </w:trPr>
        <w:tc>
          <w:tcPr>
            <w:tcW w:w="1387" w:type="dxa"/>
            <w:noWrap/>
            <w:vAlign w:val="center"/>
            <w:hideMark/>
          </w:tcPr>
          <w:p w:rsidR="00214AEE" w:rsidRPr="007228D2" w:rsidRDefault="00214AEE" w:rsidP="00C52512">
            <w:pPr>
              <w:pStyle w:val="Tabletext"/>
            </w:pPr>
            <w:r>
              <w:t>Contour</w:t>
            </w:r>
          </w:p>
        </w:tc>
        <w:tc>
          <w:tcPr>
            <w:tcW w:w="840" w:type="dxa"/>
            <w:vAlign w:val="center"/>
            <w:hideMark/>
          </w:tcPr>
          <w:p w:rsidR="00214AEE" w:rsidRPr="007228D2" w:rsidRDefault="00214AEE" w:rsidP="00C52512">
            <w:pPr>
              <w:pStyle w:val="Tabletext"/>
              <w:rPr>
                <w:bCs/>
              </w:rPr>
            </w:pPr>
            <w:r>
              <w:rPr>
                <w:bCs/>
              </w:rPr>
              <w:t>1</w:t>
            </w:r>
          </w:p>
        </w:tc>
        <w:tc>
          <w:tcPr>
            <w:tcW w:w="840" w:type="dxa"/>
            <w:vAlign w:val="center"/>
            <w:hideMark/>
          </w:tcPr>
          <w:p w:rsidR="00214AEE" w:rsidRPr="007228D2" w:rsidRDefault="00214AEE" w:rsidP="00C52512">
            <w:pPr>
              <w:pStyle w:val="Tabletext"/>
              <w:rPr>
                <w:bCs/>
              </w:rPr>
            </w:pPr>
            <w:r>
              <w:rPr>
                <w:bCs/>
              </w:rPr>
              <w:t>2</w:t>
            </w:r>
          </w:p>
        </w:tc>
        <w:tc>
          <w:tcPr>
            <w:tcW w:w="840" w:type="dxa"/>
            <w:vAlign w:val="center"/>
            <w:hideMark/>
          </w:tcPr>
          <w:p w:rsidR="00214AEE" w:rsidRPr="007228D2" w:rsidRDefault="00214AEE" w:rsidP="00C52512">
            <w:pPr>
              <w:pStyle w:val="Tabletext"/>
              <w:rPr>
                <w:bCs/>
              </w:rPr>
            </w:pPr>
            <w:r>
              <w:rPr>
                <w:bCs/>
              </w:rPr>
              <w:t>3</w:t>
            </w:r>
          </w:p>
        </w:tc>
        <w:tc>
          <w:tcPr>
            <w:tcW w:w="840" w:type="dxa"/>
            <w:vAlign w:val="center"/>
            <w:hideMark/>
          </w:tcPr>
          <w:p w:rsidR="00214AEE" w:rsidRPr="007228D2" w:rsidRDefault="00214AEE" w:rsidP="00C52512">
            <w:pPr>
              <w:pStyle w:val="Tabletext"/>
              <w:rPr>
                <w:bCs/>
              </w:rPr>
            </w:pPr>
            <w:r>
              <w:rPr>
                <w:bCs/>
              </w:rPr>
              <w:t>4</w:t>
            </w:r>
          </w:p>
        </w:tc>
        <w:tc>
          <w:tcPr>
            <w:tcW w:w="840" w:type="dxa"/>
            <w:vAlign w:val="center"/>
            <w:hideMark/>
          </w:tcPr>
          <w:p w:rsidR="00214AEE" w:rsidRPr="007228D2" w:rsidRDefault="00214AEE" w:rsidP="00C52512">
            <w:pPr>
              <w:pStyle w:val="Tabletext"/>
              <w:rPr>
                <w:bCs/>
              </w:rPr>
            </w:pPr>
            <w:r>
              <w:rPr>
                <w:bCs/>
              </w:rPr>
              <w:t>5</w:t>
            </w:r>
          </w:p>
        </w:tc>
        <w:tc>
          <w:tcPr>
            <w:tcW w:w="872" w:type="dxa"/>
            <w:noWrap/>
            <w:vAlign w:val="center"/>
            <w:hideMark/>
          </w:tcPr>
          <w:p w:rsidR="00214AEE" w:rsidRPr="007228D2" w:rsidRDefault="00214AEE" w:rsidP="00C52512">
            <w:pPr>
              <w:pStyle w:val="Tabletext"/>
              <w:rPr>
                <w:bCs/>
              </w:rPr>
            </w:pPr>
            <w:r w:rsidRPr="007228D2">
              <w:rPr>
                <w:bCs/>
              </w:rPr>
              <w:t>TOTAL</w:t>
            </w:r>
          </w:p>
        </w:tc>
      </w:tr>
      <w:tr w:rsidR="00214AEE" w:rsidRPr="007228D2" w:rsidTr="00C52512">
        <w:trPr>
          <w:jc w:val="center"/>
        </w:trPr>
        <w:tc>
          <w:tcPr>
            <w:tcW w:w="1387" w:type="dxa"/>
            <w:noWrap/>
            <w:vAlign w:val="center"/>
            <w:hideMark/>
          </w:tcPr>
          <w:p w:rsidR="00214AEE" w:rsidRPr="007228D2" w:rsidRDefault="00214AEE" w:rsidP="00C52512">
            <w:pPr>
              <w:pStyle w:val="Tabletext"/>
            </w:pPr>
            <w:r>
              <w:t>Inhabitants (thousands)</w:t>
            </w:r>
          </w:p>
        </w:tc>
        <w:tc>
          <w:tcPr>
            <w:tcW w:w="840" w:type="dxa"/>
            <w:vAlign w:val="center"/>
          </w:tcPr>
          <w:p w:rsidR="00214AEE" w:rsidRPr="00E658F3" w:rsidRDefault="00214AEE" w:rsidP="00C52512">
            <w:pPr>
              <w:pStyle w:val="Tabletext"/>
              <w:rPr>
                <w:bCs/>
              </w:rPr>
            </w:pPr>
            <w:r w:rsidRPr="00E658F3">
              <w:rPr>
                <w:bCs/>
              </w:rPr>
              <w:t>1871</w:t>
            </w:r>
          </w:p>
        </w:tc>
        <w:tc>
          <w:tcPr>
            <w:tcW w:w="840" w:type="dxa"/>
            <w:vAlign w:val="center"/>
          </w:tcPr>
          <w:p w:rsidR="00214AEE" w:rsidRPr="00E658F3" w:rsidRDefault="00214AEE" w:rsidP="00C52512">
            <w:pPr>
              <w:pStyle w:val="Tabletext"/>
              <w:rPr>
                <w:bCs/>
              </w:rPr>
            </w:pPr>
            <w:r w:rsidRPr="00E658F3">
              <w:rPr>
                <w:bCs/>
              </w:rPr>
              <w:t>1815</w:t>
            </w:r>
          </w:p>
        </w:tc>
        <w:tc>
          <w:tcPr>
            <w:tcW w:w="840" w:type="dxa"/>
            <w:vAlign w:val="center"/>
          </w:tcPr>
          <w:p w:rsidR="00214AEE" w:rsidRPr="00E658F3" w:rsidRDefault="00214AEE" w:rsidP="00C52512">
            <w:pPr>
              <w:pStyle w:val="Tabletext"/>
              <w:rPr>
                <w:bCs/>
              </w:rPr>
            </w:pPr>
            <w:r w:rsidRPr="00E658F3">
              <w:rPr>
                <w:bCs/>
              </w:rPr>
              <w:t>2365</w:t>
            </w:r>
          </w:p>
        </w:tc>
        <w:tc>
          <w:tcPr>
            <w:tcW w:w="840" w:type="dxa"/>
            <w:vAlign w:val="center"/>
          </w:tcPr>
          <w:p w:rsidR="00214AEE" w:rsidRPr="00E658F3" w:rsidRDefault="00214AEE" w:rsidP="00C52512">
            <w:pPr>
              <w:pStyle w:val="Tabletext"/>
              <w:rPr>
                <w:bCs/>
              </w:rPr>
            </w:pPr>
            <w:r w:rsidRPr="00E658F3">
              <w:rPr>
                <w:bCs/>
              </w:rPr>
              <w:t>2968</w:t>
            </w:r>
          </w:p>
        </w:tc>
        <w:tc>
          <w:tcPr>
            <w:tcW w:w="840" w:type="dxa"/>
            <w:vAlign w:val="center"/>
          </w:tcPr>
          <w:p w:rsidR="00214AEE" w:rsidRPr="00E658F3" w:rsidRDefault="00214AEE" w:rsidP="00C52512">
            <w:pPr>
              <w:pStyle w:val="Tabletext"/>
              <w:rPr>
                <w:bCs/>
              </w:rPr>
            </w:pPr>
            <w:r w:rsidRPr="00E658F3">
              <w:rPr>
                <w:bCs/>
              </w:rPr>
              <w:t>1775</w:t>
            </w:r>
          </w:p>
        </w:tc>
        <w:tc>
          <w:tcPr>
            <w:tcW w:w="872" w:type="dxa"/>
            <w:noWrap/>
            <w:vAlign w:val="center"/>
            <w:hideMark/>
          </w:tcPr>
          <w:p w:rsidR="00214AEE" w:rsidRPr="00E658F3" w:rsidRDefault="00214AEE" w:rsidP="00C52512">
            <w:pPr>
              <w:pStyle w:val="Tabletext"/>
              <w:rPr>
                <w:bCs/>
              </w:rPr>
            </w:pPr>
            <w:r w:rsidRPr="00E658F3">
              <w:rPr>
                <w:bCs/>
              </w:rPr>
              <w:t>10794</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Pr>
                <w:bCs/>
              </w:rPr>
              <w:t>Area (km²)</w:t>
            </w:r>
          </w:p>
        </w:tc>
        <w:tc>
          <w:tcPr>
            <w:tcW w:w="840" w:type="dxa"/>
            <w:noWrap/>
            <w:vAlign w:val="center"/>
          </w:tcPr>
          <w:p w:rsidR="00214AEE" w:rsidRPr="00E658F3" w:rsidRDefault="00214AEE" w:rsidP="00C52512">
            <w:pPr>
              <w:pStyle w:val="Tabletext"/>
              <w:rPr>
                <w:bCs/>
              </w:rPr>
            </w:pPr>
            <w:r w:rsidRPr="00E658F3">
              <w:rPr>
                <w:bCs/>
              </w:rPr>
              <w:t>270</w:t>
            </w:r>
          </w:p>
        </w:tc>
        <w:tc>
          <w:tcPr>
            <w:tcW w:w="840" w:type="dxa"/>
            <w:noWrap/>
            <w:vAlign w:val="center"/>
          </w:tcPr>
          <w:p w:rsidR="00214AEE" w:rsidRPr="00E658F3" w:rsidRDefault="00214AEE" w:rsidP="00C52512">
            <w:pPr>
              <w:pStyle w:val="Tabletext"/>
              <w:rPr>
                <w:bCs/>
              </w:rPr>
            </w:pPr>
            <w:r w:rsidRPr="00E658F3">
              <w:rPr>
                <w:bCs/>
              </w:rPr>
              <w:t>464</w:t>
            </w:r>
          </w:p>
        </w:tc>
        <w:tc>
          <w:tcPr>
            <w:tcW w:w="840" w:type="dxa"/>
            <w:noWrap/>
            <w:vAlign w:val="center"/>
          </w:tcPr>
          <w:p w:rsidR="00214AEE" w:rsidRPr="00E658F3" w:rsidRDefault="00214AEE" w:rsidP="00C52512">
            <w:pPr>
              <w:pStyle w:val="Tabletext"/>
              <w:rPr>
                <w:bCs/>
              </w:rPr>
            </w:pPr>
            <w:r w:rsidRPr="00E658F3">
              <w:rPr>
                <w:bCs/>
              </w:rPr>
              <w:t>915</w:t>
            </w:r>
          </w:p>
        </w:tc>
        <w:tc>
          <w:tcPr>
            <w:tcW w:w="840" w:type="dxa"/>
            <w:noWrap/>
            <w:vAlign w:val="center"/>
          </w:tcPr>
          <w:p w:rsidR="00214AEE" w:rsidRPr="00E658F3" w:rsidRDefault="00214AEE" w:rsidP="00C52512">
            <w:pPr>
              <w:pStyle w:val="Tabletext"/>
              <w:rPr>
                <w:bCs/>
              </w:rPr>
            </w:pPr>
            <w:r w:rsidRPr="00E658F3">
              <w:rPr>
                <w:bCs/>
              </w:rPr>
              <w:t>1793</w:t>
            </w:r>
          </w:p>
        </w:tc>
        <w:tc>
          <w:tcPr>
            <w:tcW w:w="840" w:type="dxa"/>
            <w:noWrap/>
            <w:vAlign w:val="center"/>
          </w:tcPr>
          <w:p w:rsidR="00214AEE" w:rsidRPr="00E658F3" w:rsidRDefault="00214AEE" w:rsidP="00C52512">
            <w:pPr>
              <w:pStyle w:val="Tabletext"/>
              <w:rPr>
                <w:bCs/>
              </w:rPr>
            </w:pPr>
            <w:r w:rsidRPr="00E658F3">
              <w:rPr>
                <w:bCs/>
              </w:rPr>
              <w:t>3163</w:t>
            </w:r>
          </w:p>
        </w:tc>
        <w:tc>
          <w:tcPr>
            <w:tcW w:w="872" w:type="dxa"/>
            <w:noWrap/>
            <w:vAlign w:val="center"/>
          </w:tcPr>
          <w:p w:rsidR="00214AEE" w:rsidRPr="00E658F3" w:rsidRDefault="00214AEE" w:rsidP="00C52512">
            <w:pPr>
              <w:pStyle w:val="Tabletext"/>
              <w:rPr>
                <w:bCs/>
              </w:rPr>
            </w:pPr>
            <w:r w:rsidRPr="00E658F3">
              <w:rPr>
                <w:bCs/>
              </w:rPr>
              <w:t>6605</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sidRPr="007228D2">
              <w:rPr>
                <w:bCs/>
              </w:rPr>
              <w:t xml:space="preserve">NB </w:t>
            </w:r>
            <w:r>
              <w:rPr>
                <w:bCs/>
              </w:rPr>
              <w:t xml:space="preserve">of </w:t>
            </w:r>
            <w:r w:rsidRPr="007228D2">
              <w:rPr>
                <w:bCs/>
              </w:rPr>
              <w:t>RLAN</w:t>
            </w:r>
            <w:r>
              <w:rPr>
                <w:bCs/>
              </w:rPr>
              <w:t xml:space="preserve"> (millions)</w:t>
            </w:r>
          </w:p>
        </w:tc>
        <w:tc>
          <w:tcPr>
            <w:tcW w:w="840" w:type="dxa"/>
            <w:noWrap/>
            <w:vAlign w:val="center"/>
            <w:hideMark/>
          </w:tcPr>
          <w:p w:rsidR="00214AEE" w:rsidRPr="00E658F3" w:rsidRDefault="00214AEE" w:rsidP="00C52512">
            <w:pPr>
              <w:pStyle w:val="Tabletext"/>
              <w:rPr>
                <w:bCs/>
              </w:rPr>
            </w:pPr>
            <w:r w:rsidRPr="00E658F3">
              <w:rPr>
                <w:bCs/>
              </w:rPr>
              <w:t>1.03</w:t>
            </w:r>
          </w:p>
        </w:tc>
        <w:tc>
          <w:tcPr>
            <w:tcW w:w="840" w:type="dxa"/>
            <w:noWrap/>
            <w:vAlign w:val="center"/>
            <w:hideMark/>
          </w:tcPr>
          <w:p w:rsidR="00214AEE" w:rsidRPr="00E658F3" w:rsidRDefault="00214AEE" w:rsidP="00C52512">
            <w:pPr>
              <w:pStyle w:val="Tabletext"/>
              <w:rPr>
                <w:bCs/>
              </w:rPr>
            </w:pPr>
            <w:r w:rsidRPr="00E658F3">
              <w:rPr>
                <w:bCs/>
              </w:rPr>
              <w:t>0.79</w:t>
            </w:r>
          </w:p>
        </w:tc>
        <w:tc>
          <w:tcPr>
            <w:tcW w:w="840" w:type="dxa"/>
            <w:noWrap/>
            <w:vAlign w:val="center"/>
            <w:hideMark/>
          </w:tcPr>
          <w:p w:rsidR="00214AEE" w:rsidRPr="00E658F3" w:rsidRDefault="00214AEE" w:rsidP="00C52512">
            <w:pPr>
              <w:pStyle w:val="Tabletext"/>
              <w:rPr>
                <w:bCs/>
              </w:rPr>
            </w:pPr>
            <w:r w:rsidRPr="00E658F3">
              <w:rPr>
                <w:bCs/>
              </w:rPr>
              <w:t>1.13</w:t>
            </w:r>
          </w:p>
        </w:tc>
        <w:tc>
          <w:tcPr>
            <w:tcW w:w="840" w:type="dxa"/>
            <w:noWrap/>
            <w:vAlign w:val="center"/>
            <w:hideMark/>
          </w:tcPr>
          <w:p w:rsidR="00214AEE" w:rsidRPr="00E658F3" w:rsidRDefault="00214AEE" w:rsidP="00C52512">
            <w:pPr>
              <w:pStyle w:val="Tabletext"/>
              <w:rPr>
                <w:bCs/>
              </w:rPr>
            </w:pPr>
            <w:r w:rsidRPr="00E658F3">
              <w:rPr>
                <w:bCs/>
              </w:rPr>
              <w:t>1.66</w:t>
            </w:r>
          </w:p>
        </w:tc>
        <w:tc>
          <w:tcPr>
            <w:tcW w:w="840" w:type="dxa"/>
            <w:noWrap/>
            <w:vAlign w:val="center"/>
            <w:hideMark/>
          </w:tcPr>
          <w:p w:rsidR="00214AEE" w:rsidRPr="00E658F3" w:rsidRDefault="00214AEE" w:rsidP="00C52512">
            <w:pPr>
              <w:pStyle w:val="Tabletext"/>
              <w:rPr>
                <w:bCs/>
              </w:rPr>
            </w:pPr>
            <w:r w:rsidRPr="00E658F3">
              <w:rPr>
                <w:bCs/>
              </w:rPr>
              <w:t>1.28</w:t>
            </w:r>
          </w:p>
        </w:tc>
        <w:tc>
          <w:tcPr>
            <w:tcW w:w="872" w:type="dxa"/>
            <w:noWrap/>
            <w:vAlign w:val="center"/>
            <w:hideMark/>
          </w:tcPr>
          <w:p w:rsidR="00214AEE" w:rsidRPr="00E658F3" w:rsidRDefault="00214AEE" w:rsidP="00C52512">
            <w:pPr>
              <w:pStyle w:val="Tabletext"/>
              <w:rPr>
                <w:bCs/>
              </w:rPr>
            </w:pPr>
            <w:r w:rsidRPr="00E658F3">
              <w:rPr>
                <w:bCs/>
              </w:rPr>
              <w:t>5.89</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t xml:space="preserve">RLAN AP density / </w:t>
            </w:r>
            <w:proofErr w:type="spellStart"/>
            <w:r>
              <w:t>inh</w:t>
            </w:r>
            <w:proofErr w:type="spellEnd"/>
            <w:r>
              <w:t>.</w:t>
            </w:r>
          </w:p>
        </w:tc>
        <w:tc>
          <w:tcPr>
            <w:tcW w:w="840" w:type="dxa"/>
            <w:noWrap/>
            <w:vAlign w:val="center"/>
          </w:tcPr>
          <w:p w:rsidR="00214AEE" w:rsidRPr="00AC0E4D" w:rsidRDefault="00214AEE" w:rsidP="00C52512">
            <w:pPr>
              <w:pStyle w:val="Tabletext"/>
              <w:rPr>
                <w:bCs/>
              </w:rPr>
            </w:pPr>
            <w:r w:rsidRPr="0018766E">
              <w:rPr>
                <w:color w:val="000000"/>
              </w:rPr>
              <w:t>0.551</w:t>
            </w:r>
          </w:p>
        </w:tc>
        <w:tc>
          <w:tcPr>
            <w:tcW w:w="840" w:type="dxa"/>
            <w:noWrap/>
            <w:vAlign w:val="center"/>
          </w:tcPr>
          <w:p w:rsidR="00214AEE" w:rsidRPr="00AC0E4D" w:rsidRDefault="00214AEE" w:rsidP="00C52512">
            <w:pPr>
              <w:pStyle w:val="Tabletext"/>
              <w:rPr>
                <w:bCs/>
              </w:rPr>
            </w:pPr>
            <w:r w:rsidRPr="0018766E">
              <w:rPr>
                <w:color w:val="000000"/>
              </w:rPr>
              <w:t>0.435</w:t>
            </w:r>
          </w:p>
        </w:tc>
        <w:tc>
          <w:tcPr>
            <w:tcW w:w="840" w:type="dxa"/>
            <w:noWrap/>
            <w:vAlign w:val="center"/>
          </w:tcPr>
          <w:p w:rsidR="00214AEE" w:rsidRPr="00AC0E4D" w:rsidRDefault="00214AEE" w:rsidP="00C52512">
            <w:pPr>
              <w:pStyle w:val="Tabletext"/>
              <w:rPr>
                <w:bCs/>
              </w:rPr>
            </w:pPr>
            <w:r w:rsidRPr="0018766E">
              <w:rPr>
                <w:color w:val="000000"/>
              </w:rPr>
              <w:t>0.478</w:t>
            </w:r>
          </w:p>
        </w:tc>
        <w:tc>
          <w:tcPr>
            <w:tcW w:w="840" w:type="dxa"/>
            <w:noWrap/>
            <w:vAlign w:val="center"/>
          </w:tcPr>
          <w:p w:rsidR="00214AEE" w:rsidRPr="00AC0E4D" w:rsidRDefault="00214AEE" w:rsidP="00C52512">
            <w:pPr>
              <w:pStyle w:val="Tabletext"/>
              <w:rPr>
                <w:bCs/>
              </w:rPr>
            </w:pPr>
            <w:r w:rsidRPr="0018766E">
              <w:rPr>
                <w:color w:val="000000"/>
              </w:rPr>
              <w:t>0.559</w:t>
            </w:r>
          </w:p>
        </w:tc>
        <w:tc>
          <w:tcPr>
            <w:tcW w:w="840" w:type="dxa"/>
            <w:noWrap/>
            <w:vAlign w:val="center"/>
          </w:tcPr>
          <w:p w:rsidR="00214AEE" w:rsidRPr="00AC0E4D" w:rsidRDefault="00214AEE" w:rsidP="00C52512">
            <w:pPr>
              <w:pStyle w:val="Tabletext"/>
              <w:rPr>
                <w:bCs/>
              </w:rPr>
            </w:pPr>
            <w:r w:rsidRPr="0018766E">
              <w:rPr>
                <w:color w:val="000000"/>
              </w:rPr>
              <w:t>0.721</w:t>
            </w:r>
          </w:p>
        </w:tc>
        <w:tc>
          <w:tcPr>
            <w:tcW w:w="872" w:type="dxa"/>
            <w:noWrap/>
            <w:vAlign w:val="center"/>
          </w:tcPr>
          <w:p w:rsidR="00214AEE" w:rsidRPr="00AC0E4D" w:rsidRDefault="00214AEE" w:rsidP="00C52512">
            <w:pPr>
              <w:pStyle w:val="Tabletext"/>
              <w:rPr>
                <w:bCs/>
              </w:rPr>
            </w:pPr>
            <w:r w:rsidRPr="0018766E">
              <w:rPr>
                <w:color w:val="000000"/>
              </w:rPr>
              <w:t>0.546</w:t>
            </w:r>
          </w:p>
        </w:tc>
      </w:tr>
    </w:tbl>
    <w:p w:rsidR="00214AEE" w:rsidRDefault="00214AEE" w:rsidP="00214AEE">
      <w:pPr>
        <w:pStyle w:val="ListParagraph"/>
      </w:pPr>
    </w:p>
    <w:p w:rsidR="00214AEE" w:rsidRDefault="00214AEE" w:rsidP="00D81CB2">
      <w:r>
        <w:t>It can be seen that the density of RLAN AP per inhabitant, either globally or on a contour zone basis, is much higher compared to the one determined by UK OFCOM and has an impact on the measurement analysis.</w:t>
      </w:r>
    </w:p>
    <w:p w:rsidR="00214AEE" w:rsidRDefault="00214AEE" w:rsidP="00D81CB2">
      <w:r>
        <w:t xml:space="preserve">As an example, when using the maximum density of RLAN AP determined by UK OFCOM (i.e. 0.431 for urban area), the following table provides the number of RLAN that should be used in the analysis and the corresponding difference in </w:t>
      </w:r>
      <w:proofErr w:type="spellStart"/>
      <w:r>
        <w:t>dB.</w:t>
      </w:r>
      <w:proofErr w:type="spellEnd"/>
    </w:p>
    <w:p w:rsidR="00214AEE" w:rsidRDefault="00214AEE" w:rsidP="00214AEE">
      <w:pPr>
        <w:pStyle w:val="ListParagraph"/>
      </w:pPr>
    </w:p>
    <w:tbl>
      <w:tblPr>
        <w:tblStyle w:val="TableGrid"/>
        <w:tblW w:w="0" w:type="auto"/>
        <w:jc w:val="center"/>
        <w:tblLook w:val="04A0" w:firstRow="1" w:lastRow="0" w:firstColumn="1" w:lastColumn="0" w:noHBand="0" w:noVBand="1"/>
      </w:tblPr>
      <w:tblGrid>
        <w:gridCol w:w="1387"/>
        <w:gridCol w:w="840"/>
        <w:gridCol w:w="840"/>
        <w:gridCol w:w="840"/>
        <w:gridCol w:w="840"/>
        <w:gridCol w:w="840"/>
        <w:gridCol w:w="872"/>
      </w:tblGrid>
      <w:tr w:rsidR="00214AEE" w:rsidRPr="007228D2" w:rsidTr="00C52512">
        <w:trPr>
          <w:jc w:val="center"/>
        </w:trPr>
        <w:tc>
          <w:tcPr>
            <w:tcW w:w="1387" w:type="dxa"/>
            <w:noWrap/>
            <w:vAlign w:val="center"/>
            <w:hideMark/>
          </w:tcPr>
          <w:p w:rsidR="00214AEE" w:rsidRPr="007228D2" w:rsidRDefault="00214AEE" w:rsidP="00C52512">
            <w:pPr>
              <w:pStyle w:val="Tabletext"/>
            </w:pPr>
            <w:r>
              <w:t>Contour</w:t>
            </w:r>
          </w:p>
        </w:tc>
        <w:tc>
          <w:tcPr>
            <w:tcW w:w="840" w:type="dxa"/>
            <w:vAlign w:val="center"/>
            <w:hideMark/>
          </w:tcPr>
          <w:p w:rsidR="00214AEE" w:rsidRPr="007228D2" w:rsidRDefault="00214AEE" w:rsidP="00C52512">
            <w:pPr>
              <w:pStyle w:val="Tabletext"/>
              <w:rPr>
                <w:bCs/>
              </w:rPr>
            </w:pPr>
            <w:r>
              <w:rPr>
                <w:bCs/>
              </w:rPr>
              <w:t>1</w:t>
            </w:r>
          </w:p>
        </w:tc>
        <w:tc>
          <w:tcPr>
            <w:tcW w:w="840" w:type="dxa"/>
            <w:vAlign w:val="center"/>
            <w:hideMark/>
          </w:tcPr>
          <w:p w:rsidR="00214AEE" w:rsidRPr="007228D2" w:rsidRDefault="00214AEE" w:rsidP="00C52512">
            <w:pPr>
              <w:pStyle w:val="Tabletext"/>
              <w:rPr>
                <w:bCs/>
              </w:rPr>
            </w:pPr>
            <w:r>
              <w:rPr>
                <w:bCs/>
              </w:rPr>
              <w:t>2</w:t>
            </w:r>
          </w:p>
        </w:tc>
        <w:tc>
          <w:tcPr>
            <w:tcW w:w="840" w:type="dxa"/>
            <w:vAlign w:val="center"/>
            <w:hideMark/>
          </w:tcPr>
          <w:p w:rsidR="00214AEE" w:rsidRPr="007228D2" w:rsidRDefault="00214AEE" w:rsidP="00C52512">
            <w:pPr>
              <w:pStyle w:val="Tabletext"/>
              <w:rPr>
                <w:bCs/>
              </w:rPr>
            </w:pPr>
            <w:r>
              <w:rPr>
                <w:bCs/>
              </w:rPr>
              <w:t>3</w:t>
            </w:r>
          </w:p>
        </w:tc>
        <w:tc>
          <w:tcPr>
            <w:tcW w:w="840" w:type="dxa"/>
            <w:vAlign w:val="center"/>
            <w:hideMark/>
          </w:tcPr>
          <w:p w:rsidR="00214AEE" w:rsidRPr="007228D2" w:rsidRDefault="00214AEE" w:rsidP="00C52512">
            <w:pPr>
              <w:pStyle w:val="Tabletext"/>
              <w:rPr>
                <w:bCs/>
              </w:rPr>
            </w:pPr>
            <w:r>
              <w:rPr>
                <w:bCs/>
              </w:rPr>
              <w:t>4</w:t>
            </w:r>
          </w:p>
        </w:tc>
        <w:tc>
          <w:tcPr>
            <w:tcW w:w="840" w:type="dxa"/>
            <w:vAlign w:val="center"/>
            <w:hideMark/>
          </w:tcPr>
          <w:p w:rsidR="00214AEE" w:rsidRPr="007228D2" w:rsidRDefault="00214AEE" w:rsidP="00C52512">
            <w:pPr>
              <w:pStyle w:val="Tabletext"/>
              <w:rPr>
                <w:bCs/>
              </w:rPr>
            </w:pPr>
            <w:r>
              <w:rPr>
                <w:bCs/>
              </w:rPr>
              <w:t>5</w:t>
            </w:r>
          </w:p>
        </w:tc>
        <w:tc>
          <w:tcPr>
            <w:tcW w:w="872" w:type="dxa"/>
            <w:noWrap/>
            <w:vAlign w:val="center"/>
            <w:hideMark/>
          </w:tcPr>
          <w:p w:rsidR="00214AEE" w:rsidRPr="007228D2" w:rsidRDefault="00214AEE" w:rsidP="00C52512">
            <w:pPr>
              <w:pStyle w:val="Tabletext"/>
              <w:rPr>
                <w:bCs/>
              </w:rPr>
            </w:pPr>
            <w:r w:rsidRPr="007228D2">
              <w:rPr>
                <w:bCs/>
              </w:rPr>
              <w:t>TOTAL</w:t>
            </w:r>
          </w:p>
        </w:tc>
      </w:tr>
      <w:tr w:rsidR="00214AEE" w:rsidRPr="007228D2" w:rsidTr="00C52512">
        <w:trPr>
          <w:jc w:val="center"/>
        </w:trPr>
        <w:tc>
          <w:tcPr>
            <w:tcW w:w="1387" w:type="dxa"/>
            <w:noWrap/>
            <w:vAlign w:val="center"/>
            <w:hideMark/>
          </w:tcPr>
          <w:p w:rsidR="00214AEE" w:rsidRPr="007228D2" w:rsidRDefault="00214AEE" w:rsidP="00C52512">
            <w:pPr>
              <w:pStyle w:val="Tabletext"/>
            </w:pPr>
            <w:r>
              <w:t>Inhabitants (thousands)</w:t>
            </w:r>
          </w:p>
        </w:tc>
        <w:tc>
          <w:tcPr>
            <w:tcW w:w="840" w:type="dxa"/>
            <w:vAlign w:val="center"/>
          </w:tcPr>
          <w:p w:rsidR="00214AEE" w:rsidRPr="007228D2" w:rsidRDefault="00214AEE" w:rsidP="00C52512">
            <w:pPr>
              <w:pStyle w:val="Tabletext"/>
              <w:rPr>
                <w:bCs/>
              </w:rPr>
            </w:pPr>
            <w:r w:rsidRPr="007228D2">
              <w:rPr>
                <w:bCs/>
              </w:rPr>
              <w:t>1871</w:t>
            </w:r>
          </w:p>
        </w:tc>
        <w:tc>
          <w:tcPr>
            <w:tcW w:w="840" w:type="dxa"/>
            <w:vAlign w:val="center"/>
          </w:tcPr>
          <w:p w:rsidR="00214AEE" w:rsidRPr="007228D2" w:rsidRDefault="00214AEE" w:rsidP="00C52512">
            <w:pPr>
              <w:pStyle w:val="Tabletext"/>
              <w:rPr>
                <w:bCs/>
              </w:rPr>
            </w:pPr>
            <w:r w:rsidRPr="007228D2">
              <w:rPr>
                <w:bCs/>
              </w:rPr>
              <w:t>1815</w:t>
            </w:r>
          </w:p>
        </w:tc>
        <w:tc>
          <w:tcPr>
            <w:tcW w:w="840" w:type="dxa"/>
            <w:vAlign w:val="center"/>
          </w:tcPr>
          <w:p w:rsidR="00214AEE" w:rsidRPr="007228D2" w:rsidRDefault="00214AEE" w:rsidP="00C52512">
            <w:pPr>
              <w:pStyle w:val="Tabletext"/>
              <w:rPr>
                <w:bCs/>
              </w:rPr>
            </w:pPr>
            <w:r w:rsidRPr="007228D2">
              <w:rPr>
                <w:bCs/>
              </w:rPr>
              <w:t>2365</w:t>
            </w:r>
          </w:p>
        </w:tc>
        <w:tc>
          <w:tcPr>
            <w:tcW w:w="840" w:type="dxa"/>
            <w:vAlign w:val="center"/>
          </w:tcPr>
          <w:p w:rsidR="00214AEE" w:rsidRPr="007228D2" w:rsidRDefault="00214AEE" w:rsidP="00C52512">
            <w:pPr>
              <w:pStyle w:val="Tabletext"/>
              <w:rPr>
                <w:bCs/>
              </w:rPr>
            </w:pPr>
            <w:r w:rsidRPr="007228D2">
              <w:rPr>
                <w:bCs/>
              </w:rPr>
              <w:t>2968</w:t>
            </w:r>
          </w:p>
        </w:tc>
        <w:tc>
          <w:tcPr>
            <w:tcW w:w="840" w:type="dxa"/>
            <w:vAlign w:val="center"/>
          </w:tcPr>
          <w:p w:rsidR="00214AEE" w:rsidRPr="007228D2" w:rsidRDefault="00214AEE" w:rsidP="00C52512">
            <w:pPr>
              <w:pStyle w:val="Tabletext"/>
              <w:rPr>
                <w:bCs/>
              </w:rPr>
            </w:pPr>
            <w:r w:rsidRPr="007228D2">
              <w:rPr>
                <w:bCs/>
              </w:rPr>
              <w:t>1775</w:t>
            </w:r>
          </w:p>
        </w:tc>
        <w:tc>
          <w:tcPr>
            <w:tcW w:w="872" w:type="dxa"/>
            <w:noWrap/>
            <w:vAlign w:val="center"/>
            <w:hideMark/>
          </w:tcPr>
          <w:p w:rsidR="00214AEE" w:rsidRPr="007228D2" w:rsidRDefault="00214AEE" w:rsidP="00C52512">
            <w:pPr>
              <w:pStyle w:val="Tabletext"/>
              <w:rPr>
                <w:bCs/>
              </w:rPr>
            </w:pPr>
            <w:r w:rsidRPr="007228D2">
              <w:rPr>
                <w:bCs/>
              </w:rPr>
              <w:t>10794</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t xml:space="preserve">RLAN AP density / </w:t>
            </w:r>
            <w:proofErr w:type="spellStart"/>
            <w:r>
              <w:t>inh</w:t>
            </w:r>
            <w:proofErr w:type="spellEnd"/>
            <w:r>
              <w:t>.</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72" w:type="dxa"/>
            <w:noWrap/>
            <w:vAlign w:val="center"/>
          </w:tcPr>
          <w:p w:rsidR="00214AEE" w:rsidRPr="007228D2" w:rsidRDefault="00214AEE" w:rsidP="00C52512">
            <w:pPr>
              <w:pStyle w:val="Tabletext"/>
              <w:rPr>
                <w:bCs/>
              </w:rPr>
            </w:pP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sidRPr="007228D2">
              <w:rPr>
                <w:bCs/>
              </w:rPr>
              <w:t xml:space="preserve">NB </w:t>
            </w:r>
            <w:r>
              <w:rPr>
                <w:bCs/>
              </w:rPr>
              <w:t xml:space="preserve">of </w:t>
            </w:r>
            <w:r w:rsidRPr="007228D2">
              <w:rPr>
                <w:bCs/>
              </w:rPr>
              <w:t>RLAN</w:t>
            </w:r>
            <w:r>
              <w:rPr>
                <w:bCs/>
              </w:rPr>
              <w:t xml:space="preserve"> (millions)</w:t>
            </w:r>
          </w:p>
        </w:tc>
        <w:tc>
          <w:tcPr>
            <w:tcW w:w="840" w:type="dxa"/>
            <w:noWrap/>
            <w:vAlign w:val="center"/>
          </w:tcPr>
          <w:p w:rsidR="00214AEE" w:rsidRPr="007228D2" w:rsidRDefault="00214AEE" w:rsidP="00C52512">
            <w:pPr>
              <w:pStyle w:val="Tabletext"/>
              <w:rPr>
                <w:bCs/>
              </w:rPr>
            </w:pPr>
            <w:r>
              <w:rPr>
                <w:bCs/>
              </w:rPr>
              <w:t>0.81</w:t>
            </w:r>
          </w:p>
        </w:tc>
        <w:tc>
          <w:tcPr>
            <w:tcW w:w="840" w:type="dxa"/>
            <w:noWrap/>
            <w:vAlign w:val="center"/>
          </w:tcPr>
          <w:p w:rsidR="00214AEE" w:rsidRPr="007228D2" w:rsidRDefault="00214AEE" w:rsidP="00C52512">
            <w:pPr>
              <w:pStyle w:val="Tabletext"/>
              <w:rPr>
                <w:bCs/>
              </w:rPr>
            </w:pPr>
            <w:r>
              <w:rPr>
                <w:bCs/>
              </w:rPr>
              <w:t>0.78</w:t>
            </w:r>
          </w:p>
        </w:tc>
        <w:tc>
          <w:tcPr>
            <w:tcW w:w="840" w:type="dxa"/>
            <w:noWrap/>
            <w:vAlign w:val="center"/>
          </w:tcPr>
          <w:p w:rsidR="00214AEE" w:rsidRPr="007228D2" w:rsidRDefault="00214AEE" w:rsidP="00C52512">
            <w:pPr>
              <w:pStyle w:val="Tabletext"/>
              <w:rPr>
                <w:bCs/>
              </w:rPr>
            </w:pPr>
            <w:r>
              <w:rPr>
                <w:bCs/>
              </w:rPr>
              <w:t>1.02</w:t>
            </w:r>
          </w:p>
        </w:tc>
        <w:tc>
          <w:tcPr>
            <w:tcW w:w="840" w:type="dxa"/>
            <w:noWrap/>
            <w:vAlign w:val="center"/>
          </w:tcPr>
          <w:p w:rsidR="00214AEE" w:rsidRPr="007228D2" w:rsidRDefault="00214AEE" w:rsidP="00C52512">
            <w:pPr>
              <w:pStyle w:val="Tabletext"/>
              <w:rPr>
                <w:bCs/>
              </w:rPr>
            </w:pPr>
            <w:r>
              <w:rPr>
                <w:bCs/>
              </w:rPr>
              <w:t>1.28</w:t>
            </w:r>
          </w:p>
        </w:tc>
        <w:tc>
          <w:tcPr>
            <w:tcW w:w="840" w:type="dxa"/>
            <w:noWrap/>
            <w:vAlign w:val="center"/>
          </w:tcPr>
          <w:p w:rsidR="00214AEE" w:rsidRPr="007228D2" w:rsidRDefault="00214AEE" w:rsidP="00C52512">
            <w:pPr>
              <w:pStyle w:val="Tabletext"/>
              <w:rPr>
                <w:bCs/>
              </w:rPr>
            </w:pPr>
            <w:r>
              <w:rPr>
                <w:bCs/>
              </w:rPr>
              <w:t>0.77</w:t>
            </w:r>
          </w:p>
        </w:tc>
        <w:tc>
          <w:tcPr>
            <w:tcW w:w="872" w:type="dxa"/>
            <w:noWrap/>
            <w:vAlign w:val="center"/>
          </w:tcPr>
          <w:p w:rsidR="00214AEE" w:rsidRPr="007228D2" w:rsidRDefault="00214AEE" w:rsidP="00C52512">
            <w:pPr>
              <w:pStyle w:val="Tabletext"/>
              <w:rPr>
                <w:bCs/>
              </w:rPr>
            </w:pPr>
            <w:r>
              <w:rPr>
                <w:bCs/>
              </w:rPr>
              <w:t>4.66</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sidRPr="007228D2">
              <w:rPr>
                <w:bCs/>
              </w:rPr>
              <w:t xml:space="preserve">NB </w:t>
            </w:r>
            <w:r>
              <w:rPr>
                <w:bCs/>
              </w:rPr>
              <w:t xml:space="preserve">of </w:t>
            </w:r>
            <w:r w:rsidRPr="007228D2">
              <w:rPr>
                <w:bCs/>
              </w:rPr>
              <w:t>RLAN</w:t>
            </w:r>
            <w:r>
              <w:rPr>
                <w:bCs/>
              </w:rPr>
              <w:t xml:space="preserve"> (millions) from UK OFCOM</w:t>
            </w:r>
          </w:p>
        </w:tc>
        <w:tc>
          <w:tcPr>
            <w:tcW w:w="840" w:type="dxa"/>
            <w:noWrap/>
            <w:vAlign w:val="center"/>
          </w:tcPr>
          <w:p w:rsidR="00214AEE" w:rsidRPr="007228D2" w:rsidRDefault="00214AEE" w:rsidP="00C52512">
            <w:pPr>
              <w:pStyle w:val="Tabletext"/>
              <w:rPr>
                <w:bCs/>
              </w:rPr>
            </w:pPr>
            <w:r w:rsidRPr="007228D2">
              <w:rPr>
                <w:bCs/>
              </w:rPr>
              <w:t>1.03</w:t>
            </w:r>
          </w:p>
        </w:tc>
        <w:tc>
          <w:tcPr>
            <w:tcW w:w="840" w:type="dxa"/>
            <w:noWrap/>
            <w:vAlign w:val="center"/>
          </w:tcPr>
          <w:p w:rsidR="00214AEE" w:rsidRPr="007228D2" w:rsidRDefault="00214AEE" w:rsidP="00C52512">
            <w:pPr>
              <w:pStyle w:val="Tabletext"/>
              <w:rPr>
                <w:bCs/>
              </w:rPr>
            </w:pPr>
            <w:r w:rsidRPr="007228D2">
              <w:rPr>
                <w:bCs/>
              </w:rPr>
              <w:t>0.79</w:t>
            </w:r>
          </w:p>
        </w:tc>
        <w:tc>
          <w:tcPr>
            <w:tcW w:w="840" w:type="dxa"/>
            <w:noWrap/>
            <w:vAlign w:val="center"/>
          </w:tcPr>
          <w:p w:rsidR="00214AEE" w:rsidRPr="007228D2" w:rsidRDefault="00214AEE" w:rsidP="00C52512">
            <w:pPr>
              <w:pStyle w:val="Tabletext"/>
              <w:rPr>
                <w:bCs/>
              </w:rPr>
            </w:pPr>
            <w:r w:rsidRPr="007228D2">
              <w:rPr>
                <w:bCs/>
              </w:rPr>
              <w:t>1.13</w:t>
            </w:r>
          </w:p>
        </w:tc>
        <w:tc>
          <w:tcPr>
            <w:tcW w:w="840" w:type="dxa"/>
            <w:noWrap/>
            <w:vAlign w:val="center"/>
          </w:tcPr>
          <w:p w:rsidR="00214AEE" w:rsidRPr="007228D2" w:rsidRDefault="00214AEE" w:rsidP="00C52512">
            <w:pPr>
              <w:pStyle w:val="Tabletext"/>
              <w:rPr>
                <w:bCs/>
              </w:rPr>
            </w:pPr>
            <w:r w:rsidRPr="007228D2">
              <w:rPr>
                <w:bCs/>
              </w:rPr>
              <w:t>1.66</w:t>
            </w:r>
          </w:p>
        </w:tc>
        <w:tc>
          <w:tcPr>
            <w:tcW w:w="840" w:type="dxa"/>
            <w:noWrap/>
            <w:vAlign w:val="center"/>
          </w:tcPr>
          <w:p w:rsidR="00214AEE" w:rsidRPr="007228D2" w:rsidRDefault="00214AEE" w:rsidP="00C52512">
            <w:pPr>
              <w:pStyle w:val="Tabletext"/>
              <w:rPr>
                <w:bCs/>
              </w:rPr>
            </w:pPr>
            <w:r w:rsidRPr="007228D2">
              <w:rPr>
                <w:bCs/>
              </w:rPr>
              <w:t>1.28</w:t>
            </w:r>
          </w:p>
        </w:tc>
        <w:tc>
          <w:tcPr>
            <w:tcW w:w="872" w:type="dxa"/>
            <w:noWrap/>
            <w:vAlign w:val="center"/>
          </w:tcPr>
          <w:p w:rsidR="00214AEE" w:rsidRPr="007228D2" w:rsidRDefault="00214AEE" w:rsidP="00C52512">
            <w:pPr>
              <w:pStyle w:val="Tabletext"/>
              <w:rPr>
                <w:bCs/>
              </w:rPr>
            </w:pPr>
            <w:r w:rsidRPr="007228D2">
              <w:rPr>
                <w:bCs/>
              </w:rPr>
              <w:t>5.89</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Pr>
                <w:bCs/>
              </w:rPr>
              <w:t>Difference (dB)</w:t>
            </w:r>
          </w:p>
        </w:tc>
        <w:tc>
          <w:tcPr>
            <w:tcW w:w="840" w:type="dxa"/>
            <w:noWrap/>
            <w:vAlign w:val="center"/>
          </w:tcPr>
          <w:p w:rsidR="00214AEE" w:rsidRPr="007228D2" w:rsidRDefault="00214AEE" w:rsidP="00C52512">
            <w:pPr>
              <w:pStyle w:val="Tabletext"/>
              <w:rPr>
                <w:bCs/>
              </w:rPr>
            </w:pPr>
            <w:r>
              <w:rPr>
                <w:bCs/>
              </w:rPr>
              <w:t>-1.04</w:t>
            </w:r>
          </w:p>
        </w:tc>
        <w:tc>
          <w:tcPr>
            <w:tcW w:w="840" w:type="dxa"/>
            <w:noWrap/>
            <w:vAlign w:val="center"/>
          </w:tcPr>
          <w:p w:rsidR="00214AEE" w:rsidRPr="007228D2" w:rsidRDefault="00214AEE" w:rsidP="00C52512">
            <w:pPr>
              <w:pStyle w:val="Tabletext"/>
              <w:rPr>
                <w:bCs/>
              </w:rPr>
            </w:pPr>
            <w:r>
              <w:rPr>
                <w:bCs/>
              </w:rPr>
              <w:t>-0.06</w:t>
            </w:r>
          </w:p>
        </w:tc>
        <w:tc>
          <w:tcPr>
            <w:tcW w:w="840" w:type="dxa"/>
            <w:noWrap/>
            <w:vAlign w:val="center"/>
          </w:tcPr>
          <w:p w:rsidR="00214AEE" w:rsidRPr="007228D2" w:rsidRDefault="00214AEE" w:rsidP="00C52512">
            <w:pPr>
              <w:pStyle w:val="Tabletext"/>
              <w:rPr>
                <w:bCs/>
              </w:rPr>
            </w:pPr>
            <w:r>
              <w:rPr>
                <w:bCs/>
              </w:rPr>
              <w:t>-0.44</w:t>
            </w:r>
          </w:p>
        </w:tc>
        <w:tc>
          <w:tcPr>
            <w:tcW w:w="840" w:type="dxa"/>
            <w:noWrap/>
            <w:vAlign w:val="center"/>
          </w:tcPr>
          <w:p w:rsidR="00214AEE" w:rsidRPr="007228D2" w:rsidRDefault="00214AEE" w:rsidP="00C52512">
            <w:pPr>
              <w:pStyle w:val="Tabletext"/>
              <w:rPr>
                <w:bCs/>
              </w:rPr>
            </w:pPr>
            <w:r>
              <w:rPr>
                <w:bCs/>
              </w:rPr>
              <w:t>-1.13</w:t>
            </w:r>
          </w:p>
        </w:tc>
        <w:tc>
          <w:tcPr>
            <w:tcW w:w="840" w:type="dxa"/>
            <w:noWrap/>
            <w:vAlign w:val="center"/>
          </w:tcPr>
          <w:p w:rsidR="00214AEE" w:rsidRPr="007228D2" w:rsidRDefault="00214AEE" w:rsidP="00C52512">
            <w:pPr>
              <w:pStyle w:val="Tabletext"/>
              <w:rPr>
                <w:bCs/>
              </w:rPr>
            </w:pPr>
            <w:r>
              <w:rPr>
                <w:bCs/>
              </w:rPr>
              <w:t>-2.21</w:t>
            </w:r>
          </w:p>
        </w:tc>
        <w:tc>
          <w:tcPr>
            <w:tcW w:w="872" w:type="dxa"/>
            <w:noWrap/>
            <w:vAlign w:val="center"/>
          </w:tcPr>
          <w:p w:rsidR="00214AEE" w:rsidRPr="007228D2" w:rsidRDefault="00214AEE" w:rsidP="00C52512">
            <w:pPr>
              <w:pStyle w:val="Tabletext"/>
              <w:rPr>
                <w:bCs/>
              </w:rPr>
            </w:pPr>
            <w:r>
              <w:rPr>
                <w:bCs/>
              </w:rPr>
              <w:t>-1.02</w:t>
            </w:r>
          </w:p>
        </w:tc>
      </w:tr>
    </w:tbl>
    <w:p w:rsidR="00214AEE" w:rsidRDefault="00214AEE" w:rsidP="00214AEE">
      <w:pPr>
        <w:pStyle w:val="ListParagraph"/>
      </w:pPr>
    </w:p>
    <w:p w:rsidR="00214AEE" w:rsidRDefault="00214AEE" w:rsidP="00D81CB2">
      <w:r>
        <w:t xml:space="preserve">These calculations show that the number of RLAN used in the 2.4 GHz measurement analysis is probably too optimistic, leading to an underestimation of the corresponding modelled power by at least 1 </w:t>
      </w:r>
      <w:proofErr w:type="spellStart"/>
      <w:r>
        <w:t>dB.</w:t>
      </w:r>
      <w:proofErr w:type="spellEnd"/>
    </w:p>
    <w:p w:rsidR="00214AEE" w:rsidRDefault="00214AEE" w:rsidP="00D81CB2">
      <w:r>
        <w:t>It is however not proposed to include this difference in the following summary but to keep this difference in mind when discussing all other parameters.</w:t>
      </w:r>
    </w:p>
    <w:p w:rsidR="00214AEE" w:rsidRPr="00B60368" w:rsidRDefault="00D81CB2" w:rsidP="00D81CB2">
      <w:pPr>
        <w:pStyle w:val="Heading1"/>
      </w:pPr>
      <w:r>
        <w:t>7</w:t>
      </w:r>
      <w:r>
        <w:tab/>
      </w:r>
      <w:r w:rsidR="00214AEE" w:rsidRPr="00B60368">
        <w:t>Summary and comparative analysis</w:t>
      </w:r>
    </w:p>
    <w:p w:rsidR="00214AEE" w:rsidRDefault="00214AEE" w:rsidP="00D81CB2">
      <w:r>
        <w:t xml:space="preserve">The following table provides a summary of assumptions to be considered for the analysis of the </w:t>
      </w:r>
      <w:r w:rsidR="000E6202">
        <w:br/>
      </w:r>
      <w:r>
        <w:t>2.4 GHz UK measurements.</w:t>
      </w:r>
    </w:p>
    <w:p w:rsidR="00214AEE" w:rsidRDefault="00214AEE" w:rsidP="00214AEE">
      <w:pPr>
        <w:pStyle w:val="ListParagraph"/>
        <w:jc w:val="center"/>
      </w:pPr>
      <w:r w:rsidRPr="00EB3587">
        <w:rPr>
          <w:noProof/>
          <w:lang w:eastAsia="zh-CN"/>
        </w:rPr>
        <w:drawing>
          <wp:inline distT="0" distB="0" distL="0" distR="0" wp14:anchorId="60DCB77B" wp14:editId="0E77E34C">
            <wp:extent cx="4206240" cy="4213860"/>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6240" cy="4213860"/>
                    </a:xfrm>
                    <a:prstGeom prst="rect">
                      <a:avLst/>
                    </a:prstGeom>
                    <a:noFill/>
                    <a:ln>
                      <a:noFill/>
                    </a:ln>
                  </pic:spPr>
                </pic:pic>
              </a:graphicData>
            </a:graphic>
          </wp:inline>
        </w:drawing>
      </w:r>
    </w:p>
    <w:p w:rsidR="00214AEE" w:rsidRDefault="00214AEE" w:rsidP="00214AEE">
      <w:pPr>
        <w:pStyle w:val="ListParagraph"/>
      </w:pPr>
    </w:p>
    <w:p w:rsidR="00214AEE" w:rsidRDefault="00214AEE" w:rsidP="00D81CB2">
      <w:r>
        <w:t>On this basis and taking into account the methodology developed by UK OFCOM in their last analysis, the following figure provides the summary of results, for both the “Central London” and “West of London” scenario.</w:t>
      </w:r>
    </w:p>
    <w:p w:rsidR="00214AEE" w:rsidRDefault="00214AEE" w:rsidP="00D81CB2">
      <w:r>
        <w:t>This figures compares the range of values (min, medium and max) obtained with the model using the figures in the table above for the 2.4 GHz band with the values measured by UK OFCOM in both scenarios, i.e. -76 dBm/40 MHz (central London) and -81 dBm/40 MHz (West London).</w:t>
      </w:r>
    </w:p>
    <w:p w:rsidR="00214AEE" w:rsidRDefault="00C52512" w:rsidP="000E6202">
      <w:pPr>
        <w:pStyle w:val="FigureNo"/>
      </w:pPr>
      <w:r>
        <w:t xml:space="preserve">figure </w:t>
      </w:r>
      <w:r w:rsidR="000E6202">
        <w:t>6</w:t>
      </w:r>
    </w:p>
    <w:p w:rsidR="00214AEE" w:rsidRDefault="00214AEE" w:rsidP="00214AEE">
      <w:pPr>
        <w:pStyle w:val="ListParagraph"/>
        <w:jc w:val="center"/>
      </w:pPr>
      <w:r>
        <w:rPr>
          <w:noProof/>
          <w:lang w:eastAsia="zh-CN"/>
        </w:rPr>
        <w:drawing>
          <wp:inline distT="0" distB="0" distL="0" distR="0" wp14:anchorId="28578685" wp14:editId="40D060BA">
            <wp:extent cx="4255905" cy="4017645"/>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6118" cy="4027287"/>
                    </a:xfrm>
                    <a:prstGeom prst="rect">
                      <a:avLst/>
                    </a:prstGeom>
                    <a:noFill/>
                  </pic:spPr>
                </pic:pic>
              </a:graphicData>
            </a:graphic>
          </wp:inline>
        </w:drawing>
      </w:r>
    </w:p>
    <w:p w:rsidR="00214AEE" w:rsidRDefault="00214AEE" w:rsidP="00214AEE">
      <w:pPr>
        <w:pStyle w:val="ListParagraph"/>
      </w:pPr>
    </w:p>
    <w:p w:rsidR="00214AEE" w:rsidRDefault="00214AEE" w:rsidP="00D81CB2">
      <w:r>
        <w:t>It clearly shows that the measurements are representative of scenarios close to the model with medium parameters at 2.4 GHz and hence provides justification for using similar set of medium parameters for the 5 GHz band. The following considerations are also to be taken into account:</w:t>
      </w:r>
    </w:p>
    <w:p w:rsidR="00214AEE" w:rsidRDefault="00D81CB2" w:rsidP="00D81CB2">
      <w:pPr>
        <w:pStyle w:val="enumlev1"/>
      </w:pPr>
      <w:r>
        <w:t>–</w:t>
      </w:r>
      <w:r>
        <w:tab/>
      </w:r>
      <w:r w:rsidR="00214AEE">
        <w:t xml:space="preserve">to allow for a certain level of discussion on the final results, it is proposed for the antenna discrimination to also consider, in addition to the medium 2 dB value, the initial figures of 0 and 4 </w:t>
      </w:r>
      <w:proofErr w:type="spellStart"/>
      <w:r w:rsidR="00214AEE">
        <w:t>dB.</w:t>
      </w:r>
      <w:proofErr w:type="spellEnd"/>
    </w:p>
    <w:p w:rsidR="00214AEE" w:rsidRDefault="00D81CB2" w:rsidP="00D81CB2">
      <w:pPr>
        <w:pStyle w:val="enumlev1"/>
      </w:pPr>
      <w:r>
        <w:t>–</w:t>
      </w:r>
      <w:r>
        <w:tab/>
      </w:r>
      <w:r w:rsidR="00214AEE">
        <w:t xml:space="preserve">The building losses will depend on the elevation(s) for each scenarios (FSS, </w:t>
      </w:r>
      <w:proofErr w:type="gramStart"/>
      <w:r w:rsidR="00214AEE">
        <w:t>EESS, …)</w:t>
      </w:r>
      <w:proofErr w:type="gramEnd"/>
      <w:r w:rsidR="00214AEE">
        <w:t xml:space="preserve"> but will have to be calculated based on Recommendation ITU-R P.[BEL]</w:t>
      </w:r>
    </w:p>
    <w:p w:rsidR="00214AEE" w:rsidRDefault="00D81CB2" w:rsidP="00D81CB2">
      <w:pPr>
        <w:pStyle w:val="enumlev1"/>
      </w:pPr>
      <w:r>
        <w:t>–</w:t>
      </w:r>
      <w:r>
        <w:tab/>
      </w:r>
      <w:r w:rsidR="00214AEE">
        <w:t>The channelization and bandwidth factors will also depends on the victim service case (e.g. 12.9% and 3.55 dB for FSS)</w:t>
      </w:r>
    </w:p>
    <w:p w:rsidR="00214AEE" w:rsidRDefault="00214AEE" w:rsidP="00D81CB2">
      <w:r>
        <w:t>Accordingly, t</w:t>
      </w:r>
      <w:r w:rsidRPr="005036DA">
        <w:t xml:space="preserve">he following table provides the list of parameters to be used for the RLAN 5 GHz sharing studies to determine the number of active </w:t>
      </w:r>
      <w:r>
        <w:t>RLAN.</w:t>
      </w:r>
    </w:p>
    <w:p w:rsidR="00214AEE" w:rsidRDefault="00214AEE" w:rsidP="00214AEE">
      <w:pPr>
        <w:pStyle w:val="ListParagraph"/>
        <w:jc w:val="center"/>
      </w:pPr>
      <w:r w:rsidRPr="001A33BD">
        <w:rPr>
          <w:noProof/>
          <w:lang w:eastAsia="zh-CN"/>
        </w:rPr>
        <w:drawing>
          <wp:inline distT="0" distB="0" distL="0" distR="0" wp14:anchorId="151B9331" wp14:editId="5DEA8D8D">
            <wp:extent cx="5036820" cy="2689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6820" cy="2689860"/>
                    </a:xfrm>
                    <a:prstGeom prst="rect">
                      <a:avLst/>
                    </a:prstGeom>
                    <a:noFill/>
                    <a:ln>
                      <a:noFill/>
                    </a:ln>
                  </pic:spPr>
                </pic:pic>
              </a:graphicData>
            </a:graphic>
          </wp:inline>
        </w:drawing>
      </w:r>
    </w:p>
    <w:p w:rsidR="00214AEE" w:rsidRDefault="00214AEE" w:rsidP="00214AEE">
      <w:pPr>
        <w:pStyle w:val="ListParagraph"/>
      </w:pPr>
    </w:p>
    <w:p w:rsidR="00214AEE" w:rsidRDefault="00214AEE" w:rsidP="00D81CB2">
      <w:pPr>
        <w:rPr>
          <w:lang w:eastAsia="ja-JP"/>
        </w:rPr>
      </w:pPr>
      <w:r>
        <w:t xml:space="preserve">On this basis, it is then possible to calculate the number of active RLAN overlapping a victim bandwidth (for the FSS case) and provides figures consistent with those given in section 3.1.6 of </w:t>
      </w:r>
      <w:r w:rsidRPr="00AC4E0F">
        <w:rPr>
          <w:lang w:eastAsia="ja-JP"/>
        </w:rPr>
        <w:t xml:space="preserve">WORKING DOCUMENT TOWARDS A PRELIMINARYDRAFT NEW REPORT ITU-R </w:t>
      </w:r>
      <w:r>
        <w:rPr>
          <w:lang w:eastAsia="ja-JP"/>
        </w:rPr>
        <w:t>M</w:t>
      </w:r>
      <w:proofErr w:type="gramStart"/>
      <w:r>
        <w:rPr>
          <w:lang w:eastAsia="ja-JP"/>
        </w:rPr>
        <w:t>.[</w:t>
      </w:r>
      <w:proofErr w:type="gramEnd"/>
      <w:r>
        <w:rPr>
          <w:lang w:eastAsia="ja-JP"/>
        </w:rPr>
        <w:t>RLAN REQ-PAR].</w:t>
      </w:r>
    </w:p>
    <w:p w:rsidR="00214AEE" w:rsidRPr="00563842" w:rsidRDefault="00214AEE" w:rsidP="00D81CB2">
      <w:r>
        <w:rPr>
          <w:lang w:eastAsia="ja-JP"/>
        </w:rPr>
        <w:t>Density (FS</w:t>
      </w:r>
      <w:r w:rsidRPr="00563842">
        <w:rPr>
          <w:lang w:eastAsia="ja-JP"/>
        </w:rPr>
        <w:t xml:space="preserve">S) = 400000000 x 62.7% x 74% x 10% x 12.9% /701083818 = </w:t>
      </w:r>
      <w:r w:rsidRPr="00563842">
        <w:t xml:space="preserve">0.0034 </w:t>
      </w:r>
      <w:proofErr w:type="spellStart"/>
      <w:r w:rsidRPr="00563842">
        <w:t>RLAN</w:t>
      </w:r>
      <w:proofErr w:type="spellEnd"/>
      <w:r w:rsidRPr="00563842">
        <w:t xml:space="preserve"> / </w:t>
      </w:r>
      <w:proofErr w:type="spellStart"/>
      <w:proofErr w:type="gramStart"/>
      <w:r w:rsidRPr="00563842">
        <w:t>inh</w:t>
      </w:r>
      <w:proofErr w:type="spellEnd"/>
      <w:proofErr w:type="gramEnd"/>
      <w:r w:rsidRPr="00563842">
        <w:t>.</w:t>
      </w:r>
    </w:p>
    <w:p w:rsidR="00214AEE" w:rsidRDefault="00214AEE" w:rsidP="00D81CB2">
      <w:r>
        <w:t>Similar calculations will have to be considered for other scenarios (EESS, MSS</w:t>
      </w:r>
      <w:proofErr w:type="gramStart"/>
      <w:r>
        <w:t>, ..</w:t>
      </w:r>
      <w:proofErr w:type="gramEnd"/>
      <w:r>
        <w:t>)</w:t>
      </w:r>
    </w:p>
    <w:p w:rsidR="00214AEE" w:rsidRPr="00BC7F1C" w:rsidRDefault="00D81CB2" w:rsidP="00D81CB2">
      <w:pPr>
        <w:pStyle w:val="Heading1"/>
      </w:pPr>
      <w:r>
        <w:t>8</w:t>
      </w:r>
      <w:r>
        <w:tab/>
      </w:r>
      <w:r w:rsidR="00214AEE" w:rsidRPr="00D81CB2">
        <w:t>Conclusions</w:t>
      </w:r>
    </w:p>
    <w:p w:rsidR="00214AEE" w:rsidRDefault="00214AEE" w:rsidP="00D81CB2">
      <w:r w:rsidRPr="00B90914">
        <w:t>The present document provides further analysis on the measurement performed by UK OFCOM for 2.4 GHz WIFI</w:t>
      </w:r>
      <w:r>
        <w:t xml:space="preserve"> and provides additional calculations and proposes consequential conclusions for the assumptions used at 5 GHz.</w:t>
      </w:r>
    </w:p>
    <w:p w:rsidR="00214AEE" w:rsidRDefault="00214AEE" w:rsidP="00D81CB2">
      <w:pPr>
        <w:rPr>
          <w:lang w:eastAsia="ja-JP"/>
        </w:rPr>
      </w:pPr>
      <w:r w:rsidRPr="0018766E">
        <w:t xml:space="preserve">Consequential changes are proposed </w:t>
      </w:r>
      <w:r>
        <w:t xml:space="preserve">in the attachment </w:t>
      </w:r>
      <w:r w:rsidRPr="0018766E">
        <w:t xml:space="preserve">to the </w:t>
      </w:r>
      <w:r w:rsidRPr="0018766E">
        <w:rPr>
          <w:lang w:eastAsia="ja-JP"/>
        </w:rPr>
        <w:t>Preliminary Draft New Report ITU-R M</w:t>
      </w:r>
      <w:proofErr w:type="gramStart"/>
      <w:r w:rsidRPr="0018766E">
        <w:rPr>
          <w:lang w:eastAsia="ja-JP"/>
        </w:rPr>
        <w:t>.[</w:t>
      </w:r>
      <w:proofErr w:type="gramEnd"/>
      <w:r w:rsidRPr="0018766E">
        <w:rPr>
          <w:lang w:eastAsia="ja-JP"/>
        </w:rPr>
        <w:t>RLAN REQ-PAR] (5A/298 annex 25)</w:t>
      </w:r>
      <w:r>
        <w:rPr>
          <w:lang w:eastAsia="ja-JP"/>
        </w:rPr>
        <w:t>.</w:t>
      </w:r>
    </w:p>
    <w:p w:rsidR="00214AEE" w:rsidRPr="0018766E" w:rsidRDefault="00214AEE" w:rsidP="00214AEE">
      <w:pPr>
        <w:jc w:val="center"/>
      </w:pPr>
      <w:r>
        <w:rPr>
          <w:rFonts w:ascii="Arial" w:hAnsi="Arial" w:cs="Arial"/>
          <w:sz w:val="22"/>
          <w:szCs w:val="22"/>
          <w:lang w:eastAsia="ja-JP"/>
        </w:rPr>
        <w:object w:dxaOrig="1488" w:dyaOrig="916">
          <v:shape id="_x0000_i1026" type="#_x0000_t75" style="width:74.25pt;height:46.5pt" o:ole="">
            <v:imagedata r:id="rId22" o:title=""/>
          </v:shape>
          <o:OLEObject Type="Embed" ProgID="Package" ShapeID="_x0000_i1026" DrawAspect="Icon" ObjectID="_1558783568" r:id="rId23"/>
        </w:object>
      </w:r>
    </w:p>
    <w:p w:rsidR="00214AEE" w:rsidRDefault="00214AEE" w:rsidP="00D81CB2">
      <w:pPr>
        <w:rPr>
          <w:lang w:eastAsia="ja-JP"/>
        </w:rPr>
      </w:pPr>
      <w:r>
        <w:t xml:space="preserve">It is also proposed to include the findings of the present document in </w:t>
      </w:r>
      <w:r w:rsidRPr="00AC4E0F">
        <w:rPr>
          <w:lang w:eastAsia="ja-JP"/>
        </w:rPr>
        <w:t>P</w:t>
      </w:r>
      <w:r>
        <w:rPr>
          <w:lang w:eastAsia="ja-JP"/>
        </w:rPr>
        <w:t xml:space="preserve">reliminary Draft New Report </w:t>
      </w:r>
      <w:r w:rsidRPr="00AC4E0F">
        <w:rPr>
          <w:lang w:eastAsia="ja-JP"/>
        </w:rPr>
        <w:t xml:space="preserve">ITU-R </w:t>
      </w:r>
      <w:r>
        <w:rPr>
          <w:lang w:eastAsia="ja-JP"/>
        </w:rPr>
        <w:t>M</w:t>
      </w:r>
      <w:proofErr w:type="gramStart"/>
      <w:r w:rsidRPr="00F8213B">
        <w:rPr>
          <w:color w:val="000000" w:themeColor="text1"/>
          <w:lang w:eastAsia="ja-JP"/>
        </w:rPr>
        <w:t>.</w:t>
      </w:r>
      <w:r w:rsidRPr="00F8213B">
        <w:rPr>
          <w:color w:val="000000" w:themeColor="text1"/>
        </w:rPr>
        <w:t>[</w:t>
      </w:r>
      <w:proofErr w:type="gramEnd"/>
      <w:r w:rsidRPr="00F8213B">
        <w:rPr>
          <w:color w:val="000000" w:themeColor="text1"/>
        </w:rPr>
        <w:t xml:space="preserve">AGGREGATE RLAN MEASUREMENTS] </w:t>
      </w:r>
      <w:r w:rsidRPr="00F8213B">
        <w:rPr>
          <w:color w:val="000000" w:themeColor="text1"/>
          <w:lang w:eastAsia="ja-JP"/>
        </w:rPr>
        <w:t xml:space="preserve"> </w:t>
      </w:r>
      <w:r>
        <w:rPr>
          <w:lang w:eastAsia="ja-JP"/>
        </w:rPr>
        <w:t>(5A/298 annex 26)</w:t>
      </w:r>
    </w:p>
    <w:p w:rsidR="0081370D" w:rsidRPr="00214AEE" w:rsidRDefault="0081370D">
      <w:pPr>
        <w:tabs>
          <w:tab w:val="clear" w:pos="1134"/>
          <w:tab w:val="clear" w:pos="1871"/>
          <w:tab w:val="clear" w:pos="2268"/>
        </w:tabs>
        <w:overflowPunct/>
        <w:autoSpaceDE/>
        <w:autoSpaceDN/>
        <w:adjustRightInd/>
        <w:spacing w:before="0"/>
        <w:textAlignment w:val="auto"/>
        <w:rPr>
          <w:lang w:eastAsia="zh-CN"/>
        </w:rPr>
      </w:pPr>
    </w:p>
    <w:p w:rsidR="00D81CB2" w:rsidRDefault="00D81CB2" w:rsidP="00D81CB2">
      <w:pPr>
        <w:pStyle w:val="Reasons"/>
      </w:pPr>
    </w:p>
    <w:p w:rsidR="000069D4" w:rsidRPr="00214AEE" w:rsidRDefault="00D81CB2" w:rsidP="00814B78">
      <w:pPr>
        <w:jc w:val="center"/>
        <w:rPr>
          <w:lang w:eastAsia="zh-CN"/>
        </w:rPr>
      </w:pPr>
      <w:r>
        <w:t>______________</w:t>
      </w:r>
    </w:p>
    <w:sectPr w:rsidR="000069D4" w:rsidRPr="00214AEE" w:rsidSect="00D02712">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F9" w:rsidRDefault="00EA7BF9">
      <w:r>
        <w:separator/>
      </w:r>
    </w:p>
  </w:endnote>
  <w:endnote w:type="continuationSeparator" w:id="0">
    <w:p w:rsidR="00EA7BF9" w:rsidRDefault="00EA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B2" w:rsidRPr="002F7CB3" w:rsidRDefault="00D0477C">
    <w:pPr>
      <w:pStyle w:val="Footer"/>
      <w:rPr>
        <w:lang w:val="en-US"/>
      </w:rPr>
    </w:pPr>
    <w:fldSimple w:instr=" FILENAME \p \* MERGEFORMAT ">
      <w:r w:rsidR="00D81CB2" w:rsidRPr="00D81CB2">
        <w:rPr>
          <w:lang w:val="en-US"/>
        </w:rPr>
        <w:t>M</w:t>
      </w:r>
      <w:r w:rsidR="00D81CB2">
        <w:t>:\BRSGD\TEXT2017\SG05\WP5A\400\420e.docx</w:t>
      </w:r>
    </w:fldSimple>
    <w:r w:rsidR="00D81CB2">
      <w:t xml:space="preserve"> ( )</w:t>
    </w:r>
    <w:r w:rsidR="00D81CB2" w:rsidRPr="002F7CB3">
      <w:rPr>
        <w:lang w:val="en-US"/>
      </w:rPr>
      <w:tab/>
    </w:r>
    <w:r w:rsidR="00D81CB2">
      <w:fldChar w:fldCharType="begin"/>
    </w:r>
    <w:r w:rsidR="00D81CB2">
      <w:instrText xml:space="preserve"> savedate \@ dd.MM.yy </w:instrText>
    </w:r>
    <w:r w:rsidR="00D81CB2">
      <w:fldChar w:fldCharType="separate"/>
    </w:r>
    <w:r w:rsidR="00196302">
      <w:t>12.06.17</w:t>
    </w:r>
    <w:r w:rsidR="00D81CB2">
      <w:fldChar w:fldCharType="end"/>
    </w:r>
    <w:r w:rsidR="00D81CB2" w:rsidRPr="002F7CB3">
      <w:rPr>
        <w:lang w:val="en-US"/>
      </w:rPr>
      <w:tab/>
    </w:r>
    <w:r w:rsidR="00D81CB2">
      <w:fldChar w:fldCharType="begin"/>
    </w:r>
    <w:r w:rsidR="00D81CB2">
      <w:instrText xml:space="preserve"> printdate \@ dd.MM.yy </w:instrText>
    </w:r>
    <w:r w:rsidR="00D81CB2">
      <w:fldChar w:fldCharType="separate"/>
    </w:r>
    <w:r w:rsidR="00D81CB2">
      <w:t>21.02.08</w:t>
    </w:r>
    <w:r w:rsidR="00D81C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B2" w:rsidRPr="002F7CB3" w:rsidRDefault="00D0477C" w:rsidP="00E6257C">
    <w:pPr>
      <w:pStyle w:val="Footer"/>
      <w:rPr>
        <w:lang w:val="en-US"/>
      </w:rPr>
    </w:pPr>
    <w:fldSimple w:instr=" FILENAME \p \* MERGEFORMAT ">
      <w:r w:rsidR="00D81CB2" w:rsidRPr="00D81CB2">
        <w:rPr>
          <w:lang w:val="en-US"/>
        </w:rPr>
        <w:t>M</w:t>
      </w:r>
      <w:r w:rsidR="00D81CB2">
        <w:t>:\BRSGD\TEXT2017\SG05\WP5A\400\420e.docx</w:t>
      </w:r>
    </w:fldSimple>
    <w:r w:rsidR="00D81CB2">
      <w:t xml:space="preserve"> ( )</w:t>
    </w:r>
    <w:r w:rsidR="00D81CB2" w:rsidRPr="002F7CB3">
      <w:rPr>
        <w:lang w:val="en-US"/>
      </w:rPr>
      <w:tab/>
    </w:r>
    <w:r w:rsidR="00D81CB2">
      <w:fldChar w:fldCharType="begin"/>
    </w:r>
    <w:r w:rsidR="00D81CB2">
      <w:instrText xml:space="preserve"> savedate \@ dd.MM.yy </w:instrText>
    </w:r>
    <w:r w:rsidR="00D81CB2">
      <w:fldChar w:fldCharType="separate"/>
    </w:r>
    <w:r w:rsidR="00196302">
      <w:t>12.06.17</w:t>
    </w:r>
    <w:r w:rsidR="00D81CB2">
      <w:fldChar w:fldCharType="end"/>
    </w:r>
    <w:r w:rsidR="00D81CB2" w:rsidRPr="002F7CB3">
      <w:rPr>
        <w:lang w:val="en-US"/>
      </w:rPr>
      <w:tab/>
    </w:r>
    <w:r w:rsidR="00D81CB2">
      <w:fldChar w:fldCharType="begin"/>
    </w:r>
    <w:r w:rsidR="00D81CB2">
      <w:instrText xml:space="preserve"> printdate \@ dd.MM.yy </w:instrText>
    </w:r>
    <w:r w:rsidR="00D81CB2">
      <w:fldChar w:fldCharType="separate"/>
    </w:r>
    <w:r w:rsidR="00D81CB2">
      <w:t>21.02.08</w:t>
    </w:r>
    <w:r w:rsidR="00D81C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F9" w:rsidRDefault="00EA7BF9">
      <w:r>
        <w:t>____________________</w:t>
      </w:r>
    </w:p>
  </w:footnote>
  <w:footnote w:type="continuationSeparator" w:id="0">
    <w:p w:rsidR="00EA7BF9" w:rsidRDefault="00EA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B2" w:rsidRDefault="00D81CB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96302">
      <w:rPr>
        <w:rStyle w:val="PageNumber"/>
        <w:noProof/>
      </w:rPr>
      <w:t>14</w:t>
    </w:r>
    <w:r>
      <w:rPr>
        <w:rStyle w:val="PageNumber"/>
      </w:rPr>
      <w:fldChar w:fldCharType="end"/>
    </w:r>
    <w:r>
      <w:rPr>
        <w:rStyle w:val="PageNumber"/>
      </w:rPr>
      <w:t xml:space="preserve"> -</w:t>
    </w:r>
  </w:p>
  <w:p w:rsidR="00D81CB2" w:rsidRDefault="00D81CB2">
    <w:pPr>
      <w:pStyle w:val="Header"/>
      <w:rPr>
        <w:lang w:val="en-US"/>
      </w:rPr>
    </w:pPr>
    <w:r>
      <w:rPr>
        <w:lang w:val="en-US"/>
      </w:rPr>
      <w:t>5A/420-E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66F"/>
    <w:multiLevelType w:val="multilevel"/>
    <w:tmpl w:val="55BEDB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DDA3D1C"/>
    <w:multiLevelType w:val="hybridMultilevel"/>
    <w:tmpl w:val="2C1238A4"/>
    <w:lvl w:ilvl="0" w:tplc="4F1AE6A8">
      <w:start w:val="1"/>
      <w:numFmt w:val="bullet"/>
      <w:lvlText w:val="-"/>
      <w:lvlJc w:val="left"/>
      <w:pPr>
        <w:ind w:left="720" w:hanging="360"/>
      </w:pPr>
      <w:rPr>
        <w:rFonts w:ascii="Times New Roman" w:eastAsiaTheme="minorHAnsi" w:hAnsi="Times New Roman" w:cs="Times New Roman" w:hint="default"/>
        <w:lang w:val="en-G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0D"/>
    <w:rsid w:val="000069D4"/>
    <w:rsid w:val="000174AD"/>
    <w:rsid w:val="00047A1D"/>
    <w:rsid w:val="000604B9"/>
    <w:rsid w:val="000A7D55"/>
    <w:rsid w:val="000C12C8"/>
    <w:rsid w:val="000C2E8E"/>
    <w:rsid w:val="000E0E7C"/>
    <w:rsid w:val="000E6202"/>
    <w:rsid w:val="000F1B4B"/>
    <w:rsid w:val="0012744F"/>
    <w:rsid w:val="00131178"/>
    <w:rsid w:val="00156F66"/>
    <w:rsid w:val="00163271"/>
    <w:rsid w:val="00182528"/>
    <w:rsid w:val="0018500B"/>
    <w:rsid w:val="00196302"/>
    <w:rsid w:val="00196A19"/>
    <w:rsid w:val="00202DC1"/>
    <w:rsid w:val="002116EE"/>
    <w:rsid w:val="00214A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4C5749"/>
    <w:rsid w:val="00501DCA"/>
    <w:rsid w:val="00513A47"/>
    <w:rsid w:val="005408DF"/>
    <w:rsid w:val="00573344"/>
    <w:rsid w:val="00583F9B"/>
    <w:rsid w:val="005E5C10"/>
    <w:rsid w:val="005F2C78"/>
    <w:rsid w:val="006144E4"/>
    <w:rsid w:val="00650299"/>
    <w:rsid w:val="00655FC5"/>
    <w:rsid w:val="0081370D"/>
    <w:rsid w:val="00814B78"/>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2512"/>
    <w:rsid w:val="00C57A91"/>
    <w:rsid w:val="00C81FFC"/>
    <w:rsid w:val="00CC01C2"/>
    <w:rsid w:val="00CF21F2"/>
    <w:rsid w:val="00D02712"/>
    <w:rsid w:val="00D046A7"/>
    <w:rsid w:val="00D0477C"/>
    <w:rsid w:val="00D214D0"/>
    <w:rsid w:val="00D6546B"/>
    <w:rsid w:val="00D81CB2"/>
    <w:rsid w:val="00DB178B"/>
    <w:rsid w:val="00DC17D3"/>
    <w:rsid w:val="00DD4BED"/>
    <w:rsid w:val="00DE39F0"/>
    <w:rsid w:val="00DF0AF3"/>
    <w:rsid w:val="00DF7E9F"/>
    <w:rsid w:val="00E27D7E"/>
    <w:rsid w:val="00E42E13"/>
    <w:rsid w:val="00E56D5C"/>
    <w:rsid w:val="00E6257C"/>
    <w:rsid w:val="00E63C59"/>
    <w:rsid w:val="00EA7BF9"/>
    <w:rsid w:val="00EC3F68"/>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15AD5D-A380-49ED-81DB-7BFD4910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ListParagraph">
    <w:name w:val="List Paragraph"/>
    <w:basedOn w:val="Normal"/>
    <w:uiPriority w:val="34"/>
    <w:qFormat/>
    <w:rsid w:val="00214AEE"/>
    <w:pPr>
      <w:tabs>
        <w:tab w:val="clear" w:pos="1134"/>
        <w:tab w:val="clear" w:pos="1871"/>
        <w:tab w:val="clear" w:pos="2268"/>
      </w:tabs>
      <w:overflowPunct/>
      <w:autoSpaceDE/>
      <w:autoSpaceDN/>
      <w:adjustRightInd/>
      <w:jc w:val="both"/>
      <w:textAlignment w:val="auto"/>
    </w:pPr>
    <w:rPr>
      <w:rFonts w:ascii="Arial" w:hAnsi="Arial" w:cs="Arial"/>
      <w:snapToGrid w:val="0"/>
      <w:sz w:val="22"/>
      <w:szCs w:val="22"/>
    </w:rPr>
  </w:style>
  <w:style w:type="character" w:customStyle="1" w:styleId="TabletextChar">
    <w:name w:val="Table_text Char"/>
    <w:link w:val="Tabletext"/>
    <w:locked/>
    <w:rsid w:val="00214AEE"/>
    <w:rPr>
      <w:rFonts w:ascii="Times New Roman" w:hAnsi="Times New Roman"/>
      <w:lang w:val="en-GB" w:eastAsia="en-US"/>
    </w:rPr>
  </w:style>
  <w:style w:type="character" w:customStyle="1" w:styleId="TableheadChar">
    <w:name w:val="Table_head Char"/>
    <w:link w:val="Tablehead"/>
    <w:locked/>
    <w:rsid w:val="00214AEE"/>
    <w:rPr>
      <w:rFonts w:ascii="Times New Roman Bold" w:hAnsi="Times New Roman Bold" w:cs="Times New Roman Bold"/>
      <w:b/>
      <w:lang w:val="en-GB" w:eastAsia="en-US"/>
    </w:rPr>
  </w:style>
  <w:style w:type="table" w:styleId="TableGrid">
    <w:name w:val="Table Grid"/>
    <w:basedOn w:val="TableNormal"/>
    <w:rsid w:val="0021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81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A-C-0298/en" TargetMode="Externa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s://www.itu.int/md/R15-SG03-C-0057/en"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1</cp:revision>
  <cp:lastPrinted>2008-02-21T14:04:00Z</cp:lastPrinted>
  <dcterms:created xsi:type="dcterms:W3CDTF">2017-06-12T12:09:00Z</dcterms:created>
  <dcterms:modified xsi:type="dcterms:W3CDTF">2017-06-12T12:09:00Z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