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Tr="00D046A7">
        <w:trPr>
          <w:cantSplit/>
        </w:trPr>
        <w:tc>
          <w:tcPr>
            <w:tcW w:w="1526" w:type="dxa"/>
            <w:vAlign w:val="center"/>
          </w:tcPr>
          <w:p w:rsidR="00DB178B" w:rsidRPr="00D8032B" w:rsidRDefault="00561120" w:rsidP="00561120">
            <w:pPr>
              <w:shd w:val="solid" w:color="FFFFFF" w:fill="FFFFFF"/>
              <w:spacing w:before="0"/>
              <w:rPr>
                <w:rFonts w:ascii="Verdana" w:hAnsi="Verdana" w:cs="Times New Roman Bold"/>
                <w:b/>
                <w:bCs/>
                <w:sz w:val="26"/>
                <w:szCs w:val="26"/>
              </w:rPr>
            </w:pPr>
            <w:bookmarkStart w:id="0" w:name="ditulogo"/>
            <w:bookmarkEnd w:id="0"/>
            <w:r w:rsidRPr="00561120">
              <w:rPr>
                <w:rFonts w:ascii="Verdana" w:hAnsi="Verdana" w:cs="Times New Roman Bold"/>
                <w:b/>
                <w:bCs/>
                <w:noProof/>
                <w:sz w:val="20"/>
                <w:szCs w:val="26"/>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D8032B" w:rsidRDefault="00DB178B" w:rsidP="000604B9">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rsidR="00DB178B" w:rsidRDefault="00DB178B" w:rsidP="00163271">
            <w:pPr>
              <w:shd w:val="solid" w:color="FFFFFF" w:fill="FFFFFF"/>
              <w:spacing w:before="0" w:line="240" w:lineRule="atLeast"/>
              <w:jc w:val="right"/>
            </w:pPr>
            <w:r w:rsidRPr="00975D6F">
              <w:rPr>
                <w:rFonts w:cs="Arial"/>
                <w:noProof/>
                <w:lang w:val="en-US" w:eastAsia="zh-CN"/>
              </w:rPr>
              <w:drawing>
                <wp:inline distT="0" distB="0" distL="0" distR="0" wp14:anchorId="03A12A5D" wp14:editId="58E2D1EE">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rsidTr="00D046A7">
        <w:trPr>
          <w:cantSplit/>
        </w:trPr>
        <w:tc>
          <w:tcPr>
            <w:tcW w:w="6438" w:type="dxa"/>
            <w:gridSpan w:val="2"/>
            <w:tcBorders>
              <w:bottom w:val="single" w:sz="12" w:space="0" w:color="auto"/>
            </w:tcBorders>
          </w:tcPr>
          <w:p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gridSpan w:val="2"/>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5915A2" w:rsidRPr="007E5295" w:rsidTr="00333591">
        <w:trPr>
          <w:cantSplit/>
        </w:trPr>
        <w:tc>
          <w:tcPr>
            <w:tcW w:w="6438" w:type="dxa"/>
            <w:gridSpan w:val="2"/>
            <w:vMerge w:val="restart"/>
          </w:tcPr>
          <w:p w:rsidR="005915A2" w:rsidRPr="00236101" w:rsidRDefault="005915A2" w:rsidP="0049357C">
            <w:pPr>
              <w:shd w:val="solid" w:color="FFFFFF" w:fill="FFFFFF"/>
              <w:tabs>
                <w:tab w:val="clear" w:pos="1134"/>
                <w:tab w:val="clear" w:pos="1871"/>
                <w:tab w:val="clear" w:pos="2268"/>
              </w:tabs>
              <w:spacing w:before="0" w:after="240"/>
              <w:ind w:left="1134" w:hanging="1134"/>
              <w:rPr>
                <w:rFonts w:ascii="Verdana" w:hAnsi="Verdana"/>
                <w:color w:val="000000" w:themeColor="text1"/>
                <w:sz w:val="20"/>
              </w:rPr>
            </w:pPr>
            <w:bookmarkStart w:id="1" w:name="recibido"/>
            <w:bookmarkEnd w:id="1"/>
            <w:r>
              <w:rPr>
                <w:rFonts w:ascii="Verdana" w:hAnsi="Verdana"/>
                <w:sz w:val="20"/>
              </w:rPr>
              <w:t>Source:</w:t>
            </w:r>
            <w:r>
              <w:rPr>
                <w:rFonts w:ascii="Verdana" w:hAnsi="Verdana"/>
                <w:sz w:val="20"/>
              </w:rPr>
              <w:tab/>
            </w:r>
            <w:r w:rsidR="0027485F" w:rsidRPr="0027485F">
              <w:rPr>
                <w:rFonts w:ascii="Verdana" w:hAnsi="Verdana"/>
                <w:sz w:val="20"/>
              </w:rPr>
              <w:t>Document 5A/TEMP/110</w:t>
            </w:r>
          </w:p>
        </w:tc>
        <w:tc>
          <w:tcPr>
            <w:tcW w:w="3451" w:type="dxa"/>
            <w:gridSpan w:val="2"/>
          </w:tcPr>
          <w:p w:rsidR="0027485F" w:rsidRDefault="0027485F" w:rsidP="00B54110">
            <w:pPr>
              <w:shd w:val="solid" w:color="FFFFFF" w:fill="FFFFFF"/>
              <w:spacing w:before="0" w:line="240" w:lineRule="atLeast"/>
              <w:rPr>
                <w:rFonts w:ascii="Verdana" w:hAnsi="Verdana"/>
                <w:b/>
                <w:sz w:val="20"/>
                <w:lang w:eastAsia="zh-CN"/>
              </w:rPr>
            </w:pPr>
            <w:r>
              <w:rPr>
                <w:rFonts w:ascii="Verdana" w:hAnsi="Verdana"/>
                <w:b/>
                <w:sz w:val="20"/>
                <w:lang w:eastAsia="zh-CN"/>
              </w:rPr>
              <w:t>Annex 25 to</w:t>
            </w:r>
          </w:p>
          <w:p w:rsidR="005915A2" w:rsidRPr="00952CB2" w:rsidRDefault="005915A2" w:rsidP="00B54110">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B54110">
              <w:rPr>
                <w:rFonts w:ascii="Verdana" w:hAnsi="Verdana"/>
                <w:b/>
                <w:sz w:val="20"/>
                <w:lang w:eastAsia="zh-CN"/>
              </w:rPr>
              <w:t>5A/</w:t>
            </w:r>
            <w:r w:rsidR="0027485F">
              <w:rPr>
                <w:rFonts w:ascii="Verdana" w:hAnsi="Verdana"/>
                <w:b/>
                <w:sz w:val="20"/>
                <w:lang w:eastAsia="zh-CN"/>
              </w:rPr>
              <w:t>298</w:t>
            </w:r>
            <w:r w:rsidR="00B54110">
              <w:rPr>
                <w:rFonts w:ascii="Verdana" w:hAnsi="Verdana"/>
                <w:b/>
                <w:sz w:val="20"/>
                <w:lang w:eastAsia="zh-CN"/>
              </w:rPr>
              <w:t>-E</w:t>
            </w:r>
          </w:p>
        </w:tc>
      </w:tr>
      <w:tr w:rsidR="005915A2" w:rsidRPr="007E5295" w:rsidTr="00333591">
        <w:trPr>
          <w:cantSplit/>
        </w:trPr>
        <w:tc>
          <w:tcPr>
            <w:tcW w:w="6438" w:type="dxa"/>
            <w:gridSpan w:val="2"/>
            <w:vMerge/>
          </w:tcPr>
          <w:p w:rsidR="005915A2" w:rsidRDefault="005915A2" w:rsidP="005915A2">
            <w:pPr>
              <w:spacing w:before="60"/>
              <w:jc w:val="center"/>
              <w:rPr>
                <w:b/>
                <w:smallCaps/>
                <w:sz w:val="32"/>
                <w:lang w:eastAsia="zh-CN"/>
              </w:rPr>
            </w:pPr>
          </w:p>
        </w:tc>
        <w:tc>
          <w:tcPr>
            <w:tcW w:w="3451" w:type="dxa"/>
            <w:gridSpan w:val="2"/>
          </w:tcPr>
          <w:p w:rsidR="005915A2" w:rsidRPr="007E5295" w:rsidRDefault="0049357C" w:rsidP="00B54110">
            <w:pPr>
              <w:shd w:val="solid" w:color="FFFFFF" w:fill="FFFFFF"/>
              <w:spacing w:before="0" w:line="240" w:lineRule="atLeast"/>
              <w:rPr>
                <w:rFonts w:ascii="Verdana" w:hAnsi="Verdana"/>
                <w:sz w:val="20"/>
                <w:lang w:eastAsia="zh-CN"/>
              </w:rPr>
            </w:pPr>
            <w:r>
              <w:rPr>
                <w:rFonts w:ascii="Verdana" w:hAnsi="Verdana"/>
                <w:b/>
                <w:sz w:val="20"/>
                <w:lang w:eastAsia="zh-CN"/>
              </w:rPr>
              <w:t>1</w:t>
            </w:r>
            <w:r w:rsidR="0027485F">
              <w:rPr>
                <w:rFonts w:ascii="Verdana" w:hAnsi="Verdana"/>
                <w:b/>
                <w:sz w:val="20"/>
                <w:lang w:eastAsia="zh-CN"/>
              </w:rPr>
              <w:t>8</w:t>
            </w:r>
            <w:r w:rsidR="005915A2">
              <w:rPr>
                <w:rFonts w:ascii="Verdana" w:hAnsi="Verdana"/>
                <w:b/>
                <w:sz w:val="20"/>
                <w:lang w:eastAsia="zh-CN"/>
              </w:rPr>
              <w:t xml:space="preserve"> November 2016</w:t>
            </w:r>
          </w:p>
        </w:tc>
      </w:tr>
      <w:tr w:rsidR="005915A2" w:rsidRPr="007E5295" w:rsidTr="00333591">
        <w:trPr>
          <w:cantSplit/>
        </w:trPr>
        <w:tc>
          <w:tcPr>
            <w:tcW w:w="6438" w:type="dxa"/>
            <w:gridSpan w:val="2"/>
            <w:vMerge/>
          </w:tcPr>
          <w:p w:rsidR="005915A2" w:rsidRDefault="005915A2" w:rsidP="005915A2">
            <w:pPr>
              <w:spacing w:before="60"/>
              <w:jc w:val="center"/>
              <w:rPr>
                <w:b/>
                <w:smallCaps/>
                <w:sz w:val="32"/>
                <w:lang w:eastAsia="zh-CN"/>
              </w:rPr>
            </w:pPr>
          </w:p>
        </w:tc>
        <w:tc>
          <w:tcPr>
            <w:tcW w:w="3451" w:type="dxa"/>
            <w:gridSpan w:val="2"/>
          </w:tcPr>
          <w:p w:rsidR="005915A2" w:rsidRPr="007E5295" w:rsidRDefault="005915A2" w:rsidP="005915A2">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5915A2" w:rsidTr="00333591">
        <w:trPr>
          <w:cantSplit/>
        </w:trPr>
        <w:tc>
          <w:tcPr>
            <w:tcW w:w="9889" w:type="dxa"/>
            <w:gridSpan w:val="4"/>
          </w:tcPr>
          <w:p w:rsidR="005915A2" w:rsidRDefault="0027485F" w:rsidP="005915A2">
            <w:pPr>
              <w:pStyle w:val="Source"/>
              <w:rPr>
                <w:lang w:eastAsia="zh-CN"/>
              </w:rPr>
            </w:pPr>
            <w:r w:rsidRPr="0065561A">
              <w:rPr>
                <w:lang w:eastAsia="zh-CN"/>
              </w:rPr>
              <w:t xml:space="preserve">Annex </w:t>
            </w:r>
            <w:r>
              <w:rPr>
                <w:lang w:eastAsia="zh-CN"/>
              </w:rPr>
              <w:t xml:space="preserve">25 </w:t>
            </w:r>
            <w:r w:rsidRPr="0065561A">
              <w:rPr>
                <w:lang w:eastAsia="zh-CN"/>
              </w:rPr>
              <w:t>to Working Party 5A Chairman’s Report</w:t>
            </w:r>
          </w:p>
        </w:tc>
      </w:tr>
      <w:tr w:rsidR="00C51681" w:rsidTr="00333591">
        <w:trPr>
          <w:cantSplit/>
        </w:trPr>
        <w:tc>
          <w:tcPr>
            <w:tcW w:w="9889" w:type="dxa"/>
            <w:gridSpan w:val="4"/>
          </w:tcPr>
          <w:p w:rsidR="00C51681" w:rsidRDefault="00C51681" w:rsidP="00C51681">
            <w:pPr>
              <w:pStyle w:val="RecNo"/>
              <w:rPr>
                <w:lang w:eastAsia="zh-CN"/>
              </w:rPr>
            </w:pPr>
            <w:bookmarkStart w:id="2" w:name="_GoBack" w:colFirst="0" w:colLast="0"/>
            <w:r w:rsidRPr="00AC4E0F">
              <w:rPr>
                <w:lang w:eastAsia="ja-JP"/>
              </w:rPr>
              <w:t>WORKING DOCUMENT TOWARDS A PRELIMINARY</w:t>
            </w:r>
            <w:r w:rsidRPr="00AC4E0F">
              <w:rPr>
                <w:lang w:eastAsia="ja-JP"/>
              </w:rPr>
              <w:br/>
              <w:t xml:space="preserve">DRAFT NEW REPORT ITU-R </w:t>
            </w:r>
            <w:r>
              <w:rPr>
                <w:lang w:eastAsia="ja-JP"/>
              </w:rPr>
              <w:t>M.[RLAN REQ-PAR]</w:t>
            </w:r>
          </w:p>
        </w:tc>
      </w:tr>
      <w:tr w:rsidR="00C51681" w:rsidRPr="00F40CC7" w:rsidTr="00333591">
        <w:trPr>
          <w:cantSplit/>
          <w:trHeight w:val="80"/>
        </w:trPr>
        <w:tc>
          <w:tcPr>
            <w:tcW w:w="9889" w:type="dxa"/>
            <w:gridSpan w:val="4"/>
          </w:tcPr>
          <w:p w:rsidR="00C51681" w:rsidRPr="00F40CC7" w:rsidRDefault="00C51681" w:rsidP="00C51681">
            <w:pPr>
              <w:pStyle w:val="Reptitle"/>
              <w:rPr>
                <w:lang w:val="en-US"/>
              </w:rPr>
            </w:pPr>
            <w:r>
              <w:rPr>
                <w:color w:val="000000"/>
                <w:sz w:val="27"/>
                <w:szCs w:val="27"/>
              </w:rPr>
              <w:t xml:space="preserve">Technical characteristics and operational requirements of WAS/RLAN </w:t>
            </w:r>
            <w:r>
              <w:rPr>
                <w:color w:val="000000"/>
                <w:sz w:val="27"/>
                <w:szCs w:val="27"/>
              </w:rPr>
              <w:br/>
              <w:t>in the 5 GHz frequency range</w:t>
            </w:r>
          </w:p>
        </w:tc>
      </w:tr>
    </w:tbl>
    <w:bookmarkEnd w:id="2"/>
    <w:p w:rsidR="009A1EE9" w:rsidRPr="00F7163A" w:rsidRDefault="009A1EE9" w:rsidP="009A1EE9">
      <w:pPr>
        <w:pStyle w:val="Heading1"/>
      </w:pPr>
      <w:r w:rsidRPr="00F7163A">
        <w:t>1</w:t>
      </w:r>
      <w:r w:rsidRPr="00F7163A">
        <w:tab/>
        <w:t>Introduction</w:t>
      </w:r>
    </w:p>
    <w:p w:rsidR="009A1EE9" w:rsidRDefault="009A1EE9" w:rsidP="009A1EE9">
      <w:pPr>
        <w:rPr>
          <w:color w:val="000000"/>
          <w:szCs w:val="24"/>
        </w:rPr>
      </w:pPr>
      <w:r w:rsidRPr="00897306">
        <w:rPr>
          <w:szCs w:val="24"/>
          <w:lang w:eastAsia="ja-JP"/>
        </w:rPr>
        <w:t>Th</w:t>
      </w:r>
      <w:r>
        <w:rPr>
          <w:szCs w:val="24"/>
          <w:lang w:eastAsia="ja-JP"/>
        </w:rPr>
        <w:t>is</w:t>
      </w:r>
      <w:r w:rsidRPr="00897306">
        <w:rPr>
          <w:szCs w:val="24"/>
          <w:lang w:eastAsia="ja-JP"/>
        </w:rPr>
        <w:t xml:space="preserve"> Report provides </w:t>
      </w:r>
      <w:r w:rsidRPr="00897306">
        <w:rPr>
          <w:color w:val="000000"/>
          <w:szCs w:val="24"/>
        </w:rPr>
        <w:t>technical characteristics and operational re</w:t>
      </w:r>
      <w:r>
        <w:rPr>
          <w:color w:val="000000"/>
          <w:szCs w:val="24"/>
        </w:rPr>
        <w:t>quirements of WAS/RLAN in the 5 </w:t>
      </w:r>
      <w:r w:rsidRPr="00897306">
        <w:rPr>
          <w:color w:val="000000"/>
          <w:szCs w:val="24"/>
        </w:rPr>
        <w:t>GHz frequency range</w:t>
      </w:r>
      <w:r>
        <w:rPr>
          <w:color w:val="000000"/>
          <w:szCs w:val="24"/>
        </w:rPr>
        <w:t>.</w:t>
      </w:r>
    </w:p>
    <w:p w:rsidR="009A1EE9" w:rsidRPr="00F87C5A" w:rsidRDefault="009A1EE9" w:rsidP="009A1EE9">
      <w:pPr>
        <w:rPr>
          <w:i/>
          <w:szCs w:val="24"/>
        </w:rPr>
      </w:pPr>
      <w:r w:rsidRPr="00F87C5A">
        <w:rPr>
          <w:i/>
          <w:color w:val="000000"/>
          <w:szCs w:val="24"/>
        </w:rPr>
        <w:t>[</w:t>
      </w:r>
      <w:r w:rsidRPr="00F87C5A">
        <w:rPr>
          <w:b/>
          <w:i/>
          <w:color w:val="000000"/>
          <w:szCs w:val="24"/>
        </w:rPr>
        <w:t>Editor’s note</w:t>
      </w:r>
      <w:r w:rsidRPr="00F87C5A">
        <w:rPr>
          <w:i/>
          <w:color w:val="000000"/>
          <w:szCs w:val="24"/>
        </w:rPr>
        <w:t xml:space="preserve">: It is intended to represent the response to Invites ITU-R a) of </w:t>
      </w:r>
      <w:r w:rsidRPr="00F87C5A">
        <w:rPr>
          <w:i/>
          <w:szCs w:val="24"/>
          <w:lang w:eastAsia="ja-JP"/>
        </w:rPr>
        <w:t xml:space="preserve">Resolution </w:t>
      </w:r>
      <w:r w:rsidRPr="00F87C5A">
        <w:rPr>
          <w:b/>
          <w:i/>
          <w:szCs w:val="24"/>
        </w:rPr>
        <w:t xml:space="preserve">239 (WRC-15) </w:t>
      </w:r>
      <w:r w:rsidRPr="00F87C5A">
        <w:rPr>
          <w:i/>
          <w:szCs w:val="24"/>
        </w:rPr>
        <w:t>and to serve, as appropriate, as a basis for sharing and compatibility studies and consideration of mitigation techniques under WRC-19 agenda item 1.16.]</w:t>
      </w:r>
    </w:p>
    <w:p w:rsidR="009A1EE9" w:rsidRPr="00F87C5A" w:rsidRDefault="009A1EE9" w:rsidP="00350998">
      <w:pPr>
        <w:rPr>
          <w:i/>
          <w:szCs w:val="24"/>
        </w:rPr>
      </w:pPr>
      <w:r w:rsidRPr="00F87C5A">
        <w:rPr>
          <w:i/>
          <w:szCs w:val="24"/>
        </w:rPr>
        <w:t>[</w:t>
      </w:r>
      <w:r w:rsidRPr="00F87C5A">
        <w:rPr>
          <w:b/>
          <w:i/>
          <w:szCs w:val="24"/>
        </w:rPr>
        <w:t>Editor’s note</w:t>
      </w:r>
      <w:r w:rsidRPr="00F87C5A">
        <w:rPr>
          <w:i/>
          <w:szCs w:val="24"/>
        </w:rPr>
        <w:t>: The technical and operational parameters contained in this document are based mainly on Wi-Fi usage and discu</w:t>
      </w:r>
      <w:r>
        <w:rPr>
          <w:i/>
          <w:szCs w:val="24"/>
        </w:rPr>
        <w:t>ssions associated with the 5 350</w:t>
      </w:r>
      <w:r w:rsidR="00350998">
        <w:rPr>
          <w:i/>
          <w:szCs w:val="24"/>
        </w:rPr>
        <w:t>-</w:t>
      </w:r>
      <w:r w:rsidRPr="00F87C5A">
        <w:rPr>
          <w:i/>
          <w:szCs w:val="24"/>
        </w:rPr>
        <w:t>5</w:t>
      </w:r>
      <w:r>
        <w:rPr>
          <w:i/>
          <w:szCs w:val="24"/>
        </w:rPr>
        <w:t xml:space="preserve"> </w:t>
      </w:r>
      <w:r w:rsidRPr="00F87C5A">
        <w:rPr>
          <w:i/>
          <w:szCs w:val="24"/>
        </w:rPr>
        <w:t>470 MHz band from the previous study cycle. There will need to be a review of all of these parameters to take account of possible parameters to be used in the other bands under the agenda item and for other types of RLAN technologies (e.g. LTE/LAA etc.)]</w:t>
      </w:r>
    </w:p>
    <w:p w:rsidR="009A1EE9" w:rsidRPr="008B7D58" w:rsidRDefault="009A1EE9" w:rsidP="009A1EE9">
      <w:pPr>
        <w:pStyle w:val="Heading1"/>
      </w:pPr>
      <w:r w:rsidRPr="008B7D58">
        <w:rPr>
          <w:lang w:eastAsia="ja-JP"/>
        </w:rPr>
        <w:t>2</w:t>
      </w:r>
      <w:r w:rsidRPr="008B7D58">
        <w:rPr>
          <w:lang w:eastAsia="ja-JP"/>
        </w:rPr>
        <w:tab/>
      </w:r>
      <w:r>
        <w:t>WAS/RLAN requirements</w:t>
      </w:r>
    </w:p>
    <w:p w:rsidR="009A1EE9" w:rsidRPr="008B7D58" w:rsidRDefault="009A1EE9" w:rsidP="009A1EE9">
      <w:pPr>
        <w:pStyle w:val="Heading2"/>
        <w:rPr>
          <w:szCs w:val="24"/>
        </w:rPr>
      </w:pPr>
      <w:r w:rsidRPr="008B7D58">
        <w:rPr>
          <w:szCs w:val="24"/>
        </w:rPr>
        <w:t>2.1</w:t>
      </w:r>
      <w:r w:rsidRPr="008B7D58">
        <w:rPr>
          <w:szCs w:val="24"/>
        </w:rPr>
        <w:tab/>
      </w:r>
      <w:r>
        <w:rPr>
          <w:szCs w:val="24"/>
        </w:rPr>
        <w:t>Spectrum requirements</w:t>
      </w:r>
    </w:p>
    <w:p w:rsidR="009A1EE9" w:rsidRDefault="009A1EE9" w:rsidP="009A1EE9">
      <w:pPr>
        <w:rPr>
          <w:szCs w:val="24"/>
          <w:shd w:val="clear" w:color="auto" w:fill="FFFFFF"/>
        </w:rPr>
      </w:pPr>
      <w:r>
        <w:rPr>
          <w:szCs w:val="24"/>
          <w:shd w:val="clear" w:color="auto" w:fill="FFFFFF"/>
        </w:rPr>
        <w:t xml:space="preserve">Revised WAS/RLAN spectrum requirements were addressed during previous study period in relevant ITU-R groups under WRC-15 agenda item 1.1 and are duly considered in </w:t>
      </w:r>
      <w:r w:rsidRPr="002E4826">
        <w:rPr>
          <w:i/>
          <w:szCs w:val="24"/>
          <w:shd w:val="clear" w:color="auto" w:fill="FFFFFF"/>
        </w:rPr>
        <w:t>recognising</w:t>
      </w:r>
      <w:r>
        <w:rPr>
          <w:szCs w:val="24"/>
          <w:shd w:val="clear" w:color="auto" w:fill="FFFFFF"/>
        </w:rPr>
        <w:t xml:space="preserve"> b) of </w:t>
      </w:r>
      <w:r w:rsidRPr="00897306">
        <w:rPr>
          <w:szCs w:val="24"/>
          <w:lang w:eastAsia="ja-JP"/>
        </w:rPr>
        <w:t xml:space="preserve">Resolution </w:t>
      </w:r>
      <w:r>
        <w:rPr>
          <w:b/>
          <w:szCs w:val="24"/>
        </w:rPr>
        <w:t>239 (WRC-15</w:t>
      </w:r>
      <w:r w:rsidRPr="00897306">
        <w:rPr>
          <w:b/>
          <w:szCs w:val="24"/>
        </w:rPr>
        <w:t>)</w:t>
      </w:r>
      <w:r>
        <w:rPr>
          <w:szCs w:val="24"/>
        </w:rPr>
        <w:t>. As such, t</w:t>
      </w:r>
      <w:r>
        <w:rPr>
          <w:szCs w:val="24"/>
          <w:shd w:val="clear" w:color="auto" w:fill="FFFFFF"/>
        </w:rPr>
        <w:t>he present Report is not aimed as reconsidering these spectrum requirements.</w:t>
      </w:r>
    </w:p>
    <w:p w:rsidR="009A1EE9" w:rsidRPr="00F87C5A" w:rsidRDefault="009A1EE9" w:rsidP="009A1EE9">
      <w:pPr>
        <w:rPr>
          <w:i/>
          <w:szCs w:val="24"/>
          <w:shd w:val="clear" w:color="auto" w:fill="FFFFFF"/>
        </w:rPr>
      </w:pPr>
      <w:r w:rsidRPr="00F87C5A">
        <w:rPr>
          <w:i/>
          <w:szCs w:val="24"/>
        </w:rPr>
        <w:t>[</w:t>
      </w:r>
      <w:r w:rsidRPr="00F87C5A">
        <w:rPr>
          <w:b/>
          <w:i/>
          <w:szCs w:val="24"/>
        </w:rPr>
        <w:t>Editor’s note</w:t>
      </w:r>
      <w:r w:rsidRPr="00F87C5A">
        <w:rPr>
          <w:i/>
          <w:szCs w:val="24"/>
        </w:rPr>
        <w:t>: F</w:t>
      </w:r>
      <w:r w:rsidRPr="00F87C5A">
        <w:rPr>
          <w:i/>
          <w:szCs w:val="24"/>
          <w:shd w:val="clear" w:color="auto" w:fill="FFFFFF"/>
        </w:rPr>
        <w:t>or reference only, the detailed calculations related to these spectrum requirements can be found in Document 4-5-6-7/137.]</w:t>
      </w:r>
    </w:p>
    <w:p w:rsidR="009A1EE9" w:rsidRPr="001B7686" w:rsidRDefault="009A1EE9" w:rsidP="009A1EE9">
      <w:pPr>
        <w:rPr>
          <w:szCs w:val="24"/>
        </w:rPr>
      </w:pPr>
    </w:p>
    <w:p w:rsidR="009A1EE9" w:rsidRPr="008B7D58" w:rsidRDefault="009A1EE9" w:rsidP="009A1EE9">
      <w:pPr>
        <w:pStyle w:val="Heading2"/>
        <w:rPr>
          <w:szCs w:val="24"/>
        </w:rPr>
      </w:pPr>
      <w:r>
        <w:rPr>
          <w:szCs w:val="24"/>
        </w:rPr>
        <w:lastRenderedPageBreak/>
        <w:t>2.2</w:t>
      </w:r>
      <w:r w:rsidRPr="008B7D58">
        <w:rPr>
          <w:szCs w:val="24"/>
        </w:rPr>
        <w:tab/>
      </w:r>
      <w:r>
        <w:rPr>
          <w:szCs w:val="24"/>
        </w:rPr>
        <w:t>Operational requirements</w:t>
      </w:r>
    </w:p>
    <w:p w:rsidR="009A1EE9" w:rsidRDefault="009A1EE9" w:rsidP="009A1EE9">
      <w:pPr>
        <w:rPr>
          <w:szCs w:val="24"/>
          <w:shd w:val="clear" w:color="auto" w:fill="FFFFFF"/>
        </w:rPr>
      </w:pPr>
      <w:r>
        <w:rPr>
          <w:szCs w:val="24"/>
          <w:shd w:val="clear" w:color="auto" w:fill="FFFFFF"/>
        </w:rPr>
        <w:t>WAS/RLAN operational requirements have to be considered over the whole 5 GHz range, taking into account existing regulations in current RLAN bands (5 150-5 350 MHz and 5 470-5 725 MHz) as well as those for possible extension bands (5 350-5 470 MHz and 5 725-5 925 MHz).</w:t>
      </w:r>
    </w:p>
    <w:p w:rsidR="009A1EE9" w:rsidRPr="004B0903" w:rsidRDefault="009A1EE9" w:rsidP="009A1EE9">
      <w:pPr>
        <w:rPr>
          <w:i/>
          <w:szCs w:val="24"/>
          <w:shd w:val="clear" w:color="auto" w:fill="FFFFFF"/>
        </w:rPr>
      </w:pPr>
      <w:r w:rsidRPr="00EC7941">
        <w:rPr>
          <w:i/>
          <w:szCs w:val="24"/>
          <w:shd w:val="clear" w:color="auto" w:fill="FFFFFF"/>
        </w:rPr>
        <w:t>[</w:t>
      </w:r>
      <w:r w:rsidRPr="00EC7941">
        <w:rPr>
          <w:b/>
          <w:i/>
          <w:szCs w:val="24"/>
          <w:shd w:val="clear" w:color="auto" w:fill="FFFFFF"/>
        </w:rPr>
        <w:t>Editor’s note</w:t>
      </w:r>
      <w:r w:rsidRPr="00EC7941">
        <w:rPr>
          <w:i/>
          <w:szCs w:val="24"/>
          <w:shd w:val="clear" w:color="auto" w:fill="FFFFFF"/>
        </w:rPr>
        <w:t xml:space="preserve">: see also Documents </w:t>
      </w:r>
      <w:hyperlink r:id="rId13" w:history="1">
        <w:r w:rsidRPr="00E14178">
          <w:rPr>
            <w:rStyle w:val="Hyperlink"/>
            <w:i/>
            <w:szCs w:val="24"/>
            <w:shd w:val="clear" w:color="auto" w:fill="FFFFFF"/>
          </w:rPr>
          <w:t>5A/64</w:t>
        </w:r>
      </w:hyperlink>
      <w:r w:rsidRPr="00EC7941">
        <w:rPr>
          <w:i/>
          <w:szCs w:val="24"/>
          <w:shd w:val="clear" w:color="auto" w:fill="FFFFFF"/>
        </w:rPr>
        <w:t xml:space="preserve">, </w:t>
      </w:r>
      <w:hyperlink r:id="rId14" w:history="1">
        <w:r w:rsidRPr="00E14178">
          <w:rPr>
            <w:rStyle w:val="Hyperlink"/>
            <w:i/>
            <w:szCs w:val="24"/>
            <w:shd w:val="clear" w:color="auto" w:fill="FFFFFF"/>
          </w:rPr>
          <w:t>5A/92</w:t>
        </w:r>
      </w:hyperlink>
      <w:r w:rsidRPr="00EC7941">
        <w:rPr>
          <w:i/>
          <w:szCs w:val="24"/>
          <w:shd w:val="clear" w:color="auto" w:fill="FFFFFF"/>
        </w:rPr>
        <w:t>]</w:t>
      </w:r>
    </w:p>
    <w:p w:rsidR="009A1EE9" w:rsidRPr="008B7D58" w:rsidRDefault="009A1EE9" w:rsidP="009A1EE9">
      <w:pPr>
        <w:pStyle w:val="Heading2"/>
      </w:pPr>
      <w:r w:rsidRPr="008B7D58">
        <w:rPr>
          <w:shd w:val="clear" w:color="auto" w:fill="FFFFFF"/>
        </w:rPr>
        <w:t>2.2</w:t>
      </w:r>
      <w:r>
        <w:rPr>
          <w:shd w:val="clear" w:color="auto" w:fill="FFFFFF"/>
        </w:rPr>
        <w:t>.1</w:t>
      </w:r>
      <w:r w:rsidRPr="008B7D58">
        <w:rPr>
          <w:shd w:val="clear" w:color="auto" w:fill="FFFFFF"/>
        </w:rPr>
        <w:tab/>
      </w:r>
      <w:r>
        <w:rPr>
          <w:shd w:val="clear" w:color="auto" w:fill="FFFFFF"/>
        </w:rPr>
        <w:t>E.I.R.P. requirements</w:t>
      </w:r>
    </w:p>
    <w:p w:rsidR="009A1EE9" w:rsidRDefault="009A1EE9" w:rsidP="009A1EE9">
      <w:pPr>
        <w:pStyle w:val="enumlev1"/>
      </w:pPr>
      <w:r>
        <w:t>a)</w:t>
      </w:r>
      <w:r>
        <w:tab/>
        <w:t>Current situation in existing bands</w:t>
      </w:r>
    </w:p>
    <w:p w:rsidR="009A1EE9" w:rsidRDefault="009A1EE9" w:rsidP="009A1EE9">
      <w:pPr>
        <w:pStyle w:val="enumlev2"/>
      </w:pPr>
      <w:r>
        <w:t>See Resolution 229 (Rev. WRC-12)</w:t>
      </w:r>
    </w:p>
    <w:p w:rsidR="009A1EE9" w:rsidRDefault="009A1EE9" w:rsidP="009A1EE9">
      <w:pPr>
        <w:pStyle w:val="enumlev2"/>
      </w:pPr>
      <w:r>
        <w:t xml:space="preserve">See Resolution 239 (WRC-15) </w:t>
      </w:r>
      <w:r w:rsidRPr="00F87C5A">
        <w:rPr>
          <w:i/>
        </w:rPr>
        <w:t>invites ITU-R c)</w:t>
      </w:r>
    </w:p>
    <w:p w:rsidR="009A1EE9" w:rsidRDefault="009A1EE9" w:rsidP="009A1EE9">
      <w:pPr>
        <w:pStyle w:val="enumlev1"/>
      </w:pPr>
      <w:r>
        <w:t>b)</w:t>
      </w:r>
      <w:r>
        <w:tab/>
        <w:t>E.i.r.p. requirements over the whole 5 GHz range</w:t>
      </w:r>
    </w:p>
    <w:p w:rsidR="009A1EE9" w:rsidRDefault="009A1EE9" w:rsidP="009A1EE9">
      <w:pPr>
        <w:pStyle w:val="enumlev1"/>
      </w:pPr>
      <w:r>
        <w:t>c)</w:t>
      </w:r>
      <w:r>
        <w:tab/>
        <w:t>Consideration of potential e.i.r.p. requirements on a sub-band basis</w:t>
      </w:r>
    </w:p>
    <w:p w:rsidR="009A1EE9" w:rsidRDefault="009A1EE9" w:rsidP="009A1EE9">
      <w:pPr>
        <w:pStyle w:val="enumlev1"/>
      </w:pPr>
      <w:r>
        <w:t>d)</w:t>
      </w:r>
      <w:r>
        <w:tab/>
        <w:t>Current equipment conducted power limits.</w:t>
      </w:r>
    </w:p>
    <w:p w:rsidR="009A1EE9" w:rsidRPr="008B7D58" w:rsidRDefault="009A1EE9" w:rsidP="009A1EE9">
      <w:pPr>
        <w:pStyle w:val="Heading2"/>
      </w:pPr>
      <w:r w:rsidRPr="008B7D58">
        <w:rPr>
          <w:shd w:val="clear" w:color="auto" w:fill="FFFFFF"/>
        </w:rPr>
        <w:t>2.2</w:t>
      </w:r>
      <w:r>
        <w:rPr>
          <w:shd w:val="clear" w:color="auto" w:fill="FFFFFF"/>
        </w:rPr>
        <w:t>.2</w:t>
      </w:r>
      <w:r w:rsidRPr="008B7D58">
        <w:rPr>
          <w:shd w:val="clear" w:color="auto" w:fill="FFFFFF"/>
        </w:rPr>
        <w:tab/>
      </w:r>
      <w:r>
        <w:rPr>
          <w:shd w:val="clear" w:color="auto" w:fill="FFFFFF"/>
        </w:rPr>
        <w:t>Outdoor usage</w:t>
      </w:r>
    </w:p>
    <w:p w:rsidR="009A1EE9" w:rsidRDefault="009A1EE9" w:rsidP="009A1EE9">
      <w:pPr>
        <w:pStyle w:val="enumlev1"/>
      </w:pPr>
      <w:r>
        <w:t>a)</w:t>
      </w:r>
      <w:r>
        <w:tab/>
        <w:t>Current situation in existing bands</w:t>
      </w:r>
    </w:p>
    <w:p w:rsidR="009A1EE9" w:rsidRDefault="009A1EE9" w:rsidP="009A1EE9">
      <w:pPr>
        <w:pStyle w:val="enumlev2"/>
      </w:pPr>
      <w:r>
        <w:t>See Resolution 229 (Rev. WRC-12)</w:t>
      </w:r>
    </w:p>
    <w:p w:rsidR="009A1EE9" w:rsidRDefault="009A1EE9" w:rsidP="009A1EE9">
      <w:pPr>
        <w:pStyle w:val="enumlev1"/>
      </w:pPr>
      <w:r>
        <w:t>b)</w:t>
      </w:r>
      <w:r>
        <w:tab/>
        <w:t>Outdoor usage requirements over the whole 5 GHz range</w:t>
      </w:r>
    </w:p>
    <w:p w:rsidR="009A1EE9" w:rsidRDefault="009A1EE9" w:rsidP="009A1EE9">
      <w:pPr>
        <w:pStyle w:val="enumlev1"/>
      </w:pPr>
      <w:r>
        <w:t>c)</w:t>
      </w:r>
      <w:r>
        <w:tab/>
        <w:t>Consideration of potential outdoor usage requirements on a sub-band basis</w:t>
      </w:r>
    </w:p>
    <w:p w:rsidR="009A1EE9" w:rsidRDefault="009A1EE9" w:rsidP="009A1EE9">
      <w:pPr>
        <w:rPr>
          <w:i/>
          <w:szCs w:val="24"/>
        </w:rPr>
      </w:pPr>
      <w:r w:rsidRPr="00EC7941">
        <w:rPr>
          <w:i/>
          <w:szCs w:val="24"/>
        </w:rPr>
        <w:t>[</w:t>
      </w:r>
      <w:r w:rsidRPr="00EC7941">
        <w:rPr>
          <w:b/>
          <w:i/>
          <w:szCs w:val="24"/>
        </w:rPr>
        <w:t>Editor note</w:t>
      </w:r>
      <w:r w:rsidRPr="00EC7941">
        <w:rPr>
          <w:i/>
          <w:szCs w:val="24"/>
        </w:rPr>
        <w:t>: it would be convenient to include references on potential deployment scenarios of RLAN]</w:t>
      </w:r>
    </w:p>
    <w:p w:rsidR="009A1EE9" w:rsidRPr="008B7D58" w:rsidRDefault="009A1EE9" w:rsidP="009A1EE9">
      <w:pPr>
        <w:pStyle w:val="Heading2"/>
      </w:pPr>
      <w:r w:rsidRPr="008B7D58">
        <w:rPr>
          <w:shd w:val="clear" w:color="auto" w:fill="FFFFFF"/>
        </w:rPr>
        <w:t>2.2</w:t>
      </w:r>
      <w:r>
        <w:rPr>
          <w:shd w:val="clear" w:color="auto" w:fill="FFFFFF"/>
        </w:rPr>
        <w:t>.</w:t>
      </w:r>
      <w:r w:rsidR="00FB4F0A">
        <w:rPr>
          <w:shd w:val="clear" w:color="auto" w:fill="FFFFFF"/>
        </w:rPr>
        <w:t>3</w:t>
      </w:r>
      <w:r w:rsidRPr="008B7D58">
        <w:rPr>
          <w:shd w:val="clear" w:color="auto" w:fill="FFFFFF"/>
        </w:rPr>
        <w:tab/>
      </w:r>
      <w:r>
        <w:rPr>
          <w:shd w:val="clear" w:color="auto" w:fill="FFFFFF"/>
        </w:rPr>
        <w:t>Other requirements</w:t>
      </w:r>
    </w:p>
    <w:p w:rsidR="009A1EE9" w:rsidRDefault="004B430A" w:rsidP="009A1EE9">
      <w:pPr>
        <w:rPr>
          <w:szCs w:val="24"/>
          <w:shd w:val="clear" w:color="auto" w:fill="FFFFFF"/>
        </w:rPr>
      </w:pPr>
      <w:r w:rsidRPr="00E85013">
        <w:rPr>
          <w:i/>
          <w:szCs w:val="24"/>
          <w:shd w:val="clear" w:color="auto" w:fill="FFFFFF"/>
        </w:rPr>
        <w:t>[Editor’s note: Text to be developed]</w:t>
      </w:r>
    </w:p>
    <w:p w:rsidR="009A1EE9" w:rsidRPr="00EC7941" w:rsidRDefault="009A1EE9" w:rsidP="009A1EE9">
      <w:pPr>
        <w:rPr>
          <w:i/>
          <w:szCs w:val="24"/>
        </w:rPr>
      </w:pPr>
    </w:p>
    <w:p w:rsidR="009A1EE9" w:rsidRPr="008B7D58" w:rsidRDefault="009A1EE9" w:rsidP="009A1EE9">
      <w:pPr>
        <w:pStyle w:val="Heading2"/>
      </w:pPr>
      <w:r w:rsidRPr="008B7D58">
        <w:rPr>
          <w:shd w:val="clear" w:color="auto" w:fill="FFFFFF"/>
        </w:rPr>
        <w:t>2.</w:t>
      </w:r>
      <w:r>
        <w:rPr>
          <w:shd w:val="clear" w:color="auto" w:fill="FFFFFF"/>
        </w:rPr>
        <w:t>3</w:t>
      </w:r>
      <w:r w:rsidRPr="008B7D58">
        <w:rPr>
          <w:shd w:val="clear" w:color="auto" w:fill="FFFFFF"/>
        </w:rPr>
        <w:tab/>
      </w:r>
      <w:r>
        <w:rPr>
          <w:shd w:val="clear" w:color="auto" w:fill="FFFFFF"/>
        </w:rPr>
        <w:t>Channel plan and potential cross-band issues</w:t>
      </w:r>
    </w:p>
    <w:p w:rsidR="00435F22" w:rsidRDefault="009A1EE9" w:rsidP="009A1EE9">
      <w:pPr>
        <w:rPr>
          <w:szCs w:val="24"/>
          <w:shd w:val="clear" w:color="auto" w:fill="FFFFFF"/>
        </w:rPr>
      </w:pPr>
      <w:r>
        <w:rPr>
          <w:szCs w:val="24"/>
          <w:shd w:val="clear" w:color="auto" w:fill="FFFFFF"/>
        </w:rPr>
        <w:t xml:space="preserve">The following Figure 1 describes </w:t>
      </w:r>
      <w:r w:rsidR="005E3AE8">
        <w:rPr>
          <w:szCs w:val="24"/>
          <w:shd w:val="clear" w:color="auto" w:fill="FFFFFF"/>
        </w:rPr>
        <w:t>a</w:t>
      </w:r>
      <w:r>
        <w:rPr>
          <w:szCs w:val="24"/>
          <w:shd w:val="clear" w:color="auto" w:fill="FFFFFF"/>
        </w:rPr>
        <w:t xml:space="preserve"> baseline channelization scheme</w:t>
      </w:r>
      <w:r w:rsidR="005E3AE8">
        <w:rPr>
          <w:szCs w:val="24"/>
          <w:shd w:val="clear" w:color="auto" w:fill="FFFFFF"/>
        </w:rPr>
        <w:t>, assuming that this will follow the current channelization between 5</w:t>
      </w:r>
      <w:r w:rsidR="00E14178">
        <w:rPr>
          <w:szCs w:val="24"/>
          <w:shd w:val="clear" w:color="auto" w:fill="FFFFFF"/>
        </w:rPr>
        <w:t> </w:t>
      </w:r>
      <w:r w:rsidR="005E3AE8">
        <w:rPr>
          <w:szCs w:val="24"/>
          <w:shd w:val="clear" w:color="auto" w:fill="FFFFFF"/>
        </w:rPr>
        <w:t>150-5</w:t>
      </w:r>
      <w:r w:rsidR="00E14178">
        <w:rPr>
          <w:szCs w:val="24"/>
          <w:shd w:val="clear" w:color="auto" w:fill="FFFFFF"/>
        </w:rPr>
        <w:t> </w:t>
      </w:r>
      <w:r w:rsidR="005E3AE8">
        <w:rPr>
          <w:szCs w:val="24"/>
          <w:shd w:val="clear" w:color="auto" w:fill="FFFFFF"/>
        </w:rPr>
        <w:t>350 MHz and 5</w:t>
      </w:r>
      <w:r w:rsidR="00E14178">
        <w:rPr>
          <w:szCs w:val="24"/>
          <w:shd w:val="clear" w:color="auto" w:fill="FFFFFF"/>
        </w:rPr>
        <w:t> </w:t>
      </w:r>
      <w:r w:rsidR="005E3AE8">
        <w:rPr>
          <w:szCs w:val="24"/>
          <w:shd w:val="clear" w:color="auto" w:fill="FFFFFF"/>
        </w:rPr>
        <w:t>470-5</w:t>
      </w:r>
      <w:r w:rsidR="00E14178">
        <w:rPr>
          <w:szCs w:val="24"/>
          <w:shd w:val="clear" w:color="auto" w:fill="FFFFFF"/>
        </w:rPr>
        <w:t> </w:t>
      </w:r>
      <w:r w:rsidR="005E3AE8">
        <w:rPr>
          <w:szCs w:val="24"/>
          <w:shd w:val="clear" w:color="auto" w:fill="FFFFFF"/>
        </w:rPr>
        <w:t>725</w:t>
      </w:r>
      <w:r w:rsidR="00E14178">
        <w:rPr>
          <w:szCs w:val="24"/>
          <w:shd w:val="clear" w:color="auto" w:fill="FFFFFF"/>
        </w:rPr>
        <w:t> </w:t>
      </w:r>
      <w:r w:rsidR="005E3AE8">
        <w:rPr>
          <w:szCs w:val="24"/>
          <w:shd w:val="clear" w:color="auto" w:fill="FFFFFF"/>
        </w:rPr>
        <w:t>MHz bands,</w:t>
      </w:r>
      <w:r>
        <w:rPr>
          <w:szCs w:val="24"/>
          <w:shd w:val="clear" w:color="auto" w:fill="FFFFFF"/>
        </w:rPr>
        <w:t xml:space="preserve"> for WiFi type and LAA-LTE type WAS/RLAN applications, considering the existing bands and possible extension bands</w:t>
      </w:r>
      <w:r>
        <w:rPr>
          <w:rStyle w:val="FootnoteReference"/>
          <w:szCs w:val="24"/>
          <w:shd w:val="clear" w:color="auto" w:fill="FFFFFF"/>
        </w:rPr>
        <w:footnoteReference w:id="1"/>
      </w:r>
      <w:r>
        <w:rPr>
          <w:szCs w:val="24"/>
          <w:shd w:val="clear" w:color="auto" w:fill="FFFFFF"/>
        </w:rPr>
        <w:t>. Notice that both RLAN technologies consider a minimum channel bandwidth of 20 MHz and the same channelization. Moreover, it is worth noticing that any particular channelization or channel bandwidth are not mandated in the regulations</w:t>
      </w:r>
      <w:r w:rsidR="00C2353F">
        <w:rPr>
          <w:szCs w:val="24"/>
          <w:shd w:val="clear" w:color="auto" w:fill="FFFFFF"/>
        </w:rPr>
        <w:t xml:space="preserve"> </w:t>
      </w:r>
      <w:r w:rsidR="00C2353F" w:rsidRPr="009D36DF">
        <w:rPr>
          <w:shd w:val="clear" w:color="auto" w:fill="FFFFFF"/>
        </w:rPr>
        <w:t xml:space="preserve">and also that channel allocations </w:t>
      </w:r>
      <w:r w:rsidR="00C2353F">
        <w:rPr>
          <w:shd w:val="clear" w:color="auto" w:fill="FFFFFF"/>
        </w:rPr>
        <w:t xml:space="preserve">have not </w:t>
      </w:r>
      <w:r w:rsidR="00C2353F" w:rsidRPr="009D36DF">
        <w:rPr>
          <w:shd w:val="clear" w:color="auto" w:fill="FFFFFF"/>
        </w:rPr>
        <w:t>specifically</w:t>
      </w:r>
      <w:r w:rsidR="00C2353F">
        <w:rPr>
          <w:shd w:val="clear" w:color="auto" w:fill="FFFFFF"/>
        </w:rPr>
        <w:t xml:space="preserve"> been</w:t>
      </w:r>
      <w:r w:rsidR="00C2353F" w:rsidRPr="009D36DF">
        <w:rPr>
          <w:shd w:val="clear" w:color="auto" w:fill="FFFFFF"/>
        </w:rPr>
        <w:t xml:space="preserve"> defined within 5350-5470 MHz in the standards</w:t>
      </w:r>
      <w:r w:rsidR="002F7FEA">
        <w:rPr>
          <w:szCs w:val="24"/>
          <w:shd w:val="clear" w:color="auto" w:fill="FFFFFF"/>
        </w:rPr>
        <w:t>.</w:t>
      </w:r>
    </w:p>
    <w:p w:rsidR="009A1EE9" w:rsidRDefault="009A1EE9" w:rsidP="009A1EE9">
      <w:pPr>
        <w:rPr>
          <w:szCs w:val="24"/>
          <w:shd w:val="clear" w:color="auto" w:fill="FFFFFF"/>
        </w:rPr>
      </w:pPr>
      <w:r>
        <w:rPr>
          <w:szCs w:val="24"/>
          <w:shd w:val="clear" w:color="auto" w:fill="FFFFFF"/>
        </w:rPr>
        <w:t>Additionally, Figure 1 shows that channelization scheme for Wi-Fi considering channel bandwidth of 40 MHz, 80 MHz and 160 MHz.</w:t>
      </w:r>
      <w:r w:rsidR="00C51681">
        <w:rPr>
          <w:szCs w:val="24"/>
          <w:shd w:val="clear" w:color="auto" w:fill="FFFFFF"/>
        </w:rPr>
        <w:t xml:space="preserve"> </w:t>
      </w:r>
    </w:p>
    <w:p w:rsidR="009A1EE9" w:rsidRDefault="009A1EE9" w:rsidP="00E85013">
      <w:pPr>
        <w:rPr>
          <w:caps/>
          <w:sz w:val="20"/>
        </w:rPr>
      </w:pPr>
      <w:r>
        <w:br w:type="page"/>
      </w:r>
    </w:p>
    <w:p w:rsidR="009A1EE9" w:rsidRDefault="009A1EE9" w:rsidP="009A1EE9">
      <w:pPr>
        <w:pStyle w:val="FigureNo"/>
      </w:pPr>
      <w:r w:rsidRPr="00BD2C30">
        <w:lastRenderedPageBreak/>
        <w:t>Figure 1</w:t>
      </w:r>
    </w:p>
    <w:p w:rsidR="009A1EE9" w:rsidRDefault="009A1EE9" w:rsidP="009A1EE9">
      <w:pPr>
        <w:pStyle w:val="Figuretitle"/>
      </w:pPr>
      <w:r>
        <w:t>Baseline Channelization Scheme</w:t>
      </w:r>
    </w:p>
    <w:p w:rsidR="009A1EE9" w:rsidRDefault="009A1EE9" w:rsidP="00E85013">
      <w:r>
        <w:rPr>
          <w:noProof/>
          <w:lang w:val="en-US" w:eastAsia="zh-CN"/>
        </w:rPr>
        <w:drawing>
          <wp:inline distT="0" distB="0" distL="0" distR="0" wp14:anchorId="79EC04FD" wp14:editId="6E885A5D">
            <wp:extent cx="6108700" cy="2040546"/>
            <wp:effectExtent l="0" t="0" r="0" b="0"/>
            <wp:docPr id="1101" name="Picture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0098" cy="2041013"/>
                    </a:xfrm>
                    <a:prstGeom prst="rect">
                      <a:avLst/>
                    </a:prstGeom>
                    <a:noFill/>
                  </pic:spPr>
                </pic:pic>
              </a:graphicData>
            </a:graphic>
          </wp:inline>
        </w:drawing>
      </w:r>
    </w:p>
    <w:p w:rsidR="009A1EE9" w:rsidRPr="009A1EE9" w:rsidRDefault="009A1EE9" w:rsidP="00E85013"/>
    <w:p w:rsidR="009A1EE9" w:rsidRDefault="009A1EE9" w:rsidP="009A1EE9">
      <w:r w:rsidRPr="00774DE5">
        <w:rPr>
          <w:noProof/>
          <w:lang w:val="en-US" w:eastAsia="zh-CN"/>
        </w:rPr>
        <w:drawing>
          <wp:inline distT="0" distB="0" distL="0" distR="0" wp14:anchorId="7FFF96BF" wp14:editId="0B470C0F">
            <wp:extent cx="6120765" cy="1811020"/>
            <wp:effectExtent l="0" t="0" r="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1811020"/>
                    </a:xfrm>
                    <a:prstGeom prst="rect">
                      <a:avLst/>
                    </a:prstGeom>
                    <a:noFill/>
                    <a:ln>
                      <a:noFill/>
                    </a:ln>
                    <a:effectLst/>
                    <a:extLst/>
                  </pic:spPr>
                </pic:pic>
              </a:graphicData>
            </a:graphic>
          </wp:inline>
        </w:drawing>
      </w:r>
    </w:p>
    <w:p w:rsidR="009A1EE9" w:rsidRDefault="009A1EE9" w:rsidP="009A1EE9"/>
    <w:p w:rsidR="009A1EE9" w:rsidRDefault="009A1EE9" w:rsidP="009A1EE9">
      <w:r w:rsidRPr="00774DE5">
        <w:rPr>
          <w:noProof/>
          <w:lang w:val="en-US" w:eastAsia="zh-CN"/>
        </w:rPr>
        <w:drawing>
          <wp:inline distT="0" distB="0" distL="0" distR="0" wp14:anchorId="3FA659DD" wp14:editId="6BD258E3">
            <wp:extent cx="6120765" cy="1743075"/>
            <wp:effectExtent l="0" t="0" r="0" b="952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1743075"/>
                    </a:xfrm>
                    <a:prstGeom prst="rect">
                      <a:avLst/>
                    </a:prstGeom>
                    <a:noFill/>
                    <a:ln>
                      <a:noFill/>
                    </a:ln>
                    <a:effectLst/>
                    <a:extLst/>
                  </pic:spPr>
                </pic:pic>
              </a:graphicData>
            </a:graphic>
          </wp:inline>
        </w:drawing>
      </w:r>
    </w:p>
    <w:p w:rsidR="009A1EE9" w:rsidRPr="008B7D58" w:rsidRDefault="009A1EE9" w:rsidP="009A1EE9">
      <w:pPr>
        <w:pStyle w:val="Heading2"/>
      </w:pPr>
      <w:r w:rsidRPr="008B7D58">
        <w:rPr>
          <w:shd w:val="clear" w:color="auto" w:fill="FFFFFF"/>
        </w:rPr>
        <w:t>2.</w:t>
      </w:r>
      <w:r w:rsidR="007A18BE">
        <w:rPr>
          <w:shd w:val="clear" w:color="auto" w:fill="FFFFFF"/>
        </w:rPr>
        <w:t>4</w:t>
      </w:r>
      <w:r w:rsidRPr="008B7D58">
        <w:rPr>
          <w:shd w:val="clear" w:color="auto" w:fill="FFFFFF"/>
        </w:rPr>
        <w:tab/>
      </w:r>
      <w:r>
        <w:rPr>
          <w:shd w:val="clear" w:color="auto" w:fill="FFFFFF"/>
        </w:rPr>
        <w:t>Consideration of potential cross-band issues</w:t>
      </w:r>
    </w:p>
    <w:p w:rsidR="009A1EE9" w:rsidRPr="004B0903" w:rsidRDefault="009A1EE9" w:rsidP="009A1EE9">
      <w:pPr>
        <w:rPr>
          <w:i/>
          <w:szCs w:val="24"/>
          <w:shd w:val="clear" w:color="auto" w:fill="FFFFFF"/>
        </w:rPr>
      </w:pPr>
      <w:r w:rsidRPr="00EC7941">
        <w:rPr>
          <w:i/>
          <w:szCs w:val="24"/>
          <w:shd w:val="clear" w:color="auto" w:fill="FFFFFF"/>
        </w:rPr>
        <w:t>[</w:t>
      </w:r>
      <w:r w:rsidRPr="00EC7941">
        <w:rPr>
          <w:b/>
          <w:i/>
          <w:szCs w:val="24"/>
          <w:shd w:val="clear" w:color="auto" w:fill="FFFFFF"/>
        </w:rPr>
        <w:t>Editor’s note</w:t>
      </w:r>
      <w:r w:rsidRPr="00EC7941">
        <w:rPr>
          <w:i/>
          <w:szCs w:val="24"/>
          <w:shd w:val="clear" w:color="auto" w:fill="FFFFFF"/>
        </w:rPr>
        <w:t>: this section is aimed at considering the potential cross-band issues and impact on WAS/RLAN technical and operational characteristics that could be caused by use of large WAS/RLAN bandwidth covering different 5 GHz range sub-bands</w:t>
      </w:r>
      <w:r>
        <w:rPr>
          <w:i/>
          <w:szCs w:val="24"/>
          <w:shd w:val="clear" w:color="auto" w:fill="FFFFFF"/>
        </w:rPr>
        <w:t xml:space="preserve"> (5 150-5 250 MHz, 5 250</w:t>
      </w:r>
      <w:r>
        <w:rPr>
          <w:i/>
          <w:szCs w:val="24"/>
          <w:shd w:val="clear" w:color="auto" w:fill="FFFFFF"/>
        </w:rPr>
        <w:noBreakHyphen/>
        <w:t>5 350 </w:t>
      </w:r>
      <w:r w:rsidRPr="00EC7941">
        <w:rPr>
          <w:i/>
          <w:szCs w:val="24"/>
          <w:shd w:val="clear" w:color="auto" w:fill="FFFFFF"/>
        </w:rPr>
        <w:t>MHz, 5</w:t>
      </w:r>
      <w:r>
        <w:rPr>
          <w:i/>
          <w:szCs w:val="24"/>
          <w:shd w:val="clear" w:color="auto" w:fill="FFFFFF"/>
        </w:rPr>
        <w:t> </w:t>
      </w:r>
      <w:r w:rsidRPr="00EC7941">
        <w:rPr>
          <w:i/>
          <w:szCs w:val="24"/>
          <w:shd w:val="clear" w:color="auto" w:fill="FFFFFF"/>
        </w:rPr>
        <w:t>350-5</w:t>
      </w:r>
      <w:r>
        <w:rPr>
          <w:i/>
          <w:szCs w:val="24"/>
          <w:shd w:val="clear" w:color="auto" w:fill="FFFFFF"/>
        </w:rPr>
        <w:t> </w:t>
      </w:r>
      <w:r w:rsidRPr="00EC7941">
        <w:rPr>
          <w:i/>
          <w:szCs w:val="24"/>
          <w:shd w:val="clear" w:color="auto" w:fill="FFFFFF"/>
        </w:rPr>
        <w:t>470 MHz, 5</w:t>
      </w:r>
      <w:r>
        <w:rPr>
          <w:i/>
          <w:szCs w:val="24"/>
          <w:shd w:val="clear" w:color="auto" w:fill="FFFFFF"/>
        </w:rPr>
        <w:t> </w:t>
      </w:r>
      <w:r w:rsidRPr="00EC7941">
        <w:rPr>
          <w:i/>
          <w:szCs w:val="24"/>
          <w:shd w:val="clear" w:color="auto" w:fill="FFFFFF"/>
        </w:rPr>
        <w:t>470-5</w:t>
      </w:r>
      <w:r>
        <w:rPr>
          <w:i/>
          <w:szCs w:val="24"/>
          <w:shd w:val="clear" w:color="auto" w:fill="FFFFFF"/>
        </w:rPr>
        <w:t> </w:t>
      </w:r>
      <w:r w:rsidRPr="00EC7941">
        <w:rPr>
          <w:i/>
          <w:szCs w:val="24"/>
          <w:shd w:val="clear" w:color="auto" w:fill="FFFFFF"/>
        </w:rPr>
        <w:t>725 MHz, 5</w:t>
      </w:r>
      <w:r>
        <w:rPr>
          <w:i/>
          <w:szCs w:val="24"/>
          <w:shd w:val="clear" w:color="auto" w:fill="FFFFFF"/>
        </w:rPr>
        <w:t> </w:t>
      </w:r>
      <w:r w:rsidRPr="00EC7941">
        <w:rPr>
          <w:i/>
          <w:szCs w:val="24"/>
          <w:shd w:val="clear" w:color="auto" w:fill="FFFFFF"/>
        </w:rPr>
        <w:t>725-5</w:t>
      </w:r>
      <w:r>
        <w:rPr>
          <w:i/>
          <w:szCs w:val="24"/>
          <w:shd w:val="clear" w:color="auto" w:fill="FFFFFF"/>
        </w:rPr>
        <w:t> </w:t>
      </w:r>
      <w:r w:rsidRPr="00EC7941">
        <w:rPr>
          <w:i/>
          <w:szCs w:val="24"/>
          <w:shd w:val="clear" w:color="auto" w:fill="FFFFFF"/>
        </w:rPr>
        <w:t>850 MHz and 5</w:t>
      </w:r>
      <w:r>
        <w:rPr>
          <w:i/>
          <w:szCs w:val="24"/>
          <w:shd w:val="clear" w:color="auto" w:fill="FFFFFF"/>
        </w:rPr>
        <w:t> </w:t>
      </w:r>
      <w:r w:rsidRPr="00EC7941">
        <w:rPr>
          <w:i/>
          <w:szCs w:val="24"/>
          <w:shd w:val="clear" w:color="auto" w:fill="FFFFFF"/>
        </w:rPr>
        <w:t>850-5</w:t>
      </w:r>
      <w:r>
        <w:rPr>
          <w:i/>
          <w:szCs w:val="24"/>
          <w:shd w:val="clear" w:color="auto" w:fill="FFFFFF"/>
        </w:rPr>
        <w:t> </w:t>
      </w:r>
      <w:r w:rsidRPr="00EC7941">
        <w:rPr>
          <w:i/>
          <w:szCs w:val="24"/>
          <w:shd w:val="clear" w:color="auto" w:fill="FFFFFF"/>
        </w:rPr>
        <w:t>925 MHz bands)]</w:t>
      </w:r>
    </w:p>
    <w:p w:rsidR="009A1EE9" w:rsidRPr="00651134" w:rsidRDefault="009A1EE9" w:rsidP="009A1EE9">
      <w:pPr>
        <w:rPr>
          <w:szCs w:val="24"/>
          <w:shd w:val="clear" w:color="auto" w:fill="FFFFFF"/>
        </w:rPr>
      </w:pPr>
      <w:r w:rsidRPr="00651134">
        <w:rPr>
          <w:szCs w:val="24"/>
          <w:shd w:val="clear" w:color="auto" w:fill="FFFFFF"/>
        </w:rPr>
        <w:t>TBD</w:t>
      </w:r>
    </w:p>
    <w:p w:rsidR="009A1EE9" w:rsidRDefault="009A1EE9" w:rsidP="009A1EE9">
      <w:pPr>
        <w:pStyle w:val="Heading1"/>
      </w:pPr>
      <w:r>
        <w:rPr>
          <w:lang w:eastAsia="ja-JP"/>
        </w:rPr>
        <w:lastRenderedPageBreak/>
        <w:t>3</w:t>
      </w:r>
      <w:r w:rsidRPr="008B7D58">
        <w:rPr>
          <w:lang w:eastAsia="ja-JP"/>
        </w:rPr>
        <w:tab/>
      </w:r>
      <w:r>
        <w:t>WAS/RLAN technical characteristics</w:t>
      </w:r>
    </w:p>
    <w:p w:rsidR="009A1EE9" w:rsidRDefault="009A1EE9" w:rsidP="009A1EE9">
      <w:r>
        <w:t>WAS/RLAN applications covers a number of different technologies and in particular WiFi type applications and LTE</w:t>
      </w:r>
      <w:r w:rsidR="00C51681">
        <w:t xml:space="preserve"> type</w:t>
      </w:r>
      <w:r>
        <w:t xml:space="preserve"> systems (</w:t>
      </w:r>
      <w:r w:rsidR="00C51681">
        <w:t xml:space="preserve">i.e. </w:t>
      </w:r>
      <w:r>
        <w:t>LAA-LTE).</w:t>
      </w:r>
    </w:p>
    <w:p w:rsidR="009A1EE9" w:rsidRDefault="007A18BE" w:rsidP="009A1EE9">
      <w:r>
        <w:t>[</w:t>
      </w:r>
      <w:r w:rsidR="009A1EE9">
        <w:t>Over the previous study period, only WiFi type applications were considered, leading to the technical characteristics as given in section 3.1 below. Additional and consistent work will be needed to address other technologies and in particular LTE systems.</w:t>
      </w:r>
      <w:r>
        <w:t>]</w:t>
      </w:r>
    </w:p>
    <w:p w:rsidR="009A1EE9" w:rsidRPr="004B0903" w:rsidRDefault="009A1EE9" w:rsidP="009A1EE9">
      <w:pPr>
        <w:rPr>
          <w:i/>
          <w:szCs w:val="24"/>
          <w:shd w:val="clear" w:color="auto" w:fill="FFFFFF"/>
        </w:rPr>
      </w:pPr>
      <w:r w:rsidRPr="00EC7941">
        <w:rPr>
          <w:i/>
          <w:szCs w:val="24"/>
          <w:shd w:val="clear" w:color="auto" w:fill="FFFFFF"/>
        </w:rPr>
        <w:t>[</w:t>
      </w:r>
      <w:r w:rsidRPr="00EC7941">
        <w:rPr>
          <w:b/>
          <w:i/>
          <w:szCs w:val="24"/>
          <w:shd w:val="clear" w:color="auto" w:fill="FFFFFF"/>
        </w:rPr>
        <w:t>Editor’s note</w:t>
      </w:r>
      <w:r w:rsidRPr="00EC7941">
        <w:rPr>
          <w:i/>
          <w:szCs w:val="24"/>
          <w:shd w:val="clear" w:color="auto" w:fill="FFFFFF"/>
        </w:rPr>
        <w:t>: see Document 4-5-6-7/715 (Annex 35)]</w:t>
      </w:r>
    </w:p>
    <w:p w:rsidR="007A18BE" w:rsidRDefault="009A1EE9" w:rsidP="009A1EE9">
      <w:pPr>
        <w:pStyle w:val="Heading2"/>
      </w:pPr>
      <w:r>
        <w:rPr>
          <w:shd w:val="clear" w:color="auto" w:fill="FFFFFF"/>
        </w:rPr>
        <w:t>3.1</w:t>
      </w:r>
      <w:r w:rsidRPr="008B7D58">
        <w:rPr>
          <w:shd w:val="clear" w:color="auto" w:fill="FFFFFF"/>
        </w:rPr>
        <w:tab/>
      </w:r>
      <w:r>
        <w:t>e.i.r.p. level distribution</w:t>
      </w:r>
      <w:r w:rsidRPr="00781E5A">
        <w:t xml:space="preserve"> </w:t>
      </w:r>
    </w:p>
    <w:p w:rsidR="009A1EE9" w:rsidRPr="0050674F" w:rsidRDefault="009A1EE9" w:rsidP="00E14178">
      <w:pPr>
        <w:pStyle w:val="Heading3"/>
      </w:pPr>
      <w:r w:rsidRPr="0050674F">
        <w:rPr>
          <w:shd w:val="clear" w:color="auto" w:fill="FFFFFF"/>
        </w:rPr>
        <w:t>3.1.1.</w:t>
      </w:r>
      <w:r w:rsidRPr="0050674F">
        <w:rPr>
          <w:shd w:val="clear" w:color="auto" w:fill="FFFFFF"/>
        </w:rPr>
        <w:tab/>
      </w:r>
      <w:r w:rsidRPr="0050674F">
        <w:t>WiFi type WAS/RLAN e.i.r.p. level distribution</w:t>
      </w:r>
      <w:r w:rsidR="004E608E" w:rsidRPr="0050674F">
        <w:t>s</w:t>
      </w:r>
      <w:r w:rsidRPr="0050674F">
        <w:t xml:space="preserve"> </w:t>
      </w:r>
    </w:p>
    <w:p w:rsidR="00A72599" w:rsidRPr="0050674F" w:rsidRDefault="004E608E" w:rsidP="00E85013">
      <w:pPr>
        <w:rPr>
          <w:i/>
        </w:rPr>
      </w:pPr>
      <w:r w:rsidRPr="0050674F">
        <w:t xml:space="preserve">The e.i.r.p level distribution for WiFi </w:t>
      </w:r>
      <w:r w:rsidR="00915D29" w:rsidRPr="0050674F">
        <w:t xml:space="preserve">type was RLAN for the 5725-5850 MHz band is </w:t>
      </w:r>
      <w:r w:rsidRPr="0050674F">
        <w:t>described in Table 1</w:t>
      </w:r>
      <w:r w:rsidR="000D3A08" w:rsidRPr="0050674F">
        <w:t>a</w:t>
      </w:r>
      <w:r w:rsidRPr="0050674F">
        <w:t xml:space="preserve"> below follows the assumptions that indoor as well as outdoor use is allowed</w:t>
      </w:r>
      <w:r w:rsidR="00915D29" w:rsidRPr="0050674F">
        <w:t>.</w:t>
      </w:r>
    </w:p>
    <w:p w:rsidR="004E608E" w:rsidRPr="0050674F" w:rsidRDefault="004E608E" w:rsidP="004E608E">
      <w:pPr>
        <w:rPr>
          <w:rFonts w:eastAsia="Calibri" w:cs="Arial"/>
        </w:rPr>
      </w:pPr>
    </w:p>
    <w:p w:rsidR="004E608E" w:rsidRDefault="004E608E" w:rsidP="004E608E">
      <w:pPr>
        <w:rPr>
          <w:i/>
          <w:lang w:val="en-US"/>
        </w:rPr>
      </w:pPr>
      <w:r w:rsidRPr="0050674F">
        <w:rPr>
          <w:i/>
          <w:lang w:val="en-US"/>
        </w:rPr>
        <w:t>Table 1</w:t>
      </w:r>
      <w:r w:rsidR="000D3A08" w:rsidRPr="0050674F">
        <w:rPr>
          <w:i/>
          <w:lang w:val="en-US"/>
        </w:rP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370"/>
        <w:gridCol w:w="866"/>
        <w:gridCol w:w="949"/>
        <w:gridCol w:w="1025"/>
        <w:gridCol w:w="1125"/>
        <w:gridCol w:w="1244"/>
        <w:gridCol w:w="1381"/>
      </w:tblGrid>
      <w:tr w:rsidR="009B3034" w:rsidRPr="00842EDE" w:rsidTr="00925387">
        <w:trPr>
          <w:jc w:val="center"/>
        </w:trPr>
        <w:tc>
          <w:tcPr>
            <w:tcW w:w="1735" w:type="dxa"/>
          </w:tcPr>
          <w:p w:rsidR="009B3034" w:rsidRPr="00842EDE" w:rsidRDefault="009B3034" w:rsidP="00925387">
            <w:pPr>
              <w:pStyle w:val="Tabletext"/>
              <w:rPr>
                <w:rFonts w:asciiTheme="majorBidi" w:hAnsiTheme="majorBidi" w:cstheme="majorBidi"/>
              </w:rPr>
            </w:pPr>
            <w:r w:rsidRPr="00842EDE">
              <w:rPr>
                <w:rFonts w:asciiTheme="majorBidi" w:hAnsiTheme="majorBidi" w:cstheme="majorBidi"/>
              </w:rPr>
              <w:t xml:space="preserve">Tx power e.i.r.p. </w:t>
            </w:r>
          </w:p>
        </w:tc>
        <w:tc>
          <w:tcPr>
            <w:tcW w:w="1384" w:type="dxa"/>
          </w:tcPr>
          <w:p w:rsidR="009B3034" w:rsidRPr="00842EDE" w:rsidRDefault="009B3034" w:rsidP="00925387">
            <w:pPr>
              <w:pStyle w:val="Tabletext"/>
              <w:jc w:val="center"/>
              <w:rPr>
                <w:rFonts w:asciiTheme="majorBidi" w:hAnsiTheme="majorBidi" w:cstheme="majorBidi"/>
              </w:rPr>
            </w:pPr>
            <w:r w:rsidRPr="00842EDE">
              <w:rPr>
                <w:rFonts w:asciiTheme="majorBidi" w:hAnsiTheme="majorBidi" w:cstheme="majorBidi"/>
              </w:rPr>
              <w:t>1</w:t>
            </w:r>
            <w:r w:rsidR="001F72A8">
              <w:rPr>
                <w:rFonts w:asciiTheme="majorBidi" w:hAnsiTheme="majorBidi" w:cstheme="majorBidi"/>
              </w:rPr>
              <w:t> </w:t>
            </w:r>
            <w:r w:rsidRPr="00842EDE">
              <w:rPr>
                <w:rFonts w:asciiTheme="majorBidi" w:hAnsiTheme="majorBidi" w:cstheme="majorBidi"/>
              </w:rPr>
              <w:t>W (directional)</w:t>
            </w:r>
          </w:p>
        </w:tc>
        <w:tc>
          <w:tcPr>
            <w:tcW w:w="875" w:type="dxa"/>
          </w:tcPr>
          <w:p w:rsidR="009B3034" w:rsidRPr="00842EDE" w:rsidRDefault="009B3034" w:rsidP="00925387">
            <w:pPr>
              <w:pStyle w:val="Tabletext"/>
              <w:jc w:val="center"/>
              <w:rPr>
                <w:rFonts w:asciiTheme="majorBidi" w:hAnsiTheme="majorBidi" w:cstheme="majorBidi"/>
              </w:rPr>
            </w:pPr>
            <w:r w:rsidRPr="00842EDE">
              <w:rPr>
                <w:rFonts w:asciiTheme="majorBidi" w:hAnsiTheme="majorBidi" w:cstheme="majorBidi"/>
              </w:rPr>
              <w:t>1 W (omni)</w:t>
            </w:r>
          </w:p>
        </w:tc>
        <w:tc>
          <w:tcPr>
            <w:tcW w:w="952" w:type="dxa"/>
          </w:tcPr>
          <w:p w:rsidR="009B3034" w:rsidRPr="00842EDE" w:rsidRDefault="009B3034" w:rsidP="00925387">
            <w:pPr>
              <w:pStyle w:val="Tabletext"/>
              <w:jc w:val="center"/>
              <w:rPr>
                <w:rFonts w:asciiTheme="majorBidi" w:hAnsiTheme="majorBidi" w:cstheme="majorBidi"/>
              </w:rPr>
            </w:pPr>
            <w:r w:rsidRPr="00842EDE">
              <w:rPr>
                <w:rFonts w:asciiTheme="majorBidi" w:hAnsiTheme="majorBidi" w:cstheme="majorBidi"/>
              </w:rPr>
              <w:t>200</w:t>
            </w:r>
            <w:r w:rsidR="001F72A8">
              <w:rPr>
                <w:rFonts w:asciiTheme="majorBidi" w:hAnsiTheme="majorBidi" w:cstheme="majorBidi"/>
              </w:rPr>
              <w:t> </w:t>
            </w:r>
            <w:r w:rsidRPr="00842EDE">
              <w:rPr>
                <w:rFonts w:asciiTheme="majorBidi" w:hAnsiTheme="majorBidi" w:cstheme="majorBidi"/>
              </w:rPr>
              <w:t>mW (omni)</w:t>
            </w:r>
          </w:p>
        </w:tc>
        <w:tc>
          <w:tcPr>
            <w:tcW w:w="1043" w:type="dxa"/>
          </w:tcPr>
          <w:p w:rsidR="009B3034" w:rsidRPr="00842EDE" w:rsidRDefault="009B3034" w:rsidP="00925387">
            <w:pPr>
              <w:pStyle w:val="Tabletext"/>
              <w:jc w:val="center"/>
              <w:rPr>
                <w:rFonts w:asciiTheme="majorBidi" w:hAnsiTheme="majorBidi" w:cstheme="majorBidi"/>
              </w:rPr>
            </w:pPr>
            <w:r w:rsidRPr="00842EDE">
              <w:rPr>
                <w:rFonts w:asciiTheme="majorBidi" w:hAnsiTheme="majorBidi" w:cstheme="majorBidi"/>
              </w:rPr>
              <w:t>80</w:t>
            </w:r>
            <w:r w:rsidR="001F72A8">
              <w:rPr>
                <w:rFonts w:asciiTheme="majorBidi" w:hAnsiTheme="majorBidi" w:cstheme="majorBidi"/>
              </w:rPr>
              <w:t> </w:t>
            </w:r>
            <w:r w:rsidRPr="00842EDE">
              <w:rPr>
                <w:rFonts w:asciiTheme="majorBidi" w:hAnsiTheme="majorBidi" w:cstheme="majorBidi"/>
              </w:rPr>
              <w:t>mW (omni)</w:t>
            </w:r>
          </w:p>
        </w:tc>
        <w:tc>
          <w:tcPr>
            <w:tcW w:w="1151" w:type="dxa"/>
          </w:tcPr>
          <w:p w:rsidR="009B3034" w:rsidRPr="00842EDE" w:rsidRDefault="009B3034" w:rsidP="00925387">
            <w:pPr>
              <w:pStyle w:val="Tabletext"/>
              <w:jc w:val="center"/>
              <w:rPr>
                <w:rFonts w:asciiTheme="majorBidi" w:hAnsiTheme="majorBidi" w:cstheme="majorBidi"/>
              </w:rPr>
            </w:pPr>
            <w:r w:rsidRPr="00842EDE">
              <w:rPr>
                <w:rFonts w:asciiTheme="majorBidi" w:hAnsiTheme="majorBidi" w:cstheme="majorBidi"/>
              </w:rPr>
              <w:t>50</w:t>
            </w:r>
            <w:r w:rsidR="001F72A8">
              <w:rPr>
                <w:rFonts w:asciiTheme="majorBidi" w:hAnsiTheme="majorBidi" w:cstheme="majorBidi"/>
              </w:rPr>
              <w:t> </w:t>
            </w:r>
            <w:r w:rsidRPr="00842EDE">
              <w:rPr>
                <w:rFonts w:asciiTheme="majorBidi" w:hAnsiTheme="majorBidi" w:cstheme="majorBidi"/>
              </w:rPr>
              <w:t>mW (omni)</w:t>
            </w:r>
          </w:p>
        </w:tc>
        <w:tc>
          <w:tcPr>
            <w:tcW w:w="1280" w:type="dxa"/>
          </w:tcPr>
          <w:p w:rsidR="009B3034" w:rsidRPr="00842EDE" w:rsidRDefault="009B3034" w:rsidP="00925387">
            <w:pPr>
              <w:pStyle w:val="Tabletext"/>
              <w:jc w:val="center"/>
              <w:rPr>
                <w:rFonts w:asciiTheme="majorBidi" w:hAnsiTheme="majorBidi" w:cstheme="majorBidi"/>
              </w:rPr>
            </w:pPr>
            <w:r w:rsidRPr="00842EDE">
              <w:rPr>
                <w:rFonts w:asciiTheme="majorBidi" w:hAnsiTheme="majorBidi" w:cstheme="majorBidi"/>
              </w:rPr>
              <w:t>25</w:t>
            </w:r>
            <w:r w:rsidR="001F72A8">
              <w:rPr>
                <w:rFonts w:asciiTheme="majorBidi" w:hAnsiTheme="majorBidi" w:cstheme="majorBidi"/>
              </w:rPr>
              <w:t> </w:t>
            </w:r>
            <w:r w:rsidRPr="00842EDE">
              <w:rPr>
                <w:rFonts w:asciiTheme="majorBidi" w:hAnsiTheme="majorBidi" w:cstheme="majorBidi"/>
              </w:rPr>
              <w:t>mW (omni)</w:t>
            </w:r>
          </w:p>
        </w:tc>
        <w:tc>
          <w:tcPr>
            <w:tcW w:w="1435" w:type="dxa"/>
          </w:tcPr>
          <w:p w:rsidR="009B3034" w:rsidRPr="00842EDE" w:rsidRDefault="009B3034" w:rsidP="00925387">
            <w:pPr>
              <w:pStyle w:val="Tabletext"/>
              <w:jc w:val="center"/>
              <w:rPr>
                <w:rFonts w:asciiTheme="majorBidi" w:hAnsiTheme="majorBidi" w:cstheme="majorBidi"/>
              </w:rPr>
            </w:pPr>
            <w:r w:rsidRPr="00842EDE">
              <w:rPr>
                <w:rFonts w:asciiTheme="majorBidi" w:hAnsiTheme="majorBidi" w:cstheme="majorBidi"/>
              </w:rPr>
              <w:t>all</w:t>
            </w:r>
          </w:p>
        </w:tc>
      </w:tr>
      <w:tr w:rsidR="009B3034" w:rsidRPr="00842EDE" w:rsidTr="00925387">
        <w:trPr>
          <w:jc w:val="center"/>
        </w:trPr>
        <w:tc>
          <w:tcPr>
            <w:tcW w:w="1735" w:type="dxa"/>
          </w:tcPr>
          <w:p w:rsidR="009B3034" w:rsidRPr="00842EDE" w:rsidRDefault="00643165" w:rsidP="00925387">
            <w:pPr>
              <w:pStyle w:val="Tabletext"/>
              <w:rPr>
                <w:rFonts w:asciiTheme="majorBidi" w:hAnsiTheme="majorBidi" w:cstheme="majorBidi"/>
              </w:rPr>
            </w:pPr>
            <w:r w:rsidRPr="00842EDE">
              <w:rPr>
                <w:rFonts w:asciiTheme="majorBidi" w:hAnsiTheme="majorBidi" w:cstheme="majorBidi"/>
              </w:rPr>
              <w:t>I</w:t>
            </w:r>
            <w:r w:rsidR="009B3034" w:rsidRPr="00842EDE">
              <w:rPr>
                <w:rFonts w:asciiTheme="majorBidi" w:hAnsiTheme="majorBidi" w:cstheme="majorBidi"/>
              </w:rPr>
              <w:t>ndoor</w:t>
            </w:r>
          </w:p>
        </w:tc>
        <w:tc>
          <w:tcPr>
            <w:tcW w:w="1384" w:type="dxa"/>
          </w:tcPr>
          <w:p w:rsidR="009B3034" w:rsidRPr="00842EDE" w:rsidRDefault="009B3034" w:rsidP="00925387">
            <w:pPr>
              <w:pStyle w:val="Tabletext"/>
              <w:jc w:val="center"/>
              <w:rPr>
                <w:rFonts w:asciiTheme="majorBidi" w:hAnsiTheme="majorBidi" w:cstheme="majorBidi"/>
              </w:rPr>
            </w:pPr>
            <w:r w:rsidRPr="00842EDE">
              <w:rPr>
                <w:rFonts w:asciiTheme="majorBidi" w:hAnsiTheme="majorBidi" w:cstheme="majorBidi"/>
              </w:rPr>
              <w:t>0%</w:t>
            </w:r>
          </w:p>
        </w:tc>
        <w:tc>
          <w:tcPr>
            <w:tcW w:w="875" w:type="dxa"/>
          </w:tcPr>
          <w:p w:rsidR="009B3034" w:rsidRPr="00842EDE" w:rsidRDefault="009B3034" w:rsidP="00925387">
            <w:pPr>
              <w:pStyle w:val="Tabletext"/>
              <w:jc w:val="center"/>
              <w:rPr>
                <w:rFonts w:asciiTheme="majorBidi" w:hAnsiTheme="majorBidi" w:cstheme="majorBidi"/>
              </w:rPr>
            </w:pPr>
            <w:r w:rsidRPr="00842EDE">
              <w:rPr>
                <w:rFonts w:asciiTheme="majorBidi" w:hAnsiTheme="majorBidi" w:cstheme="majorBidi"/>
              </w:rPr>
              <w:t>0%</w:t>
            </w:r>
          </w:p>
        </w:tc>
        <w:tc>
          <w:tcPr>
            <w:tcW w:w="952" w:type="dxa"/>
          </w:tcPr>
          <w:p w:rsidR="009B3034" w:rsidRPr="00842EDE" w:rsidRDefault="009B3034" w:rsidP="00925387">
            <w:pPr>
              <w:pStyle w:val="Tabletext"/>
              <w:jc w:val="center"/>
              <w:rPr>
                <w:rFonts w:asciiTheme="majorBidi" w:hAnsiTheme="majorBidi" w:cstheme="majorBidi"/>
              </w:rPr>
            </w:pPr>
            <w:r w:rsidRPr="00842EDE">
              <w:rPr>
                <w:rFonts w:asciiTheme="majorBidi" w:hAnsiTheme="majorBidi" w:cstheme="majorBidi"/>
              </w:rPr>
              <w:t>18%</w:t>
            </w:r>
          </w:p>
        </w:tc>
        <w:tc>
          <w:tcPr>
            <w:tcW w:w="1043" w:type="dxa"/>
          </w:tcPr>
          <w:p w:rsidR="009B3034" w:rsidRPr="00842EDE" w:rsidRDefault="009B3034" w:rsidP="00925387">
            <w:pPr>
              <w:pStyle w:val="Tabletext"/>
              <w:jc w:val="center"/>
              <w:rPr>
                <w:rFonts w:asciiTheme="majorBidi" w:hAnsiTheme="majorBidi" w:cstheme="majorBidi"/>
              </w:rPr>
            </w:pPr>
            <w:r w:rsidRPr="00842EDE">
              <w:rPr>
                <w:rFonts w:asciiTheme="majorBidi" w:hAnsiTheme="majorBidi" w:cstheme="majorBidi"/>
              </w:rPr>
              <w:t>25.6%</w:t>
            </w:r>
          </w:p>
        </w:tc>
        <w:tc>
          <w:tcPr>
            <w:tcW w:w="1151" w:type="dxa"/>
          </w:tcPr>
          <w:p w:rsidR="009B3034" w:rsidRPr="00842EDE" w:rsidRDefault="009B3034" w:rsidP="00925387">
            <w:pPr>
              <w:pStyle w:val="Tabletext"/>
              <w:jc w:val="center"/>
              <w:rPr>
                <w:rFonts w:asciiTheme="majorBidi" w:hAnsiTheme="majorBidi" w:cstheme="majorBidi"/>
              </w:rPr>
            </w:pPr>
            <w:r w:rsidRPr="00842EDE">
              <w:rPr>
                <w:rFonts w:asciiTheme="majorBidi" w:hAnsiTheme="majorBidi" w:cstheme="majorBidi"/>
              </w:rPr>
              <w:t>14.2%</w:t>
            </w:r>
          </w:p>
        </w:tc>
        <w:tc>
          <w:tcPr>
            <w:tcW w:w="1280" w:type="dxa"/>
          </w:tcPr>
          <w:p w:rsidR="009B3034" w:rsidRPr="00842EDE" w:rsidRDefault="009B3034" w:rsidP="00925387">
            <w:pPr>
              <w:pStyle w:val="Tabletext"/>
              <w:jc w:val="center"/>
              <w:rPr>
                <w:rFonts w:asciiTheme="majorBidi" w:hAnsiTheme="majorBidi" w:cstheme="majorBidi"/>
              </w:rPr>
            </w:pPr>
            <w:r w:rsidRPr="00842EDE">
              <w:rPr>
                <w:rFonts w:asciiTheme="majorBidi" w:hAnsiTheme="majorBidi" w:cstheme="majorBidi"/>
              </w:rPr>
              <w:t>36.9%</w:t>
            </w:r>
          </w:p>
        </w:tc>
        <w:tc>
          <w:tcPr>
            <w:tcW w:w="1435" w:type="dxa"/>
          </w:tcPr>
          <w:p w:rsidR="009B3034" w:rsidRPr="00842EDE" w:rsidRDefault="009B3034" w:rsidP="00925387">
            <w:pPr>
              <w:pStyle w:val="Tabletext"/>
              <w:jc w:val="center"/>
              <w:rPr>
                <w:rFonts w:asciiTheme="majorBidi" w:hAnsiTheme="majorBidi" w:cstheme="majorBidi"/>
              </w:rPr>
            </w:pPr>
            <w:r w:rsidRPr="00842EDE">
              <w:rPr>
                <w:rFonts w:asciiTheme="majorBidi" w:hAnsiTheme="majorBidi" w:cstheme="majorBidi"/>
              </w:rPr>
              <w:t>94.7%</w:t>
            </w:r>
          </w:p>
        </w:tc>
      </w:tr>
      <w:tr w:rsidR="009B3034" w:rsidRPr="00842EDE" w:rsidTr="00925387">
        <w:trPr>
          <w:jc w:val="center"/>
        </w:trPr>
        <w:tc>
          <w:tcPr>
            <w:tcW w:w="1735" w:type="dxa"/>
          </w:tcPr>
          <w:p w:rsidR="009B3034" w:rsidRPr="00842EDE" w:rsidRDefault="00643165" w:rsidP="00925387">
            <w:pPr>
              <w:pStyle w:val="Tabletext"/>
              <w:rPr>
                <w:rFonts w:asciiTheme="majorBidi" w:hAnsiTheme="majorBidi" w:cstheme="majorBidi"/>
              </w:rPr>
            </w:pPr>
            <w:r w:rsidRPr="00842EDE">
              <w:rPr>
                <w:rFonts w:asciiTheme="majorBidi" w:hAnsiTheme="majorBidi" w:cstheme="majorBidi"/>
              </w:rPr>
              <w:t>O</w:t>
            </w:r>
            <w:r w:rsidR="009B3034" w:rsidRPr="00842EDE">
              <w:rPr>
                <w:rFonts w:asciiTheme="majorBidi" w:hAnsiTheme="majorBidi" w:cstheme="majorBidi"/>
              </w:rPr>
              <w:t>utdoor</w:t>
            </w:r>
          </w:p>
        </w:tc>
        <w:tc>
          <w:tcPr>
            <w:tcW w:w="1384" w:type="dxa"/>
          </w:tcPr>
          <w:p w:rsidR="009B3034" w:rsidRPr="00842EDE" w:rsidRDefault="009B3034" w:rsidP="00925387">
            <w:pPr>
              <w:pStyle w:val="Tabletext"/>
              <w:jc w:val="center"/>
              <w:rPr>
                <w:rFonts w:asciiTheme="majorBidi" w:hAnsiTheme="majorBidi" w:cstheme="majorBidi"/>
              </w:rPr>
            </w:pPr>
            <w:r w:rsidRPr="00842EDE">
              <w:rPr>
                <w:rFonts w:asciiTheme="majorBidi" w:hAnsiTheme="majorBidi" w:cstheme="majorBidi"/>
              </w:rPr>
              <w:t>0.10%</w:t>
            </w:r>
          </w:p>
        </w:tc>
        <w:tc>
          <w:tcPr>
            <w:tcW w:w="875" w:type="dxa"/>
          </w:tcPr>
          <w:p w:rsidR="009B3034" w:rsidRPr="00842EDE" w:rsidRDefault="009B3034" w:rsidP="00925387">
            <w:pPr>
              <w:pStyle w:val="Tabletext"/>
              <w:jc w:val="center"/>
              <w:rPr>
                <w:rFonts w:asciiTheme="majorBidi" w:hAnsiTheme="majorBidi" w:cstheme="majorBidi"/>
              </w:rPr>
            </w:pPr>
            <w:r w:rsidRPr="00842EDE">
              <w:rPr>
                <w:rFonts w:asciiTheme="majorBidi" w:hAnsiTheme="majorBidi" w:cstheme="majorBidi"/>
              </w:rPr>
              <w:t>0.20%</w:t>
            </w:r>
          </w:p>
        </w:tc>
        <w:tc>
          <w:tcPr>
            <w:tcW w:w="952" w:type="dxa"/>
          </w:tcPr>
          <w:p w:rsidR="009B3034" w:rsidRPr="00842EDE" w:rsidRDefault="009B3034" w:rsidP="00925387">
            <w:pPr>
              <w:pStyle w:val="Tabletext"/>
              <w:jc w:val="center"/>
              <w:rPr>
                <w:rFonts w:asciiTheme="majorBidi" w:hAnsiTheme="majorBidi" w:cstheme="majorBidi"/>
              </w:rPr>
            </w:pPr>
            <w:r w:rsidRPr="00842EDE">
              <w:rPr>
                <w:rFonts w:asciiTheme="majorBidi" w:hAnsiTheme="majorBidi" w:cstheme="majorBidi"/>
              </w:rPr>
              <w:t>0.95%</w:t>
            </w:r>
          </w:p>
        </w:tc>
        <w:tc>
          <w:tcPr>
            <w:tcW w:w="1043" w:type="dxa"/>
          </w:tcPr>
          <w:p w:rsidR="009B3034" w:rsidRPr="00842EDE" w:rsidRDefault="009B3034" w:rsidP="00925387">
            <w:pPr>
              <w:pStyle w:val="Tabletext"/>
              <w:jc w:val="center"/>
              <w:rPr>
                <w:rFonts w:asciiTheme="majorBidi" w:hAnsiTheme="majorBidi" w:cstheme="majorBidi"/>
              </w:rPr>
            </w:pPr>
            <w:r w:rsidRPr="00842EDE">
              <w:rPr>
                <w:rFonts w:asciiTheme="majorBidi" w:hAnsiTheme="majorBidi" w:cstheme="majorBidi"/>
              </w:rPr>
              <w:t>1.35%</w:t>
            </w:r>
          </w:p>
        </w:tc>
        <w:tc>
          <w:tcPr>
            <w:tcW w:w="1151" w:type="dxa"/>
          </w:tcPr>
          <w:p w:rsidR="009B3034" w:rsidRPr="00842EDE" w:rsidRDefault="009B3034" w:rsidP="00925387">
            <w:pPr>
              <w:pStyle w:val="Tabletext"/>
              <w:jc w:val="center"/>
              <w:rPr>
                <w:rFonts w:asciiTheme="majorBidi" w:hAnsiTheme="majorBidi" w:cstheme="majorBidi"/>
              </w:rPr>
            </w:pPr>
            <w:r w:rsidRPr="00842EDE">
              <w:rPr>
                <w:rFonts w:asciiTheme="majorBidi" w:hAnsiTheme="majorBidi" w:cstheme="majorBidi"/>
              </w:rPr>
              <w:t>0.75%</w:t>
            </w:r>
          </w:p>
        </w:tc>
        <w:tc>
          <w:tcPr>
            <w:tcW w:w="1280" w:type="dxa"/>
          </w:tcPr>
          <w:p w:rsidR="009B3034" w:rsidRPr="00842EDE" w:rsidRDefault="009B3034" w:rsidP="00925387">
            <w:pPr>
              <w:pStyle w:val="Tabletext"/>
              <w:jc w:val="center"/>
              <w:rPr>
                <w:rFonts w:asciiTheme="majorBidi" w:hAnsiTheme="majorBidi" w:cstheme="majorBidi"/>
              </w:rPr>
            </w:pPr>
            <w:r w:rsidRPr="00842EDE">
              <w:rPr>
                <w:rFonts w:asciiTheme="majorBidi" w:hAnsiTheme="majorBidi" w:cstheme="majorBidi"/>
              </w:rPr>
              <w:t>1.95%</w:t>
            </w:r>
          </w:p>
        </w:tc>
        <w:tc>
          <w:tcPr>
            <w:tcW w:w="1435" w:type="dxa"/>
          </w:tcPr>
          <w:p w:rsidR="009B3034" w:rsidRPr="00842EDE" w:rsidRDefault="009B3034" w:rsidP="00925387">
            <w:pPr>
              <w:pStyle w:val="Tabletext"/>
              <w:jc w:val="center"/>
              <w:rPr>
                <w:rFonts w:asciiTheme="majorBidi" w:hAnsiTheme="majorBidi" w:cstheme="majorBidi"/>
              </w:rPr>
            </w:pPr>
            <w:r w:rsidRPr="00842EDE">
              <w:rPr>
                <w:rFonts w:asciiTheme="majorBidi" w:hAnsiTheme="majorBidi" w:cstheme="majorBidi"/>
              </w:rPr>
              <w:t>5.3%</w:t>
            </w:r>
          </w:p>
        </w:tc>
      </w:tr>
    </w:tbl>
    <w:p w:rsidR="004E608E" w:rsidRDefault="004E608E" w:rsidP="00E85013">
      <w:pPr>
        <w:pStyle w:val="Tabletext"/>
      </w:pPr>
    </w:p>
    <w:p w:rsidR="00915D29" w:rsidRDefault="00915D29" w:rsidP="00E85013">
      <w:pPr>
        <w:pStyle w:val="Tabletext"/>
      </w:pPr>
      <w:r w:rsidRPr="00E8794D">
        <w:rPr>
          <w:i/>
        </w:rPr>
        <w:t>[Editor’s note: for the bands 5</w:t>
      </w:r>
      <w:r w:rsidR="00E14178">
        <w:rPr>
          <w:i/>
        </w:rPr>
        <w:t> </w:t>
      </w:r>
      <w:r w:rsidRPr="00E8794D">
        <w:rPr>
          <w:i/>
        </w:rPr>
        <w:t>150-5</w:t>
      </w:r>
      <w:r w:rsidR="00E14178">
        <w:rPr>
          <w:i/>
        </w:rPr>
        <w:t> </w:t>
      </w:r>
      <w:r w:rsidRPr="00E8794D">
        <w:rPr>
          <w:i/>
        </w:rPr>
        <w:t>250 MHz</w:t>
      </w:r>
      <w:r>
        <w:rPr>
          <w:i/>
        </w:rPr>
        <w:t>,</w:t>
      </w:r>
      <w:r w:rsidRPr="00E8794D">
        <w:rPr>
          <w:i/>
        </w:rPr>
        <w:t xml:space="preserve"> 5</w:t>
      </w:r>
      <w:r w:rsidR="00E14178">
        <w:rPr>
          <w:i/>
        </w:rPr>
        <w:t> </w:t>
      </w:r>
      <w:r w:rsidRPr="00E8794D">
        <w:rPr>
          <w:i/>
        </w:rPr>
        <w:t>250-5</w:t>
      </w:r>
      <w:r w:rsidR="00E14178">
        <w:rPr>
          <w:i/>
        </w:rPr>
        <w:t> </w:t>
      </w:r>
      <w:r w:rsidRPr="00E8794D">
        <w:rPr>
          <w:i/>
        </w:rPr>
        <w:t xml:space="preserve">350 MHz </w:t>
      </w:r>
      <w:r>
        <w:rPr>
          <w:i/>
        </w:rPr>
        <w:t>and 5</w:t>
      </w:r>
      <w:r w:rsidR="00E14178">
        <w:rPr>
          <w:i/>
        </w:rPr>
        <w:t> </w:t>
      </w:r>
      <w:r>
        <w:rPr>
          <w:i/>
        </w:rPr>
        <w:t>850-5</w:t>
      </w:r>
      <w:r w:rsidR="00E14178">
        <w:rPr>
          <w:i/>
        </w:rPr>
        <w:t> </w:t>
      </w:r>
      <w:r>
        <w:rPr>
          <w:i/>
        </w:rPr>
        <w:t xml:space="preserve">925 MHz </w:t>
      </w:r>
      <w:r w:rsidRPr="00E8794D">
        <w:rPr>
          <w:i/>
        </w:rPr>
        <w:t>the distribution needs to be confirmed</w:t>
      </w:r>
      <w:r>
        <w:rPr>
          <w:i/>
        </w:rPr>
        <w:t>]</w:t>
      </w:r>
    </w:p>
    <w:p w:rsidR="00A650DD" w:rsidRPr="0050674F" w:rsidRDefault="00A650DD" w:rsidP="00A650DD">
      <w:pPr>
        <w:rPr>
          <w:rFonts w:eastAsia="Calibri" w:cs="Arial"/>
          <w:szCs w:val="24"/>
        </w:rPr>
      </w:pPr>
      <w:r w:rsidRPr="0050674F">
        <w:rPr>
          <w:rFonts w:eastAsia="Calibri" w:cs="Arial"/>
          <w:szCs w:val="24"/>
        </w:rPr>
        <w:t>The following table 2</w:t>
      </w:r>
      <w:r w:rsidR="00933E07" w:rsidRPr="0050674F">
        <w:rPr>
          <w:rFonts w:eastAsia="Calibri" w:cs="Arial"/>
          <w:szCs w:val="24"/>
        </w:rPr>
        <w:t>a</w:t>
      </w:r>
      <w:r w:rsidRPr="0050674F">
        <w:rPr>
          <w:rFonts w:eastAsia="Calibri" w:cs="Arial"/>
          <w:szCs w:val="24"/>
        </w:rPr>
        <w:t xml:space="preserve"> depicts the e.i.r.p level distribution </w:t>
      </w:r>
      <w:r w:rsidR="00915D29" w:rsidRPr="0050674F">
        <w:rPr>
          <w:rFonts w:eastAsia="Calibri" w:cs="Arial"/>
          <w:szCs w:val="24"/>
        </w:rPr>
        <w:t xml:space="preserve">for WiFi type WAS/RLAN </w:t>
      </w:r>
      <w:r w:rsidR="00F550F5" w:rsidRPr="0050674F">
        <w:rPr>
          <w:rFonts w:eastAsia="Calibri" w:cs="Arial"/>
          <w:szCs w:val="24"/>
        </w:rPr>
        <w:t>in the band 5</w:t>
      </w:r>
      <w:r w:rsidR="00E14178">
        <w:rPr>
          <w:i/>
        </w:rPr>
        <w:t> </w:t>
      </w:r>
      <w:r w:rsidR="00F550F5" w:rsidRPr="0050674F">
        <w:rPr>
          <w:rFonts w:eastAsia="Calibri" w:cs="Arial"/>
          <w:szCs w:val="24"/>
        </w:rPr>
        <w:t>350-5</w:t>
      </w:r>
      <w:r w:rsidR="00E14178">
        <w:rPr>
          <w:i/>
        </w:rPr>
        <w:t> </w:t>
      </w:r>
      <w:r w:rsidR="00F550F5" w:rsidRPr="0050674F">
        <w:rPr>
          <w:rFonts w:eastAsia="Calibri" w:cs="Arial"/>
          <w:szCs w:val="24"/>
        </w:rPr>
        <w:t xml:space="preserve">470 MHz </w:t>
      </w:r>
      <w:r w:rsidRPr="0050674F">
        <w:rPr>
          <w:rFonts w:eastAsia="Calibri" w:cs="Arial"/>
          <w:szCs w:val="24"/>
        </w:rPr>
        <w:t>under the assumption that only indoor usage is allowed a</w:t>
      </w:r>
      <w:r w:rsidR="00915D29" w:rsidRPr="0050674F">
        <w:rPr>
          <w:rFonts w:eastAsia="Calibri" w:cs="Arial"/>
          <w:szCs w:val="24"/>
        </w:rPr>
        <w:t>nd</w:t>
      </w:r>
      <w:r w:rsidRPr="0050674F">
        <w:rPr>
          <w:rFonts w:eastAsia="Calibri" w:cs="Arial"/>
          <w:szCs w:val="24"/>
        </w:rPr>
        <w:t xml:space="preserve"> </w:t>
      </w:r>
      <w:r w:rsidR="00915D29" w:rsidRPr="0050674F">
        <w:rPr>
          <w:rFonts w:eastAsia="Calibri" w:cs="Arial"/>
          <w:szCs w:val="24"/>
        </w:rPr>
        <w:t xml:space="preserve">a </w:t>
      </w:r>
      <w:r w:rsidRPr="0050674F">
        <w:rPr>
          <w:rFonts w:eastAsia="Calibri" w:cs="Arial"/>
          <w:szCs w:val="24"/>
        </w:rPr>
        <w:t>maximum mean e.i.r.p of 200</w:t>
      </w:r>
      <w:r w:rsidR="00E14178">
        <w:rPr>
          <w:i/>
        </w:rPr>
        <w:t> </w:t>
      </w:r>
      <w:r w:rsidRPr="0050674F">
        <w:rPr>
          <w:rFonts w:eastAsia="Calibri" w:cs="Arial"/>
          <w:szCs w:val="24"/>
        </w:rPr>
        <w:t xml:space="preserve">mW. </w:t>
      </w:r>
    </w:p>
    <w:p w:rsidR="00A650DD" w:rsidRPr="00A650DD" w:rsidRDefault="00A650DD" w:rsidP="00E14178">
      <w:pPr>
        <w:pStyle w:val="TableNo"/>
      </w:pPr>
      <w:r w:rsidRPr="0050674F">
        <w:rPr>
          <w:lang w:val="en-US"/>
        </w:rPr>
        <w:t>Table 2</w:t>
      </w:r>
      <w:r w:rsidR="000D3A08" w:rsidRPr="0050674F">
        <w:rPr>
          <w:lang w:val="en-US"/>
        </w:rPr>
        <w:t>a</w:t>
      </w:r>
    </w:p>
    <w:tbl>
      <w:tblPr>
        <w:tblW w:w="4298" w:type="pct"/>
        <w:jc w:val="center"/>
        <w:tblCellMar>
          <w:left w:w="0" w:type="dxa"/>
          <w:right w:w="0" w:type="dxa"/>
        </w:tblCellMar>
        <w:tblLook w:val="04A0" w:firstRow="1" w:lastRow="0" w:firstColumn="1" w:lastColumn="0" w:noHBand="0" w:noVBand="1"/>
      </w:tblPr>
      <w:tblGrid>
        <w:gridCol w:w="2042"/>
        <w:gridCol w:w="1478"/>
        <w:gridCol w:w="1720"/>
        <w:gridCol w:w="1505"/>
        <w:gridCol w:w="1523"/>
      </w:tblGrid>
      <w:tr w:rsidR="009A1EE9" w:rsidRPr="008B6A6B" w:rsidTr="00333591">
        <w:trPr>
          <w:jc w:val="center"/>
        </w:trPr>
        <w:tc>
          <w:tcPr>
            <w:tcW w:w="12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1EE9" w:rsidRPr="008B6A6B" w:rsidRDefault="009A1EE9" w:rsidP="00333591">
            <w:pPr>
              <w:pStyle w:val="Tablehead"/>
            </w:pPr>
            <w:r w:rsidRPr="008B6A6B">
              <w:t xml:space="preserve">RLAN </w:t>
            </w:r>
            <w:r>
              <w:t>e.i.r.p.</w:t>
            </w:r>
            <w:r w:rsidRPr="008B6A6B">
              <w:t xml:space="preserve"> Level</w:t>
            </w:r>
          </w:p>
        </w:tc>
        <w:tc>
          <w:tcPr>
            <w:tcW w:w="89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1EE9" w:rsidRPr="008B6A6B" w:rsidRDefault="009A1EE9" w:rsidP="00333591">
            <w:pPr>
              <w:pStyle w:val="Tablehead"/>
            </w:pPr>
            <w:r w:rsidRPr="008B6A6B">
              <w:t>200 mW</w:t>
            </w:r>
          </w:p>
          <w:p w:rsidR="009A1EE9" w:rsidRPr="008B6A6B" w:rsidRDefault="009A1EE9" w:rsidP="00333591">
            <w:pPr>
              <w:pStyle w:val="Tablehead"/>
            </w:pPr>
            <w:r w:rsidRPr="008B6A6B">
              <w:t>(Omni-Directional)</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1EE9" w:rsidRPr="008B6A6B" w:rsidRDefault="009A1EE9" w:rsidP="00333591">
            <w:pPr>
              <w:pStyle w:val="Tablehead"/>
            </w:pPr>
            <w:r w:rsidRPr="008B6A6B">
              <w:t>80 mW</w:t>
            </w:r>
          </w:p>
          <w:p w:rsidR="009A1EE9" w:rsidRPr="008B6A6B" w:rsidRDefault="009A1EE9" w:rsidP="00333591">
            <w:pPr>
              <w:pStyle w:val="Tablehead"/>
            </w:pPr>
            <w:r w:rsidRPr="008B6A6B">
              <w:t>(Omni-Directional)</w:t>
            </w:r>
          </w:p>
        </w:tc>
        <w:tc>
          <w:tcPr>
            <w:tcW w:w="91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1EE9" w:rsidRPr="008B6A6B" w:rsidRDefault="009A1EE9" w:rsidP="00333591">
            <w:pPr>
              <w:pStyle w:val="Tablehead"/>
            </w:pPr>
            <w:r w:rsidRPr="008B6A6B">
              <w:t>50 mW</w:t>
            </w:r>
          </w:p>
          <w:p w:rsidR="009A1EE9" w:rsidRPr="008B6A6B" w:rsidRDefault="009A1EE9" w:rsidP="00333591">
            <w:pPr>
              <w:pStyle w:val="Tablehead"/>
            </w:pPr>
            <w:r w:rsidRPr="008B6A6B">
              <w:t>(Omni-Directional)</w:t>
            </w:r>
          </w:p>
        </w:tc>
        <w:tc>
          <w:tcPr>
            <w:tcW w:w="9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1EE9" w:rsidRPr="008B6A6B" w:rsidRDefault="009A1EE9" w:rsidP="00333591">
            <w:pPr>
              <w:pStyle w:val="Tablehead"/>
            </w:pPr>
            <w:r w:rsidRPr="008B6A6B">
              <w:t>25 mW</w:t>
            </w:r>
          </w:p>
          <w:p w:rsidR="009A1EE9" w:rsidRPr="008B6A6B" w:rsidRDefault="009A1EE9" w:rsidP="00333591">
            <w:pPr>
              <w:pStyle w:val="Tablehead"/>
            </w:pPr>
            <w:r w:rsidRPr="008B6A6B">
              <w:t>(Omni-Directional)</w:t>
            </w:r>
          </w:p>
        </w:tc>
      </w:tr>
      <w:tr w:rsidR="009A1EE9" w:rsidRPr="008B6A6B" w:rsidTr="00333591">
        <w:trPr>
          <w:jc w:val="center"/>
        </w:trPr>
        <w:tc>
          <w:tcPr>
            <w:tcW w:w="12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EE9" w:rsidRPr="008B6A6B" w:rsidRDefault="009A1EE9" w:rsidP="00333591">
            <w:pPr>
              <w:pStyle w:val="Tabletext"/>
              <w:jc w:val="center"/>
            </w:pPr>
            <w:r w:rsidRPr="008B6A6B">
              <w:t xml:space="preserve">RLAN </w:t>
            </w:r>
            <w:r>
              <w:t>d</w:t>
            </w:r>
            <w:r w:rsidRPr="008B6A6B">
              <w:t xml:space="preserve">evice </w:t>
            </w:r>
            <w:r>
              <w:t>p</w:t>
            </w:r>
            <w:r w:rsidRPr="008B6A6B">
              <w:t>ercentage</w:t>
            </w:r>
          </w:p>
        </w:tc>
        <w:tc>
          <w:tcPr>
            <w:tcW w:w="8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A1EE9" w:rsidRPr="008B6A6B" w:rsidRDefault="009A1EE9" w:rsidP="00333591">
            <w:pPr>
              <w:pStyle w:val="Tabletext"/>
              <w:jc w:val="center"/>
            </w:pPr>
            <w:r w:rsidRPr="008B6A6B">
              <w:rPr>
                <w:color w:val="000000"/>
              </w:rPr>
              <w:t>19%</w:t>
            </w:r>
          </w:p>
        </w:tc>
        <w:tc>
          <w:tcPr>
            <w:tcW w:w="104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A1EE9" w:rsidRPr="008B6A6B" w:rsidRDefault="009A1EE9" w:rsidP="00333591">
            <w:pPr>
              <w:pStyle w:val="Tabletext"/>
              <w:jc w:val="center"/>
            </w:pPr>
            <w:r w:rsidRPr="008B6A6B">
              <w:rPr>
                <w:color w:val="000000"/>
              </w:rPr>
              <w:t>27%</w:t>
            </w:r>
          </w:p>
        </w:tc>
        <w:tc>
          <w:tcPr>
            <w:tcW w:w="91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A1EE9" w:rsidRPr="008B6A6B" w:rsidRDefault="009A1EE9" w:rsidP="00333591">
            <w:pPr>
              <w:pStyle w:val="Tabletext"/>
              <w:jc w:val="center"/>
            </w:pPr>
            <w:r w:rsidRPr="008B6A6B">
              <w:rPr>
                <w:color w:val="000000"/>
              </w:rPr>
              <w:t>15%</w:t>
            </w:r>
          </w:p>
        </w:tc>
        <w:tc>
          <w:tcPr>
            <w:tcW w:w="92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A1EE9" w:rsidRPr="008B6A6B" w:rsidRDefault="009A1EE9" w:rsidP="00333591">
            <w:pPr>
              <w:pStyle w:val="Tabletext"/>
              <w:jc w:val="center"/>
            </w:pPr>
            <w:r w:rsidRPr="008B6A6B">
              <w:rPr>
                <w:color w:val="000000"/>
              </w:rPr>
              <w:t>39%</w:t>
            </w:r>
          </w:p>
        </w:tc>
      </w:tr>
    </w:tbl>
    <w:p w:rsidR="009A1EE9" w:rsidRDefault="009A1EE9" w:rsidP="009A1EE9">
      <w:pPr>
        <w:spacing w:before="360"/>
      </w:pPr>
      <w:r w:rsidRPr="0050674F">
        <w:t xml:space="preserve">NOTE </w:t>
      </w:r>
      <w:r w:rsidR="00643165" w:rsidRPr="0050674F">
        <w:t>to Table 2</w:t>
      </w:r>
      <w:r w:rsidR="000D3A08" w:rsidRPr="0050674F">
        <w:t>a</w:t>
      </w:r>
      <w:r w:rsidRPr="0050674F">
        <w:t>- RLAN</w:t>
      </w:r>
      <w:r>
        <w:t xml:space="preserve"> devices are assumed to be indoors only, based on the requirement to help facilitate coexistence. For the purposes of sharing studies, </w:t>
      </w:r>
      <w:r w:rsidRPr="002C1600">
        <w:t>5%</w:t>
      </w:r>
      <w:r>
        <w:t xml:space="preserve"> of the devices should be modelled without building attenuation.</w:t>
      </w:r>
    </w:p>
    <w:p w:rsidR="009A1EE9" w:rsidRPr="008776A4" w:rsidRDefault="009A1EE9" w:rsidP="009A1EE9">
      <w:r w:rsidRPr="008776A4">
        <w:t xml:space="preserve">Alternatively administrations may choose to carry out a </w:t>
      </w:r>
      <w:r>
        <w:t>parametric analysis</w:t>
      </w:r>
      <w:r w:rsidRPr="008776A4">
        <w:t xml:space="preserve"> </w:t>
      </w:r>
      <w:r>
        <w:t xml:space="preserve">in any range between </w:t>
      </w:r>
      <w:r w:rsidRPr="008776A4">
        <w:t xml:space="preserve">2% and </w:t>
      </w:r>
      <w:r>
        <w:t>10</w:t>
      </w:r>
      <w:r w:rsidRPr="008776A4">
        <w:t>%</w:t>
      </w:r>
      <w:r>
        <w:t>.</w:t>
      </w:r>
    </w:p>
    <w:p w:rsidR="009A1EE9" w:rsidRDefault="009A1EE9" w:rsidP="009A1EE9">
      <w:r>
        <w:t>These e.i.r.p. values apply across the entire RLAN channel bandwidth.</w:t>
      </w:r>
    </w:p>
    <w:p w:rsidR="009A1EE9" w:rsidRDefault="009A1EE9" w:rsidP="009A1EE9">
      <w:r>
        <w:t>Alternatively administrations may choose to use a single e. i. r. p. level.</w:t>
      </w:r>
    </w:p>
    <w:p w:rsidR="009A1EE9" w:rsidRPr="0050674F" w:rsidRDefault="009A1EE9" w:rsidP="00E14178">
      <w:pPr>
        <w:pStyle w:val="Heading3"/>
      </w:pPr>
      <w:r>
        <w:rPr>
          <w:shd w:val="clear" w:color="auto" w:fill="FFFFFF"/>
        </w:rPr>
        <w:t>3.1.2.</w:t>
      </w:r>
      <w:r>
        <w:rPr>
          <w:shd w:val="clear" w:color="auto" w:fill="FFFFFF"/>
        </w:rPr>
        <w:tab/>
      </w:r>
      <w:r w:rsidRPr="0050674F">
        <w:t>LTE type WAS/RLAN e.i.r.p. level distribution</w:t>
      </w:r>
      <w:r w:rsidR="00A27CAD" w:rsidRPr="0050674F">
        <w:t>s</w:t>
      </w:r>
      <w:r w:rsidRPr="0050674F">
        <w:t xml:space="preserve"> </w:t>
      </w:r>
    </w:p>
    <w:p w:rsidR="009A1EE9" w:rsidRPr="0050674F" w:rsidRDefault="009A1EE9" w:rsidP="009A1EE9">
      <w:r w:rsidRPr="0050674F">
        <w:t xml:space="preserve">The e.i.r.p level distribution for </w:t>
      </w:r>
      <w:r w:rsidRPr="0050674F">
        <w:rPr>
          <w:rFonts w:eastAsia="Calibri"/>
        </w:rPr>
        <w:t xml:space="preserve">LAA-LTE </w:t>
      </w:r>
      <w:r w:rsidR="00FF5B87" w:rsidRPr="0050674F">
        <w:t>described in Table 1</w:t>
      </w:r>
      <w:r w:rsidR="000D3A08" w:rsidRPr="0050674F">
        <w:t>b</w:t>
      </w:r>
      <w:r w:rsidR="00FF5B87" w:rsidRPr="0050674F">
        <w:t xml:space="preserve"> below </w:t>
      </w:r>
      <w:r w:rsidRPr="0050674F">
        <w:t>follows the assumptions that indoor as well as outdoor use is allowed, mean e.i.r.p. limited to 1 W for outdoor, and use of mitigation techniques such as dynamic frequency</w:t>
      </w:r>
      <w:r w:rsidR="005E3AE8" w:rsidRPr="0050674F">
        <w:t xml:space="preserve"> selection (DFS) and transmit</w:t>
      </w:r>
      <w:r w:rsidRPr="0050674F">
        <w:t xml:space="preserve"> power control </w:t>
      </w:r>
      <w:r w:rsidR="001F72A8">
        <w:br/>
      </w:r>
      <w:r w:rsidRPr="0050674F">
        <w:t>(TPC)</w:t>
      </w:r>
      <w:r w:rsidR="005915A2" w:rsidRPr="0050674F">
        <w:rPr>
          <w:rStyle w:val="FootnoteReference"/>
        </w:rPr>
        <w:t xml:space="preserve"> </w:t>
      </w:r>
      <w:r w:rsidR="005915A2" w:rsidRPr="0050674F">
        <w:rPr>
          <w:rStyle w:val="FootnoteReference"/>
        </w:rPr>
        <w:footnoteReference w:id="2"/>
      </w:r>
      <w:r w:rsidRPr="0050674F">
        <w:t>.</w:t>
      </w:r>
    </w:p>
    <w:p w:rsidR="00FF5B87" w:rsidRPr="0050674F" w:rsidRDefault="001A74B8" w:rsidP="009A1EE9">
      <w:pPr>
        <w:rPr>
          <w:rFonts w:eastAsia="Calibri" w:cs="Arial"/>
        </w:rPr>
      </w:pPr>
      <w:r w:rsidRPr="0050674F">
        <w:t>O</w:t>
      </w:r>
      <w:r w:rsidR="00FF5B87" w:rsidRPr="0050674F">
        <w:t xml:space="preserve">ne </w:t>
      </w:r>
      <w:r w:rsidRPr="0050674F">
        <w:t xml:space="preserve">should </w:t>
      </w:r>
      <w:r w:rsidR="00FF5B87" w:rsidRPr="0050674F">
        <w:t xml:space="preserve">assume that </w:t>
      </w:r>
      <w:r w:rsidRPr="0050674F">
        <w:t xml:space="preserve">the </w:t>
      </w:r>
      <w:r w:rsidR="00FF5B87" w:rsidRPr="0050674F">
        <w:t xml:space="preserve">distribution </w:t>
      </w:r>
      <w:r w:rsidRPr="0050674F">
        <w:t>in Table 1</w:t>
      </w:r>
      <w:r w:rsidR="00933E07" w:rsidRPr="0050674F">
        <w:t>b</w:t>
      </w:r>
      <w:r w:rsidRPr="0050674F">
        <w:t xml:space="preserve"> below applies to the studies related to the </w:t>
      </w:r>
      <w:r w:rsidR="00EF18F2" w:rsidRPr="0050674F">
        <w:t xml:space="preserve">frequency </w:t>
      </w:r>
      <w:r w:rsidRPr="0050674F">
        <w:t>bands 5</w:t>
      </w:r>
      <w:r w:rsidR="00E14178">
        <w:t> </w:t>
      </w:r>
      <w:r w:rsidRPr="0050674F">
        <w:t>150-5</w:t>
      </w:r>
      <w:r w:rsidR="00E14178">
        <w:t> </w:t>
      </w:r>
      <w:r w:rsidRPr="0050674F">
        <w:t>250 MHz, 5</w:t>
      </w:r>
      <w:r w:rsidR="00E14178">
        <w:t> </w:t>
      </w:r>
      <w:r w:rsidRPr="0050674F">
        <w:t>250-5</w:t>
      </w:r>
      <w:r w:rsidR="00E14178">
        <w:t> </w:t>
      </w:r>
      <w:r w:rsidRPr="0050674F">
        <w:t>350 MHz and 5</w:t>
      </w:r>
      <w:r w:rsidR="00E14178">
        <w:t> </w:t>
      </w:r>
      <w:r w:rsidRPr="0050674F">
        <w:t>725-5</w:t>
      </w:r>
      <w:r w:rsidR="00E14178">
        <w:t> </w:t>
      </w:r>
      <w:r w:rsidRPr="0050674F">
        <w:t xml:space="preserve">925 MHz.  </w:t>
      </w:r>
    </w:p>
    <w:p w:rsidR="009A1EE9" w:rsidRPr="0050674F" w:rsidRDefault="009A1EE9" w:rsidP="009A1EE9">
      <w:pPr>
        <w:rPr>
          <w:rFonts w:eastAsia="Calibri" w:cs="Arial"/>
        </w:rPr>
      </w:pPr>
    </w:p>
    <w:p w:rsidR="009A1EE9" w:rsidRDefault="00FF5B87" w:rsidP="00E14178">
      <w:pPr>
        <w:pStyle w:val="TableNo"/>
        <w:rPr>
          <w:lang w:val="en-US"/>
        </w:rPr>
      </w:pPr>
      <w:r w:rsidRPr="0050674F">
        <w:rPr>
          <w:lang w:val="en-US"/>
        </w:rPr>
        <w:t>Table 1</w:t>
      </w:r>
      <w:r w:rsidR="000D3A08" w:rsidRPr="0050674F">
        <w:rPr>
          <w:lang w:val="en-US"/>
        </w:rPr>
        <w:t>b</w:t>
      </w:r>
    </w:p>
    <w:tbl>
      <w:tblPr>
        <w:tblStyle w:val="TableTheme"/>
        <w:tblW w:w="8897" w:type="dxa"/>
        <w:tblLayout w:type="fixed"/>
        <w:tblLook w:val="04A0" w:firstRow="1" w:lastRow="0" w:firstColumn="1" w:lastColumn="0" w:noHBand="0" w:noVBand="1"/>
      </w:tblPr>
      <w:tblGrid>
        <w:gridCol w:w="1526"/>
        <w:gridCol w:w="988"/>
        <w:gridCol w:w="1084"/>
        <w:gridCol w:w="1139"/>
        <w:gridCol w:w="1139"/>
        <w:gridCol w:w="1028"/>
        <w:gridCol w:w="1028"/>
        <w:gridCol w:w="965"/>
      </w:tblGrid>
      <w:tr w:rsidR="009A1EE9" w:rsidRPr="00DD74B2" w:rsidTr="00A85CB5">
        <w:tc>
          <w:tcPr>
            <w:tcW w:w="1526" w:type="dxa"/>
            <w:hideMark/>
          </w:tcPr>
          <w:p w:rsidR="009A1EE9" w:rsidRPr="00A85CB5" w:rsidRDefault="009A1EE9" w:rsidP="00A85CB5">
            <w:pPr>
              <w:pStyle w:val="Tablehead"/>
            </w:pPr>
            <w:r w:rsidRPr="00A85CB5">
              <w:t xml:space="preserve">Tx power e.i.r.p. </w:t>
            </w:r>
          </w:p>
        </w:tc>
        <w:tc>
          <w:tcPr>
            <w:tcW w:w="988" w:type="dxa"/>
            <w:hideMark/>
          </w:tcPr>
          <w:p w:rsidR="009A1EE9" w:rsidRPr="00A85CB5" w:rsidRDefault="009A1EE9" w:rsidP="00A85CB5">
            <w:pPr>
              <w:pStyle w:val="Tablehead"/>
            </w:pPr>
            <w:r w:rsidRPr="00A85CB5">
              <w:t xml:space="preserve">1 W </w:t>
            </w:r>
          </w:p>
        </w:tc>
        <w:tc>
          <w:tcPr>
            <w:tcW w:w="1084" w:type="dxa"/>
            <w:hideMark/>
          </w:tcPr>
          <w:p w:rsidR="009A1EE9" w:rsidRPr="00A85CB5" w:rsidRDefault="009A1EE9" w:rsidP="00A85CB5">
            <w:pPr>
              <w:pStyle w:val="Tablehead"/>
            </w:pPr>
            <w:r w:rsidRPr="00A85CB5">
              <w:t>200</w:t>
            </w:r>
            <w:r w:rsidR="00E14178">
              <w:t xml:space="preserve"> </w:t>
            </w:r>
            <w:r w:rsidRPr="00A85CB5">
              <w:t xml:space="preserve">mW </w:t>
            </w:r>
          </w:p>
        </w:tc>
        <w:tc>
          <w:tcPr>
            <w:tcW w:w="1139" w:type="dxa"/>
            <w:hideMark/>
          </w:tcPr>
          <w:p w:rsidR="009A1EE9" w:rsidRPr="00A85CB5" w:rsidRDefault="009A1EE9" w:rsidP="00A85CB5">
            <w:pPr>
              <w:pStyle w:val="Tablehead"/>
            </w:pPr>
            <w:r w:rsidRPr="00A85CB5">
              <w:t xml:space="preserve">140 mW </w:t>
            </w:r>
          </w:p>
        </w:tc>
        <w:tc>
          <w:tcPr>
            <w:tcW w:w="1139" w:type="dxa"/>
            <w:hideMark/>
          </w:tcPr>
          <w:p w:rsidR="009A1EE9" w:rsidRPr="00A85CB5" w:rsidRDefault="009A1EE9" w:rsidP="00A85CB5">
            <w:pPr>
              <w:pStyle w:val="Tablehead"/>
            </w:pPr>
            <w:r w:rsidRPr="00A85CB5">
              <w:t xml:space="preserve">100 mW </w:t>
            </w:r>
          </w:p>
        </w:tc>
        <w:tc>
          <w:tcPr>
            <w:tcW w:w="1028" w:type="dxa"/>
            <w:hideMark/>
          </w:tcPr>
          <w:p w:rsidR="009A1EE9" w:rsidRPr="00DE726E" w:rsidRDefault="009A1EE9" w:rsidP="00A85CB5">
            <w:pPr>
              <w:pStyle w:val="Tablehead"/>
            </w:pPr>
            <w:r w:rsidRPr="00DE726E">
              <w:t xml:space="preserve">50 mW </w:t>
            </w:r>
          </w:p>
        </w:tc>
        <w:tc>
          <w:tcPr>
            <w:tcW w:w="1028" w:type="dxa"/>
            <w:hideMark/>
          </w:tcPr>
          <w:p w:rsidR="009A1EE9" w:rsidRPr="00DE726E" w:rsidRDefault="009A1EE9" w:rsidP="00A85CB5">
            <w:pPr>
              <w:pStyle w:val="Tablehead"/>
            </w:pPr>
            <w:r w:rsidRPr="00DE726E">
              <w:t xml:space="preserve">13 mW </w:t>
            </w:r>
          </w:p>
        </w:tc>
        <w:tc>
          <w:tcPr>
            <w:tcW w:w="965" w:type="dxa"/>
            <w:hideMark/>
          </w:tcPr>
          <w:p w:rsidR="009A1EE9" w:rsidRPr="00DE726E" w:rsidRDefault="009A1EE9" w:rsidP="00A85CB5">
            <w:pPr>
              <w:pStyle w:val="Tablehead"/>
            </w:pPr>
            <w:r w:rsidRPr="00DE726E">
              <w:t>&lt;=1</w:t>
            </w:r>
            <w:r w:rsidR="00E14178">
              <w:t xml:space="preserve"> </w:t>
            </w:r>
            <w:r w:rsidRPr="00DE726E">
              <w:t xml:space="preserve">mW </w:t>
            </w:r>
          </w:p>
        </w:tc>
      </w:tr>
      <w:tr w:rsidR="009A1EE9" w:rsidRPr="00DD74B2" w:rsidTr="00A85CB5">
        <w:tc>
          <w:tcPr>
            <w:tcW w:w="1526" w:type="dxa"/>
            <w:hideMark/>
          </w:tcPr>
          <w:p w:rsidR="009A1EE9" w:rsidRPr="00DD74B2" w:rsidRDefault="009A1EE9" w:rsidP="00333591">
            <w:pPr>
              <w:rPr>
                <w:sz w:val="20"/>
              </w:rPr>
            </w:pPr>
            <w:r w:rsidRPr="00DD74B2">
              <w:rPr>
                <w:sz w:val="20"/>
              </w:rPr>
              <w:t>Indoor RLAN device percentage</w:t>
            </w:r>
          </w:p>
        </w:tc>
        <w:tc>
          <w:tcPr>
            <w:tcW w:w="988" w:type="dxa"/>
            <w:hideMark/>
          </w:tcPr>
          <w:p w:rsidR="009A1EE9" w:rsidRPr="00DD74B2" w:rsidRDefault="009A1EE9" w:rsidP="00333591">
            <w:pPr>
              <w:rPr>
                <w:sz w:val="20"/>
              </w:rPr>
            </w:pPr>
            <w:r w:rsidRPr="00DD74B2">
              <w:rPr>
                <w:sz w:val="20"/>
              </w:rPr>
              <w:t>0.00 %</w:t>
            </w:r>
          </w:p>
        </w:tc>
        <w:tc>
          <w:tcPr>
            <w:tcW w:w="1084" w:type="dxa"/>
            <w:hideMark/>
          </w:tcPr>
          <w:p w:rsidR="009A1EE9" w:rsidRPr="00DD74B2" w:rsidRDefault="009A1EE9" w:rsidP="00333591">
            <w:pPr>
              <w:rPr>
                <w:sz w:val="20"/>
              </w:rPr>
            </w:pPr>
            <w:r w:rsidRPr="00DD74B2">
              <w:rPr>
                <w:sz w:val="20"/>
              </w:rPr>
              <w:t>9.55 %</w:t>
            </w:r>
          </w:p>
        </w:tc>
        <w:tc>
          <w:tcPr>
            <w:tcW w:w="1139" w:type="dxa"/>
            <w:hideMark/>
          </w:tcPr>
          <w:p w:rsidR="009A1EE9" w:rsidRPr="00DD74B2" w:rsidRDefault="009A1EE9" w:rsidP="00333591">
            <w:pPr>
              <w:rPr>
                <w:sz w:val="20"/>
              </w:rPr>
            </w:pPr>
            <w:r w:rsidRPr="00DD74B2">
              <w:rPr>
                <w:sz w:val="20"/>
              </w:rPr>
              <w:t>0.96%</w:t>
            </w:r>
          </w:p>
        </w:tc>
        <w:tc>
          <w:tcPr>
            <w:tcW w:w="1139" w:type="dxa"/>
            <w:hideMark/>
          </w:tcPr>
          <w:p w:rsidR="009A1EE9" w:rsidRPr="00DD74B2" w:rsidRDefault="009A1EE9" w:rsidP="00333591">
            <w:pPr>
              <w:rPr>
                <w:sz w:val="20"/>
              </w:rPr>
            </w:pPr>
            <w:r w:rsidRPr="00DD74B2">
              <w:rPr>
                <w:sz w:val="20"/>
              </w:rPr>
              <w:t>20.58 %</w:t>
            </w:r>
          </w:p>
        </w:tc>
        <w:tc>
          <w:tcPr>
            <w:tcW w:w="1028" w:type="dxa"/>
            <w:hideMark/>
          </w:tcPr>
          <w:p w:rsidR="009A1EE9" w:rsidRPr="00DD74B2" w:rsidRDefault="009A1EE9" w:rsidP="00333591">
            <w:pPr>
              <w:rPr>
                <w:sz w:val="20"/>
              </w:rPr>
            </w:pPr>
            <w:r w:rsidRPr="00DD74B2">
              <w:rPr>
                <w:sz w:val="20"/>
              </w:rPr>
              <w:t>7.96 %</w:t>
            </w:r>
          </w:p>
        </w:tc>
        <w:tc>
          <w:tcPr>
            <w:tcW w:w="1028" w:type="dxa"/>
            <w:hideMark/>
          </w:tcPr>
          <w:p w:rsidR="009A1EE9" w:rsidRPr="00DD74B2" w:rsidRDefault="009A1EE9" w:rsidP="00333591">
            <w:pPr>
              <w:rPr>
                <w:sz w:val="20"/>
              </w:rPr>
            </w:pPr>
            <w:r w:rsidRPr="00DD74B2">
              <w:rPr>
                <w:sz w:val="20"/>
              </w:rPr>
              <w:t>21.50%</w:t>
            </w:r>
          </w:p>
        </w:tc>
        <w:tc>
          <w:tcPr>
            <w:tcW w:w="965" w:type="dxa"/>
            <w:hideMark/>
          </w:tcPr>
          <w:p w:rsidR="009A1EE9" w:rsidRPr="00DD74B2" w:rsidRDefault="009A1EE9" w:rsidP="00333591">
            <w:pPr>
              <w:rPr>
                <w:sz w:val="20"/>
              </w:rPr>
            </w:pPr>
            <w:r w:rsidRPr="00DD74B2">
              <w:rPr>
                <w:sz w:val="20"/>
              </w:rPr>
              <w:t>22.95 %</w:t>
            </w:r>
          </w:p>
        </w:tc>
      </w:tr>
      <w:tr w:rsidR="009A1EE9" w:rsidRPr="00DD74B2" w:rsidTr="00A85CB5">
        <w:tc>
          <w:tcPr>
            <w:tcW w:w="1526" w:type="dxa"/>
            <w:hideMark/>
          </w:tcPr>
          <w:p w:rsidR="009A1EE9" w:rsidRPr="00DD74B2" w:rsidRDefault="009A1EE9" w:rsidP="00333591">
            <w:pPr>
              <w:rPr>
                <w:sz w:val="20"/>
              </w:rPr>
            </w:pPr>
            <w:r>
              <w:rPr>
                <w:sz w:val="20"/>
              </w:rPr>
              <w:t>O</w:t>
            </w:r>
            <w:r w:rsidRPr="00DD74B2">
              <w:rPr>
                <w:sz w:val="20"/>
              </w:rPr>
              <w:t>utdoor RLAN device percentage</w:t>
            </w:r>
          </w:p>
        </w:tc>
        <w:tc>
          <w:tcPr>
            <w:tcW w:w="988" w:type="dxa"/>
            <w:hideMark/>
          </w:tcPr>
          <w:p w:rsidR="009A1EE9" w:rsidRPr="00DD74B2" w:rsidRDefault="009A1EE9" w:rsidP="00333591">
            <w:pPr>
              <w:rPr>
                <w:sz w:val="20"/>
              </w:rPr>
            </w:pPr>
            <w:r w:rsidRPr="00DD74B2">
              <w:rPr>
                <w:sz w:val="20"/>
              </w:rPr>
              <w:t>0.01%</w:t>
            </w:r>
          </w:p>
        </w:tc>
        <w:tc>
          <w:tcPr>
            <w:tcW w:w="1084" w:type="dxa"/>
            <w:hideMark/>
          </w:tcPr>
          <w:p w:rsidR="009A1EE9" w:rsidRPr="00DD74B2" w:rsidRDefault="009A1EE9" w:rsidP="00333591">
            <w:pPr>
              <w:rPr>
                <w:sz w:val="20"/>
              </w:rPr>
            </w:pPr>
            <w:r w:rsidRPr="00DD74B2">
              <w:rPr>
                <w:sz w:val="20"/>
              </w:rPr>
              <w:t>2.10 %</w:t>
            </w:r>
          </w:p>
        </w:tc>
        <w:tc>
          <w:tcPr>
            <w:tcW w:w="1139" w:type="dxa"/>
            <w:hideMark/>
          </w:tcPr>
          <w:p w:rsidR="009A1EE9" w:rsidRPr="00DD74B2" w:rsidRDefault="009A1EE9" w:rsidP="00333591">
            <w:pPr>
              <w:rPr>
                <w:sz w:val="20"/>
              </w:rPr>
            </w:pPr>
            <w:r w:rsidRPr="00DD74B2">
              <w:rPr>
                <w:sz w:val="20"/>
              </w:rPr>
              <w:t>0.49 %</w:t>
            </w:r>
          </w:p>
        </w:tc>
        <w:tc>
          <w:tcPr>
            <w:tcW w:w="1139" w:type="dxa"/>
            <w:hideMark/>
          </w:tcPr>
          <w:p w:rsidR="009A1EE9" w:rsidRPr="00DD74B2" w:rsidRDefault="009A1EE9" w:rsidP="00333591">
            <w:pPr>
              <w:rPr>
                <w:sz w:val="20"/>
              </w:rPr>
            </w:pPr>
            <w:r w:rsidRPr="00DD74B2">
              <w:rPr>
                <w:sz w:val="20"/>
              </w:rPr>
              <w:t>3.92%</w:t>
            </w:r>
          </w:p>
        </w:tc>
        <w:tc>
          <w:tcPr>
            <w:tcW w:w="1028" w:type="dxa"/>
            <w:hideMark/>
          </w:tcPr>
          <w:p w:rsidR="009A1EE9" w:rsidRPr="00DD74B2" w:rsidRDefault="009A1EE9" w:rsidP="00333591">
            <w:pPr>
              <w:rPr>
                <w:sz w:val="20"/>
              </w:rPr>
            </w:pPr>
            <w:r w:rsidRPr="00DD74B2">
              <w:rPr>
                <w:sz w:val="20"/>
              </w:rPr>
              <w:t>1.91 %</w:t>
            </w:r>
          </w:p>
        </w:tc>
        <w:tc>
          <w:tcPr>
            <w:tcW w:w="1028" w:type="dxa"/>
            <w:hideMark/>
          </w:tcPr>
          <w:p w:rsidR="009A1EE9" w:rsidRPr="00DD74B2" w:rsidRDefault="009A1EE9" w:rsidP="00333591">
            <w:pPr>
              <w:rPr>
                <w:sz w:val="20"/>
              </w:rPr>
            </w:pPr>
            <w:r w:rsidRPr="00DD74B2">
              <w:rPr>
                <w:sz w:val="20"/>
              </w:rPr>
              <w:t>5.28 %</w:t>
            </w:r>
          </w:p>
        </w:tc>
        <w:tc>
          <w:tcPr>
            <w:tcW w:w="965" w:type="dxa"/>
            <w:hideMark/>
          </w:tcPr>
          <w:p w:rsidR="009A1EE9" w:rsidRPr="00DD74B2" w:rsidRDefault="009A1EE9" w:rsidP="00333591">
            <w:pPr>
              <w:rPr>
                <w:sz w:val="20"/>
              </w:rPr>
            </w:pPr>
            <w:r w:rsidRPr="00DD74B2">
              <w:rPr>
                <w:sz w:val="20"/>
              </w:rPr>
              <w:t>2.79 %</w:t>
            </w:r>
          </w:p>
        </w:tc>
      </w:tr>
    </w:tbl>
    <w:p w:rsidR="009A1EE9" w:rsidRPr="00E85013" w:rsidRDefault="009A1EE9" w:rsidP="009A1EE9">
      <w:pPr>
        <w:rPr>
          <w:i/>
        </w:rPr>
      </w:pPr>
    </w:p>
    <w:p w:rsidR="009A1EE9" w:rsidRPr="0050674F" w:rsidRDefault="005F7AC2" w:rsidP="009A1EE9">
      <w:pPr>
        <w:rPr>
          <w:rFonts w:eastAsia="Calibri" w:cs="Arial"/>
        </w:rPr>
      </w:pPr>
      <w:r w:rsidRPr="0050674F">
        <w:rPr>
          <w:rFonts w:eastAsia="Calibri" w:cs="Arial"/>
        </w:rPr>
        <w:t xml:space="preserve">The following table </w:t>
      </w:r>
      <w:r w:rsidR="001A74B8" w:rsidRPr="0050674F">
        <w:rPr>
          <w:rFonts w:eastAsia="Calibri" w:cs="Arial"/>
        </w:rPr>
        <w:t>2</w:t>
      </w:r>
      <w:r w:rsidR="000D3A08" w:rsidRPr="0050674F">
        <w:rPr>
          <w:rFonts w:eastAsia="Calibri" w:cs="Arial"/>
        </w:rPr>
        <w:t>b</w:t>
      </w:r>
      <w:r w:rsidR="001A74B8" w:rsidRPr="0050674F">
        <w:rPr>
          <w:rFonts w:eastAsia="Calibri" w:cs="Arial"/>
        </w:rPr>
        <w:t xml:space="preserve"> </w:t>
      </w:r>
      <w:r w:rsidRPr="0050674F">
        <w:rPr>
          <w:rFonts w:eastAsia="Calibri" w:cs="Arial"/>
        </w:rPr>
        <w:t>depicts the e.i.r.p level distribution for LAA-LTE under the assumption that only indoor usage is allowed</w:t>
      </w:r>
      <w:r w:rsidR="008F5BFF" w:rsidRPr="0050674F">
        <w:rPr>
          <w:rFonts w:eastAsia="Calibri" w:cs="Arial"/>
        </w:rPr>
        <w:t>,</w:t>
      </w:r>
      <w:r w:rsidRPr="0050674F">
        <w:rPr>
          <w:rFonts w:eastAsia="Calibri" w:cs="Arial"/>
        </w:rPr>
        <w:t xml:space="preserve"> a maximum mean e.i.r.p of 200</w:t>
      </w:r>
      <w:r w:rsidR="00E14178">
        <w:rPr>
          <w:rFonts w:eastAsia="Calibri" w:cs="Arial"/>
        </w:rPr>
        <w:t xml:space="preserve"> </w:t>
      </w:r>
      <w:r w:rsidRPr="0050674F">
        <w:rPr>
          <w:rFonts w:eastAsia="Calibri" w:cs="Arial"/>
        </w:rPr>
        <w:t>mW</w:t>
      </w:r>
      <w:r w:rsidR="008F5BFF" w:rsidRPr="0050674F">
        <w:rPr>
          <w:rFonts w:eastAsia="Calibri" w:cs="Arial"/>
        </w:rPr>
        <w:t xml:space="preserve">, </w:t>
      </w:r>
      <w:r w:rsidR="008F5BFF" w:rsidRPr="0050674F">
        <w:t xml:space="preserve">and use of mitigation techniques such as </w:t>
      </w:r>
      <w:r w:rsidR="00710DA1" w:rsidRPr="0050674F">
        <w:t>DFS</w:t>
      </w:r>
      <w:r w:rsidR="008F5BFF" w:rsidRPr="0050674F">
        <w:t xml:space="preserve"> and </w:t>
      </w:r>
      <w:r w:rsidR="00710DA1" w:rsidRPr="0050674F">
        <w:t>TPC</w:t>
      </w:r>
      <w:r w:rsidRPr="0050674F">
        <w:rPr>
          <w:rFonts w:eastAsia="Calibri" w:cs="Arial"/>
        </w:rPr>
        <w:t xml:space="preserve">. </w:t>
      </w:r>
      <w:r w:rsidR="00EF18F2" w:rsidRPr="0050674F">
        <w:t xml:space="preserve">One should assume that </w:t>
      </w:r>
      <w:r w:rsidR="00EF18F2" w:rsidRPr="0050674F">
        <w:rPr>
          <w:rFonts w:eastAsia="Calibri" w:cs="Arial"/>
        </w:rPr>
        <w:t>t</w:t>
      </w:r>
      <w:r w:rsidRPr="0050674F">
        <w:rPr>
          <w:rFonts w:eastAsia="Calibri" w:cs="Arial"/>
        </w:rPr>
        <w:t xml:space="preserve">his e.i.r.p level distribution is applicable to </w:t>
      </w:r>
      <w:r w:rsidR="00EF18F2" w:rsidRPr="0050674F">
        <w:rPr>
          <w:rFonts w:eastAsia="Calibri" w:cs="Arial"/>
        </w:rPr>
        <w:t xml:space="preserve">studies related to the </w:t>
      </w:r>
      <w:r w:rsidRPr="0050674F">
        <w:rPr>
          <w:rFonts w:eastAsia="Calibri" w:cs="Arial"/>
        </w:rPr>
        <w:t>frequency band</w:t>
      </w:r>
      <w:r w:rsidR="00EF18F2" w:rsidRPr="0050674F">
        <w:rPr>
          <w:rFonts w:eastAsia="Calibri" w:cs="Arial"/>
        </w:rPr>
        <w:t xml:space="preserve"> 5</w:t>
      </w:r>
      <w:r w:rsidR="00E14178">
        <w:rPr>
          <w:rFonts w:eastAsia="Calibri" w:cs="Arial"/>
        </w:rPr>
        <w:t> </w:t>
      </w:r>
      <w:r w:rsidR="00EF18F2" w:rsidRPr="0050674F">
        <w:rPr>
          <w:rFonts w:eastAsia="Calibri" w:cs="Arial"/>
        </w:rPr>
        <w:t>350-5</w:t>
      </w:r>
      <w:r w:rsidR="00E14178">
        <w:rPr>
          <w:rFonts w:eastAsia="Calibri" w:cs="Arial"/>
        </w:rPr>
        <w:t> </w:t>
      </w:r>
      <w:r w:rsidR="00EF18F2" w:rsidRPr="0050674F">
        <w:rPr>
          <w:rFonts w:eastAsia="Calibri" w:cs="Arial"/>
        </w:rPr>
        <w:t xml:space="preserve">470 MHz. </w:t>
      </w:r>
    </w:p>
    <w:p w:rsidR="001A74B8" w:rsidRDefault="001A74B8" w:rsidP="001F72A8">
      <w:pPr>
        <w:pStyle w:val="TableNo"/>
        <w:rPr>
          <w:lang w:val="en-US"/>
        </w:rPr>
      </w:pPr>
      <w:r w:rsidRPr="0050674F">
        <w:rPr>
          <w:lang w:val="en-US"/>
        </w:rPr>
        <w:t>Table 2</w:t>
      </w:r>
      <w:r w:rsidR="00FB1171" w:rsidRPr="0050674F">
        <w:rPr>
          <w:lang w:val="en-US"/>
        </w:rPr>
        <w:t>b</w:t>
      </w:r>
    </w:p>
    <w:tbl>
      <w:tblPr>
        <w:tblStyle w:val="TableTheme"/>
        <w:tblW w:w="7909" w:type="dxa"/>
        <w:jc w:val="center"/>
        <w:tblLayout w:type="fixed"/>
        <w:tblLook w:val="04A0" w:firstRow="1" w:lastRow="0" w:firstColumn="1" w:lastColumn="0" w:noHBand="0" w:noVBand="1"/>
      </w:tblPr>
      <w:tblGrid>
        <w:gridCol w:w="1526"/>
        <w:gridCol w:w="1084"/>
        <w:gridCol w:w="1139"/>
        <w:gridCol w:w="1139"/>
        <w:gridCol w:w="1028"/>
        <w:gridCol w:w="1028"/>
        <w:gridCol w:w="965"/>
      </w:tblGrid>
      <w:tr w:rsidR="00205374" w:rsidRPr="00DE726E" w:rsidTr="00205374">
        <w:trPr>
          <w:jc w:val="center"/>
        </w:trPr>
        <w:tc>
          <w:tcPr>
            <w:tcW w:w="1526" w:type="dxa"/>
            <w:hideMark/>
          </w:tcPr>
          <w:p w:rsidR="00205374" w:rsidRPr="00A85CB5" w:rsidRDefault="00205374" w:rsidP="00333591">
            <w:pPr>
              <w:pStyle w:val="Tablehead"/>
            </w:pPr>
            <w:r w:rsidRPr="00A85CB5">
              <w:t xml:space="preserve">Tx power e.i.r.p. </w:t>
            </w:r>
          </w:p>
        </w:tc>
        <w:tc>
          <w:tcPr>
            <w:tcW w:w="1084" w:type="dxa"/>
            <w:hideMark/>
          </w:tcPr>
          <w:p w:rsidR="00205374" w:rsidRPr="00A85CB5" w:rsidRDefault="00205374" w:rsidP="00333591">
            <w:pPr>
              <w:pStyle w:val="Tablehead"/>
            </w:pPr>
            <w:r w:rsidRPr="00A85CB5">
              <w:t>200</w:t>
            </w:r>
            <w:r w:rsidR="00E14178">
              <w:rPr>
                <w:rFonts w:eastAsia="Calibri" w:cs="Arial"/>
              </w:rPr>
              <w:t> </w:t>
            </w:r>
            <w:r w:rsidRPr="00A85CB5">
              <w:t xml:space="preserve">mW </w:t>
            </w:r>
          </w:p>
        </w:tc>
        <w:tc>
          <w:tcPr>
            <w:tcW w:w="1139" w:type="dxa"/>
            <w:hideMark/>
          </w:tcPr>
          <w:p w:rsidR="00205374" w:rsidRPr="00A85CB5" w:rsidRDefault="00205374" w:rsidP="00333591">
            <w:pPr>
              <w:pStyle w:val="Tablehead"/>
            </w:pPr>
            <w:r w:rsidRPr="00A85CB5">
              <w:t xml:space="preserve">140 mW </w:t>
            </w:r>
          </w:p>
        </w:tc>
        <w:tc>
          <w:tcPr>
            <w:tcW w:w="1139" w:type="dxa"/>
            <w:hideMark/>
          </w:tcPr>
          <w:p w:rsidR="00205374" w:rsidRPr="00A85CB5" w:rsidRDefault="00205374" w:rsidP="00333591">
            <w:pPr>
              <w:pStyle w:val="Tablehead"/>
            </w:pPr>
            <w:r w:rsidRPr="00A85CB5">
              <w:t xml:space="preserve">100 mW </w:t>
            </w:r>
          </w:p>
        </w:tc>
        <w:tc>
          <w:tcPr>
            <w:tcW w:w="1028" w:type="dxa"/>
            <w:hideMark/>
          </w:tcPr>
          <w:p w:rsidR="00205374" w:rsidRPr="00DE726E" w:rsidRDefault="00205374" w:rsidP="00333591">
            <w:pPr>
              <w:pStyle w:val="Tablehead"/>
            </w:pPr>
            <w:r w:rsidRPr="00DE726E">
              <w:t xml:space="preserve">50 mW </w:t>
            </w:r>
          </w:p>
        </w:tc>
        <w:tc>
          <w:tcPr>
            <w:tcW w:w="1028" w:type="dxa"/>
            <w:hideMark/>
          </w:tcPr>
          <w:p w:rsidR="00205374" w:rsidRPr="00DE726E" w:rsidRDefault="00205374" w:rsidP="00333591">
            <w:pPr>
              <w:pStyle w:val="Tablehead"/>
            </w:pPr>
            <w:r w:rsidRPr="00DE726E">
              <w:t xml:space="preserve">13 mW </w:t>
            </w:r>
          </w:p>
        </w:tc>
        <w:tc>
          <w:tcPr>
            <w:tcW w:w="965" w:type="dxa"/>
            <w:hideMark/>
          </w:tcPr>
          <w:p w:rsidR="00205374" w:rsidRPr="00DE726E" w:rsidRDefault="00205374" w:rsidP="00333591">
            <w:pPr>
              <w:pStyle w:val="Tablehead"/>
            </w:pPr>
            <w:r w:rsidRPr="00DE726E">
              <w:t>&lt;=1</w:t>
            </w:r>
            <w:r w:rsidR="001F72A8">
              <w:t> </w:t>
            </w:r>
            <w:r w:rsidRPr="00DE726E">
              <w:t xml:space="preserve">mW </w:t>
            </w:r>
          </w:p>
        </w:tc>
      </w:tr>
      <w:tr w:rsidR="00205374" w:rsidRPr="00DD74B2" w:rsidTr="00205374">
        <w:trPr>
          <w:jc w:val="center"/>
        </w:trPr>
        <w:tc>
          <w:tcPr>
            <w:tcW w:w="1526" w:type="dxa"/>
            <w:hideMark/>
          </w:tcPr>
          <w:p w:rsidR="00205374" w:rsidRPr="00DD74B2" w:rsidRDefault="00205374" w:rsidP="00333591">
            <w:pPr>
              <w:rPr>
                <w:sz w:val="20"/>
              </w:rPr>
            </w:pPr>
            <w:r w:rsidRPr="00DD74B2">
              <w:rPr>
                <w:sz w:val="20"/>
              </w:rPr>
              <w:t>Indoor RLAN device percentage</w:t>
            </w:r>
          </w:p>
        </w:tc>
        <w:tc>
          <w:tcPr>
            <w:tcW w:w="1084" w:type="dxa"/>
            <w:hideMark/>
          </w:tcPr>
          <w:p w:rsidR="00205374" w:rsidRPr="00DD74B2" w:rsidRDefault="00205374" w:rsidP="00333591">
            <w:pPr>
              <w:rPr>
                <w:sz w:val="20"/>
              </w:rPr>
            </w:pPr>
            <w:r>
              <w:rPr>
                <w:sz w:val="20"/>
              </w:rPr>
              <w:t>11.43</w:t>
            </w:r>
            <w:r w:rsidRPr="00DD74B2">
              <w:rPr>
                <w:sz w:val="20"/>
              </w:rPr>
              <w:t xml:space="preserve"> %</w:t>
            </w:r>
          </w:p>
        </w:tc>
        <w:tc>
          <w:tcPr>
            <w:tcW w:w="1139" w:type="dxa"/>
            <w:hideMark/>
          </w:tcPr>
          <w:p w:rsidR="00205374" w:rsidRPr="00DD74B2" w:rsidRDefault="00205374" w:rsidP="00333591">
            <w:pPr>
              <w:rPr>
                <w:sz w:val="20"/>
              </w:rPr>
            </w:pPr>
            <w:r>
              <w:rPr>
                <w:sz w:val="20"/>
              </w:rPr>
              <w:t>1.15</w:t>
            </w:r>
            <w:r w:rsidRPr="00DD74B2">
              <w:rPr>
                <w:sz w:val="20"/>
              </w:rPr>
              <w:t>%</w:t>
            </w:r>
          </w:p>
        </w:tc>
        <w:tc>
          <w:tcPr>
            <w:tcW w:w="1139" w:type="dxa"/>
            <w:hideMark/>
          </w:tcPr>
          <w:p w:rsidR="00205374" w:rsidRPr="00DD74B2" w:rsidRDefault="00205374" w:rsidP="00333591">
            <w:pPr>
              <w:rPr>
                <w:sz w:val="20"/>
              </w:rPr>
            </w:pPr>
            <w:r>
              <w:rPr>
                <w:sz w:val="20"/>
              </w:rPr>
              <w:t>24.65</w:t>
            </w:r>
            <w:r w:rsidRPr="00DD74B2">
              <w:rPr>
                <w:sz w:val="20"/>
              </w:rPr>
              <w:t xml:space="preserve"> %</w:t>
            </w:r>
          </w:p>
        </w:tc>
        <w:tc>
          <w:tcPr>
            <w:tcW w:w="1028" w:type="dxa"/>
            <w:hideMark/>
          </w:tcPr>
          <w:p w:rsidR="00205374" w:rsidRPr="00DD74B2" w:rsidRDefault="00205374" w:rsidP="00333591">
            <w:pPr>
              <w:rPr>
                <w:sz w:val="20"/>
              </w:rPr>
            </w:pPr>
            <w:r>
              <w:rPr>
                <w:sz w:val="20"/>
              </w:rPr>
              <w:t>9.</w:t>
            </w:r>
            <w:r w:rsidR="008F5BFF">
              <w:rPr>
                <w:sz w:val="20"/>
              </w:rPr>
              <w:t>53</w:t>
            </w:r>
            <w:r w:rsidRPr="00DD74B2">
              <w:rPr>
                <w:sz w:val="20"/>
              </w:rPr>
              <w:t xml:space="preserve"> %</w:t>
            </w:r>
          </w:p>
        </w:tc>
        <w:tc>
          <w:tcPr>
            <w:tcW w:w="1028" w:type="dxa"/>
            <w:hideMark/>
          </w:tcPr>
          <w:p w:rsidR="00205374" w:rsidRPr="00DD74B2" w:rsidRDefault="00205374" w:rsidP="00333591">
            <w:pPr>
              <w:rPr>
                <w:sz w:val="20"/>
              </w:rPr>
            </w:pPr>
            <w:r w:rsidRPr="00DD74B2">
              <w:rPr>
                <w:sz w:val="20"/>
              </w:rPr>
              <w:t>2</w:t>
            </w:r>
            <w:r>
              <w:rPr>
                <w:sz w:val="20"/>
              </w:rPr>
              <w:t>5</w:t>
            </w:r>
            <w:r w:rsidR="008F5BFF">
              <w:rPr>
                <w:sz w:val="20"/>
              </w:rPr>
              <w:t>.75</w:t>
            </w:r>
            <w:r w:rsidRPr="00DD74B2">
              <w:rPr>
                <w:sz w:val="20"/>
              </w:rPr>
              <w:t>%</w:t>
            </w:r>
          </w:p>
        </w:tc>
        <w:tc>
          <w:tcPr>
            <w:tcW w:w="965" w:type="dxa"/>
            <w:hideMark/>
          </w:tcPr>
          <w:p w:rsidR="00205374" w:rsidRPr="00DD74B2" w:rsidRDefault="008F5BFF" w:rsidP="00333591">
            <w:pPr>
              <w:rPr>
                <w:sz w:val="20"/>
              </w:rPr>
            </w:pPr>
            <w:r>
              <w:rPr>
                <w:sz w:val="20"/>
              </w:rPr>
              <w:t>27.49</w:t>
            </w:r>
            <w:r w:rsidR="00205374" w:rsidRPr="00DD74B2">
              <w:rPr>
                <w:sz w:val="20"/>
              </w:rPr>
              <w:t xml:space="preserve"> %</w:t>
            </w:r>
          </w:p>
        </w:tc>
      </w:tr>
    </w:tbl>
    <w:p w:rsidR="009A1EE9" w:rsidRPr="008B7D58" w:rsidRDefault="009A1EE9" w:rsidP="009A1EE9">
      <w:pPr>
        <w:pStyle w:val="Heading2"/>
      </w:pPr>
      <w:r>
        <w:rPr>
          <w:shd w:val="clear" w:color="auto" w:fill="FFFFFF"/>
        </w:rPr>
        <w:t>3.</w:t>
      </w:r>
      <w:r w:rsidDel="009A1EE9">
        <w:rPr>
          <w:shd w:val="clear" w:color="auto" w:fill="FFFFFF"/>
        </w:rPr>
        <w:t xml:space="preserve"> </w:t>
      </w:r>
      <w:r>
        <w:rPr>
          <w:shd w:val="clear" w:color="auto" w:fill="FFFFFF"/>
        </w:rPr>
        <w:t>2</w:t>
      </w:r>
      <w:r w:rsidRPr="008B7D58">
        <w:rPr>
          <w:shd w:val="clear" w:color="auto" w:fill="FFFFFF"/>
        </w:rPr>
        <w:tab/>
      </w:r>
      <w:r>
        <w:t>Channel bandwidths distribution</w:t>
      </w:r>
    </w:p>
    <w:p w:rsidR="009A1EE9" w:rsidRDefault="009A1EE9" w:rsidP="009A1EE9"/>
    <w:tbl>
      <w:tblPr>
        <w:tblW w:w="4298" w:type="pct"/>
        <w:jc w:val="center"/>
        <w:tblCellMar>
          <w:left w:w="0" w:type="dxa"/>
          <w:right w:w="0" w:type="dxa"/>
        </w:tblCellMar>
        <w:tblLook w:val="04A0" w:firstRow="1" w:lastRow="0" w:firstColumn="1" w:lastColumn="0" w:noHBand="0" w:noVBand="1"/>
      </w:tblPr>
      <w:tblGrid>
        <w:gridCol w:w="2042"/>
        <w:gridCol w:w="1478"/>
        <w:gridCol w:w="1720"/>
        <w:gridCol w:w="1505"/>
        <w:gridCol w:w="1523"/>
      </w:tblGrid>
      <w:tr w:rsidR="009A1EE9" w:rsidTr="00333591">
        <w:trPr>
          <w:jc w:val="center"/>
        </w:trPr>
        <w:tc>
          <w:tcPr>
            <w:tcW w:w="12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1EE9" w:rsidRDefault="009A1EE9" w:rsidP="00333591">
            <w:pPr>
              <w:spacing w:before="40" w:after="40"/>
              <w:jc w:val="center"/>
              <w:rPr>
                <w:rFonts w:asciiTheme="majorBidi" w:hAnsiTheme="majorBidi" w:cstheme="majorBidi"/>
                <w:b/>
                <w:bCs/>
                <w:sz w:val="20"/>
              </w:rPr>
            </w:pPr>
            <w:r>
              <w:rPr>
                <w:rFonts w:asciiTheme="majorBidi" w:hAnsiTheme="majorBidi" w:cstheme="majorBidi"/>
                <w:b/>
                <w:bCs/>
                <w:sz w:val="20"/>
              </w:rPr>
              <w:t>Channel bandwidth</w:t>
            </w:r>
          </w:p>
        </w:tc>
        <w:tc>
          <w:tcPr>
            <w:tcW w:w="89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1EE9" w:rsidRDefault="009A1EE9" w:rsidP="00333591">
            <w:pPr>
              <w:spacing w:before="40" w:after="40"/>
              <w:jc w:val="center"/>
              <w:rPr>
                <w:rFonts w:asciiTheme="majorBidi" w:hAnsiTheme="majorBidi" w:cstheme="majorBidi"/>
                <w:b/>
                <w:bCs/>
                <w:sz w:val="20"/>
              </w:rPr>
            </w:pPr>
            <w:r>
              <w:rPr>
                <w:rFonts w:asciiTheme="majorBidi" w:hAnsiTheme="majorBidi" w:cstheme="majorBidi"/>
                <w:b/>
                <w:bCs/>
                <w:sz w:val="20"/>
              </w:rPr>
              <w:t>20 MHz</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1EE9" w:rsidRDefault="009A1EE9" w:rsidP="00333591">
            <w:pPr>
              <w:spacing w:before="40" w:after="40"/>
              <w:jc w:val="center"/>
              <w:rPr>
                <w:rFonts w:asciiTheme="majorBidi" w:hAnsiTheme="majorBidi" w:cstheme="majorBidi"/>
                <w:b/>
                <w:bCs/>
                <w:sz w:val="20"/>
              </w:rPr>
            </w:pPr>
            <w:r>
              <w:rPr>
                <w:rFonts w:asciiTheme="majorBidi" w:hAnsiTheme="majorBidi" w:cstheme="majorBidi"/>
                <w:b/>
                <w:bCs/>
                <w:sz w:val="20"/>
              </w:rPr>
              <w:t>40 MHz</w:t>
            </w:r>
          </w:p>
        </w:tc>
        <w:tc>
          <w:tcPr>
            <w:tcW w:w="91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1EE9" w:rsidRDefault="009A1EE9" w:rsidP="00333591">
            <w:pPr>
              <w:spacing w:before="40" w:after="40"/>
              <w:jc w:val="center"/>
              <w:rPr>
                <w:rFonts w:asciiTheme="majorBidi" w:hAnsiTheme="majorBidi" w:cstheme="majorBidi"/>
                <w:b/>
                <w:bCs/>
                <w:sz w:val="20"/>
              </w:rPr>
            </w:pPr>
            <w:r>
              <w:rPr>
                <w:rFonts w:asciiTheme="majorBidi" w:hAnsiTheme="majorBidi" w:cstheme="majorBidi"/>
                <w:b/>
                <w:bCs/>
                <w:sz w:val="20"/>
              </w:rPr>
              <w:t>80 MHz</w:t>
            </w:r>
          </w:p>
        </w:tc>
        <w:tc>
          <w:tcPr>
            <w:tcW w:w="9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1EE9" w:rsidRDefault="009A1EE9" w:rsidP="00333591">
            <w:pPr>
              <w:spacing w:before="40" w:after="40"/>
              <w:jc w:val="center"/>
              <w:rPr>
                <w:rFonts w:asciiTheme="majorBidi" w:hAnsiTheme="majorBidi" w:cstheme="majorBidi"/>
                <w:b/>
                <w:bCs/>
                <w:sz w:val="20"/>
              </w:rPr>
            </w:pPr>
            <w:r>
              <w:rPr>
                <w:rFonts w:asciiTheme="majorBidi" w:hAnsiTheme="majorBidi" w:cstheme="majorBidi"/>
                <w:b/>
                <w:bCs/>
                <w:sz w:val="20"/>
              </w:rPr>
              <w:t>160 MHz</w:t>
            </w:r>
          </w:p>
        </w:tc>
      </w:tr>
      <w:tr w:rsidR="009A1EE9" w:rsidTr="00333591">
        <w:trPr>
          <w:jc w:val="center"/>
        </w:trPr>
        <w:tc>
          <w:tcPr>
            <w:tcW w:w="12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EE9" w:rsidRPr="00AF09EB" w:rsidRDefault="009A1EE9" w:rsidP="00333591">
            <w:pPr>
              <w:pStyle w:val="Tabletext"/>
              <w:jc w:val="center"/>
            </w:pPr>
            <w:r w:rsidRPr="00AF09EB">
              <w:t xml:space="preserve">RLAN </w:t>
            </w:r>
            <w:r>
              <w:t>d</w:t>
            </w:r>
            <w:r w:rsidRPr="00AF09EB">
              <w:t xml:space="preserve">evice </w:t>
            </w:r>
            <w:r>
              <w:t>p</w:t>
            </w:r>
            <w:r w:rsidRPr="00AF09EB">
              <w:t>ercentage</w:t>
            </w:r>
          </w:p>
        </w:tc>
        <w:tc>
          <w:tcPr>
            <w:tcW w:w="8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A1EE9" w:rsidRPr="00AF09EB" w:rsidRDefault="009A1EE9" w:rsidP="00333591">
            <w:pPr>
              <w:pStyle w:val="Tabletext"/>
              <w:jc w:val="center"/>
            </w:pPr>
            <w:r w:rsidRPr="00AF09EB">
              <w:rPr>
                <w:color w:val="000000"/>
                <w:sz w:val="22"/>
                <w:szCs w:val="22"/>
              </w:rPr>
              <w:t>10%</w:t>
            </w:r>
          </w:p>
        </w:tc>
        <w:tc>
          <w:tcPr>
            <w:tcW w:w="104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A1EE9" w:rsidRPr="00AF09EB" w:rsidRDefault="009A1EE9" w:rsidP="00333591">
            <w:pPr>
              <w:pStyle w:val="Tabletext"/>
              <w:jc w:val="center"/>
            </w:pPr>
            <w:r w:rsidRPr="00AF09EB">
              <w:rPr>
                <w:color w:val="000000"/>
                <w:sz w:val="22"/>
                <w:szCs w:val="22"/>
              </w:rPr>
              <w:t>25%</w:t>
            </w:r>
          </w:p>
        </w:tc>
        <w:tc>
          <w:tcPr>
            <w:tcW w:w="91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A1EE9" w:rsidRPr="00AF09EB" w:rsidRDefault="009A1EE9" w:rsidP="00333591">
            <w:pPr>
              <w:pStyle w:val="Tabletext"/>
              <w:jc w:val="center"/>
            </w:pPr>
            <w:r w:rsidRPr="00AF09EB">
              <w:rPr>
                <w:color w:val="000000"/>
                <w:sz w:val="22"/>
                <w:szCs w:val="22"/>
              </w:rPr>
              <w:t>50%</w:t>
            </w:r>
          </w:p>
        </w:tc>
        <w:tc>
          <w:tcPr>
            <w:tcW w:w="92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A1EE9" w:rsidRPr="00AF09EB" w:rsidRDefault="009A1EE9" w:rsidP="00333591">
            <w:pPr>
              <w:pStyle w:val="Tabletext"/>
              <w:jc w:val="center"/>
            </w:pPr>
            <w:r w:rsidRPr="00AF09EB">
              <w:rPr>
                <w:color w:val="000000"/>
                <w:sz w:val="22"/>
                <w:szCs w:val="22"/>
              </w:rPr>
              <w:t>15%</w:t>
            </w:r>
          </w:p>
        </w:tc>
      </w:tr>
    </w:tbl>
    <w:p w:rsidR="009A1EE9" w:rsidRPr="008B7D58" w:rsidRDefault="009A1EE9" w:rsidP="009A1EE9">
      <w:pPr>
        <w:pStyle w:val="Heading2"/>
      </w:pPr>
      <w:r>
        <w:rPr>
          <w:shd w:val="clear" w:color="auto" w:fill="FFFFFF"/>
        </w:rPr>
        <w:t>3.</w:t>
      </w:r>
      <w:r w:rsidDel="009A1EE9">
        <w:rPr>
          <w:shd w:val="clear" w:color="auto" w:fill="FFFFFF"/>
        </w:rPr>
        <w:t xml:space="preserve"> </w:t>
      </w:r>
      <w:r>
        <w:rPr>
          <w:shd w:val="clear" w:color="auto" w:fill="FFFFFF"/>
        </w:rPr>
        <w:t>3</w:t>
      </w:r>
      <w:r w:rsidRPr="008B7D58">
        <w:rPr>
          <w:shd w:val="clear" w:color="auto" w:fill="FFFFFF"/>
        </w:rPr>
        <w:tab/>
      </w:r>
      <w:r w:rsidRPr="007C189E">
        <w:t>Building attenuation</w:t>
      </w:r>
    </w:p>
    <w:p w:rsidR="009A1EE9" w:rsidRDefault="009A1EE9" w:rsidP="009A1EE9">
      <w:r>
        <w:t>Gaussian distribution with a 17 dB mean and a 7 dB standard deviation (truncated at 1 dB).</w:t>
      </w:r>
    </w:p>
    <w:p w:rsidR="009A1EE9" w:rsidRDefault="009A1EE9" w:rsidP="009A1EE9">
      <w:r>
        <w:t>Alternatively administrations may choose to use a 17 dB fixed value.</w:t>
      </w:r>
    </w:p>
    <w:p w:rsidR="009A1EE9" w:rsidRPr="008B7D58" w:rsidRDefault="009A1EE9" w:rsidP="009A1EE9">
      <w:pPr>
        <w:pStyle w:val="Heading2"/>
      </w:pPr>
      <w:r>
        <w:rPr>
          <w:shd w:val="clear" w:color="auto" w:fill="FFFFFF"/>
        </w:rPr>
        <w:t>3.4</w:t>
      </w:r>
      <w:r w:rsidRPr="008B7D58">
        <w:rPr>
          <w:shd w:val="clear" w:color="auto" w:fill="FFFFFF"/>
        </w:rPr>
        <w:tab/>
      </w:r>
      <w:r w:rsidRPr="007C189E">
        <w:rPr>
          <w:lang w:val="en-US"/>
        </w:rPr>
        <w:t>Propagation model</w:t>
      </w:r>
    </w:p>
    <w:p w:rsidR="009A1EE9" w:rsidRPr="00053C82" w:rsidRDefault="009A1EE9" w:rsidP="009A1EE9">
      <w:r w:rsidRPr="003E1EB2">
        <w:t xml:space="preserve">The model sums </w:t>
      </w:r>
      <w:r w:rsidRPr="00053C82">
        <w:t>losses (in dB) from the free space loss model in Recommendation ITU-R P.619, the angular clutter loss model in Recommendation ITU-R P.452 and the building attenuation model that is described above.</w:t>
      </w:r>
    </w:p>
    <w:p w:rsidR="009A1EE9" w:rsidRPr="003E1EB2" w:rsidRDefault="009A1EE9" w:rsidP="009A1EE9">
      <w:r w:rsidRPr="00ED212E">
        <w:t xml:space="preserve">The angular clutter loss model provided by the </w:t>
      </w:r>
      <w:r>
        <w:t>“</w:t>
      </w:r>
      <w:r w:rsidRPr="00ED212E">
        <w:t>RLAN User Defined Height</w:t>
      </w:r>
      <w:r>
        <w:t>”</w:t>
      </w:r>
      <w:r w:rsidRPr="00ED212E">
        <w:t xml:space="preserve"> column of the attached worksheet </w:t>
      </w:r>
      <w:r w:rsidRPr="003E1EB2">
        <w:t>were used in conjunction with the antenna heights as described be</w:t>
      </w:r>
      <w:r>
        <w:t xml:space="preserve">low. </w:t>
      </w:r>
      <w:r>
        <w:br/>
      </w:r>
      <w:r w:rsidRPr="003E1EB2">
        <w:t>The clutter loss values calculated for the "sparse houses", "suburban" and "urban" clutter</w:t>
      </w:r>
      <w:r>
        <w:br/>
      </w:r>
      <w:r w:rsidRPr="003E1EB2">
        <w:t>(ground-cover) categories were applied in the rural, suburban and urban zones of the RLAN deployment model, respectively.</w:t>
      </w:r>
    </w:p>
    <w:p w:rsidR="009A1EE9" w:rsidRDefault="009A1EE9" w:rsidP="009A1EE9">
      <w:r w:rsidRPr="003E1EB2">
        <w:t>Theta max (°) provides the angle from the RLAN transmitter to the top of the clutter height. Therefore, if the spacecraft is at an elevation angle at or below theta max (°), clutter loss should be added. If the spacecraft is above theta max (°) of the respective clutter category, there is no clutter loss.</w:t>
      </w:r>
    </w:p>
    <w:bookmarkStart w:id="3" w:name="_MON_1443711301"/>
    <w:bookmarkEnd w:id="3"/>
    <w:p w:rsidR="009A1EE9" w:rsidRDefault="009A1EE9" w:rsidP="009A1EE9">
      <w:pPr>
        <w:spacing w:after="200" w:line="276" w:lineRule="auto"/>
        <w:jc w:val="center"/>
        <w:rPr>
          <w:b/>
          <w:sz w:val="28"/>
          <w:szCs w:val="28"/>
        </w:rPr>
      </w:pPr>
      <w:r>
        <w:rPr>
          <w:b/>
          <w:sz w:val="28"/>
          <w:szCs w:val="28"/>
        </w:rPr>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5pt;height:63.95pt" o:ole="">
            <v:imagedata r:id="rId18" o:title=""/>
          </v:shape>
          <o:OLEObject Type="Embed" ProgID="Excel.Sheet.12" ShapeID="_x0000_i1025" DrawAspect="Icon" ObjectID="_1540973702" r:id="rId19"/>
        </w:object>
      </w:r>
    </w:p>
    <w:p w:rsidR="009A1EE9" w:rsidRDefault="009A1EE9" w:rsidP="009A1EE9">
      <w:pPr>
        <w:pStyle w:val="Tabletitle"/>
        <w:rPr>
          <w:szCs w:val="24"/>
        </w:rPr>
      </w:pPr>
      <w:r>
        <w:t>Antenna height</w:t>
      </w:r>
    </w:p>
    <w:tbl>
      <w:tblPr>
        <w:tblStyle w:val="TableGrid"/>
        <w:tblW w:w="0" w:type="auto"/>
        <w:tblInd w:w="1278" w:type="dxa"/>
        <w:tblLook w:val="04A0" w:firstRow="1" w:lastRow="0" w:firstColumn="1" w:lastColumn="0" w:noHBand="0" w:noVBand="1"/>
      </w:tblPr>
      <w:tblGrid>
        <w:gridCol w:w="3510"/>
        <w:gridCol w:w="3330"/>
      </w:tblGrid>
      <w:tr w:rsidR="009A1EE9" w:rsidRPr="008B6A6B" w:rsidTr="00333591">
        <w:tc>
          <w:tcPr>
            <w:tcW w:w="3510" w:type="dxa"/>
            <w:vAlign w:val="center"/>
          </w:tcPr>
          <w:p w:rsidR="009A1EE9" w:rsidRPr="008B6A6B" w:rsidRDefault="009A1EE9" w:rsidP="00333591">
            <w:pPr>
              <w:spacing w:before="40" w:after="40"/>
              <w:jc w:val="center"/>
              <w:rPr>
                <w:b/>
                <w:sz w:val="20"/>
                <w:szCs w:val="18"/>
              </w:rPr>
            </w:pPr>
            <w:r w:rsidRPr="008B6A6B">
              <w:rPr>
                <w:b/>
                <w:sz w:val="20"/>
                <w:szCs w:val="18"/>
              </w:rPr>
              <w:t xml:space="preserve">RLAN </w:t>
            </w:r>
            <w:r>
              <w:rPr>
                <w:b/>
                <w:sz w:val="20"/>
                <w:szCs w:val="18"/>
              </w:rPr>
              <w:t>d</w:t>
            </w:r>
            <w:r w:rsidRPr="008B6A6B">
              <w:rPr>
                <w:b/>
                <w:sz w:val="20"/>
                <w:szCs w:val="18"/>
              </w:rPr>
              <w:t xml:space="preserve">eployment </w:t>
            </w:r>
            <w:r>
              <w:rPr>
                <w:b/>
                <w:sz w:val="20"/>
                <w:szCs w:val="18"/>
              </w:rPr>
              <w:t>r</w:t>
            </w:r>
            <w:r w:rsidRPr="008B6A6B">
              <w:rPr>
                <w:b/>
                <w:sz w:val="20"/>
                <w:szCs w:val="18"/>
              </w:rPr>
              <w:t>egion</w:t>
            </w:r>
          </w:p>
        </w:tc>
        <w:tc>
          <w:tcPr>
            <w:tcW w:w="3330" w:type="dxa"/>
            <w:vAlign w:val="center"/>
          </w:tcPr>
          <w:p w:rsidR="009A1EE9" w:rsidRPr="008B6A6B" w:rsidRDefault="009A1EE9" w:rsidP="00333591">
            <w:pPr>
              <w:spacing w:before="40" w:after="40"/>
              <w:jc w:val="center"/>
              <w:rPr>
                <w:b/>
                <w:sz w:val="20"/>
                <w:szCs w:val="18"/>
              </w:rPr>
            </w:pPr>
            <w:r w:rsidRPr="008B6A6B">
              <w:rPr>
                <w:b/>
                <w:sz w:val="20"/>
                <w:szCs w:val="18"/>
              </w:rPr>
              <w:t xml:space="preserve">Antenna </w:t>
            </w:r>
            <w:r>
              <w:rPr>
                <w:b/>
                <w:sz w:val="20"/>
                <w:szCs w:val="18"/>
              </w:rPr>
              <w:t>h</w:t>
            </w:r>
            <w:r w:rsidRPr="008B6A6B">
              <w:rPr>
                <w:b/>
                <w:sz w:val="20"/>
                <w:szCs w:val="18"/>
              </w:rPr>
              <w:t>eight</w:t>
            </w:r>
            <w:r>
              <w:rPr>
                <w:b/>
                <w:sz w:val="20"/>
                <w:szCs w:val="18"/>
              </w:rPr>
              <w:t xml:space="preserve"> (met</w:t>
            </w:r>
            <w:r w:rsidRPr="008B6A6B">
              <w:rPr>
                <w:b/>
                <w:sz w:val="20"/>
                <w:szCs w:val="18"/>
              </w:rPr>
              <w:t>r</w:t>
            </w:r>
            <w:r>
              <w:rPr>
                <w:b/>
                <w:sz w:val="20"/>
                <w:szCs w:val="18"/>
              </w:rPr>
              <w:t>e</w:t>
            </w:r>
            <w:r w:rsidRPr="008B6A6B">
              <w:rPr>
                <w:b/>
                <w:sz w:val="20"/>
                <w:szCs w:val="18"/>
              </w:rPr>
              <w:t>s)</w:t>
            </w:r>
          </w:p>
        </w:tc>
      </w:tr>
      <w:tr w:rsidR="009A1EE9" w:rsidRPr="008B6A6B" w:rsidTr="00333591">
        <w:tc>
          <w:tcPr>
            <w:tcW w:w="3510" w:type="dxa"/>
          </w:tcPr>
          <w:p w:rsidR="009A1EE9" w:rsidRPr="008B6A6B" w:rsidRDefault="009A1EE9" w:rsidP="00333591">
            <w:pPr>
              <w:spacing w:before="40" w:after="40"/>
              <w:jc w:val="center"/>
              <w:rPr>
                <w:sz w:val="20"/>
                <w:szCs w:val="18"/>
              </w:rPr>
            </w:pPr>
            <w:r w:rsidRPr="008B6A6B">
              <w:rPr>
                <w:sz w:val="20"/>
                <w:szCs w:val="18"/>
              </w:rPr>
              <w:t>Urban</w:t>
            </w:r>
          </w:p>
        </w:tc>
        <w:tc>
          <w:tcPr>
            <w:tcW w:w="3330" w:type="dxa"/>
          </w:tcPr>
          <w:p w:rsidR="009A1EE9" w:rsidRPr="008B6A6B" w:rsidRDefault="009A1EE9" w:rsidP="00333591">
            <w:pPr>
              <w:spacing w:before="40" w:after="40"/>
              <w:jc w:val="center"/>
              <w:rPr>
                <w:sz w:val="20"/>
                <w:szCs w:val="18"/>
              </w:rPr>
            </w:pPr>
            <w:r w:rsidRPr="008B6A6B">
              <w:rPr>
                <w:color w:val="000000"/>
                <w:sz w:val="20"/>
                <w:szCs w:val="18"/>
              </w:rPr>
              <w:t>1.5 to 28.5</w:t>
            </w:r>
          </w:p>
        </w:tc>
      </w:tr>
      <w:tr w:rsidR="009A1EE9" w:rsidRPr="008B6A6B" w:rsidTr="00333591">
        <w:tc>
          <w:tcPr>
            <w:tcW w:w="3510" w:type="dxa"/>
          </w:tcPr>
          <w:p w:rsidR="009A1EE9" w:rsidRPr="008B6A6B" w:rsidRDefault="009A1EE9" w:rsidP="00333591">
            <w:pPr>
              <w:spacing w:before="40" w:after="40"/>
              <w:jc w:val="center"/>
              <w:rPr>
                <w:sz w:val="20"/>
                <w:szCs w:val="18"/>
              </w:rPr>
            </w:pPr>
            <w:r w:rsidRPr="008B6A6B">
              <w:rPr>
                <w:sz w:val="20"/>
                <w:szCs w:val="18"/>
              </w:rPr>
              <w:t>Suburban</w:t>
            </w:r>
          </w:p>
        </w:tc>
        <w:tc>
          <w:tcPr>
            <w:tcW w:w="3330" w:type="dxa"/>
          </w:tcPr>
          <w:p w:rsidR="009A1EE9" w:rsidRPr="008B6A6B" w:rsidRDefault="009A1EE9" w:rsidP="00333591">
            <w:pPr>
              <w:spacing w:before="40" w:after="40"/>
              <w:jc w:val="center"/>
              <w:rPr>
                <w:sz w:val="20"/>
                <w:szCs w:val="18"/>
              </w:rPr>
            </w:pPr>
            <w:r w:rsidRPr="008B6A6B">
              <w:rPr>
                <w:color w:val="000000"/>
                <w:sz w:val="20"/>
                <w:szCs w:val="18"/>
              </w:rPr>
              <w:t>1.5, 4.5</w:t>
            </w:r>
          </w:p>
        </w:tc>
      </w:tr>
      <w:tr w:rsidR="009A1EE9" w:rsidRPr="008B6A6B" w:rsidTr="00333591">
        <w:tc>
          <w:tcPr>
            <w:tcW w:w="3510" w:type="dxa"/>
          </w:tcPr>
          <w:p w:rsidR="009A1EE9" w:rsidRPr="008B6A6B" w:rsidRDefault="009A1EE9" w:rsidP="00333591">
            <w:pPr>
              <w:spacing w:before="40" w:after="40"/>
              <w:jc w:val="center"/>
              <w:rPr>
                <w:sz w:val="20"/>
                <w:szCs w:val="18"/>
              </w:rPr>
            </w:pPr>
            <w:r w:rsidRPr="008B6A6B">
              <w:rPr>
                <w:sz w:val="20"/>
                <w:szCs w:val="18"/>
              </w:rPr>
              <w:t>Rural</w:t>
            </w:r>
          </w:p>
        </w:tc>
        <w:tc>
          <w:tcPr>
            <w:tcW w:w="3330" w:type="dxa"/>
          </w:tcPr>
          <w:p w:rsidR="009A1EE9" w:rsidRPr="008B6A6B" w:rsidRDefault="009A1EE9" w:rsidP="00333591">
            <w:pPr>
              <w:spacing w:before="40" w:after="40"/>
              <w:jc w:val="center"/>
              <w:rPr>
                <w:sz w:val="20"/>
                <w:szCs w:val="18"/>
              </w:rPr>
            </w:pPr>
            <w:r w:rsidRPr="008B6A6B">
              <w:rPr>
                <w:color w:val="000000"/>
                <w:sz w:val="20"/>
                <w:szCs w:val="18"/>
              </w:rPr>
              <w:t>1.5, 4.5</w:t>
            </w:r>
          </w:p>
        </w:tc>
      </w:tr>
    </w:tbl>
    <w:p w:rsidR="009A1EE9" w:rsidRDefault="009A1EE9" w:rsidP="009A1EE9">
      <w:r>
        <w:t>The antenna heights are randomly selected using a uniform probability distribution from the set of floor heights at 3 meter steps.</w:t>
      </w:r>
    </w:p>
    <w:p w:rsidR="009A1EE9" w:rsidRPr="007C189E" w:rsidRDefault="009A1EE9" w:rsidP="009A1EE9">
      <w:pPr>
        <w:pStyle w:val="Heading2"/>
        <w:spacing w:before="360"/>
        <w:ind w:left="0" w:firstLine="0"/>
      </w:pPr>
      <w:r>
        <w:rPr>
          <w:shd w:val="clear" w:color="auto" w:fill="FFFFFF"/>
        </w:rPr>
        <w:t>3.5</w:t>
      </w:r>
      <w:r w:rsidRPr="008B7D58">
        <w:rPr>
          <w:shd w:val="clear" w:color="auto" w:fill="FFFFFF"/>
        </w:rPr>
        <w:tab/>
      </w:r>
      <w:r w:rsidRPr="007C189E">
        <w:t>Antenna gain/discrimination</w:t>
      </w:r>
    </w:p>
    <w:p w:rsidR="009A1EE9" w:rsidRDefault="009A1EE9" w:rsidP="009A1EE9">
      <w:r>
        <w:t>Omnidirectional in azimuth for all scenarios.</w:t>
      </w:r>
    </w:p>
    <w:p w:rsidR="009A1EE9" w:rsidRDefault="009A1EE9" w:rsidP="009A1EE9">
      <w:r>
        <w:rPr>
          <w:b/>
        </w:rPr>
        <w:t>Option A1</w:t>
      </w:r>
      <w:r>
        <w:t xml:space="preserve">: Omnidirectional in elevation with 0 dBi gain In one study this option was used as </w:t>
      </w:r>
      <w:r>
        <w:br/>
        <w:t>a baseline, but further considered losses by developing 3 dB cross-polarisation loss for systems without building attenuation, and then considered 0-4 dB random “other” losses.</w:t>
      </w:r>
    </w:p>
    <w:p w:rsidR="009A1EE9" w:rsidRDefault="009A1EE9" w:rsidP="009A1EE9">
      <w:pPr>
        <w:pStyle w:val="Heading2"/>
        <w:spacing w:before="360"/>
        <w:ind w:left="1138" w:hanging="1138"/>
        <w:rPr>
          <w:b w:val="0"/>
        </w:rPr>
      </w:pPr>
      <w:r w:rsidRPr="00080FE7">
        <w:t>Option A3</w:t>
      </w:r>
      <w:r w:rsidRPr="00080FE7">
        <w:rPr>
          <w:b w:val="0"/>
        </w:rPr>
        <w:t>: An average 4 dB antenna discrimination is applied to the e.i.r.p. level distribution above in the direction of the satellite</w:t>
      </w:r>
    </w:p>
    <w:p w:rsidR="009A1EE9" w:rsidRDefault="009A1EE9" w:rsidP="009A1EE9">
      <w:pPr>
        <w:rPr>
          <w:i/>
          <w:lang w:val="en-US"/>
        </w:rPr>
      </w:pPr>
      <w:r w:rsidRPr="00ED2533">
        <w:rPr>
          <w:i/>
          <w:lang w:val="en-US"/>
        </w:rPr>
        <w:t>[</w:t>
      </w:r>
      <w:r w:rsidRPr="00ED2533">
        <w:rPr>
          <w:b/>
          <w:i/>
          <w:lang w:val="en-US"/>
        </w:rPr>
        <w:t>Editor’s Note</w:t>
      </w:r>
      <w:r w:rsidRPr="00ED2533">
        <w:rPr>
          <w:i/>
          <w:lang w:val="en-US"/>
        </w:rPr>
        <w:t>: these antenna discrimination figures are given for compatibility analysis with satellite services. Antenna patterns for compatibility with other services may need to be described.]</w:t>
      </w:r>
    </w:p>
    <w:p w:rsidR="009A1EE9" w:rsidRDefault="009A1EE9" w:rsidP="009A1EE9">
      <w:pPr>
        <w:rPr>
          <w:i/>
          <w:lang w:val="en-US"/>
        </w:rPr>
      </w:pPr>
      <w:r>
        <w:rPr>
          <w:i/>
          <w:lang w:val="en-US"/>
        </w:rPr>
        <w:t>[</w:t>
      </w:r>
      <w:r w:rsidRPr="00ED2533">
        <w:rPr>
          <w:b/>
          <w:i/>
          <w:lang w:val="en-US"/>
        </w:rPr>
        <w:t>Editor’s Note</w:t>
      </w:r>
      <w:r>
        <w:rPr>
          <w:i/>
          <w:lang w:val="en-US"/>
        </w:rPr>
        <w:t>: The parameters and general effect of RLANS employing multi-mimo and beamforming technology could be addressed in future studies.]</w:t>
      </w:r>
    </w:p>
    <w:p w:rsidR="009A1EE9" w:rsidRPr="007C189E" w:rsidRDefault="009A1EE9" w:rsidP="009A1EE9">
      <w:pPr>
        <w:pStyle w:val="Heading2"/>
        <w:spacing w:before="360"/>
        <w:ind w:left="1138" w:hanging="1138"/>
      </w:pPr>
      <w:r>
        <w:rPr>
          <w:shd w:val="clear" w:color="auto" w:fill="FFFFFF"/>
        </w:rPr>
        <w:t>3.6</w:t>
      </w:r>
      <w:r w:rsidRPr="008B7D58">
        <w:rPr>
          <w:shd w:val="clear" w:color="auto" w:fill="FFFFFF"/>
        </w:rPr>
        <w:tab/>
      </w:r>
      <w:r>
        <w:rPr>
          <w:shd w:val="clear" w:color="auto" w:fill="FFFFFF"/>
        </w:rPr>
        <w:t>WAS/</w:t>
      </w:r>
      <w:r w:rsidRPr="007C189E">
        <w:t>RLAN device density relevant to sharing studies</w:t>
      </w:r>
    </w:p>
    <w:p w:rsidR="009A1EE9" w:rsidRDefault="009A1EE9" w:rsidP="009A1EE9">
      <w:pPr>
        <w:rPr>
          <w:lang w:val="en-US" w:eastAsia="zh-CN"/>
        </w:rPr>
      </w:pPr>
      <w:r>
        <w:rPr>
          <w:lang w:val="en-US" w:eastAsia="zh-CN"/>
        </w:rPr>
        <w:t>The following RLAN device densities are to be used as simultaneously transmitting with the e.i.r.p. distribution as given above (no ranking implied).</w:t>
      </w:r>
    </w:p>
    <w:p w:rsidR="009A1EE9" w:rsidRPr="00781E5A" w:rsidRDefault="009A1EE9" w:rsidP="009A1EE9">
      <w:pPr>
        <w:rPr>
          <w:i/>
          <w:lang w:val="en-US" w:eastAsia="zh-CN"/>
        </w:rPr>
      </w:pPr>
      <w:r w:rsidRPr="00781E5A">
        <w:rPr>
          <w:i/>
          <w:lang w:val="en-US" w:eastAsia="zh-CN"/>
        </w:rPr>
        <w:t>[</w:t>
      </w:r>
      <w:r w:rsidRPr="00781E5A">
        <w:rPr>
          <w:b/>
          <w:i/>
          <w:lang w:val="en-US" w:eastAsia="zh-CN"/>
        </w:rPr>
        <w:t>Editor’s note</w:t>
      </w:r>
      <w:r w:rsidRPr="00781E5A">
        <w:rPr>
          <w:i/>
          <w:lang w:val="en-US" w:eastAsia="zh-CN"/>
        </w:rPr>
        <w:t>: this has to be carefully discussed and agreed to with regards to the assumptions and applicability in each of the sub band studies]</w:t>
      </w:r>
    </w:p>
    <w:p w:rsidR="009A1EE9" w:rsidRPr="009E53C0" w:rsidRDefault="009A1EE9" w:rsidP="009A1EE9">
      <w:r>
        <w:rPr>
          <w:b/>
        </w:rPr>
        <w:t>[</w:t>
      </w:r>
      <w:r w:rsidRPr="009E53C0">
        <w:rPr>
          <w:b/>
        </w:rPr>
        <w:t>Option D1</w:t>
      </w:r>
      <w:r w:rsidRPr="00E11B00">
        <w:t>: 9 365 active devices per 20 MHz channel or 11 279 active devices per 100 MHz chann</w:t>
      </w:r>
      <w:r>
        <w:t>el per 5.25 million inhabitants.</w:t>
      </w:r>
    </w:p>
    <w:p w:rsidR="009A1EE9" w:rsidRDefault="009A1EE9" w:rsidP="009A1EE9">
      <w:r>
        <w:rPr>
          <w:b/>
        </w:rPr>
        <w:t xml:space="preserve">Option </w:t>
      </w:r>
      <w:r w:rsidRPr="002418B4">
        <w:rPr>
          <w:b/>
        </w:rPr>
        <w:t>D2</w:t>
      </w:r>
      <w:r w:rsidRPr="002418B4">
        <w:t>:</w:t>
      </w:r>
      <w:r>
        <w:t xml:space="preserve"> From 0.000 8 to 0.008 active devices per 20 MHz channel per inhabitant (0.004 to </w:t>
      </w:r>
      <w:r>
        <w:br/>
        <w:t>0.04 per 100 MHz channel) (based on 3% to 30% activity factor) applied to any population size.</w:t>
      </w:r>
    </w:p>
    <w:p w:rsidR="009A1EE9" w:rsidRDefault="009A1EE9" w:rsidP="009A1EE9">
      <w:pPr>
        <w:rPr>
          <w:szCs w:val="24"/>
          <w:lang w:val="en-US" w:eastAsia="fr-FR"/>
        </w:rPr>
      </w:pPr>
      <w:r w:rsidRPr="002418B4">
        <w:rPr>
          <w:b/>
          <w:szCs w:val="24"/>
        </w:rPr>
        <w:t xml:space="preserve">Option </w:t>
      </w:r>
      <w:r w:rsidRPr="008776A4">
        <w:rPr>
          <w:b/>
          <w:szCs w:val="24"/>
        </w:rPr>
        <w:t>D3</w:t>
      </w:r>
      <w:r>
        <w:rPr>
          <w:szCs w:val="24"/>
        </w:rPr>
        <w:t xml:space="preserve">: </w:t>
      </w:r>
      <w:r>
        <w:rPr>
          <w:szCs w:val="24"/>
          <w:lang w:val="en-US" w:eastAsia="fr-FR"/>
        </w:rPr>
        <w:t>Take into account the EESS interference threshold in order to determine the number of simultaneous RLAN connections which can be tolerated. The RLAN density can then be determined for a given population.]</w:t>
      </w:r>
    </w:p>
    <w:p w:rsidR="009A1EE9" w:rsidRPr="00EC7941" w:rsidRDefault="009A1EE9" w:rsidP="009A1EE9">
      <w:pPr>
        <w:rPr>
          <w:i/>
          <w:lang w:val="en-US"/>
        </w:rPr>
      </w:pPr>
      <w:r w:rsidRPr="00EC7941">
        <w:rPr>
          <w:i/>
          <w:lang w:val="en-US"/>
        </w:rPr>
        <w:t>[</w:t>
      </w:r>
      <w:r w:rsidRPr="00EC7941">
        <w:rPr>
          <w:b/>
          <w:i/>
          <w:lang w:val="en-US"/>
        </w:rPr>
        <w:t>Editor’s Note</w:t>
      </w:r>
      <w:r w:rsidRPr="00EC7941">
        <w:rPr>
          <w:i/>
          <w:lang w:val="en-US"/>
        </w:rPr>
        <w:t>: these density options are given for 20 and 100 MHz bandwidth victim receiver bandwidth but would have to be scaled, as appropriate, for other incumbent services bandwidth.]</w:t>
      </w:r>
    </w:p>
    <w:p w:rsidR="009A1EE9" w:rsidRPr="004B0903" w:rsidRDefault="009A1EE9" w:rsidP="009A1EE9">
      <w:pPr>
        <w:rPr>
          <w:i/>
          <w:szCs w:val="24"/>
          <w:shd w:val="clear" w:color="auto" w:fill="FFFFFF"/>
        </w:rPr>
      </w:pPr>
      <w:r w:rsidRPr="00EC7941">
        <w:rPr>
          <w:i/>
          <w:szCs w:val="24"/>
          <w:shd w:val="clear" w:color="auto" w:fill="FFFFFF"/>
        </w:rPr>
        <w:t>[</w:t>
      </w:r>
      <w:r w:rsidRPr="00EC7941">
        <w:rPr>
          <w:b/>
          <w:i/>
          <w:szCs w:val="24"/>
          <w:shd w:val="clear" w:color="auto" w:fill="FFFFFF"/>
        </w:rPr>
        <w:t>Editor’s note</w:t>
      </w:r>
      <w:r w:rsidRPr="00EC7941">
        <w:rPr>
          <w:i/>
          <w:szCs w:val="24"/>
          <w:shd w:val="clear" w:color="auto" w:fill="FFFFFF"/>
        </w:rPr>
        <w:t xml:space="preserve">: see also Document </w:t>
      </w:r>
      <w:hyperlink r:id="rId20" w:history="1">
        <w:r w:rsidRPr="00E14178">
          <w:rPr>
            <w:rStyle w:val="Hyperlink"/>
            <w:i/>
            <w:szCs w:val="24"/>
            <w:shd w:val="clear" w:color="auto" w:fill="FFFFFF"/>
          </w:rPr>
          <w:t>5A/100</w:t>
        </w:r>
      </w:hyperlink>
      <w:r w:rsidRPr="00EC7941">
        <w:rPr>
          <w:i/>
          <w:szCs w:val="24"/>
          <w:shd w:val="clear" w:color="auto" w:fill="FFFFFF"/>
        </w:rPr>
        <w:t xml:space="preserve"> for busy hour and activity factors]</w:t>
      </w:r>
    </w:p>
    <w:p w:rsidR="009A1EE9" w:rsidRDefault="009A1EE9" w:rsidP="009A1EE9">
      <w:pPr>
        <w:pStyle w:val="Heading3"/>
        <w:rPr>
          <w:lang w:val="en-US" w:eastAsia="fr-FR"/>
        </w:rPr>
      </w:pPr>
      <w:r>
        <w:rPr>
          <w:lang w:val="en-US" w:eastAsia="fr-FR"/>
        </w:rPr>
        <w:t>3.7</w:t>
      </w:r>
      <w:r>
        <w:rPr>
          <w:lang w:val="en-US" w:eastAsia="fr-FR"/>
        </w:rPr>
        <w:tab/>
        <w:t xml:space="preserve">RLAN busy hour analysis and measurements </w:t>
      </w:r>
    </w:p>
    <w:p w:rsidR="009A1EE9" w:rsidRDefault="009A1EE9" w:rsidP="009A1EE9">
      <w:pPr>
        <w:rPr>
          <w:szCs w:val="24"/>
          <w:lang w:val="en-US" w:eastAsia="fr-FR"/>
        </w:rPr>
      </w:pPr>
      <w:r>
        <w:rPr>
          <w:szCs w:val="24"/>
          <w:lang w:val="en-US" w:eastAsia="fr-FR"/>
        </w:rPr>
        <w:t>TBD</w:t>
      </w:r>
    </w:p>
    <w:p w:rsidR="009A1EE9" w:rsidRDefault="009A1EE9" w:rsidP="009A1EE9">
      <w:pPr>
        <w:rPr>
          <w:szCs w:val="24"/>
          <w:lang w:val="en-US" w:eastAsia="fr-FR"/>
        </w:rPr>
      </w:pPr>
      <w:r>
        <w:rPr>
          <w:szCs w:val="24"/>
          <w:lang w:val="en-US" w:eastAsia="fr-FR"/>
        </w:rPr>
        <w:t>Could take suitable elements from EC JRC Doc 100 on Busy Hour analysis and any terrestrial measurement campaigns looking at busy hour.</w:t>
      </w:r>
    </w:p>
    <w:p w:rsidR="009A1EE9" w:rsidRPr="003C149E" w:rsidRDefault="009A1EE9" w:rsidP="009A1EE9">
      <w:pPr>
        <w:rPr>
          <w:i/>
          <w:szCs w:val="24"/>
          <w:shd w:val="clear" w:color="auto" w:fill="FFFFFF"/>
        </w:rPr>
      </w:pPr>
      <w:r w:rsidRPr="00ED2533">
        <w:rPr>
          <w:i/>
          <w:szCs w:val="24"/>
          <w:shd w:val="clear" w:color="auto" w:fill="FFFFFF"/>
        </w:rPr>
        <w:t>[</w:t>
      </w:r>
      <w:r w:rsidRPr="00ED2533">
        <w:rPr>
          <w:b/>
          <w:i/>
          <w:szCs w:val="24"/>
          <w:shd w:val="clear" w:color="auto" w:fill="FFFFFF"/>
        </w:rPr>
        <w:t>Editor’s note</w:t>
      </w:r>
      <w:r w:rsidRPr="00ED2533">
        <w:rPr>
          <w:i/>
          <w:szCs w:val="24"/>
          <w:shd w:val="clear" w:color="auto" w:fill="FFFFFF"/>
        </w:rPr>
        <w:t>: see also Documents 5A/64, 5A/92]</w:t>
      </w:r>
    </w:p>
    <w:p w:rsidR="00B54110" w:rsidRDefault="00B54110" w:rsidP="0032202E">
      <w:pPr>
        <w:pStyle w:val="Reasons"/>
      </w:pPr>
    </w:p>
    <w:sectPr w:rsidR="00B54110" w:rsidSect="00D02712">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590" w:rsidRDefault="002E4590">
      <w:r>
        <w:separator/>
      </w:r>
    </w:p>
  </w:endnote>
  <w:endnote w:type="continuationSeparator" w:id="0">
    <w:p w:rsidR="002E4590" w:rsidRDefault="002E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Courier New"/>
    <w:panose1 w:val="02020803070505020304"/>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023" w:rsidRDefault="003B4023" w:rsidP="003B4023">
    <w:pPr>
      <w:pStyle w:val="Footer"/>
    </w:pPr>
    <w:r>
      <w:fldChar w:fldCharType="begin"/>
    </w:r>
    <w:r>
      <w:instrText xml:space="preserve"> FILENAME \p  \* MERGEFORMAT </w:instrText>
    </w:r>
    <w:r>
      <w:fldChar w:fldCharType="separate"/>
    </w:r>
    <w:r>
      <w:t>M:\BRSGD\TEXT2016\SG05\WP5A\200\298\298N025e.docx</w:t>
    </w:r>
    <w:r>
      <w:fldChar w:fldCharType="end"/>
    </w:r>
    <w:r>
      <w:tab/>
    </w:r>
    <w:r>
      <w:fldChar w:fldCharType="begin"/>
    </w:r>
    <w:r>
      <w:instrText xml:space="preserve"> SAVEDATE \@ DD.MM.YY </w:instrText>
    </w:r>
    <w:r>
      <w:fldChar w:fldCharType="separate"/>
    </w:r>
    <w:r>
      <w:t>18.11.16</w:t>
    </w:r>
    <w:r>
      <w:fldChar w:fldCharType="end"/>
    </w:r>
    <w:r>
      <w:tab/>
    </w:r>
    <w:r>
      <w:fldChar w:fldCharType="begin"/>
    </w:r>
    <w:r>
      <w:instrText xml:space="preserve"> PRINTDATE \@ DD.MM.YY </w:instrText>
    </w:r>
    <w:r>
      <w:fldChar w:fldCharType="separate"/>
    </w:r>
    <w:r>
      <w:t>21.02.08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023" w:rsidRDefault="003B4023">
    <w:pPr>
      <w:pStyle w:val="Footer"/>
    </w:pPr>
    <w:fldSimple w:instr=" FILENAME \p  \* MERGEFORMAT ">
      <w:r>
        <w:t>M:\BRSGD\TEXT2016\SG05\WP5A\200\298\298N025e.docx</w:t>
      </w:r>
    </w:fldSimple>
    <w:r>
      <w:tab/>
    </w:r>
    <w:r>
      <w:fldChar w:fldCharType="begin"/>
    </w:r>
    <w:r>
      <w:instrText xml:space="preserve"> SAVEDATE \@ DD.MM.YY </w:instrText>
    </w:r>
    <w:r>
      <w:fldChar w:fldCharType="separate"/>
    </w:r>
    <w:r>
      <w:t>18.11.16</w:t>
    </w:r>
    <w:r>
      <w:fldChar w:fldCharType="end"/>
    </w:r>
    <w: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590" w:rsidRDefault="002E4590">
      <w:r>
        <w:t>____________________</w:t>
      </w:r>
    </w:p>
  </w:footnote>
  <w:footnote w:type="continuationSeparator" w:id="0">
    <w:p w:rsidR="002E4590" w:rsidRDefault="002E4590">
      <w:r>
        <w:continuationSeparator/>
      </w:r>
    </w:p>
  </w:footnote>
  <w:footnote w:id="1">
    <w:p w:rsidR="009A1EE9" w:rsidRPr="00A136D4" w:rsidRDefault="009A1EE9" w:rsidP="00E14178">
      <w:pPr>
        <w:pStyle w:val="FootnoteText"/>
        <w:rPr>
          <w:lang w:val="en-US"/>
        </w:rPr>
      </w:pPr>
      <w:r>
        <w:rPr>
          <w:rStyle w:val="FootnoteReference"/>
        </w:rPr>
        <w:footnoteRef/>
      </w:r>
      <w:r>
        <w:t xml:space="preserve"> 3GPP Technical Specification 36.104 v14.1.</w:t>
      </w:r>
      <w:r w:rsidRPr="00A136D4">
        <w:t>0</w:t>
      </w:r>
      <w:r>
        <w:t>.</w:t>
      </w:r>
      <w:r w:rsidRPr="00A136D4">
        <w:t xml:space="preserve"> </w:t>
      </w:r>
      <w:r w:rsidRPr="00A136D4">
        <w:rPr>
          <w:bCs/>
        </w:rPr>
        <w:t>3rd Generation Partnership Project;</w:t>
      </w:r>
      <w:r w:rsidR="001F72A8">
        <w:rPr>
          <w:bCs/>
        </w:rPr>
        <w:t xml:space="preserve"> </w:t>
      </w:r>
      <w:r w:rsidRPr="00A136D4">
        <w:rPr>
          <w:bCs/>
        </w:rPr>
        <w:t>Technical Specification Group Radio Access Network; Evolved Universal Terrestrial Radio Access</w:t>
      </w:r>
      <w:r w:rsidR="00E14178">
        <w:rPr>
          <w:bCs/>
        </w:rPr>
        <w:br/>
      </w:r>
      <w:r w:rsidRPr="00A136D4">
        <w:rPr>
          <w:bCs/>
        </w:rPr>
        <w:t xml:space="preserve"> (E-UTRA); Base Station (BS) radio transmission and reception</w:t>
      </w:r>
      <w:r w:rsidRPr="00A136D4" w:rsidDel="008F3F29">
        <w:rPr>
          <w:bCs/>
        </w:rPr>
        <w:t xml:space="preserve"> </w:t>
      </w:r>
      <w:r w:rsidRPr="00A136D4">
        <w:rPr>
          <w:bCs/>
        </w:rPr>
        <w:t>(Release 14)</w:t>
      </w:r>
    </w:p>
  </w:footnote>
  <w:footnote w:id="2">
    <w:p w:rsidR="005915A2" w:rsidRPr="00333591" w:rsidRDefault="005915A2" w:rsidP="005915A2">
      <w:pPr>
        <w:pStyle w:val="FootnoteText"/>
        <w:rPr>
          <w:lang w:val="en-US"/>
        </w:rPr>
      </w:pPr>
      <w:r>
        <w:rPr>
          <w:rStyle w:val="FootnoteReference"/>
        </w:rPr>
        <w:footnoteRef/>
      </w:r>
      <w:r>
        <w:t xml:space="preserve"> </w:t>
      </w:r>
      <w:r>
        <w:rPr>
          <w:rFonts w:eastAsia="Calibri" w:cs="Arial"/>
        </w:rPr>
        <w:t>Draft CEPT Report 64 “</w:t>
      </w:r>
      <w:r>
        <w:t>T</w:t>
      </w:r>
      <w:r w:rsidRPr="007E6978">
        <w:t>o study and identify harmonised compatibility and sharing conditions for Wireless Access Systems including Radio Local Area Networks in the bands 5</w:t>
      </w:r>
      <w:r w:rsidR="00E14178">
        <w:rPr>
          <w:rFonts w:eastAsia="Calibri" w:cs="Arial"/>
        </w:rPr>
        <w:t> </w:t>
      </w:r>
      <w:r w:rsidRPr="007E6978">
        <w:t>350-5</w:t>
      </w:r>
      <w:r w:rsidR="00E14178">
        <w:rPr>
          <w:rFonts w:eastAsia="Calibri" w:cs="Arial"/>
        </w:rPr>
        <w:t> </w:t>
      </w:r>
      <w:r w:rsidRPr="007E6978">
        <w:t>470 MHz and 5</w:t>
      </w:r>
      <w:r w:rsidR="00E14178">
        <w:rPr>
          <w:rFonts w:eastAsia="Calibri" w:cs="Arial"/>
        </w:rPr>
        <w:t> </w:t>
      </w:r>
      <w:r w:rsidRPr="007E6978">
        <w:t>725-5</w:t>
      </w:r>
      <w:r w:rsidR="00E14178">
        <w:rPr>
          <w:rFonts w:eastAsia="Calibri" w:cs="Arial"/>
        </w:rPr>
        <w:t> </w:t>
      </w:r>
      <w:r w:rsidRPr="007E6978">
        <w:t>925 MHz ('WAS/RLAN extension bands') for the provision of wireless broadband services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350998">
      <w:rPr>
        <w:rStyle w:val="PageNumber"/>
        <w:noProof/>
      </w:rPr>
      <w:t>2</w:t>
    </w:r>
    <w:r w:rsidR="00D02712">
      <w:rPr>
        <w:rStyle w:val="PageNumber"/>
      </w:rPr>
      <w:fldChar w:fldCharType="end"/>
    </w:r>
    <w:r>
      <w:rPr>
        <w:rStyle w:val="PageNumber"/>
      </w:rPr>
      <w:t xml:space="preserve"> -</w:t>
    </w:r>
  </w:p>
  <w:p w:rsidR="00FA124A" w:rsidRDefault="00B54110">
    <w:pPr>
      <w:pStyle w:val="Header"/>
      <w:rPr>
        <w:lang w:val="en-US"/>
      </w:rPr>
    </w:pPr>
    <w:r>
      <w:rPr>
        <w:lang w:val="en-US"/>
      </w:rPr>
      <w:t>5A/</w:t>
    </w:r>
    <w:r w:rsidR="0027485F">
      <w:rPr>
        <w:lang w:val="en-US"/>
      </w:rPr>
      <w:t>298 (Annex 25)</w:t>
    </w:r>
    <w:r w:rsidR="00561120">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080C5F"/>
    <w:multiLevelType w:val="hybridMultilevel"/>
    <w:tmpl w:val="81DEA0DC"/>
    <w:lvl w:ilvl="0" w:tplc="F8684E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en-C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120"/>
    <w:rsid w:val="000069D4"/>
    <w:rsid w:val="000174AD"/>
    <w:rsid w:val="0004148B"/>
    <w:rsid w:val="00047A1D"/>
    <w:rsid w:val="000604B9"/>
    <w:rsid w:val="000A7D55"/>
    <w:rsid w:val="000C2E8E"/>
    <w:rsid w:val="000D3A08"/>
    <w:rsid w:val="000E0E7C"/>
    <w:rsid w:val="000F1B4B"/>
    <w:rsid w:val="0012744F"/>
    <w:rsid w:val="00131178"/>
    <w:rsid w:val="00156F66"/>
    <w:rsid w:val="00163271"/>
    <w:rsid w:val="00182528"/>
    <w:rsid w:val="0018500B"/>
    <w:rsid w:val="001950A8"/>
    <w:rsid w:val="00196A19"/>
    <w:rsid w:val="001A74B8"/>
    <w:rsid w:val="001F72A8"/>
    <w:rsid w:val="00202DC1"/>
    <w:rsid w:val="00205374"/>
    <w:rsid w:val="002116EE"/>
    <w:rsid w:val="002309D8"/>
    <w:rsid w:val="00232F28"/>
    <w:rsid w:val="002412C0"/>
    <w:rsid w:val="0027485F"/>
    <w:rsid w:val="002A7FE2"/>
    <w:rsid w:val="002E1B4F"/>
    <w:rsid w:val="002E4590"/>
    <w:rsid w:val="002F0607"/>
    <w:rsid w:val="002F2E67"/>
    <w:rsid w:val="002F7CB3"/>
    <w:rsid w:val="002F7FEA"/>
    <w:rsid w:val="003146BD"/>
    <w:rsid w:val="00315546"/>
    <w:rsid w:val="00330567"/>
    <w:rsid w:val="00350998"/>
    <w:rsid w:val="00386A9D"/>
    <w:rsid w:val="00391081"/>
    <w:rsid w:val="00397603"/>
    <w:rsid w:val="003B2789"/>
    <w:rsid w:val="003B4023"/>
    <w:rsid w:val="003C13CE"/>
    <w:rsid w:val="003E2518"/>
    <w:rsid w:val="003E7CEF"/>
    <w:rsid w:val="00405C26"/>
    <w:rsid w:val="004207B2"/>
    <w:rsid w:val="00435F22"/>
    <w:rsid w:val="00465758"/>
    <w:rsid w:val="0049357C"/>
    <w:rsid w:val="004B1EF7"/>
    <w:rsid w:val="004B3FAD"/>
    <w:rsid w:val="004B430A"/>
    <w:rsid w:val="004E608E"/>
    <w:rsid w:val="00501DCA"/>
    <w:rsid w:val="0050674F"/>
    <w:rsid w:val="00513A47"/>
    <w:rsid w:val="005408DF"/>
    <w:rsid w:val="00561120"/>
    <w:rsid w:val="00563A7E"/>
    <w:rsid w:val="00573344"/>
    <w:rsid w:val="00583F9B"/>
    <w:rsid w:val="005915A2"/>
    <w:rsid w:val="005E3AE8"/>
    <w:rsid w:val="005E5C10"/>
    <w:rsid w:val="005F2C78"/>
    <w:rsid w:val="005F7AC2"/>
    <w:rsid w:val="006144E4"/>
    <w:rsid w:val="00643165"/>
    <w:rsid w:val="00650299"/>
    <w:rsid w:val="00655FC5"/>
    <w:rsid w:val="00696CD9"/>
    <w:rsid w:val="006F79C4"/>
    <w:rsid w:val="00710DA1"/>
    <w:rsid w:val="00712DD8"/>
    <w:rsid w:val="00714751"/>
    <w:rsid w:val="007A18BE"/>
    <w:rsid w:val="007A6639"/>
    <w:rsid w:val="008047EB"/>
    <w:rsid w:val="00813503"/>
    <w:rsid w:val="00814E0A"/>
    <w:rsid w:val="00822581"/>
    <w:rsid w:val="008309DD"/>
    <w:rsid w:val="0083227A"/>
    <w:rsid w:val="00866900"/>
    <w:rsid w:val="00880A76"/>
    <w:rsid w:val="00881BA1"/>
    <w:rsid w:val="008862A5"/>
    <w:rsid w:val="008C26B8"/>
    <w:rsid w:val="008F1C05"/>
    <w:rsid w:val="008F208F"/>
    <w:rsid w:val="008F49EA"/>
    <w:rsid w:val="008F5BFF"/>
    <w:rsid w:val="00915D29"/>
    <w:rsid w:val="00933E07"/>
    <w:rsid w:val="00942804"/>
    <w:rsid w:val="00982084"/>
    <w:rsid w:val="00995963"/>
    <w:rsid w:val="009A1EE9"/>
    <w:rsid w:val="009B3034"/>
    <w:rsid w:val="009B61EB"/>
    <w:rsid w:val="009C2064"/>
    <w:rsid w:val="009D1697"/>
    <w:rsid w:val="009D36DF"/>
    <w:rsid w:val="009F3A46"/>
    <w:rsid w:val="00A014F8"/>
    <w:rsid w:val="00A27CAD"/>
    <w:rsid w:val="00A5173C"/>
    <w:rsid w:val="00A61AEF"/>
    <w:rsid w:val="00A650DD"/>
    <w:rsid w:val="00A72599"/>
    <w:rsid w:val="00A81447"/>
    <w:rsid w:val="00A85CB5"/>
    <w:rsid w:val="00AB6767"/>
    <w:rsid w:val="00AD2345"/>
    <w:rsid w:val="00AF173A"/>
    <w:rsid w:val="00B066A4"/>
    <w:rsid w:val="00B07A13"/>
    <w:rsid w:val="00B4279B"/>
    <w:rsid w:val="00B45FC9"/>
    <w:rsid w:val="00B54110"/>
    <w:rsid w:val="00B64757"/>
    <w:rsid w:val="00B81138"/>
    <w:rsid w:val="00BC7CCF"/>
    <w:rsid w:val="00BE470B"/>
    <w:rsid w:val="00C2353F"/>
    <w:rsid w:val="00C32E0F"/>
    <w:rsid w:val="00C371AB"/>
    <w:rsid w:val="00C51681"/>
    <w:rsid w:val="00C57A91"/>
    <w:rsid w:val="00CC01C2"/>
    <w:rsid w:val="00CC2C6E"/>
    <w:rsid w:val="00CF21F2"/>
    <w:rsid w:val="00D02712"/>
    <w:rsid w:val="00D046A7"/>
    <w:rsid w:val="00D214D0"/>
    <w:rsid w:val="00D6546B"/>
    <w:rsid w:val="00D75972"/>
    <w:rsid w:val="00D802B2"/>
    <w:rsid w:val="00DB178B"/>
    <w:rsid w:val="00DC17D3"/>
    <w:rsid w:val="00DD4BED"/>
    <w:rsid w:val="00DE11E5"/>
    <w:rsid w:val="00DE39F0"/>
    <w:rsid w:val="00DE726E"/>
    <w:rsid w:val="00DF0AF3"/>
    <w:rsid w:val="00DF7E9F"/>
    <w:rsid w:val="00E14178"/>
    <w:rsid w:val="00E27D7E"/>
    <w:rsid w:val="00E42E13"/>
    <w:rsid w:val="00E45B7C"/>
    <w:rsid w:val="00E56D5C"/>
    <w:rsid w:val="00E6257C"/>
    <w:rsid w:val="00E63C59"/>
    <w:rsid w:val="00E85013"/>
    <w:rsid w:val="00EF18F2"/>
    <w:rsid w:val="00F25662"/>
    <w:rsid w:val="00F550F5"/>
    <w:rsid w:val="00F91FBF"/>
    <w:rsid w:val="00FA124A"/>
    <w:rsid w:val="00FB1171"/>
    <w:rsid w:val="00FB4F0A"/>
    <w:rsid w:val="00FC08DD"/>
    <w:rsid w:val="00FC08FC"/>
    <w:rsid w:val="00FC2316"/>
    <w:rsid w:val="00FC2CFD"/>
    <w:rsid w:val="00FF5B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34656A3-15D9-4D52-89EA-B4DE843E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CommentReference">
    <w:name w:val="annotation reference"/>
    <w:basedOn w:val="DefaultParagraphFont"/>
    <w:semiHidden/>
    <w:unhideWhenUsed/>
    <w:rsid w:val="009A1EE9"/>
    <w:rPr>
      <w:sz w:val="16"/>
      <w:szCs w:val="16"/>
    </w:rPr>
  </w:style>
  <w:style w:type="paragraph" w:styleId="CommentText">
    <w:name w:val="annotation text"/>
    <w:basedOn w:val="Normal"/>
    <w:link w:val="CommentTextChar"/>
    <w:semiHidden/>
    <w:unhideWhenUsed/>
    <w:rsid w:val="009A1EE9"/>
    <w:rPr>
      <w:sz w:val="20"/>
    </w:rPr>
  </w:style>
  <w:style w:type="character" w:customStyle="1" w:styleId="CommentTextChar">
    <w:name w:val="Comment Text Char"/>
    <w:basedOn w:val="DefaultParagraphFont"/>
    <w:link w:val="CommentText"/>
    <w:semiHidden/>
    <w:rsid w:val="009A1EE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A1EE9"/>
    <w:rPr>
      <w:b/>
      <w:bCs/>
    </w:rPr>
  </w:style>
  <w:style w:type="character" w:customStyle="1" w:styleId="CommentSubjectChar">
    <w:name w:val="Comment Subject Char"/>
    <w:basedOn w:val="CommentTextChar"/>
    <w:link w:val="CommentSubject"/>
    <w:semiHidden/>
    <w:rsid w:val="009A1EE9"/>
    <w:rPr>
      <w:rFonts w:ascii="Times New Roman" w:hAnsi="Times New Roman"/>
      <w:b/>
      <w:bCs/>
      <w:lang w:val="en-GB" w:eastAsia="en-US"/>
    </w:rPr>
  </w:style>
  <w:style w:type="paragraph" w:styleId="BalloonText">
    <w:name w:val="Balloon Text"/>
    <w:basedOn w:val="Normal"/>
    <w:link w:val="BalloonTextChar"/>
    <w:semiHidden/>
    <w:unhideWhenUsed/>
    <w:rsid w:val="009A1EE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A1EE9"/>
    <w:rPr>
      <w:rFonts w:ascii="Segoe UI" w:hAnsi="Segoe UI" w:cs="Segoe UI"/>
      <w:sz w:val="18"/>
      <w:szCs w:val="18"/>
      <w:lang w:val="en-GB" w:eastAsia="en-US"/>
    </w:rPr>
  </w:style>
  <w:style w:type="character" w:styleId="Hyperlink">
    <w:name w:val="Hyperlink"/>
    <w:aliases w:val="CEO_Hyperlink"/>
    <w:basedOn w:val="DefaultParagraphFont"/>
    <w:uiPriority w:val="99"/>
    <w:rsid w:val="009A1EE9"/>
    <w:rPr>
      <w:rFonts w:cs="Times New Roman"/>
      <w:color w:val="0000FF"/>
      <w:u w:val="single"/>
    </w:rPr>
  </w:style>
  <w:style w:type="character" w:customStyle="1" w:styleId="Title1Char">
    <w:name w:val="Title 1 Char"/>
    <w:link w:val="Title1"/>
    <w:locked/>
    <w:rsid w:val="009A1EE9"/>
    <w:rPr>
      <w:rFonts w:ascii="Times New Roman" w:hAnsi="Times New Roman"/>
      <w:caps/>
      <w:sz w:val="28"/>
      <w:lang w:val="en-GB" w:eastAsia="en-US"/>
    </w:rPr>
  </w:style>
  <w:style w:type="character" w:customStyle="1" w:styleId="HeadingbChar">
    <w:name w:val="Heading_b Char"/>
    <w:basedOn w:val="DefaultParagraphFont"/>
    <w:link w:val="Headingb"/>
    <w:locked/>
    <w:rsid w:val="009A1EE9"/>
    <w:rPr>
      <w:rFonts w:ascii="Times New Roman Bold" w:hAnsi="Times New Roman Bold" w:cs="Times New Roman Bold"/>
      <w:b/>
      <w:sz w:val="24"/>
      <w:lang w:val="fr-CH" w:eastAsia="en-US"/>
    </w:rPr>
  </w:style>
  <w:style w:type="paragraph" w:styleId="ListParagraph">
    <w:name w:val="List Paragraph"/>
    <w:basedOn w:val="Normal"/>
    <w:link w:val="ListParagraphChar"/>
    <w:uiPriority w:val="34"/>
    <w:qFormat/>
    <w:rsid w:val="009A1EE9"/>
    <w:pPr>
      <w:ind w:leftChars="400" w:left="800"/>
    </w:pPr>
    <w:rPr>
      <w:rFonts w:eastAsia="Batang"/>
    </w:rPr>
  </w:style>
  <w:style w:type="character" w:customStyle="1" w:styleId="ListParagraphChar">
    <w:name w:val="List Paragraph Char"/>
    <w:basedOn w:val="DefaultParagraphFont"/>
    <w:link w:val="ListParagraph"/>
    <w:uiPriority w:val="34"/>
    <w:locked/>
    <w:rsid w:val="009A1EE9"/>
    <w:rPr>
      <w:rFonts w:ascii="Times New Roman" w:eastAsia="Batang" w:hAnsi="Times New Roman"/>
      <w:sz w:val="24"/>
      <w:lang w:val="en-GB" w:eastAsia="en-US"/>
    </w:rPr>
  </w:style>
  <w:style w:type="table" w:styleId="TableGrid">
    <w:name w:val="Table Grid"/>
    <w:basedOn w:val="TableNormal"/>
    <w:uiPriority w:val="59"/>
    <w:rsid w:val="009A1EE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locked/>
    <w:rsid w:val="009A1EE9"/>
    <w:rPr>
      <w:rFonts w:ascii="Times New Roman" w:hAnsi="Times New Roman"/>
      <w:lang w:val="en-GB" w:eastAsia="en-US"/>
    </w:rPr>
  </w:style>
  <w:style w:type="character" w:customStyle="1" w:styleId="TabletitleChar">
    <w:name w:val="Table_title Char"/>
    <w:link w:val="Tabletitle"/>
    <w:locked/>
    <w:rsid w:val="009A1EE9"/>
    <w:rPr>
      <w:rFonts w:ascii="Times New Roman Bold" w:hAnsi="Times New Roman Bold"/>
      <w:b/>
      <w:lang w:val="en-GB" w:eastAsia="en-US"/>
    </w:rPr>
  </w:style>
  <w:style w:type="character" w:customStyle="1" w:styleId="TableheadChar">
    <w:name w:val="Table_head Char"/>
    <w:link w:val="Tablehead"/>
    <w:locked/>
    <w:rsid w:val="009A1EE9"/>
    <w:rPr>
      <w:rFonts w:ascii="Times New Roman Bold" w:hAnsi="Times New Roman Bold" w:cs="Times New Roman Bold"/>
      <w:b/>
      <w:lang w:val="en-GB" w:eastAsia="en-US"/>
    </w:rPr>
  </w:style>
  <w:style w:type="table" w:customStyle="1" w:styleId="ECCTable-redheader">
    <w:name w:val="ECC Table - red header"/>
    <w:basedOn w:val="TableNormal"/>
    <w:uiPriority w:val="99"/>
    <w:rsid w:val="009A1EE9"/>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table" w:styleId="TableTheme">
    <w:name w:val="Table Theme"/>
    <w:basedOn w:val="TableNormal"/>
    <w:rsid w:val="00DE726E"/>
    <w:pPr>
      <w:tabs>
        <w:tab w:val="left" w:pos="1134"/>
        <w:tab w:val="left" w:pos="1871"/>
        <w:tab w:val="left" w:pos="2268"/>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R15-WP5A-C-0064/en" TargetMode="External"/><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itu.int/md/R15-WP5A-C-0100/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package" Target="embeddings/Microsoft_Excel_Worksheet1.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R15-WP5A-C-0092/en"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C54CC-B028-406A-BAFD-637A31DF0DA9}">
  <ds:schemaRefs>
    <ds:schemaRef ds:uri="http://purl.org/dc/terms/"/>
    <ds:schemaRef ds:uri="http://purl.org/dc/elements/1.1/"/>
    <ds:schemaRef ds:uri="http://www.w3.org/XML/1998/namespace"/>
    <ds:schemaRef ds:uri="http://schemas.microsoft.com/office/2006/documentManagement/types"/>
    <ds:schemaRef ds:uri="4c6a61cb-1973-4fc6-92ae-f4d7a4471404"/>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5795613-CEF0-4228-BDD4-5C700E10E908}">
  <ds:schemaRefs>
    <ds:schemaRef ds:uri="http://schemas.microsoft.com/sharepoint/v3/contenttype/forms"/>
  </ds:schemaRefs>
</ds:datastoreItem>
</file>

<file path=customXml/itemProps3.xml><?xml version="1.0" encoding="utf-8"?>
<ds:datastoreItem xmlns:ds="http://schemas.openxmlformats.org/officeDocument/2006/customXml" ds:itemID="{86E66EC6-EA35-4F64-BC3A-BD221EF2A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7ED773-0973-495A-89D0-B0FCA12BA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3</TotalTime>
  <Pages>7</Pages>
  <Words>1734</Words>
  <Characters>9398</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11110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Jovet, Nathalie</cp:lastModifiedBy>
  <cp:revision>4</cp:revision>
  <cp:lastPrinted>2008-02-21T14:04:00Z</cp:lastPrinted>
  <dcterms:created xsi:type="dcterms:W3CDTF">2016-11-18T10:24:00Z</dcterms:created>
  <dcterms:modified xsi:type="dcterms:W3CDTF">2016-11-18T10:27:00Z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y fmtid="{D5CDD505-2E9C-101B-9397-08002B2CF9AE}" pid="6" name="_NewReviewCycle">
    <vt:lpwstr/>
  </property>
</Properties>
</file>