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00" w:firstRow="0" w:lastRow="0" w:firstColumn="0" w:lastColumn="0" w:noHBand="0" w:noVBand="0"/>
      </w:tblPr>
      <w:tblGrid>
        <w:gridCol w:w="1526"/>
        <w:gridCol w:w="4912"/>
        <w:gridCol w:w="1892"/>
        <w:gridCol w:w="1559"/>
      </w:tblGrid>
      <w:tr w:rsidR="00FA0DF9" w:rsidRPr="00E82299" w14:paraId="567DFF5E" w14:textId="77777777" w:rsidTr="00360A13">
        <w:trPr>
          <w:cantSplit/>
          <w:jc w:val="center"/>
        </w:trPr>
        <w:tc>
          <w:tcPr>
            <w:tcW w:w="1526" w:type="dxa"/>
            <w:vAlign w:val="center"/>
          </w:tcPr>
          <w:p w14:paraId="14B32E11" w14:textId="77777777" w:rsidR="00FA0DF9" w:rsidRPr="00E82299" w:rsidRDefault="00FA0DF9" w:rsidP="00E82299">
            <w:pPr>
              <w:spacing w:before="0"/>
              <w:rPr>
                <w:rFonts w:ascii="Verdana" w:hAnsi="Verdana" w:cs="Times New Roman Bold"/>
                <w:b/>
                <w:bCs/>
                <w:sz w:val="26"/>
                <w:szCs w:val="26"/>
              </w:rPr>
            </w:pPr>
            <w:r w:rsidRPr="00E82299">
              <w:rPr>
                <w:rFonts w:ascii="Verdana" w:hAnsi="Verdana" w:cs="Times New Roman Bold"/>
                <w:b/>
                <w:bCs/>
                <w:noProof/>
                <w:sz w:val="20"/>
                <w:szCs w:val="26"/>
                <w:lang w:val="en-US" w:eastAsia="zh-CN"/>
              </w:rPr>
              <w:drawing>
                <wp:inline distT="0" distB="0" distL="0" distR="0" wp14:anchorId="3AF8ADC3" wp14:editId="796451E0">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40D68DFB" w14:textId="77777777" w:rsidR="00FA0DF9" w:rsidRPr="00E82299" w:rsidRDefault="00FA0DF9" w:rsidP="00E82299">
            <w:pPr>
              <w:spacing w:before="0"/>
              <w:jc w:val="center"/>
              <w:rPr>
                <w:rFonts w:ascii="Verdana" w:hAnsi="Verdana" w:cs="Times New Roman Bold"/>
                <w:b/>
                <w:bCs/>
                <w:sz w:val="26"/>
                <w:szCs w:val="26"/>
              </w:rPr>
            </w:pPr>
            <w:r w:rsidRPr="00E82299">
              <w:rPr>
                <w:rFonts w:ascii="Verdana" w:hAnsi="Verdana" w:cs="Times New Roman Bold"/>
                <w:b/>
                <w:bCs/>
                <w:sz w:val="26"/>
                <w:szCs w:val="26"/>
              </w:rPr>
              <w:t>Radiocommunication Study Groups</w:t>
            </w:r>
          </w:p>
        </w:tc>
        <w:tc>
          <w:tcPr>
            <w:tcW w:w="1559" w:type="dxa"/>
          </w:tcPr>
          <w:p w14:paraId="27AFEE41" w14:textId="77777777" w:rsidR="00FA0DF9" w:rsidRPr="00E82299" w:rsidRDefault="00FA0DF9" w:rsidP="00E82299">
            <w:pPr>
              <w:spacing w:before="0" w:line="240" w:lineRule="atLeast"/>
              <w:jc w:val="right"/>
            </w:pPr>
            <w:r w:rsidRPr="00E82299">
              <w:rPr>
                <w:rFonts w:cs="Arial"/>
                <w:noProof/>
                <w:lang w:val="en-US" w:eastAsia="zh-CN"/>
              </w:rPr>
              <w:drawing>
                <wp:inline distT="0" distB="0" distL="0" distR="0" wp14:anchorId="42B3BAA1" wp14:editId="58E2D1EE">
                  <wp:extent cx="1017905" cy="925067"/>
                  <wp:effectExtent l="0" t="0" r="0" b="889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FA0DF9" w:rsidRPr="00E82299" w14:paraId="1CCA947F" w14:textId="77777777" w:rsidTr="00360A13">
        <w:trPr>
          <w:cantSplit/>
          <w:jc w:val="center"/>
        </w:trPr>
        <w:tc>
          <w:tcPr>
            <w:tcW w:w="6438" w:type="dxa"/>
            <w:gridSpan w:val="2"/>
            <w:tcBorders>
              <w:bottom w:val="single" w:sz="12" w:space="0" w:color="auto"/>
            </w:tcBorders>
          </w:tcPr>
          <w:p w14:paraId="7D81B29A" w14:textId="77777777" w:rsidR="00FA0DF9" w:rsidRPr="00E82299" w:rsidRDefault="00FA0DF9" w:rsidP="00E82299">
            <w:pPr>
              <w:spacing w:before="0" w:after="48"/>
              <w:rPr>
                <w:rFonts w:ascii="Verdana" w:hAnsi="Verdana" w:cs="Times New Roman Bold"/>
                <w:b/>
                <w:sz w:val="22"/>
                <w:szCs w:val="22"/>
              </w:rPr>
            </w:pPr>
            <w:r w:rsidRPr="00E82299">
              <w:rPr>
                <w:rFonts w:ascii="Verdana" w:hAnsi="Verdana" w:cs="Times New Roman Bold"/>
                <w:b/>
                <w:sz w:val="20"/>
              </w:rPr>
              <w:t>INTERNATIONAL TELECOMMUNICATION UNION</w:t>
            </w:r>
          </w:p>
        </w:tc>
        <w:tc>
          <w:tcPr>
            <w:tcW w:w="3451" w:type="dxa"/>
            <w:gridSpan w:val="2"/>
            <w:tcBorders>
              <w:bottom w:val="single" w:sz="12" w:space="0" w:color="auto"/>
            </w:tcBorders>
          </w:tcPr>
          <w:p w14:paraId="11447B72" w14:textId="77777777" w:rsidR="00FA0DF9" w:rsidRPr="00E82299" w:rsidRDefault="00FA0DF9" w:rsidP="00E82299">
            <w:pPr>
              <w:spacing w:before="0" w:after="48" w:line="240" w:lineRule="atLeast"/>
              <w:rPr>
                <w:sz w:val="22"/>
                <w:szCs w:val="22"/>
              </w:rPr>
            </w:pPr>
          </w:p>
        </w:tc>
      </w:tr>
      <w:tr w:rsidR="00FA0DF9" w:rsidRPr="00E82299" w14:paraId="2A9948CC" w14:textId="77777777" w:rsidTr="00360A13">
        <w:trPr>
          <w:cantSplit/>
          <w:jc w:val="center"/>
        </w:trPr>
        <w:tc>
          <w:tcPr>
            <w:tcW w:w="6438" w:type="dxa"/>
            <w:gridSpan w:val="2"/>
            <w:tcBorders>
              <w:top w:val="single" w:sz="12" w:space="0" w:color="auto"/>
            </w:tcBorders>
          </w:tcPr>
          <w:p w14:paraId="1D8B56DE" w14:textId="77777777" w:rsidR="00FA0DF9" w:rsidRPr="00E82299" w:rsidRDefault="00FA0DF9" w:rsidP="00E82299">
            <w:pPr>
              <w:spacing w:before="0" w:after="48"/>
              <w:rPr>
                <w:rFonts w:ascii="Verdana" w:hAnsi="Verdana" w:cs="Times New Roman Bold"/>
                <w:bCs/>
                <w:sz w:val="22"/>
                <w:szCs w:val="22"/>
              </w:rPr>
            </w:pPr>
          </w:p>
        </w:tc>
        <w:tc>
          <w:tcPr>
            <w:tcW w:w="3451" w:type="dxa"/>
            <w:gridSpan w:val="2"/>
            <w:tcBorders>
              <w:top w:val="single" w:sz="12" w:space="0" w:color="auto"/>
            </w:tcBorders>
          </w:tcPr>
          <w:p w14:paraId="63BEA446" w14:textId="77777777" w:rsidR="00FA0DF9" w:rsidRPr="00E82299" w:rsidRDefault="00FA0DF9" w:rsidP="00E82299">
            <w:pPr>
              <w:spacing w:before="0" w:after="48" w:line="240" w:lineRule="atLeast"/>
            </w:pPr>
          </w:p>
        </w:tc>
      </w:tr>
      <w:tr w:rsidR="00FA0DF9" w:rsidRPr="00E82299" w14:paraId="7C5BB385" w14:textId="77777777" w:rsidTr="00360A13">
        <w:trPr>
          <w:cantSplit/>
          <w:jc w:val="center"/>
        </w:trPr>
        <w:tc>
          <w:tcPr>
            <w:tcW w:w="6438" w:type="dxa"/>
            <w:gridSpan w:val="2"/>
            <w:vMerge w:val="restart"/>
          </w:tcPr>
          <w:p w14:paraId="36787D39" w14:textId="2B82B5EC" w:rsidR="00FA0DF9" w:rsidRPr="00E60C3D" w:rsidRDefault="00FA0DF9" w:rsidP="00E82299">
            <w:pPr>
              <w:tabs>
                <w:tab w:val="clear" w:pos="1134"/>
                <w:tab w:val="clear" w:pos="1871"/>
                <w:tab w:val="clear" w:pos="2268"/>
              </w:tabs>
              <w:spacing w:before="0" w:after="240"/>
              <w:ind w:left="1134" w:hanging="1134"/>
              <w:rPr>
                <w:rFonts w:ascii="Verdana" w:hAnsi="Verdana"/>
                <w:sz w:val="20"/>
                <w:lang w:val="fr-CH"/>
              </w:rPr>
            </w:pPr>
            <w:r w:rsidRPr="00E60C3D">
              <w:rPr>
                <w:rFonts w:ascii="Verdana" w:hAnsi="Verdana"/>
                <w:sz w:val="20"/>
                <w:lang w:val="fr-CH"/>
              </w:rPr>
              <w:t>Source:</w:t>
            </w:r>
            <w:r w:rsidRPr="00E60C3D">
              <w:rPr>
                <w:rFonts w:ascii="Verdana" w:hAnsi="Verdana"/>
                <w:sz w:val="20"/>
                <w:lang w:val="fr-CH"/>
              </w:rPr>
              <w:tab/>
            </w:r>
            <w:r w:rsidR="009863B6" w:rsidRPr="00E60C3D">
              <w:rPr>
                <w:rFonts w:ascii="Verdana" w:hAnsi="Verdana"/>
                <w:sz w:val="20"/>
                <w:lang w:val="fr-CH"/>
              </w:rPr>
              <w:t xml:space="preserve">Document </w:t>
            </w:r>
            <w:r w:rsidR="00DD302E" w:rsidRPr="00E60C3D">
              <w:rPr>
                <w:rFonts w:ascii="Verdana" w:hAnsi="Verdana"/>
                <w:sz w:val="20"/>
                <w:lang w:val="fr-CH"/>
              </w:rPr>
              <w:t>5A/TEMP/121(Rev.1)</w:t>
            </w:r>
          </w:p>
        </w:tc>
        <w:tc>
          <w:tcPr>
            <w:tcW w:w="3451" w:type="dxa"/>
            <w:gridSpan w:val="2"/>
          </w:tcPr>
          <w:p w14:paraId="298CB7D0" w14:textId="1CE6ADA5" w:rsidR="00FA0DF9" w:rsidRPr="00DD302E" w:rsidRDefault="00DD302E" w:rsidP="00E82299">
            <w:pPr>
              <w:spacing w:before="0" w:line="240" w:lineRule="atLeast"/>
              <w:rPr>
                <w:rFonts w:ascii="Verdana" w:hAnsi="Verdana"/>
                <w:sz w:val="20"/>
                <w:lang w:val="en-CA" w:eastAsia="zh-CN"/>
              </w:rPr>
            </w:pPr>
            <w:r w:rsidRPr="00DD302E">
              <w:rPr>
                <w:rFonts w:ascii="Verdana" w:hAnsi="Verdana"/>
                <w:b/>
                <w:sz w:val="20"/>
                <w:lang w:val="en-CA" w:eastAsia="zh-CN"/>
              </w:rPr>
              <w:t xml:space="preserve">Annex </w:t>
            </w:r>
            <w:r w:rsidR="00781460" w:rsidRPr="00DD302E">
              <w:rPr>
                <w:rFonts w:ascii="Verdana" w:hAnsi="Verdana"/>
                <w:b/>
                <w:sz w:val="20"/>
                <w:lang w:val="en-CA" w:eastAsia="zh-CN"/>
              </w:rPr>
              <w:t>1</w:t>
            </w:r>
            <w:r w:rsidRPr="00DD302E">
              <w:rPr>
                <w:rFonts w:ascii="Verdana" w:hAnsi="Verdana"/>
                <w:b/>
                <w:sz w:val="20"/>
                <w:lang w:val="en-CA" w:eastAsia="zh-CN"/>
              </w:rPr>
              <w:t>0</w:t>
            </w:r>
            <w:r w:rsidR="00781460" w:rsidRPr="00DD302E">
              <w:rPr>
                <w:rFonts w:ascii="Verdana" w:hAnsi="Verdana"/>
                <w:b/>
                <w:sz w:val="20"/>
                <w:lang w:val="en-CA" w:eastAsia="zh-CN"/>
              </w:rPr>
              <w:t xml:space="preserve"> to</w:t>
            </w:r>
            <w:r w:rsidR="00781460" w:rsidRPr="00DD302E">
              <w:rPr>
                <w:rFonts w:ascii="Verdana" w:hAnsi="Verdana"/>
                <w:b/>
                <w:sz w:val="20"/>
                <w:lang w:val="en-CA" w:eastAsia="zh-CN"/>
              </w:rPr>
              <w:br/>
            </w:r>
            <w:r w:rsidR="00FA0DF9" w:rsidRPr="00DD302E">
              <w:rPr>
                <w:rFonts w:ascii="Verdana" w:hAnsi="Verdana"/>
                <w:b/>
                <w:sz w:val="20"/>
                <w:lang w:val="en-CA" w:eastAsia="zh-CN"/>
              </w:rPr>
              <w:t xml:space="preserve">Document </w:t>
            </w:r>
            <w:r w:rsidR="009217C6" w:rsidRPr="00DD302E">
              <w:rPr>
                <w:rFonts w:ascii="Verdana" w:hAnsi="Verdana"/>
                <w:b/>
                <w:sz w:val="20"/>
                <w:lang w:val="en-CA" w:eastAsia="zh-CN"/>
              </w:rPr>
              <w:t>5A/</w:t>
            </w:r>
            <w:r w:rsidRPr="00DD302E">
              <w:rPr>
                <w:rFonts w:ascii="Verdana" w:hAnsi="Verdana"/>
                <w:b/>
                <w:sz w:val="20"/>
                <w:lang w:val="en-CA" w:eastAsia="zh-CN"/>
              </w:rPr>
              <w:t>298</w:t>
            </w:r>
            <w:r w:rsidR="00AD5887" w:rsidRPr="00DD302E">
              <w:rPr>
                <w:rFonts w:ascii="Verdana" w:hAnsi="Verdana"/>
                <w:b/>
                <w:sz w:val="20"/>
                <w:lang w:val="en-CA" w:eastAsia="zh-CN"/>
              </w:rPr>
              <w:t>-E</w:t>
            </w:r>
          </w:p>
        </w:tc>
      </w:tr>
      <w:tr w:rsidR="00FA0DF9" w:rsidRPr="00E82299" w14:paraId="4721F5A3" w14:textId="77777777" w:rsidTr="00360A13">
        <w:trPr>
          <w:cantSplit/>
          <w:jc w:val="center"/>
        </w:trPr>
        <w:tc>
          <w:tcPr>
            <w:tcW w:w="6438" w:type="dxa"/>
            <w:gridSpan w:val="2"/>
            <w:vMerge/>
          </w:tcPr>
          <w:p w14:paraId="239577B2" w14:textId="77777777" w:rsidR="00FA0DF9" w:rsidRPr="00DD302E" w:rsidRDefault="00FA0DF9" w:rsidP="00E82299">
            <w:pPr>
              <w:spacing w:before="60"/>
              <w:jc w:val="center"/>
              <w:rPr>
                <w:b/>
                <w:smallCaps/>
                <w:sz w:val="32"/>
                <w:lang w:val="en-CA" w:eastAsia="zh-CN"/>
              </w:rPr>
            </w:pPr>
          </w:p>
        </w:tc>
        <w:tc>
          <w:tcPr>
            <w:tcW w:w="3451" w:type="dxa"/>
            <w:gridSpan w:val="2"/>
          </w:tcPr>
          <w:p w14:paraId="5821DA3D" w14:textId="484DD997" w:rsidR="00FA0DF9" w:rsidRPr="00DD302E" w:rsidRDefault="009863B6" w:rsidP="00781460">
            <w:pPr>
              <w:spacing w:before="0" w:line="240" w:lineRule="atLeast"/>
              <w:rPr>
                <w:rFonts w:ascii="Verdana" w:hAnsi="Verdana"/>
                <w:sz w:val="20"/>
                <w:lang w:val="en-CA" w:eastAsia="zh-CN"/>
              </w:rPr>
            </w:pPr>
            <w:r w:rsidRPr="00DD302E">
              <w:rPr>
                <w:rFonts w:ascii="Verdana" w:hAnsi="Verdana"/>
                <w:b/>
                <w:sz w:val="20"/>
                <w:lang w:val="en-CA" w:eastAsia="zh-CN"/>
              </w:rPr>
              <w:t>1</w:t>
            </w:r>
            <w:r w:rsidR="00DD302E" w:rsidRPr="00DD302E">
              <w:rPr>
                <w:rFonts w:ascii="Verdana" w:hAnsi="Verdana"/>
                <w:b/>
                <w:sz w:val="20"/>
                <w:lang w:val="en-CA" w:eastAsia="zh-CN"/>
              </w:rPr>
              <w:t>8</w:t>
            </w:r>
            <w:r w:rsidR="00FA0DF9" w:rsidRPr="00DD302E">
              <w:rPr>
                <w:rFonts w:ascii="Verdana" w:hAnsi="Verdana"/>
                <w:b/>
                <w:sz w:val="20"/>
                <w:lang w:val="en-CA" w:eastAsia="zh-CN"/>
              </w:rPr>
              <w:t xml:space="preserve"> </w:t>
            </w:r>
            <w:r w:rsidRPr="00DD302E">
              <w:rPr>
                <w:rFonts w:ascii="Verdana" w:hAnsi="Verdana"/>
                <w:b/>
                <w:sz w:val="20"/>
                <w:lang w:val="en-CA" w:eastAsia="zh-CN"/>
              </w:rPr>
              <w:t>November</w:t>
            </w:r>
            <w:r w:rsidR="00FA0DF9" w:rsidRPr="00DD302E">
              <w:rPr>
                <w:rFonts w:ascii="Verdana" w:hAnsi="Verdana"/>
                <w:b/>
                <w:sz w:val="20"/>
                <w:lang w:val="en-CA" w:eastAsia="zh-CN"/>
              </w:rPr>
              <w:t xml:space="preserve"> 2016</w:t>
            </w:r>
          </w:p>
        </w:tc>
      </w:tr>
      <w:tr w:rsidR="00FA0DF9" w:rsidRPr="00E82299" w14:paraId="4EC4060A" w14:textId="77777777" w:rsidTr="00360A13">
        <w:trPr>
          <w:cantSplit/>
          <w:jc w:val="center"/>
        </w:trPr>
        <w:tc>
          <w:tcPr>
            <w:tcW w:w="6438" w:type="dxa"/>
            <w:gridSpan w:val="2"/>
            <w:vMerge/>
          </w:tcPr>
          <w:p w14:paraId="788854FA" w14:textId="77777777" w:rsidR="00FA0DF9" w:rsidRPr="00DD302E" w:rsidRDefault="00FA0DF9" w:rsidP="00E82299">
            <w:pPr>
              <w:spacing w:before="60"/>
              <w:jc w:val="center"/>
              <w:rPr>
                <w:b/>
                <w:smallCaps/>
                <w:sz w:val="32"/>
                <w:lang w:val="en-CA" w:eastAsia="zh-CN"/>
              </w:rPr>
            </w:pPr>
          </w:p>
        </w:tc>
        <w:tc>
          <w:tcPr>
            <w:tcW w:w="3451" w:type="dxa"/>
            <w:gridSpan w:val="2"/>
          </w:tcPr>
          <w:p w14:paraId="3AF848F0" w14:textId="77777777" w:rsidR="00FA0DF9" w:rsidRPr="00DD302E" w:rsidRDefault="00FA0DF9" w:rsidP="00E82299">
            <w:pPr>
              <w:spacing w:before="0" w:line="240" w:lineRule="atLeast"/>
              <w:rPr>
                <w:rFonts w:ascii="Verdana" w:eastAsia="SimSun" w:hAnsi="Verdana"/>
                <w:sz w:val="20"/>
                <w:lang w:val="en-CA" w:eastAsia="zh-CN"/>
              </w:rPr>
            </w:pPr>
            <w:r w:rsidRPr="00DD302E">
              <w:rPr>
                <w:rFonts w:ascii="Verdana" w:eastAsia="SimSun" w:hAnsi="Verdana"/>
                <w:b/>
                <w:sz w:val="20"/>
                <w:lang w:val="en-CA" w:eastAsia="zh-CN"/>
              </w:rPr>
              <w:t>English only</w:t>
            </w:r>
          </w:p>
        </w:tc>
      </w:tr>
      <w:tr w:rsidR="00FA0DF9" w:rsidRPr="00E82299" w14:paraId="1D25941A" w14:textId="77777777" w:rsidTr="00360A13">
        <w:trPr>
          <w:cantSplit/>
          <w:jc w:val="center"/>
        </w:trPr>
        <w:tc>
          <w:tcPr>
            <w:tcW w:w="9889" w:type="dxa"/>
            <w:gridSpan w:val="4"/>
          </w:tcPr>
          <w:p w14:paraId="225961A9" w14:textId="1AE364C2" w:rsidR="00FA0DF9" w:rsidRPr="00DD302E" w:rsidRDefault="00DD302E" w:rsidP="00576E83">
            <w:pPr>
              <w:pStyle w:val="Source"/>
              <w:spacing w:before="600"/>
              <w:rPr>
                <w:lang w:val="en-CA" w:eastAsia="zh-CN"/>
              </w:rPr>
            </w:pPr>
            <w:r w:rsidRPr="00DD302E">
              <w:rPr>
                <w:lang w:val="en-CA" w:eastAsia="zh-CN"/>
              </w:rPr>
              <w:t xml:space="preserve">Annex </w:t>
            </w:r>
            <w:r>
              <w:rPr>
                <w:lang w:val="en-CA" w:eastAsia="zh-CN"/>
              </w:rPr>
              <w:t>10</w:t>
            </w:r>
            <w:r w:rsidRPr="00DD302E">
              <w:rPr>
                <w:lang w:val="en-CA" w:eastAsia="zh-CN"/>
              </w:rPr>
              <w:t xml:space="preserve"> to Working Party 5A Chairman’s Report</w:t>
            </w:r>
          </w:p>
        </w:tc>
      </w:tr>
      <w:tr w:rsidR="00FA0DF9" w:rsidRPr="00E82299" w14:paraId="20A13946" w14:textId="77777777" w:rsidTr="00360A13">
        <w:trPr>
          <w:cantSplit/>
          <w:jc w:val="center"/>
        </w:trPr>
        <w:tc>
          <w:tcPr>
            <w:tcW w:w="9889" w:type="dxa"/>
            <w:gridSpan w:val="4"/>
          </w:tcPr>
          <w:p w14:paraId="0E62B10E" w14:textId="15DEB89E" w:rsidR="00FA0DF9" w:rsidRPr="00DD302E" w:rsidRDefault="00233B77" w:rsidP="00E82299">
            <w:pPr>
              <w:pStyle w:val="Title1"/>
              <w:rPr>
                <w:lang w:val="en-CA"/>
              </w:rPr>
            </w:pPr>
            <w:bookmarkStart w:id="0" w:name="_GoBack"/>
            <w:r w:rsidRPr="00DD302E">
              <w:rPr>
                <w:lang w:val="en-CA"/>
              </w:rPr>
              <w:t xml:space="preserve">Elements for </w:t>
            </w:r>
            <w:r w:rsidR="00FA0DF9" w:rsidRPr="00DD302E">
              <w:rPr>
                <w:lang w:val="en-CA"/>
              </w:rPr>
              <w:t xml:space="preserve">draft CPM text </w:t>
            </w:r>
            <w:r w:rsidR="00FA0DF9" w:rsidRPr="00DD302E">
              <w:rPr>
                <w:lang w:val="en-CA"/>
              </w:rPr>
              <w:br/>
              <w:t>for WRC-19 Agenda Item 1.16</w:t>
            </w:r>
            <w:bookmarkEnd w:id="0"/>
          </w:p>
        </w:tc>
      </w:tr>
      <w:tr w:rsidR="00FA0DF9" w:rsidRPr="00E82299" w14:paraId="368F5287" w14:textId="77777777" w:rsidTr="00360A13">
        <w:trPr>
          <w:cantSplit/>
          <w:jc w:val="center"/>
        </w:trPr>
        <w:tc>
          <w:tcPr>
            <w:tcW w:w="9889" w:type="dxa"/>
            <w:gridSpan w:val="4"/>
          </w:tcPr>
          <w:p w14:paraId="1D13E6C4" w14:textId="0F1FC15E" w:rsidR="00FA0DF9" w:rsidRPr="00E82299" w:rsidRDefault="00E60C3D" w:rsidP="00E60C3D">
            <w:pPr>
              <w:pStyle w:val="Agendaitem"/>
              <w:rPr>
                <w:lang w:eastAsia="zh-CN"/>
              </w:rPr>
            </w:pPr>
            <w:r w:rsidRPr="00E82299">
              <w:t>Agenda item 1.16</w:t>
            </w:r>
          </w:p>
        </w:tc>
      </w:tr>
    </w:tbl>
    <w:p w14:paraId="5B693F10" w14:textId="77777777" w:rsidR="00FA0DF9" w:rsidRPr="00E82299" w:rsidRDefault="00FA0DF9" w:rsidP="00E82299">
      <w:pPr>
        <w:spacing w:before="240"/>
        <w:jc w:val="center"/>
        <w:rPr>
          <w:szCs w:val="18"/>
        </w:rPr>
      </w:pPr>
      <w:r w:rsidRPr="00E82299">
        <w:rPr>
          <w:szCs w:val="18"/>
        </w:rPr>
        <w:t>(</w:t>
      </w:r>
      <w:r w:rsidRPr="00E82299">
        <w:rPr>
          <w:b/>
          <w:bCs/>
          <w:szCs w:val="18"/>
        </w:rPr>
        <w:t>WP 5A</w:t>
      </w:r>
      <w:r w:rsidRPr="00E82299">
        <w:rPr>
          <w:szCs w:val="18"/>
        </w:rPr>
        <w:t xml:space="preserve"> / </w:t>
      </w:r>
      <w:r w:rsidRPr="00E82299">
        <w:rPr>
          <w:b/>
          <w:bCs/>
          <w:szCs w:val="18"/>
        </w:rPr>
        <w:t>WP 4A</w:t>
      </w:r>
      <w:r w:rsidRPr="00E82299">
        <w:rPr>
          <w:szCs w:val="18"/>
        </w:rPr>
        <w:t xml:space="preserve">, </w:t>
      </w:r>
      <w:r w:rsidRPr="00E82299">
        <w:rPr>
          <w:b/>
          <w:bCs/>
          <w:szCs w:val="18"/>
        </w:rPr>
        <w:t>WP 4C</w:t>
      </w:r>
      <w:r w:rsidRPr="00E82299">
        <w:rPr>
          <w:szCs w:val="18"/>
        </w:rPr>
        <w:t xml:space="preserve">, </w:t>
      </w:r>
      <w:r w:rsidRPr="00E82299">
        <w:rPr>
          <w:b/>
          <w:bCs/>
          <w:szCs w:val="18"/>
        </w:rPr>
        <w:t>WP 5B</w:t>
      </w:r>
      <w:r w:rsidRPr="00E82299">
        <w:rPr>
          <w:szCs w:val="18"/>
        </w:rPr>
        <w:t xml:space="preserve">, </w:t>
      </w:r>
      <w:r w:rsidRPr="00E82299">
        <w:rPr>
          <w:b/>
          <w:bCs/>
          <w:szCs w:val="18"/>
        </w:rPr>
        <w:t>WP 5C</w:t>
      </w:r>
      <w:r w:rsidRPr="00E82299">
        <w:rPr>
          <w:szCs w:val="18"/>
        </w:rPr>
        <w:t xml:space="preserve">, </w:t>
      </w:r>
      <w:r w:rsidRPr="00E82299">
        <w:rPr>
          <w:b/>
          <w:bCs/>
          <w:szCs w:val="18"/>
        </w:rPr>
        <w:t>WP 7C</w:t>
      </w:r>
      <w:r w:rsidRPr="00E82299">
        <w:rPr>
          <w:szCs w:val="18"/>
        </w:rPr>
        <w:t xml:space="preserve">, </w:t>
      </w:r>
      <w:r w:rsidRPr="00E82299">
        <w:rPr>
          <w:szCs w:val="18"/>
        </w:rPr>
        <w:br/>
        <w:t>(WP 1B), (WP 3J), (WP 3K), (WP 3M), (WP 5D))</w:t>
      </w:r>
    </w:p>
    <w:p w14:paraId="45E487FF" w14:textId="77777777" w:rsidR="00FA0DF9" w:rsidRPr="00E82299" w:rsidRDefault="00FA0DF9" w:rsidP="00E82299">
      <w:pPr>
        <w:spacing w:before="240"/>
        <w:rPr>
          <w:b/>
          <w:i/>
          <w:iCs/>
        </w:rPr>
      </w:pPr>
      <w:r w:rsidRPr="00E82299">
        <w:rPr>
          <w:i/>
          <w:iCs/>
        </w:rPr>
        <w:t>1.16</w:t>
      </w:r>
      <w:r w:rsidRPr="00E82299">
        <w:rPr>
          <w:i/>
          <w:iCs/>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E82299">
        <w:rPr>
          <w:b/>
          <w:bCs/>
          <w:i/>
          <w:iCs/>
        </w:rPr>
        <w:t>239 (WRC-15)</w:t>
      </w:r>
      <w:r w:rsidRPr="00E82299">
        <w:rPr>
          <w:i/>
          <w:iCs/>
        </w:rPr>
        <w:t>;</w:t>
      </w:r>
    </w:p>
    <w:p w14:paraId="023F7818" w14:textId="77777777" w:rsidR="00FA0DF9" w:rsidRPr="00E82299" w:rsidRDefault="00FA0DF9" w:rsidP="00E82299">
      <w:pPr>
        <w:tabs>
          <w:tab w:val="left" w:pos="794"/>
          <w:tab w:val="left" w:pos="1191"/>
          <w:tab w:val="left" w:pos="1588"/>
          <w:tab w:val="left" w:pos="1985"/>
        </w:tabs>
        <w:rPr>
          <w:i/>
          <w:iCs/>
        </w:rPr>
      </w:pPr>
      <w:r w:rsidRPr="00E82299">
        <w:t xml:space="preserve">Resolution </w:t>
      </w:r>
      <w:r w:rsidRPr="00E82299">
        <w:rPr>
          <w:rFonts w:ascii="Times New Roman Bold" w:hAnsi="Times New Roman Bold" w:cs="Times New Roman Bold"/>
          <w:b/>
          <w:bCs/>
        </w:rPr>
        <w:t xml:space="preserve">239 </w:t>
      </w:r>
      <w:r w:rsidRPr="00E82299">
        <w:rPr>
          <w:b/>
          <w:bCs/>
        </w:rPr>
        <w:t>(WRC</w:t>
      </w:r>
      <w:r w:rsidRPr="00E82299">
        <w:rPr>
          <w:b/>
          <w:bCs/>
        </w:rPr>
        <w:noBreakHyphen/>
        <w:t>15)</w:t>
      </w:r>
      <w:r w:rsidRPr="00E82299">
        <w:t xml:space="preserve"> – </w:t>
      </w:r>
      <w:r w:rsidRPr="00E82299">
        <w:rPr>
          <w:rFonts w:eastAsia="SimSun"/>
          <w:i/>
          <w:iCs/>
        </w:rPr>
        <w:t>Studies concerning Wireless Access Systems including radio local area networks in the frequency bands between 5 150 MHz and 5 925 MHz</w:t>
      </w:r>
    </w:p>
    <w:p w14:paraId="46B8808A" w14:textId="77777777" w:rsidR="00FA0DF9" w:rsidRPr="00E82299" w:rsidRDefault="00FA0DF9" w:rsidP="00E82299">
      <w:pPr>
        <w:pStyle w:val="Heading1"/>
      </w:pPr>
      <w:r w:rsidRPr="00E82299">
        <w:t>2/1.16/1</w:t>
      </w:r>
      <w:r w:rsidRPr="00E82299">
        <w:tab/>
        <w:t>Executive summary</w:t>
      </w:r>
    </w:p>
    <w:p w14:paraId="20E75ED3" w14:textId="01B49E44" w:rsidR="009863B6" w:rsidRPr="00E82299" w:rsidRDefault="009863B6" w:rsidP="00E82299">
      <w:r w:rsidRPr="00E82299">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14:paraId="12F5CC03" w14:textId="20608700" w:rsidR="00FA0DF9" w:rsidRPr="00E82299" w:rsidRDefault="00100139" w:rsidP="00E82299">
      <w:r w:rsidRPr="00E82299">
        <w:t>[</w:t>
      </w:r>
      <w:r w:rsidR="00FA0DF9" w:rsidRPr="00E82299">
        <w:t>Mobile communications including WAS/RLANs contribute positively to the economic and social developments of both developed and developing countries.</w:t>
      </w:r>
    </w:p>
    <w:p w14:paraId="6056EB46" w14:textId="77777777" w:rsidR="00FA0DF9" w:rsidRPr="00E82299" w:rsidRDefault="00FA0DF9" w:rsidP="00E82299">
      <w:r w:rsidRPr="00E82299">
        <w:t>Section 2/1.16/2 provides the background for agenda item 1.16.</w:t>
      </w:r>
    </w:p>
    <w:p w14:paraId="625C07AD" w14:textId="77777777" w:rsidR="00FA0DF9" w:rsidRPr="00E82299" w:rsidRDefault="00FA0DF9" w:rsidP="00A64D7D">
      <w:r w:rsidRPr="00E82299">
        <w:t>Section 2/1.16/3 describes:</w:t>
      </w:r>
    </w:p>
    <w:p w14:paraId="25DAAEB2" w14:textId="77777777" w:rsidR="00FA0DF9" w:rsidRPr="00E82299" w:rsidRDefault="00360A13" w:rsidP="00E82299">
      <w:pPr>
        <w:pStyle w:val="enumlev1"/>
      </w:pPr>
      <w:r w:rsidRPr="00E82299">
        <w:t>–</w:t>
      </w:r>
      <w:r w:rsidR="00FA0DF9" w:rsidRPr="00E82299">
        <w:tab/>
        <w:t>the results of ITU-R studies for the technical and operational requirements for RLANs taking into account that previous studies indicated the minimum spectrum requirement for radio local area networks (RLAN) using the 5 GHz frequency range in the year 2018 is estimated to be 880 MHz;</w:t>
      </w:r>
    </w:p>
    <w:p w14:paraId="692E4C42" w14:textId="77777777" w:rsidR="00FA0DF9" w:rsidRPr="00E82299" w:rsidRDefault="00360A13" w:rsidP="00E82299">
      <w:pPr>
        <w:pStyle w:val="enumlev1"/>
      </w:pPr>
      <w:r w:rsidRPr="00E82299">
        <w:t>–</w:t>
      </w:r>
      <w:r w:rsidR="00FA0DF9" w:rsidRPr="00E82299">
        <w:tab/>
        <w:t>the sharing and compatibility studies conducted by the ITU-R for various frequency ranges.</w:t>
      </w:r>
    </w:p>
    <w:p w14:paraId="0A0D25D4" w14:textId="77777777" w:rsidR="00FA0DF9" w:rsidRPr="00E82299" w:rsidRDefault="00360A13" w:rsidP="00E82299">
      <w:pPr>
        <w:pStyle w:val="enumlev1"/>
        <w:rPr>
          <w:lang w:eastAsia="ja-JP"/>
        </w:rPr>
      </w:pPr>
      <w:r w:rsidRPr="00E82299">
        <w:t>–</w:t>
      </w:r>
      <w:r w:rsidR="00FA0DF9" w:rsidRPr="00E82299">
        <w:tab/>
        <w:t>analyses of the results of studies for various frequency ranges;</w:t>
      </w:r>
    </w:p>
    <w:p w14:paraId="45D213BF" w14:textId="2FDDDE90" w:rsidR="00FA0DF9" w:rsidRPr="00E82299" w:rsidRDefault="00360A13" w:rsidP="00E82299">
      <w:pPr>
        <w:pStyle w:val="enumlev1"/>
        <w:rPr>
          <w:lang w:eastAsia="ja-JP"/>
        </w:rPr>
      </w:pPr>
      <w:r w:rsidRPr="00E82299">
        <w:lastRenderedPageBreak/>
        <w:t>–</w:t>
      </w:r>
      <w:r w:rsidR="00FA0DF9" w:rsidRPr="00E82299">
        <w:tab/>
        <w:t>a list of frequency bands studied: 5</w:t>
      </w:r>
      <w:r w:rsidRPr="00E82299">
        <w:t> </w:t>
      </w:r>
      <w:r w:rsidR="00FA0DF9" w:rsidRPr="00E82299">
        <w:t>150-5</w:t>
      </w:r>
      <w:r w:rsidRPr="00E82299">
        <w:t> </w:t>
      </w:r>
      <w:r w:rsidR="00FA0DF9" w:rsidRPr="00E82299">
        <w:t>250 MHz, 5</w:t>
      </w:r>
      <w:r w:rsidRPr="00E82299">
        <w:t> </w:t>
      </w:r>
      <w:r w:rsidR="00FA0DF9" w:rsidRPr="00E82299">
        <w:t>150-5</w:t>
      </w:r>
      <w:r w:rsidRPr="00E82299">
        <w:t> </w:t>
      </w:r>
      <w:r w:rsidR="00FA0DF9" w:rsidRPr="00E82299">
        <w:t>350 MHz, 5 350</w:t>
      </w:r>
      <w:r w:rsidRPr="00E82299">
        <w:noBreakHyphen/>
      </w:r>
      <w:r w:rsidR="00FA0DF9" w:rsidRPr="00E82299">
        <w:t>5 470 MHz, 5 725</w:t>
      </w:r>
      <w:r w:rsidR="00FA0DF9" w:rsidRPr="00E82299">
        <w:noBreakHyphen/>
        <w:t>5 850 MHz, and 5 850</w:t>
      </w:r>
      <w:r w:rsidR="00FA0DF9" w:rsidRPr="00E82299">
        <w:noBreakHyphen/>
        <w:t>5</w:t>
      </w:r>
      <w:r w:rsidR="00241C8B">
        <w:t xml:space="preserve"> </w:t>
      </w:r>
      <w:r w:rsidR="00FA0DF9" w:rsidRPr="00E82299">
        <w:t xml:space="preserve">925 MHz. </w:t>
      </w:r>
    </w:p>
    <w:p w14:paraId="45650EDC" w14:textId="3227D9AD" w:rsidR="00FA0DF9" w:rsidRPr="00E82299" w:rsidRDefault="00FA0DF9" w:rsidP="00E82299">
      <w:pPr>
        <w:tabs>
          <w:tab w:val="left" w:pos="794"/>
          <w:tab w:val="left" w:pos="1191"/>
          <w:tab w:val="left" w:pos="1588"/>
          <w:tab w:val="left" w:pos="1985"/>
        </w:tabs>
        <w:rPr>
          <w:i/>
          <w:iCs/>
        </w:rPr>
      </w:pPr>
      <w:r w:rsidRPr="00E82299">
        <w:t>Methods to satisfy the agenda item are included in section 2/1.16/4. Also, the regulatory and procedural considerations can be found in section 2/1.16/5.</w:t>
      </w:r>
      <w:r w:rsidR="00100139" w:rsidRPr="00E82299">
        <w:t>]</w:t>
      </w:r>
    </w:p>
    <w:p w14:paraId="77936F4D" w14:textId="77777777" w:rsidR="00FA0DF9" w:rsidRPr="00E82299" w:rsidRDefault="00FA0DF9" w:rsidP="00E82299">
      <w:pPr>
        <w:pStyle w:val="Heading1"/>
      </w:pPr>
      <w:r w:rsidRPr="00E82299">
        <w:t>2/1.16/2</w:t>
      </w:r>
      <w:r w:rsidRPr="00E82299">
        <w:tab/>
        <w:t>Background</w:t>
      </w:r>
    </w:p>
    <w:p w14:paraId="5C4BE3A3" w14:textId="5D7D97AB" w:rsidR="0005579E" w:rsidRPr="00E82299" w:rsidRDefault="0005579E" w:rsidP="00E82299">
      <w:r w:rsidRPr="00E82299">
        <w:rPr>
          <w:i/>
          <w:iCs/>
        </w:rPr>
        <w:t>[Text of the background, not more than half a page of text to provide general information in a concise manner, in order to describe the rationale of the agenda items (or issue(s))]</w:t>
      </w:r>
    </w:p>
    <w:p w14:paraId="71742E2D" w14:textId="06B3BD41" w:rsidR="00FA0DF9" w:rsidRPr="00E82299" w:rsidRDefault="00CB6EB7" w:rsidP="00E82299">
      <w:r w:rsidRPr="00E82299">
        <w:t>[</w:t>
      </w:r>
      <w:r w:rsidR="00FA0DF9" w:rsidRPr="00E82299">
        <w:t>Mobile communications including WAS/RLANs contribute positively to the economic and social developments of both developed and developing countries.</w:t>
      </w:r>
      <w:r w:rsidRPr="00E82299">
        <w:t>]</w:t>
      </w:r>
      <w:r w:rsidR="00FA0DF9" w:rsidRPr="00E82299">
        <w:t xml:space="preserve"> </w:t>
      </w:r>
    </w:p>
    <w:p w14:paraId="425D97F8" w14:textId="42409806" w:rsidR="00FA0DF9" w:rsidRPr="00E82299" w:rsidRDefault="003804CC" w:rsidP="00E82299">
      <w:r w:rsidRPr="00E82299">
        <w:t>[</w:t>
      </w:r>
      <w:r w:rsidR="00FA0DF9" w:rsidRPr="00E82299">
        <w:t xml:space="preserve">Since WRC-03, the demand for mobile broadband applications especially for WAS/RLANs has been growing rapidly. Previous ITU-R studies have indicated the need for increasing the amount of radio spectrum available for WAS/RLANs in the 5-6 GHz band to deliver high speed wireless broadband for consumers. Based on the methodology set out in Recommendation </w:t>
      </w:r>
      <w:r w:rsidR="00DB4975" w:rsidRPr="00E82299">
        <w:t xml:space="preserve">ITU-R </w:t>
      </w:r>
      <w:r w:rsidR="00FA0DF9" w:rsidRPr="00E82299">
        <w:t>M.1651 these studies have indicated that the minimum spectrum requirement for radio local area networks (RLAN) using the 5 GHz frequency range in the year 2018 is estimated to be 880 MHz.</w:t>
      </w:r>
      <w:r w:rsidRPr="00E82299">
        <w:t>]</w:t>
      </w:r>
    </w:p>
    <w:p w14:paraId="2BEA9981" w14:textId="0DF3FB5F" w:rsidR="00FA0DF9" w:rsidRPr="00E82299" w:rsidRDefault="00FA0DF9" w:rsidP="00D96357">
      <w:pPr>
        <w:rPr>
          <w:bCs/>
        </w:rPr>
      </w:pPr>
      <w:r w:rsidRPr="00E82299">
        <w:t xml:space="preserve">Resolution </w:t>
      </w:r>
      <w:r w:rsidRPr="00E82299">
        <w:rPr>
          <w:b/>
          <w:bCs/>
        </w:rPr>
        <w:t>239 (WRC</w:t>
      </w:r>
      <w:r w:rsidRPr="00E82299">
        <w:rPr>
          <w:b/>
          <w:bCs/>
        </w:rPr>
        <w:noBreakHyphen/>
        <w:t>15)</w:t>
      </w:r>
      <w:r w:rsidRPr="00E82299">
        <w:t xml:space="preserve">, calls for ITU-R to study </w:t>
      </w:r>
      <w:r w:rsidRPr="00E82299">
        <w:rPr>
          <w:rFonts w:eastAsia="Calibri"/>
        </w:rPr>
        <w:t>WAS/RLAN technical characteristics and operational requirements in relation to these spectrum requirements in the 5 GHz frequency range.</w:t>
      </w:r>
      <w:r w:rsidRPr="00E82299">
        <w:t xml:space="preserve"> It calls for ITU-R to </w:t>
      </w:r>
      <w:r w:rsidRPr="00E82299">
        <w:rPr>
          <w:bCs/>
        </w:rPr>
        <w:t>perform</w:t>
      </w:r>
      <w:r w:rsidRPr="00E82299">
        <w:rPr>
          <w:b/>
          <w:bCs/>
        </w:rPr>
        <w:t xml:space="preserve"> </w:t>
      </w:r>
      <w:r w:rsidRPr="00E82299">
        <w:t>sharing and compatibility studies</w:t>
      </w:r>
      <w:r w:rsidRPr="00E82299">
        <w:rPr>
          <w:bCs/>
        </w:rPr>
        <w:t xml:space="preserve"> </w:t>
      </w:r>
      <w:r w:rsidRPr="00E82299">
        <w:rPr>
          <w:lang w:eastAsia="fr-FR"/>
        </w:rPr>
        <w:t xml:space="preserve">between WAS/RLAN applications and incumbent services </w:t>
      </w:r>
      <w:r w:rsidRPr="00E82299">
        <w:t xml:space="preserve">in the </w:t>
      </w:r>
      <w:r w:rsidRPr="00E82299">
        <w:rPr>
          <w:rFonts w:eastAsia="Calibri"/>
        </w:rPr>
        <w:t>frequency bands</w:t>
      </w:r>
      <w:r w:rsidRPr="00E82299">
        <w:t xml:space="preserve"> 5 150-5 350 MHz, 5</w:t>
      </w:r>
      <w:r w:rsidR="00DB4975" w:rsidRPr="00E82299">
        <w:t> </w:t>
      </w:r>
      <w:r w:rsidRPr="00E82299">
        <w:t>350</w:t>
      </w:r>
      <w:r w:rsidR="00DB4975" w:rsidRPr="00E82299">
        <w:t>-</w:t>
      </w:r>
      <w:r w:rsidRPr="00E82299">
        <w:t>5</w:t>
      </w:r>
      <w:r w:rsidR="00DB4975" w:rsidRPr="00E82299">
        <w:t> </w:t>
      </w:r>
      <w:r w:rsidRPr="00E82299">
        <w:t>470 MHz, 5</w:t>
      </w:r>
      <w:r w:rsidR="00DB4975" w:rsidRPr="00E82299">
        <w:t> </w:t>
      </w:r>
      <w:r w:rsidRPr="00E82299">
        <w:t>725</w:t>
      </w:r>
      <w:r w:rsidR="00DB4975" w:rsidRPr="00E82299">
        <w:noBreakHyphen/>
      </w:r>
      <w:r w:rsidRPr="00E82299">
        <w:t>5</w:t>
      </w:r>
      <w:r w:rsidR="00DB4975" w:rsidRPr="00E82299">
        <w:t> </w:t>
      </w:r>
      <w:r w:rsidRPr="00E82299">
        <w:t>850</w:t>
      </w:r>
      <w:r w:rsidR="00DB4975" w:rsidRPr="00E82299">
        <w:t> </w:t>
      </w:r>
      <w:r w:rsidRPr="00E82299">
        <w:t>MHz and 5</w:t>
      </w:r>
      <w:r w:rsidR="00DB4975" w:rsidRPr="00E82299">
        <w:t> </w:t>
      </w:r>
      <w:r w:rsidRPr="00E82299">
        <w:t>850</w:t>
      </w:r>
      <w:r w:rsidR="00DB4975" w:rsidRPr="00E82299">
        <w:t>-</w:t>
      </w:r>
      <w:r w:rsidRPr="00E82299">
        <w:t>5</w:t>
      </w:r>
      <w:r w:rsidR="00DB4975" w:rsidRPr="00E82299">
        <w:t> </w:t>
      </w:r>
      <w:r w:rsidRPr="00E82299">
        <w:t xml:space="preserve">925 MHz </w:t>
      </w:r>
      <w:r w:rsidR="00800212" w:rsidRPr="00E82299">
        <w:t xml:space="preserve">to consider </w:t>
      </w:r>
      <w:r w:rsidRPr="00E82299">
        <w:rPr>
          <w:bCs/>
        </w:rPr>
        <w:t>outdoor WAS/RLAN operations</w:t>
      </w:r>
      <w:r w:rsidRPr="00E82299">
        <w:t xml:space="preserve"> </w:t>
      </w:r>
      <w:r w:rsidR="00800212" w:rsidRPr="00E82299">
        <w:t>in the band</w:t>
      </w:r>
      <w:r w:rsidR="00D96357">
        <w:br/>
      </w:r>
      <w:r w:rsidR="00800212" w:rsidRPr="00E82299">
        <w:t>5 150-5 350 MHz and potentially enabling the WAS/RLAN operations in the other bands, while ensuring the protection of incumbent services including their current and planned use</w:t>
      </w:r>
      <w:r w:rsidR="00800212" w:rsidRPr="00E82299">
        <w:rPr>
          <w:bCs/>
        </w:rPr>
        <w:t>.</w:t>
      </w:r>
    </w:p>
    <w:p w14:paraId="367C1B72" w14:textId="77777777" w:rsidR="00FA0DF9" w:rsidRPr="00E82299" w:rsidRDefault="00DB4975" w:rsidP="00E82299">
      <w:pPr>
        <w:pStyle w:val="Heading1"/>
      </w:pPr>
      <w:r w:rsidRPr="00E82299">
        <w:t>2/1.16/3</w:t>
      </w:r>
      <w:r w:rsidRPr="00E82299">
        <w:tab/>
      </w:r>
      <w:r w:rsidR="00FA0DF9" w:rsidRPr="00E82299">
        <w:t>Summary and analysis of the results of ITU-R studies</w:t>
      </w:r>
    </w:p>
    <w:p w14:paraId="058996D3" w14:textId="0A6BDB12" w:rsidR="00083AC4" w:rsidRPr="00E82299" w:rsidRDefault="00083AC4" w:rsidP="00E82299">
      <w:r w:rsidRPr="00E82299">
        <w:rPr>
          <w:i/>
          <w:iC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rsidRPr="00E82299">
        <w:t xml:space="preserve"> </w:t>
      </w:r>
      <w:r w:rsidRPr="00E82299">
        <w:rPr>
          <w:i/>
          <w:iCs/>
        </w:rPr>
        <w:t>and the other part dealing with the analysis of the results of studies. The results of the ITU-R studies should also be analysed with respect to the possible methods of satisfying the agenda item, and presented in a concise manner.]</w:t>
      </w:r>
    </w:p>
    <w:p w14:paraId="5A2B3622" w14:textId="77777777" w:rsidR="00FA0DF9" w:rsidRPr="00E82299" w:rsidRDefault="00FA0DF9" w:rsidP="00E82299">
      <w:pPr>
        <w:pStyle w:val="Heading2"/>
      </w:pPr>
      <w:r w:rsidRPr="00E82299">
        <w:t>2/1.16/3.1</w:t>
      </w:r>
      <w:r w:rsidR="00DB4975" w:rsidRPr="00E82299">
        <w:tab/>
      </w:r>
      <w:r w:rsidRPr="00E82299">
        <w:t>Technical and operational requirements for WAS/RLANs</w:t>
      </w:r>
    </w:p>
    <w:p w14:paraId="05C57465" w14:textId="37370DF9" w:rsidR="00233814" w:rsidRPr="00E82299" w:rsidRDefault="00233814" w:rsidP="00E82299">
      <w:pPr>
        <w:rPr>
          <w:i/>
          <w:lang w:eastAsia="ja-JP"/>
        </w:rPr>
      </w:pPr>
      <w:r w:rsidRPr="00E82299">
        <w:rPr>
          <w:i/>
          <w:lang w:eastAsia="ja-JP"/>
        </w:rPr>
        <w:t>[Editor’s note: Similar text in also in the background section. Some rationalization of the text between these 2 sections will have to be done.]</w:t>
      </w:r>
    </w:p>
    <w:p w14:paraId="5CE1D697" w14:textId="6017A297" w:rsidR="00FA0DF9" w:rsidRPr="00E82299" w:rsidRDefault="00233814" w:rsidP="00E82299">
      <w:r w:rsidRPr="00E82299">
        <w:rPr>
          <w:lang w:eastAsia="ja-JP"/>
        </w:rPr>
        <w:t>[</w:t>
      </w:r>
      <w:r w:rsidR="00FA0DF9" w:rsidRPr="00E82299">
        <w:rPr>
          <w:lang w:eastAsia="ja-JP"/>
        </w:rPr>
        <w:t xml:space="preserve">The results of previous ITU-R studies indicate </w:t>
      </w:r>
      <w:r w:rsidR="00FA0DF9" w:rsidRPr="00E82299" w:rsidDel="00B62E20">
        <w:t xml:space="preserve">that the </w:t>
      </w:r>
      <w:r w:rsidR="00FA0DF9" w:rsidRPr="00E82299">
        <w:t>minimum</w:t>
      </w:r>
      <w:r w:rsidR="00FA0DF9" w:rsidRPr="00E82299" w:rsidDel="00B62E20">
        <w:t xml:space="preserve"> spectrum requirement for </w:t>
      </w:r>
      <w:r w:rsidR="00FA0DF9" w:rsidRPr="00E82299">
        <w:t>RLAN</w:t>
      </w:r>
      <w:r w:rsidR="00FA0DF9" w:rsidRPr="00E82299" w:rsidDel="00B62E20">
        <w:t xml:space="preserve"> using the 5</w:t>
      </w:r>
      <w:r w:rsidR="00FA0DF9" w:rsidRPr="00E82299">
        <w:t> </w:t>
      </w:r>
      <w:r w:rsidR="00FA0DF9" w:rsidRPr="00E82299" w:rsidDel="00B62E20">
        <w:t xml:space="preserve">GHz frequency range in the year 2018 is estimated </w:t>
      </w:r>
      <w:r w:rsidR="00FA0DF9" w:rsidRPr="00E82299">
        <w:t>to be 880 MHz</w:t>
      </w:r>
      <w:r w:rsidR="00FA0DF9" w:rsidRPr="00E82299" w:rsidDel="00B62E20">
        <w:t>.</w:t>
      </w:r>
      <w:r w:rsidR="00FA0DF9" w:rsidRPr="00E82299">
        <w:t xml:space="preserve"> This figure includes 455-580 MHz of spectrum already utilized by non-IMT mobile broadband applications operating in the 5 GHz frequency range resulting in 300-425 MHz of additional spectrum being required. The ranges above are due to some of the frequency bands being identified for RLAN only in some countries.</w:t>
      </w:r>
      <w:r w:rsidRPr="00E82299">
        <w:t>]</w:t>
      </w:r>
    </w:p>
    <w:p w14:paraId="2725FE09" w14:textId="77777777" w:rsidR="00FA0DF9" w:rsidRPr="00E82299" w:rsidRDefault="00FA0DF9" w:rsidP="00E82299">
      <w:pPr>
        <w:rPr>
          <w:lang w:eastAsia="ja-JP"/>
        </w:rPr>
      </w:pPr>
      <w:r w:rsidRPr="00E82299">
        <w:t>Currently, within the 5 GHz range, RLAN devices utilize the following frequency bands: 5 150</w:t>
      </w:r>
      <w:r w:rsidRPr="00E82299">
        <w:noBreakHyphen/>
        <w:t>5 250 MHz, 5 250</w:t>
      </w:r>
      <w:r w:rsidRPr="00E82299">
        <w:noBreakHyphen/>
        <w:t xml:space="preserve">5 350 MHz, 5 470-5 725 MHz and 5 725-5 850 MHz (in some countries). Pursuant to Resolution </w:t>
      </w:r>
      <w:r w:rsidRPr="00E82299">
        <w:rPr>
          <w:b/>
          <w:bCs/>
        </w:rPr>
        <w:t>229 (Rev.WRC-12)</w:t>
      </w:r>
      <w:r w:rsidRPr="00E82299">
        <w:t>, operation in the 5 150-5 250 MHz frequency band is limited to indoor use while dynamic frequency selection rules apply in the 5 250-5 350 MHz and 5 470</w:t>
      </w:r>
      <w:r w:rsidRPr="00E82299">
        <w:noBreakHyphen/>
        <w:t xml:space="preserve">5 725 MHz frequency bands. </w:t>
      </w:r>
    </w:p>
    <w:p w14:paraId="5E33FE30" w14:textId="1ACB1639" w:rsidR="00FA0DF9" w:rsidRPr="00E82299" w:rsidRDefault="00576E83" w:rsidP="00576E83">
      <w:pPr>
        <w:rPr>
          <w:lang w:eastAsia="ja-JP"/>
        </w:rPr>
      </w:pPr>
      <w:r>
        <w:t>[</w:t>
      </w:r>
      <w:r w:rsidR="00FA0DF9" w:rsidRPr="00E82299">
        <w:t>The studies on technical and operational requirements l</w:t>
      </w:r>
      <w:r w:rsidR="00D96357">
        <w:t>ooked at the</w:t>
      </w:r>
      <w:r>
        <w:t xml:space="preserve"> TBD.]</w:t>
      </w:r>
    </w:p>
    <w:p w14:paraId="5E661665" w14:textId="2A0142FE" w:rsidR="00FA0DF9" w:rsidRPr="00E82299" w:rsidRDefault="003D3229" w:rsidP="00E82299">
      <w:pPr>
        <w:pStyle w:val="Heading2"/>
      </w:pPr>
      <w:r>
        <w:lastRenderedPageBreak/>
        <w:t>2/1.16/3.2</w:t>
      </w:r>
      <w:r>
        <w:tab/>
      </w:r>
      <w:r w:rsidR="00FA0DF9" w:rsidRPr="00E82299">
        <w:t>Sharing and compatibility studies</w:t>
      </w:r>
    </w:p>
    <w:p w14:paraId="5C844D39" w14:textId="77777777" w:rsidR="00FA0DF9" w:rsidRPr="00E82299" w:rsidRDefault="00FA0DF9" w:rsidP="00E82299">
      <w:pPr>
        <w:pStyle w:val="Heading3"/>
      </w:pPr>
      <w:r w:rsidRPr="00E82299">
        <w:t>2/1.16/3.2.1</w:t>
      </w:r>
      <w:r w:rsidRPr="00E82299">
        <w:tab/>
        <w:t>Frequency range 5 150-5 250 MHz</w:t>
      </w:r>
    </w:p>
    <w:p w14:paraId="49B23123" w14:textId="3E73ACC2" w:rsidR="00FA0DF9" w:rsidRPr="00E82299" w:rsidRDefault="00FA0DF9" w:rsidP="00E82299">
      <w:pPr>
        <w:pStyle w:val="Heading4"/>
      </w:pPr>
      <w:r w:rsidRPr="00E82299">
        <w:t>2/1.16/3.2.2.1</w:t>
      </w:r>
      <w:r w:rsidRPr="00E82299">
        <w:tab/>
      </w:r>
      <w:r w:rsidR="005561AB" w:rsidRPr="00E82299">
        <w:t xml:space="preserve"> FSS for Non-GSO MSS FEEDER UPLINKS</w:t>
      </w:r>
      <w:r w:rsidRPr="00E82299">
        <w:t xml:space="preserve"> and the mobile service/RLAN</w:t>
      </w:r>
    </w:p>
    <w:p w14:paraId="6BF3515A" w14:textId="77777777" w:rsidR="00FA0DF9" w:rsidRPr="00E82299" w:rsidRDefault="00FA0DF9" w:rsidP="00E82299">
      <w:pPr>
        <w:pStyle w:val="Heading3"/>
      </w:pPr>
      <w:r w:rsidRPr="00E82299">
        <w:t>2/1.16/3.2.2</w:t>
      </w:r>
      <w:r w:rsidRPr="00E82299">
        <w:tab/>
        <w:t>Frequency range 5 250-5 350 MHz</w:t>
      </w:r>
    </w:p>
    <w:p w14:paraId="193E5CD2" w14:textId="77777777" w:rsidR="00FA0DF9" w:rsidRPr="00E82299" w:rsidRDefault="00FA0DF9" w:rsidP="00E82299">
      <w:pPr>
        <w:pStyle w:val="Heading4"/>
        <w:ind w:left="1440" w:hanging="1440"/>
      </w:pPr>
      <w:r w:rsidRPr="00E82299">
        <w:t>2/1.16/3.2.2.1</w:t>
      </w:r>
      <w:r w:rsidRPr="00E82299">
        <w:tab/>
        <w:t xml:space="preserve">Earth exploration-satellite service (active) and the mobile service/RLAN </w:t>
      </w:r>
    </w:p>
    <w:p w14:paraId="39586B44" w14:textId="77777777" w:rsidR="00FA0DF9" w:rsidRPr="00E82299" w:rsidRDefault="00FA0DF9" w:rsidP="00E82299">
      <w:pPr>
        <w:pStyle w:val="Heading4"/>
        <w:ind w:left="1440" w:hanging="1440"/>
      </w:pPr>
      <w:r w:rsidRPr="00E82299">
        <w:t>2/1.16/3.2.2.2</w:t>
      </w:r>
      <w:r w:rsidRPr="00E82299">
        <w:tab/>
        <w:t>Radar systems and the mobile service/RLANs</w:t>
      </w:r>
    </w:p>
    <w:p w14:paraId="7259CC67" w14:textId="77777777" w:rsidR="00FA0DF9" w:rsidRPr="00E82299" w:rsidRDefault="00FA0DF9" w:rsidP="00E82299">
      <w:pPr>
        <w:pStyle w:val="Heading3"/>
      </w:pPr>
      <w:r w:rsidRPr="00E82299">
        <w:t>2/1.16/3.2.3</w:t>
      </w:r>
      <w:r w:rsidRPr="00E82299">
        <w:tab/>
        <w:t>Frequency range 5 350-5 470 MHz</w:t>
      </w:r>
    </w:p>
    <w:p w14:paraId="1A57747D" w14:textId="09793B97" w:rsidR="00FA0DF9" w:rsidRPr="00E82299" w:rsidRDefault="00FA0DF9" w:rsidP="00E82299">
      <w:pPr>
        <w:rPr>
          <w:lang w:eastAsia="ja-JP"/>
        </w:rPr>
      </w:pPr>
      <w:r w:rsidRPr="00E82299">
        <w:rPr>
          <w:iCs/>
        </w:rPr>
        <w:t xml:space="preserve">The frequency range 5 350-5 470 MHz, </w:t>
      </w:r>
      <w:r w:rsidRPr="00E82299">
        <w:rPr>
          <w:lang w:eastAsia="zh-CN"/>
        </w:rPr>
        <w:t xml:space="preserve">or parts thereof, </w:t>
      </w:r>
      <w:r w:rsidRPr="00E82299">
        <w:rPr>
          <w:iCs/>
        </w:rPr>
        <w:t xml:space="preserve">is allocated to </w:t>
      </w:r>
      <w:r w:rsidRPr="00E82299">
        <w:t xml:space="preserve">the </w:t>
      </w:r>
      <w:r w:rsidRPr="00E82299">
        <w:rPr>
          <w:iCs/>
        </w:rPr>
        <w:t>EESS, RLS, ARNS, SRS and RNS</w:t>
      </w:r>
      <w:r w:rsidRPr="00E82299">
        <w:rPr>
          <w:color w:val="000000"/>
        </w:rPr>
        <w:t>.</w:t>
      </w:r>
      <w:r w:rsidRPr="00E82299">
        <w:t xml:space="preserve"> The details of these allocations can be found in RR Article </w:t>
      </w:r>
      <w:r w:rsidRPr="00E82299">
        <w:rPr>
          <w:b/>
          <w:bCs/>
        </w:rPr>
        <w:t>5</w:t>
      </w:r>
      <w:r w:rsidRPr="00E82299">
        <w:t>.</w:t>
      </w:r>
    </w:p>
    <w:p w14:paraId="3273DCED" w14:textId="77777777" w:rsidR="00FA0DF9" w:rsidRPr="00E82299" w:rsidRDefault="00FA0DF9" w:rsidP="00E82299">
      <w:pPr>
        <w:pStyle w:val="Heading4"/>
        <w:ind w:left="1440" w:hanging="1440"/>
      </w:pPr>
      <w:r w:rsidRPr="00E82299">
        <w:t>2/1.16/3.2.3.1</w:t>
      </w:r>
      <w:r w:rsidRPr="00E82299">
        <w:tab/>
        <w:t xml:space="preserve">Earth exploration-satellite service (active) and the mobile service/RLAN </w:t>
      </w:r>
    </w:p>
    <w:p w14:paraId="71209BB9" w14:textId="77777777" w:rsidR="00FA0DF9" w:rsidRPr="00E82299" w:rsidRDefault="00FA0DF9" w:rsidP="00E82299">
      <w:pPr>
        <w:pStyle w:val="Heading4"/>
      </w:pPr>
      <w:r w:rsidRPr="00E82299">
        <w:t>2/1.16/3.2.3.2</w:t>
      </w:r>
      <w:r w:rsidRPr="00E82299">
        <w:tab/>
        <w:t>Radar systems and the mobile service/RLANs</w:t>
      </w:r>
    </w:p>
    <w:p w14:paraId="259FD3DD" w14:textId="77777777" w:rsidR="00FA0DF9" w:rsidRPr="00E82299" w:rsidDel="0006684B" w:rsidRDefault="00FA0DF9" w:rsidP="00E82299">
      <w:pPr>
        <w:pStyle w:val="Heading3"/>
      </w:pPr>
      <w:r w:rsidRPr="00E82299">
        <w:t>2</w:t>
      </w:r>
      <w:r w:rsidRPr="00E82299" w:rsidDel="0006684B">
        <w:t>/1.1</w:t>
      </w:r>
      <w:r w:rsidRPr="00E82299">
        <w:t>6</w:t>
      </w:r>
      <w:r w:rsidRPr="00E82299" w:rsidDel="0006684B">
        <w:t>/3.2.</w:t>
      </w:r>
      <w:r w:rsidRPr="00E82299">
        <w:t>12</w:t>
      </w:r>
      <w:r w:rsidRPr="00E82299">
        <w:tab/>
      </w:r>
      <w:r w:rsidRPr="00E82299" w:rsidDel="0006684B">
        <w:t xml:space="preserve">Frequency range </w:t>
      </w:r>
      <w:r w:rsidRPr="00E82299">
        <w:t>5</w:t>
      </w:r>
      <w:r w:rsidRPr="00E82299" w:rsidDel="0006684B">
        <w:t> </w:t>
      </w:r>
      <w:r w:rsidRPr="00E82299">
        <w:t>725</w:t>
      </w:r>
      <w:r w:rsidRPr="00E82299" w:rsidDel="0006684B">
        <w:t>-</w:t>
      </w:r>
      <w:r w:rsidRPr="00E82299">
        <w:t>5 850</w:t>
      </w:r>
      <w:r w:rsidRPr="00E82299" w:rsidDel="0006684B">
        <w:t> MHz</w:t>
      </w:r>
    </w:p>
    <w:p w14:paraId="3733DA2F" w14:textId="244FA5E8" w:rsidR="00FA0DF9" w:rsidRPr="00E82299" w:rsidRDefault="00FA0DF9" w:rsidP="00E82299">
      <w:pPr>
        <w:rPr>
          <w:lang w:eastAsia="ja-JP"/>
        </w:rPr>
      </w:pPr>
      <w:r w:rsidRPr="00E82299">
        <w:rPr>
          <w:iCs/>
        </w:rPr>
        <w:t xml:space="preserve">The frequency range 5 725-5 850 MHz, </w:t>
      </w:r>
      <w:r w:rsidRPr="00E82299">
        <w:rPr>
          <w:lang w:eastAsia="zh-CN"/>
        </w:rPr>
        <w:t xml:space="preserve">or parts thereof, </w:t>
      </w:r>
      <w:r w:rsidRPr="00E82299">
        <w:rPr>
          <w:iCs/>
        </w:rPr>
        <w:t xml:space="preserve">is allocated to </w:t>
      </w:r>
      <w:r w:rsidRPr="00E82299">
        <w:t xml:space="preserve">the </w:t>
      </w:r>
      <w:r w:rsidRPr="00E82299">
        <w:rPr>
          <w:iCs/>
        </w:rPr>
        <w:t>FSS, RLS, ARS, ARSS, LMS, FS and MS</w:t>
      </w:r>
      <w:r w:rsidRPr="00E82299">
        <w:rPr>
          <w:color w:val="000000"/>
        </w:rPr>
        <w:t>.</w:t>
      </w:r>
      <w:r w:rsidRPr="00E82299">
        <w:t xml:space="preserve"> </w:t>
      </w:r>
      <w:r w:rsidR="00926B39" w:rsidRPr="00E82299">
        <w:t xml:space="preserve">Before identifying the band for wireless LAN, compatibility analysis, as appropriate, with respect to services in the adjacent bands should be considered. </w:t>
      </w:r>
      <w:r w:rsidRPr="00E82299">
        <w:t xml:space="preserve">The details of these allocations and those of the adjacent frequency bands can be found in RR Article </w:t>
      </w:r>
      <w:r w:rsidRPr="00E82299">
        <w:rPr>
          <w:b/>
          <w:bCs/>
        </w:rPr>
        <w:t>5</w:t>
      </w:r>
      <w:r w:rsidRPr="00E82299">
        <w:t>.</w:t>
      </w:r>
    </w:p>
    <w:p w14:paraId="2218738A" w14:textId="77777777" w:rsidR="00FA0DF9" w:rsidRPr="00E82299" w:rsidDel="0006684B" w:rsidRDefault="00FA0DF9" w:rsidP="00E82299">
      <w:pPr>
        <w:pStyle w:val="Heading3"/>
      </w:pPr>
      <w:r w:rsidRPr="00E82299">
        <w:t>2</w:t>
      </w:r>
      <w:r w:rsidRPr="00E82299" w:rsidDel="0006684B">
        <w:t>/1.1/3.2.</w:t>
      </w:r>
      <w:r w:rsidRPr="00E82299">
        <w:t>13</w:t>
      </w:r>
      <w:r w:rsidRPr="00E82299">
        <w:tab/>
      </w:r>
      <w:r w:rsidRPr="00E82299" w:rsidDel="0006684B">
        <w:t xml:space="preserve">Frequency range </w:t>
      </w:r>
      <w:r w:rsidRPr="00E82299">
        <w:t>5 850-5</w:t>
      </w:r>
      <w:r w:rsidRPr="00E82299" w:rsidDel="0006684B">
        <w:t> </w:t>
      </w:r>
      <w:r w:rsidRPr="00E82299">
        <w:t>925</w:t>
      </w:r>
      <w:r w:rsidRPr="00E82299" w:rsidDel="0006684B">
        <w:t> MHz</w:t>
      </w:r>
    </w:p>
    <w:p w14:paraId="4B5FF372" w14:textId="65D5B8CC" w:rsidR="00FA0DF9" w:rsidRPr="00E82299" w:rsidRDefault="00FA0DF9" w:rsidP="00E82299">
      <w:pPr>
        <w:rPr>
          <w:iCs/>
        </w:rPr>
      </w:pPr>
      <w:r w:rsidRPr="00E82299">
        <w:rPr>
          <w:iCs/>
        </w:rPr>
        <w:t>The frequency range 5 </w:t>
      </w:r>
      <w:r w:rsidR="00926B39" w:rsidRPr="00E82299">
        <w:rPr>
          <w:iCs/>
        </w:rPr>
        <w:t>850</w:t>
      </w:r>
      <w:r w:rsidRPr="00E82299">
        <w:rPr>
          <w:iCs/>
        </w:rPr>
        <w:t>-</w:t>
      </w:r>
      <w:r w:rsidR="00926B39" w:rsidRPr="00E82299">
        <w:rPr>
          <w:iCs/>
        </w:rPr>
        <w:t>5 925</w:t>
      </w:r>
      <w:r w:rsidRPr="00E82299">
        <w:rPr>
          <w:iCs/>
        </w:rPr>
        <w:t xml:space="preserve"> MHz, </w:t>
      </w:r>
      <w:r w:rsidRPr="00E82299">
        <w:rPr>
          <w:lang w:eastAsia="zh-CN"/>
        </w:rPr>
        <w:t xml:space="preserve">or parts thereof, </w:t>
      </w:r>
      <w:r w:rsidRPr="00E82299">
        <w:rPr>
          <w:iCs/>
        </w:rPr>
        <w:t xml:space="preserve">is allocated to </w:t>
      </w:r>
      <w:r w:rsidRPr="00E82299">
        <w:t xml:space="preserve">the </w:t>
      </w:r>
      <w:r w:rsidRPr="00E82299">
        <w:rPr>
          <w:iCs/>
        </w:rPr>
        <w:t>FS, FSS and MS</w:t>
      </w:r>
      <w:r w:rsidR="00576E83">
        <w:rPr>
          <w:iCs/>
        </w:rPr>
        <w:t xml:space="preserve"> in all 3 </w:t>
      </w:r>
      <w:r w:rsidR="003C5849" w:rsidRPr="00E82299">
        <w:rPr>
          <w:iCs/>
        </w:rPr>
        <w:t>regions</w:t>
      </w:r>
      <w:r w:rsidRPr="00E82299">
        <w:rPr>
          <w:color w:val="000000"/>
        </w:rPr>
        <w:t>.</w:t>
      </w:r>
      <w:r w:rsidRPr="00E82299">
        <w:t xml:space="preserve"> The frequency bands adjacent to this frequency range </w:t>
      </w:r>
      <w:r w:rsidRPr="00E82299">
        <w:rPr>
          <w:lang w:eastAsia="zh-CN"/>
        </w:rPr>
        <w:t xml:space="preserve">are allocated to </w:t>
      </w:r>
      <w:r w:rsidRPr="00E82299">
        <w:t xml:space="preserve">the </w:t>
      </w:r>
      <w:r w:rsidRPr="00E82299">
        <w:rPr>
          <w:lang w:eastAsia="zh-CN"/>
        </w:rPr>
        <w:t xml:space="preserve">FS, FSS, MS </w:t>
      </w:r>
      <w:r w:rsidRPr="00E82299">
        <w:rPr>
          <w:iCs/>
        </w:rPr>
        <w:t>RLS, ARS, ARSS and LMS.</w:t>
      </w:r>
    </w:p>
    <w:p w14:paraId="2859D0B4" w14:textId="273578A2" w:rsidR="00FA0DF9" w:rsidRPr="00E82299" w:rsidRDefault="00FA0DF9" w:rsidP="00241C8B">
      <w:pPr>
        <w:rPr>
          <w:lang w:eastAsia="ja-JP"/>
        </w:rPr>
      </w:pPr>
      <w:r w:rsidRPr="00E82299">
        <w:rPr>
          <w:iCs/>
        </w:rPr>
        <w:t xml:space="preserve">In this band </w:t>
      </w:r>
      <w:r w:rsidR="00F61E3D" w:rsidRPr="00E82299">
        <w:rPr>
          <w:iCs/>
        </w:rPr>
        <w:t xml:space="preserve">applications under the </w:t>
      </w:r>
      <w:r w:rsidR="003C5849" w:rsidRPr="00E82299">
        <w:rPr>
          <w:iCs/>
        </w:rPr>
        <w:t>mobile service ha</w:t>
      </w:r>
      <w:r w:rsidR="00F61E3D" w:rsidRPr="00E82299">
        <w:rPr>
          <w:iCs/>
        </w:rPr>
        <w:t>ve</w:t>
      </w:r>
      <w:r w:rsidRPr="00E82299">
        <w:rPr>
          <w:iCs/>
        </w:rPr>
        <w:t xml:space="preserve"> already been </w:t>
      </w:r>
      <w:r w:rsidR="00F61E3D" w:rsidRPr="00E82299">
        <w:rPr>
          <w:iCs/>
        </w:rPr>
        <w:t>implemented</w:t>
      </w:r>
      <w:r w:rsidRPr="00E82299">
        <w:rPr>
          <w:iCs/>
        </w:rPr>
        <w:t xml:space="preserve"> on a national or regional level in these bands throughout the world, therefore any sharing analysis carried out under this agenda should not prejudice any current or future </w:t>
      </w:r>
      <w:r w:rsidR="003C5849" w:rsidRPr="00E82299">
        <w:rPr>
          <w:iCs/>
        </w:rPr>
        <w:t xml:space="preserve">usages into the </w:t>
      </w:r>
      <w:r w:rsidR="00F61E3D" w:rsidRPr="00E82299">
        <w:rPr>
          <w:iCs/>
        </w:rPr>
        <w:t>mobile</w:t>
      </w:r>
      <w:r w:rsidRPr="00E82299">
        <w:rPr>
          <w:iCs/>
        </w:rPr>
        <w:t xml:space="preserve"> service</w:t>
      </w:r>
      <w:r w:rsidR="00241C8B">
        <w:rPr>
          <w:iCs/>
        </w:rPr>
        <w:t xml:space="preserve"> </w:t>
      </w:r>
      <w:r w:rsidRPr="00E82299">
        <w:rPr>
          <w:iCs/>
        </w:rPr>
        <w:t>on a national or regional basis (i.e. any recommendations developed should be of an advisory and non-binding nature).</w:t>
      </w:r>
      <w:r w:rsidR="00F61E3D" w:rsidRPr="00E82299">
        <w:rPr>
          <w:iCs/>
        </w:rPr>
        <w:t xml:space="preserve"> This band is used for FSS uplink and for wide diverse applications around the globe; the introduction of new applications in the mobile service should take account the protection of the current and planned FSS use.</w:t>
      </w:r>
    </w:p>
    <w:p w14:paraId="56D2D653" w14:textId="77777777" w:rsidR="00FA0DF9" w:rsidRPr="00E82299" w:rsidRDefault="00FA0DF9" w:rsidP="00E82299">
      <w:pPr>
        <w:pStyle w:val="Heading4"/>
      </w:pPr>
      <w:r w:rsidRPr="00E82299">
        <w:t>2/1.1/3.2.13.1</w:t>
      </w:r>
      <w:r w:rsidRPr="00E82299">
        <w:tab/>
        <w:t>Fixed service and the mobile service/RLANs</w:t>
      </w:r>
    </w:p>
    <w:p w14:paraId="50C8D843" w14:textId="77777777" w:rsidR="00FA0DF9" w:rsidRPr="00E82299" w:rsidRDefault="00FA0DF9" w:rsidP="00E82299">
      <w:pPr>
        <w:pStyle w:val="Heading4"/>
        <w:rPr>
          <w:lang w:eastAsia="ja-JP"/>
        </w:rPr>
      </w:pPr>
      <w:r w:rsidRPr="00E82299">
        <w:t>2/1.1/3.2.</w:t>
      </w:r>
      <w:r w:rsidRPr="00E82299">
        <w:rPr>
          <w:lang w:eastAsia="ja-JP"/>
        </w:rPr>
        <w:t>13.2</w:t>
      </w:r>
      <w:r w:rsidRPr="00E82299">
        <w:tab/>
        <w:t>Fixed-satellite service and mobile service/RLANs</w:t>
      </w:r>
    </w:p>
    <w:p w14:paraId="541C758B" w14:textId="77777777" w:rsidR="00FA0DF9" w:rsidRPr="00E82299" w:rsidRDefault="00FA0DF9" w:rsidP="00E82299">
      <w:pPr>
        <w:pStyle w:val="Heading1"/>
      </w:pPr>
      <w:r w:rsidRPr="00E82299">
        <w:t>2/1.16/4</w:t>
      </w:r>
      <w:r w:rsidRPr="00E82299">
        <w:tab/>
        <w:t>Methods to satisfy the agenda item</w:t>
      </w:r>
    </w:p>
    <w:p w14:paraId="3D9AD1D9" w14:textId="531F51BC" w:rsidR="00083AC4" w:rsidRPr="00E82299" w:rsidRDefault="00083AC4" w:rsidP="00E82299">
      <w:r w:rsidRPr="00E82299">
        <w:rPr>
          <w:i/>
          <w:iCs/>
        </w:rPr>
        <w:t>[</w:t>
      </w:r>
      <w:r w:rsidRPr="00E82299">
        <w:rPr>
          <w:i/>
          <w:iCs/>
          <w:color w:val="000000"/>
        </w:rPr>
        <w:t>This section should contain the brief</w:t>
      </w:r>
      <w:r w:rsidRPr="00E82299">
        <w:rPr>
          <w:i/>
          <w:iCs/>
        </w:rPr>
        <w:t xml:space="preserve"> description of the Method or Methods to satisfy the agenda item as per section 4 of Annex 2 to Resolution ITU-R 2-7</w:t>
      </w:r>
      <w:r w:rsidR="00576E83">
        <w:rPr>
          <w:i/>
          <w:iCs/>
        </w:rPr>
        <w:t>.</w:t>
      </w:r>
      <w:r w:rsidRPr="00E82299">
        <w:rPr>
          <w:i/>
          <w:iCs/>
        </w:rPr>
        <w:t>]</w:t>
      </w:r>
    </w:p>
    <w:p w14:paraId="03B2091E" w14:textId="77777777" w:rsidR="00FA0DF9" w:rsidRPr="00E82299" w:rsidRDefault="00FA0DF9" w:rsidP="00576E83">
      <w:pPr>
        <w:rPr>
          <w:lang w:eastAsia="ko-KR"/>
        </w:rPr>
      </w:pPr>
      <w:r w:rsidRPr="00E82299">
        <w:rPr>
          <w:lang w:eastAsia="ko-KR"/>
        </w:rPr>
        <w:t>The following m</w:t>
      </w:r>
      <w:r w:rsidRPr="00E82299">
        <w:rPr>
          <w:rFonts w:eastAsia="Batang"/>
        </w:rPr>
        <w:t>ethods</w:t>
      </w:r>
      <w:r w:rsidRPr="00E82299">
        <w:t xml:space="preserve"> are considered to satisfy this agenda item </w:t>
      </w:r>
      <w:r w:rsidRPr="00E82299">
        <w:rPr>
          <w:lang w:eastAsia="ko-KR"/>
        </w:rPr>
        <w:t>and may be applied to the candidate frequency bands. These are:</w:t>
      </w:r>
    </w:p>
    <w:p w14:paraId="5DF3A960" w14:textId="77777777" w:rsidR="00FA0DF9" w:rsidRPr="00E82299" w:rsidRDefault="00FA0DF9" w:rsidP="00E82299">
      <w:r w:rsidRPr="00E82299">
        <w:rPr>
          <w:b/>
        </w:rPr>
        <w:t xml:space="preserve">Method A </w:t>
      </w:r>
      <w:r w:rsidRPr="00E82299">
        <w:t>– No change, which may be accompanied by reasons.</w:t>
      </w:r>
    </w:p>
    <w:p w14:paraId="198851DE" w14:textId="116082CE" w:rsidR="00FA0DF9" w:rsidRPr="00E82299" w:rsidRDefault="00FA0DF9" w:rsidP="00E82299">
      <w:r w:rsidRPr="00E82299">
        <w:rPr>
          <w:b/>
        </w:rPr>
        <w:t>Method B</w:t>
      </w:r>
      <w:r w:rsidRPr="00E82299">
        <w:t xml:space="preserve"> – </w:t>
      </w:r>
      <w:r w:rsidR="00E01880" w:rsidRPr="00E82299">
        <w:t>[</w:t>
      </w:r>
      <w:r w:rsidRPr="00E82299">
        <w:t xml:space="preserve">Make an allocation to </w:t>
      </w:r>
      <w:r w:rsidR="00426C33" w:rsidRPr="00E82299">
        <w:t xml:space="preserve">the mobile service to be used by </w:t>
      </w:r>
      <w:r w:rsidRPr="00E82299">
        <w:t>RLANs under the MS on a primary basis (either by a new allocation or the upgrade of an existing secondary allocation) with a view to facilitate the development of terrestrial mobile broadband applications.</w:t>
      </w:r>
    </w:p>
    <w:p w14:paraId="124FC67E" w14:textId="77777777" w:rsidR="00FA0DF9" w:rsidRPr="00E82299" w:rsidRDefault="00FA0DF9" w:rsidP="00E82299">
      <w:pPr>
        <w:pStyle w:val="enumlev1"/>
      </w:pPr>
      <w:r w:rsidRPr="00E82299">
        <w:rPr>
          <w:b/>
        </w:rPr>
        <w:lastRenderedPageBreak/>
        <w:tab/>
        <w:t xml:space="preserve">Method B </w:t>
      </w:r>
      <w:r w:rsidRPr="00E82299">
        <w:t xml:space="preserve">– </w:t>
      </w:r>
      <w:r w:rsidRPr="00E82299">
        <w:rPr>
          <w:b/>
        </w:rPr>
        <w:t xml:space="preserve">Table of Frequency Allocations </w:t>
      </w:r>
      <w:r w:rsidRPr="00E82299">
        <w:rPr>
          <w:b/>
          <w:lang w:eastAsia="ja-JP"/>
        </w:rPr>
        <w:t>(</w:t>
      </w:r>
      <w:r w:rsidRPr="00E82299">
        <w:rPr>
          <w:b/>
        </w:rPr>
        <w:t>ToA</w:t>
      </w:r>
      <w:r w:rsidRPr="00E82299">
        <w:rPr>
          <w:b/>
          <w:lang w:eastAsia="ja-JP"/>
        </w:rPr>
        <w:t>)</w:t>
      </w:r>
      <w:r w:rsidRPr="00E82299">
        <w:t xml:space="preserve"> - Make an allocation to RLANs under the MS on a primary basis in the Table of Frequency Allocations.</w:t>
      </w:r>
    </w:p>
    <w:p w14:paraId="095EF72E" w14:textId="3E86D95A" w:rsidR="00FA0DF9" w:rsidRPr="00E82299" w:rsidRDefault="00FA0DF9" w:rsidP="00E82299">
      <w:pPr>
        <w:pStyle w:val="enumlev1"/>
      </w:pPr>
      <w:r w:rsidRPr="00E82299">
        <w:rPr>
          <w:b/>
        </w:rPr>
        <w:tab/>
        <w:t xml:space="preserve">Method B </w:t>
      </w:r>
      <w:r w:rsidRPr="00E82299">
        <w:t xml:space="preserve">– </w:t>
      </w:r>
      <w:r w:rsidRPr="00E82299">
        <w:rPr>
          <w:b/>
          <w:lang w:eastAsia="ja-JP"/>
        </w:rPr>
        <w:t>Footnote (</w:t>
      </w:r>
      <w:r w:rsidRPr="00E82299">
        <w:rPr>
          <w:b/>
        </w:rPr>
        <w:t>FN</w:t>
      </w:r>
      <w:r w:rsidRPr="00E82299">
        <w:rPr>
          <w:b/>
          <w:lang w:eastAsia="ja-JP"/>
        </w:rPr>
        <w:t>)</w:t>
      </w:r>
      <w:r w:rsidRPr="00E82299">
        <w:t xml:space="preserve"> - Make an allocation to RLANs under the MS (RLANs) on a primary basis in a footnote.</w:t>
      </w:r>
      <w:r w:rsidR="00E01880" w:rsidRPr="00E82299">
        <w:t>]</w:t>
      </w:r>
    </w:p>
    <w:p w14:paraId="00F4E5AD" w14:textId="564D143B" w:rsidR="00FA0DF9" w:rsidRPr="00E82299" w:rsidRDefault="00FA0DF9" w:rsidP="00E82299">
      <w:r w:rsidRPr="00E82299">
        <w:rPr>
          <w:b/>
        </w:rPr>
        <w:t xml:space="preserve">Method C </w:t>
      </w:r>
      <w:r w:rsidRPr="00E82299">
        <w:t xml:space="preserve">– </w:t>
      </w:r>
      <w:r w:rsidR="00E01880" w:rsidRPr="00E82299">
        <w:t>[</w:t>
      </w:r>
      <w:r w:rsidRPr="00E82299">
        <w:t xml:space="preserve">To identify different technical conditions for RLANs to under an existing MS allocation either in a new or existing footnote. This Method can be applied individually if there is already a primary mobile allocation or in conjunction with Method B. </w:t>
      </w:r>
    </w:p>
    <w:p w14:paraId="49841AC2" w14:textId="660E00A9" w:rsidR="00FA0DF9" w:rsidRPr="00E82299" w:rsidRDefault="00FA0DF9" w:rsidP="00E82299">
      <w:r w:rsidRPr="00E82299">
        <w:t>In addition, any condition of use specific to a frequency band by the MS or IMT systems will be described under the specific frequency band</w:t>
      </w:r>
      <w:r w:rsidRPr="00E82299">
        <w:rPr>
          <w:bCs/>
          <w:lang w:eastAsia="zh-CN"/>
        </w:rPr>
        <w:t xml:space="preserve"> under Methods B and/or C</w:t>
      </w:r>
      <w:r w:rsidRPr="00E82299">
        <w:t>.</w:t>
      </w:r>
      <w:r w:rsidR="00E01880" w:rsidRPr="00E82299">
        <w:t>]</w:t>
      </w:r>
    </w:p>
    <w:p w14:paraId="5AC7FC21" w14:textId="2B941032" w:rsidR="00FA0DF9" w:rsidRPr="00E82299" w:rsidRDefault="00FA0DF9" w:rsidP="00E82299">
      <w:pPr>
        <w:rPr>
          <w:lang w:eastAsia="ja-JP"/>
        </w:rPr>
      </w:pPr>
      <w:r w:rsidRPr="00E82299">
        <w:rPr>
          <w:b/>
        </w:rPr>
        <w:t xml:space="preserve">Other considerations </w:t>
      </w:r>
      <w:r w:rsidRPr="00E82299">
        <w:t>– TBD</w:t>
      </w:r>
    </w:p>
    <w:p w14:paraId="766EC827" w14:textId="77777777" w:rsidR="00FA0DF9" w:rsidRPr="00E82299" w:rsidRDefault="00FA0DF9" w:rsidP="00E82299">
      <w:r w:rsidRPr="00E82299">
        <w:t xml:space="preserve">The frequency bands considered under this agenda item together with the applicable methods identified to satisfy the agenda item are summarized in the table below: </w:t>
      </w:r>
    </w:p>
    <w:p w14:paraId="7FBCE16A" w14:textId="77777777" w:rsidR="00FA0DF9" w:rsidRPr="00E82299" w:rsidRDefault="00FA0DF9" w:rsidP="00E82299">
      <w:pPr>
        <w:pStyle w:val="Tabletitle"/>
        <w:spacing w:before="240"/>
      </w:pPr>
      <w:r w:rsidRPr="00E82299">
        <w:t xml:space="preserve">Methods and options* that may be applicable to the potential candidate frequency bands, taking into account </w:t>
      </w:r>
      <w:r w:rsidRPr="00E82299">
        <w:br/>
        <w:t>existing frequency allocations contained in Article 5 of the RR</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523"/>
        <w:gridCol w:w="1524"/>
        <w:gridCol w:w="1524"/>
        <w:gridCol w:w="1524"/>
        <w:gridCol w:w="1569"/>
      </w:tblGrid>
      <w:tr w:rsidR="00FA0DF9" w:rsidRPr="00E82299" w14:paraId="57E6959B" w14:textId="77777777" w:rsidTr="00B976C2">
        <w:trPr>
          <w:cantSplit/>
          <w:tblHeader/>
          <w:jc w:val="center"/>
        </w:trPr>
        <w:tc>
          <w:tcPr>
            <w:tcW w:w="1833" w:type="dxa"/>
            <w:vMerge w:val="restart"/>
            <w:vAlign w:val="center"/>
            <w:hideMark/>
          </w:tcPr>
          <w:p w14:paraId="5C641C64" w14:textId="77777777" w:rsidR="00FA0DF9" w:rsidRPr="00E82299" w:rsidRDefault="00FA0DF9" w:rsidP="00E82299">
            <w:pPr>
              <w:pStyle w:val="Tablehead"/>
              <w:spacing w:line="236" w:lineRule="atLeast"/>
              <w:rPr>
                <w:lang w:eastAsia="pt-BR"/>
              </w:rPr>
            </w:pPr>
            <w:r w:rsidRPr="00E82299">
              <w:rPr>
                <w:lang w:eastAsia="pt-BR"/>
              </w:rPr>
              <w:t>Number / Bands (MHz)</w:t>
            </w:r>
          </w:p>
        </w:tc>
        <w:tc>
          <w:tcPr>
            <w:tcW w:w="7664" w:type="dxa"/>
            <w:gridSpan w:val="5"/>
            <w:vAlign w:val="center"/>
            <w:hideMark/>
          </w:tcPr>
          <w:p w14:paraId="4032102C" w14:textId="77777777" w:rsidR="00FA0DF9" w:rsidRPr="00E82299" w:rsidRDefault="00FA0DF9" w:rsidP="00E82299">
            <w:pPr>
              <w:pStyle w:val="Tablehead"/>
              <w:spacing w:line="236" w:lineRule="atLeast"/>
              <w:rPr>
                <w:lang w:eastAsia="pt-BR"/>
              </w:rPr>
            </w:pPr>
            <w:r w:rsidRPr="00E82299">
              <w:rPr>
                <w:lang w:eastAsia="pt-BR"/>
              </w:rPr>
              <w:t>Applicable Methods</w:t>
            </w:r>
            <w:r w:rsidRPr="00E82299">
              <w:rPr>
                <w:iCs/>
                <w:lang w:eastAsia="pt-BR"/>
              </w:rPr>
              <w:t xml:space="preserve"> and Options* (shown in</w:t>
            </w:r>
            <w:r w:rsidRPr="00E82299">
              <w:rPr>
                <w:i/>
                <w:lang w:eastAsia="pt-BR"/>
              </w:rPr>
              <w:t xml:space="preserve"> italics</w:t>
            </w:r>
            <w:r w:rsidRPr="00E82299">
              <w:rPr>
                <w:iCs/>
                <w:lang w:eastAsia="pt-BR"/>
              </w:rPr>
              <w:t>)</w:t>
            </w:r>
          </w:p>
        </w:tc>
      </w:tr>
      <w:tr w:rsidR="00FA0DF9" w:rsidRPr="00E82299" w14:paraId="3E70BC46" w14:textId="77777777" w:rsidTr="00B976C2">
        <w:trPr>
          <w:cantSplit/>
          <w:tblHeader/>
          <w:jc w:val="center"/>
        </w:trPr>
        <w:tc>
          <w:tcPr>
            <w:tcW w:w="0" w:type="auto"/>
            <w:vMerge/>
            <w:vAlign w:val="center"/>
            <w:hideMark/>
          </w:tcPr>
          <w:p w14:paraId="7D3540DF" w14:textId="77777777" w:rsidR="00FA0DF9" w:rsidRPr="00E82299" w:rsidRDefault="00FA0DF9" w:rsidP="00E82299">
            <w:pPr>
              <w:pStyle w:val="Tablehead"/>
              <w:spacing w:line="236" w:lineRule="atLeast"/>
              <w:rPr>
                <w:lang w:eastAsia="pt-BR"/>
              </w:rPr>
            </w:pPr>
          </w:p>
        </w:tc>
        <w:tc>
          <w:tcPr>
            <w:tcW w:w="1523" w:type="dxa"/>
            <w:vAlign w:val="center"/>
            <w:hideMark/>
          </w:tcPr>
          <w:p w14:paraId="677E7199" w14:textId="77777777" w:rsidR="00FA0DF9" w:rsidRPr="00E82299" w:rsidRDefault="00FA0DF9" w:rsidP="00E82299">
            <w:pPr>
              <w:pStyle w:val="Tablehead"/>
              <w:spacing w:line="236" w:lineRule="atLeast"/>
              <w:rPr>
                <w:lang w:eastAsia="pt-BR"/>
              </w:rPr>
            </w:pPr>
            <w:r w:rsidRPr="00E82299">
              <w:rPr>
                <w:lang w:eastAsia="pt-BR"/>
              </w:rPr>
              <w:t>Method A</w:t>
            </w:r>
          </w:p>
        </w:tc>
        <w:tc>
          <w:tcPr>
            <w:tcW w:w="1524" w:type="dxa"/>
            <w:vAlign w:val="center"/>
            <w:hideMark/>
          </w:tcPr>
          <w:p w14:paraId="25BB2ADE" w14:textId="496B9CA1" w:rsidR="00FA0DF9" w:rsidRPr="00E82299" w:rsidRDefault="00FA0DF9" w:rsidP="00E82299">
            <w:pPr>
              <w:pStyle w:val="Tablehead"/>
              <w:spacing w:line="236" w:lineRule="atLeast"/>
              <w:rPr>
                <w:lang w:eastAsia="pt-BR"/>
              </w:rPr>
            </w:pPr>
            <w:r w:rsidRPr="00E82299">
              <w:rPr>
                <w:lang w:eastAsia="pt-BR"/>
              </w:rPr>
              <w:t>Method B-ToA</w:t>
            </w:r>
          </w:p>
        </w:tc>
        <w:tc>
          <w:tcPr>
            <w:tcW w:w="1524" w:type="dxa"/>
            <w:vAlign w:val="center"/>
            <w:hideMark/>
          </w:tcPr>
          <w:p w14:paraId="7D064F66" w14:textId="7316961D" w:rsidR="00FA0DF9" w:rsidRPr="00E82299" w:rsidRDefault="00FA0DF9" w:rsidP="00E82299">
            <w:pPr>
              <w:pStyle w:val="Tablehead"/>
              <w:spacing w:line="236" w:lineRule="atLeast"/>
              <w:rPr>
                <w:lang w:eastAsia="pt-BR"/>
              </w:rPr>
            </w:pPr>
            <w:r w:rsidRPr="00E82299">
              <w:rPr>
                <w:lang w:eastAsia="pt-BR"/>
              </w:rPr>
              <w:t>Method B-FN</w:t>
            </w:r>
          </w:p>
        </w:tc>
        <w:tc>
          <w:tcPr>
            <w:tcW w:w="1524" w:type="dxa"/>
            <w:tcMar>
              <w:left w:w="57" w:type="dxa"/>
              <w:right w:w="57" w:type="dxa"/>
            </w:tcMar>
            <w:vAlign w:val="center"/>
            <w:hideMark/>
          </w:tcPr>
          <w:p w14:paraId="27027AA8" w14:textId="733FCD99" w:rsidR="00FA0DF9" w:rsidRPr="00E82299" w:rsidRDefault="00FA0DF9" w:rsidP="00E82299">
            <w:pPr>
              <w:pStyle w:val="Tablehead"/>
              <w:spacing w:line="236" w:lineRule="atLeast"/>
              <w:rPr>
                <w:lang w:eastAsia="pt-BR"/>
              </w:rPr>
            </w:pPr>
            <w:r w:rsidRPr="00E82299">
              <w:rPr>
                <w:lang w:eastAsia="pt-BR"/>
              </w:rPr>
              <w:t>Method C</w:t>
            </w:r>
          </w:p>
        </w:tc>
        <w:tc>
          <w:tcPr>
            <w:tcW w:w="1569" w:type="dxa"/>
            <w:vAlign w:val="center"/>
            <w:hideMark/>
          </w:tcPr>
          <w:p w14:paraId="47188E74" w14:textId="77777777" w:rsidR="00FA0DF9" w:rsidRPr="00E82299" w:rsidRDefault="00FA0DF9" w:rsidP="00E82299">
            <w:pPr>
              <w:pStyle w:val="Tablehead"/>
              <w:spacing w:line="236" w:lineRule="atLeast"/>
              <w:rPr>
                <w:lang w:eastAsia="pt-BR"/>
              </w:rPr>
            </w:pPr>
            <w:r w:rsidRPr="00E82299">
              <w:rPr>
                <w:lang w:eastAsia="pt-BR"/>
              </w:rPr>
              <w:t>Section</w:t>
            </w:r>
          </w:p>
        </w:tc>
      </w:tr>
      <w:tr w:rsidR="00FA0DF9" w:rsidRPr="00E82299" w14:paraId="29039C69" w14:textId="77777777" w:rsidTr="00B976C2">
        <w:trPr>
          <w:cantSplit/>
          <w:jc w:val="center"/>
        </w:trPr>
        <w:tc>
          <w:tcPr>
            <w:tcW w:w="1833" w:type="dxa"/>
            <w:vAlign w:val="center"/>
          </w:tcPr>
          <w:p w14:paraId="3380E24A" w14:textId="77777777" w:rsidR="00FA0DF9" w:rsidRPr="00E82299" w:rsidRDefault="00FA0DF9" w:rsidP="00E82299">
            <w:pPr>
              <w:pStyle w:val="Tabletext"/>
              <w:spacing w:before="20" w:after="20" w:line="236" w:lineRule="atLeast"/>
              <w:jc w:val="center"/>
              <w:rPr>
                <w:lang w:eastAsia="pt-BR"/>
              </w:rPr>
            </w:pPr>
            <w:r w:rsidRPr="00E82299">
              <w:rPr>
                <w:lang w:eastAsia="pt-BR"/>
              </w:rPr>
              <w:t>1/5150 -5250</w:t>
            </w:r>
          </w:p>
        </w:tc>
        <w:tc>
          <w:tcPr>
            <w:tcW w:w="1523" w:type="dxa"/>
            <w:vAlign w:val="center"/>
          </w:tcPr>
          <w:p w14:paraId="4ED6D7C5" w14:textId="77777777" w:rsidR="00FA0DF9" w:rsidRPr="00E82299" w:rsidRDefault="00FA0DF9" w:rsidP="00E82299">
            <w:pPr>
              <w:pStyle w:val="Tabletext"/>
              <w:spacing w:before="20" w:after="20" w:line="236" w:lineRule="atLeast"/>
              <w:jc w:val="center"/>
              <w:rPr>
                <w:lang w:eastAsia="pt-BR"/>
              </w:rPr>
            </w:pPr>
          </w:p>
        </w:tc>
        <w:tc>
          <w:tcPr>
            <w:tcW w:w="1524" w:type="dxa"/>
            <w:vAlign w:val="center"/>
          </w:tcPr>
          <w:p w14:paraId="579948E6"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14:paraId="54B17805"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14:paraId="1FC53AFF"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14:paraId="405F951E" w14:textId="77777777" w:rsidR="00FA0DF9" w:rsidRPr="00E82299" w:rsidRDefault="00FA0DF9" w:rsidP="00E82299">
            <w:pPr>
              <w:pStyle w:val="Tabletext"/>
              <w:spacing w:before="20" w:after="20" w:line="236" w:lineRule="atLeast"/>
              <w:jc w:val="center"/>
              <w:rPr>
                <w:lang w:eastAsia="pt-BR"/>
              </w:rPr>
            </w:pPr>
            <w:r w:rsidRPr="00E82299">
              <w:rPr>
                <w:lang w:eastAsia="pt-BR"/>
              </w:rPr>
              <w:t>2/1.16/5.1</w:t>
            </w:r>
          </w:p>
        </w:tc>
      </w:tr>
      <w:tr w:rsidR="00FA0DF9" w:rsidRPr="00E82299" w14:paraId="4F5BBAA3" w14:textId="77777777" w:rsidTr="00B976C2">
        <w:trPr>
          <w:cantSplit/>
          <w:jc w:val="center"/>
        </w:trPr>
        <w:tc>
          <w:tcPr>
            <w:tcW w:w="1833" w:type="dxa"/>
            <w:vAlign w:val="center"/>
          </w:tcPr>
          <w:p w14:paraId="76FDA485" w14:textId="77777777" w:rsidR="00FA0DF9" w:rsidRPr="00E82299" w:rsidRDefault="00FA0DF9" w:rsidP="00E82299">
            <w:pPr>
              <w:pStyle w:val="Tabletext"/>
              <w:spacing w:before="20" w:after="20" w:line="236" w:lineRule="atLeast"/>
              <w:jc w:val="center"/>
              <w:rPr>
                <w:lang w:eastAsia="pt-BR"/>
              </w:rPr>
            </w:pPr>
            <w:r w:rsidRPr="00E82299">
              <w:rPr>
                <w:lang w:eastAsia="pt-BR"/>
              </w:rPr>
              <w:t>2/5250 -5350</w:t>
            </w:r>
          </w:p>
        </w:tc>
        <w:tc>
          <w:tcPr>
            <w:tcW w:w="1523" w:type="dxa"/>
            <w:vAlign w:val="center"/>
          </w:tcPr>
          <w:p w14:paraId="0390C8CD" w14:textId="77777777" w:rsidR="00FA0DF9" w:rsidRPr="00E82299" w:rsidRDefault="00FA0DF9" w:rsidP="00E82299">
            <w:pPr>
              <w:pStyle w:val="Tabletext"/>
              <w:spacing w:before="20" w:after="20" w:line="236" w:lineRule="atLeast"/>
              <w:jc w:val="center"/>
              <w:rPr>
                <w:lang w:eastAsia="pt-BR"/>
              </w:rPr>
            </w:pPr>
          </w:p>
        </w:tc>
        <w:tc>
          <w:tcPr>
            <w:tcW w:w="1524" w:type="dxa"/>
            <w:vAlign w:val="center"/>
          </w:tcPr>
          <w:p w14:paraId="4A118187"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14:paraId="65B3432E"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14:paraId="3E266DE3"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14:paraId="08C5610C" w14:textId="77777777" w:rsidR="00FA0DF9" w:rsidRPr="00E82299" w:rsidRDefault="00FA0DF9" w:rsidP="00E82299">
            <w:pPr>
              <w:pStyle w:val="Tabletext"/>
              <w:spacing w:before="20" w:after="20" w:line="236" w:lineRule="atLeast"/>
              <w:jc w:val="center"/>
              <w:rPr>
                <w:lang w:eastAsia="pt-BR"/>
              </w:rPr>
            </w:pPr>
            <w:r w:rsidRPr="00E82299">
              <w:rPr>
                <w:lang w:eastAsia="pt-BR"/>
              </w:rPr>
              <w:t>2/1.16/5.2</w:t>
            </w:r>
          </w:p>
        </w:tc>
      </w:tr>
      <w:tr w:rsidR="00FA0DF9" w:rsidRPr="00E82299" w14:paraId="2373F4EB" w14:textId="77777777" w:rsidTr="00B976C2">
        <w:trPr>
          <w:cantSplit/>
          <w:jc w:val="center"/>
        </w:trPr>
        <w:tc>
          <w:tcPr>
            <w:tcW w:w="1833" w:type="dxa"/>
            <w:vAlign w:val="center"/>
          </w:tcPr>
          <w:p w14:paraId="004054D0" w14:textId="77777777" w:rsidR="00FA0DF9" w:rsidRPr="00E82299" w:rsidRDefault="00FA0DF9" w:rsidP="00E82299">
            <w:pPr>
              <w:pStyle w:val="Tabletext"/>
              <w:spacing w:before="20" w:after="20" w:line="236" w:lineRule="atLeast"/>
              <w:jc w:val="center"/>
              <w:rPr>
                <w:lang w:eastAsia="pt-BR"/>
              </w:rPr>
            </w:pPr>
            <w:r w:rsidRPr="00E82299">
              <w:rPr>
                <w:lang w:eastAsia="pt-BR"/>
              </w:rPr>
              <w:t>3 / 5 350-5 470</w:t>
            </w:r>
          </w:p>
        </w:tc>
        <w:tc>
          <w:tcPr>
            <w:tcW w:w="1523" w:type="dxa"/>
            <w:vAlign w:val="center"/>
          </w:tcPr>
          <w:p w14:paraId="44DDC487" w14:textId="77777777" w:rsidR="00FA0DF9" w:rsidRPr="00E82299" w:rsidRDefault="00FA0DF9" w:rsidP="00E82299">
            <w:pPr>
              <w:pStyle w:val="Tabletext"/>
              <w:spacing w:before="20" w:after="20" w:line="236" w:lineRule="atLeast"/>
              <w:jc w:val="center"/>
              <w:rPr>
                <w:strike/>
                <w:lang w:eastAsia="ja-JP"/>
              </w:rPr>
            </w:pPr>
          </w:p>
        </w:tc>
        <w:tc>
          <w:tcPr>
            <w:tcW w:w="1524" w:type="dxa"/>
            <w:vAlign w:val="center"/>
          </w:tcPr>
          <w:p w14:paraId="4A3486BB"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14:paraId="405339F5"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14:paraId="6AFE6BAD"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14:paraId="4FBA420F" w14:textId="77777777" w:rsidR="00FA0DF9" w:rsidRPr="00E82299" w:rsidRDefault="00FA0DF9" w:rsidP="00E82299">
            <w:pPr>
              <w:pStyle w:val="Tabletext"/>
              <w:spacing w:before="20" w:after="20" w:line="236" w:lineRule="atLeast"/>
              <w:jc w:val="center"/>
            </w:pPr>
            <w:r w:rsidRPr="00E82299">
              <w:rPr>
                <w:lang w:eastAsia="pt-BR"/>
              </w:rPr>
              <w:t>2/1.16/5.3</w:t>
            </w:r>
          </w:p>
        </w:tc>
      </w:tr>
      <w:tr w:rsidR="00FA0DF9" w:rsidRPr="00E82299" w14:paraId="5E906F22" w14:textId="77777777" w:rsidTr="00B976C2">
        <w:trPr>
          <w:cantSplit/>
          <w:jc w:val="center"/>
        </w:trPr>
        <w:tc>
          <w:tcPr>
            <w:tcW w:w="1833" w:type="dxa"/>
            <w:vAlign w:val="center"/>
          </w:tcPr>
          <w:p w14:paraId="7BEB043F" w14:textId="77777777" w:rsidR="00FA0DF9" w:rsidRPr="00E82299" w:rsidRDefault="00FA0DF9" w:rsidP="00E82299">
            <w:pPr>
              <w:pStyle w:val="Tabletext"/>
              <w:spacing w:before="20" w:after="20" w:line="236" w:lineRule="atLeast"/>
              <w:jc w:val="center"/>
              <w:rPr>
                <w:lang w:eastAsia="pt-BR"/>
              </w:rPr>
            </w:pPr>
            <w:r w:rsidRPr="00E82299">
              <w:rPr>
                <w:lang w:eastAsia="pt-BR"/>
              </w:rPr>
              <w:t>4 / 5 725-5 850</w:t>
            </w:r>
          </w:p>
        </w:tc>
        <w:tc>
          <w:tcPr>
            <w:tcW w:w="1523" w:type="dxa"/>
            <w:vAlign w:val="center"/>
          </w:tcPr>
          <w:p w14:paraId="1A9A9312" w14:textId="77777777" w:rsidR="00FA0DF9" w:rsidRPr="00E82299" w:rsidRDefault="00FA0DF9" w:rsidP="00E82299">
            <w:pPr>
              <w:pStyle w:val="Tabletext"/>
              <w:spacing w:before="20" w:after="20" w:line="236" w:lineRule="atLeast"/>
              <w:jc w:val="center"/>
              <w:rPr>
                <w:strike/>
                <w:lang w:eastAsia="ja-JP"/>
              </w:rPr>
            </w:pPr>
          </w:p>
        </w:tc>
        <w:tc>
          <w:tcPr>
            <w:tcW w:w="1524" w:type="dxa"/>
            <w:vAlign w:val="center"/>
          </w:tcPr>
          <w:p w14:paraId="5A8D4751"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tcPr>
          <w:p w14:paraId="14BC7F55"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tcPr>
          <w:p w14:paraId="656DC3B0"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69" w:type="dxa"/>
            <w:vAlign w:val="center"/>
          </w:tcPr>
          <w:p w14:paraId="78C31DE8" w14:textId="77777777" w:rsidR="00FA0DF9" w:rsidRPr="00E82299" w:rsidRDefault="00FA0DF9" w:rsidP="00E82299">
            <w:pPr>
              <w:pStyle w:val="Tabletext"/>
              <w:spacing w:before="20" w:after="20" w:line="236" w:lineRule="atLeast"/>
              <w:jc w:val="center"/>
            </w:pPr>
            <w:r w:rsidRPr="00E82299">
              <w:rPr>
                <w:lang w:eastAsia="pt-BR"/>
              </w:rPr>
              <w:t>2/1.16/5.4</w:t>
            </w:r>
          </w:p>
        </w:tc>
      </w:tr>
      <w:tr w:rsidR="00FA0DF9" w:rsidRPr="00E82299" w14:paraId="24E332AA" w14:textId="77777777" w:rsidTr="00B976C2">
        <w:trPr>
          <w:cantSplit/>
          <w:jc w:val="center"/>
        </w:trPr>
        <w:tc>
          <w:tcPr>
            <w:tcW w:w="1833" w:type="dxa"/>
            <w:vAlign w:val="center"/>
            <w:hideMark/>
          </w:tcPr>
          <w:p w14:paraId="63E181D8" w14:textId="77777777" w:rsidR="00FA0DF9" w:rsidRPr="00E82299" w:rsidRDefault="00FA0DF9" w:rsidP="00E82299">
            <w:pPr>
              <w:pStyle w:val="Tabletext"/>
              <w:spacing w:before="20" w:after="20" w:line="236" w:lineRule="atLeast"/>
              <w:jc w:val="center"/>
              <w:rPr>
                <w:lang w:eastAsia="pt-BR"/>
              </w:rPr>
            </w:pPr>
            <w:r w:rsidRPr="00E82299">
              <w:rPr>
                <w:lang w:eastAsia="pt-BR"/>
              </w:rPr>
              <w:t>5 / 5 850-5 925</w:t>
            </w:r>
          </w:p>
        </w:tc>
        <w:tc>
          <w:tcPr>
            <w:tcW w:w="1523" w:type="dxa"/>
            <w:vAlign w:val="center"/>
            <w:hideMark/>
          </w:tcPr>
          <w:p w14:paraId="029EA5D6" w14:textId="571EDB75" w:rsidR="00FA0DF9" w:rsidRPr="00E82299" w:rsidRDefault="00E01880" w:rsidP="00E82299">
            <w:pPr>
              <w:pStyle w:val="Tabletext"/>
              <w:spacing w:before="20" w:after="20" w:line="236" w:lineRule="atLeast"/>
              <w:jc w:val="center"/>
            </w:pPr>
            <w:r w:rsidRPr="00E82299">
              <w:rPr>
                <w:lang w:eastAsia="pt-BR"/>
              </w:rPr>
              <w:t>[</w:t>
            </w:r>
            <w:r w:rsidR="00FA0DF9" w:rsidRPr="00E82299">
              <w:rPr>
                <w:lang w:eastAsia="pt-BR"/>
              </w:rPr>
              <w:t>A</w:t>
            </w:r>
            <w:r w:rsidRPr="00E82299">
              <w:rPr>
                <w:lang w:eastAsia="pt-BR"/>
              </w:rPr>
              <w:t>]</w:t>
            </w:r>
          </w:p>
        </w:tc>
        <w:tc>
          <w:tcPr>
            <w:tcW w:w="1524" w:type="dxa"/>
            <w:vAlign w:val="center"/>
            <w:hideMark/>
          </w:tcPr>
          <w:p w14:paraId="59CC86EC"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vAlign w:val="center"/>
            <w:hideMark/>
          </w:tcPr>
          <w:p w14:paraId="29C65D9B" w14:textId="77777777" w:rsidR="00FA0DF9" w:rsidRPr="00E82299" w:rsidRDefault="00FA0DF9" w:rsidP="00E82299">
            <w:pPr>
              <w:tabs>
                <w:tab w:val="clear" w:pos="1134"/>
                <w:tab w:val="clear" w:pos="1871"/>
                <w:tab w:val="clear" w:pos="2268"/>
              </w:tabs>
              <w:overflowPunct/>
              <w:autoSpaceDE/>
              <w:autoSpaceDN/>
              <w:adjustRightInd/>
              <w:spacing w:before="20" w:after="20" w:line="236" w:lineRule="atLeast"/>
              <w:jc w:val="center"/>
              <w:rPr>
                <w:rFonts w:ascii="CG Times" w:hAnsi="CG Times"/>
                <w:sz w:val="20"/>
                <w:lang w:eastAsia="zh-CN"/>
              </w:rPr>
            </w:pPr>
          </w:p>
        </w:tc>
        <w:tc>
          <w:tcPr>
            <w:tcW w:w="1524" w:type="dxa"/>
            <w:tcMar>
              <w:left w:w="57" w:type="dxa"/>
              <w:right w:w="57" w:type="dxa"/>
            </w:tcMar>
            <w:vAlign w:val="center"/>
            <w:hideMark/>
          </w:tcPr>
          <w:p w14:paraId="54EC39CA" w14:textId="77777777" w:rsidR="00FA0DF9" w:rsidRPr="00E82299" w:rsidRDefault="00FA0DF9" w:rsidP="00E82299">
            <w:pPr>
              <w:pStyle w:val="Tabletext"/>
              <w:spacing w:before="20" w:after="20" w:line="236" w:lineRule="atLeast"/>
              <w:jc w:val="center"/>
              <w:rPr>
                <w:i/>
              </w:rPr>
            </w:pPr>
          </w:p>
        </w:tc>
        <w:tc>
          <w:tcPr>
            <w:tcW w:w="1569" w:type="dxa"/>
            <w:vAlign w:val="center"/>
            <w:hideMark/>
          </w:tcPr>
          <w:p w14:paraId="2B18D922" w14:textId="77777777" w:rsidR="00FA0DF9" w:rsidRPr="00E82299" w:rsidRDefault="00FA0DF9" w:rsidP="00E82299">
            <w:pPr>
              <w:pStyle w:val="Tabletext"/>
              <w:spacing w:before="20" w:after="20" w:line="236" w:lineRule="atLeast"/>
              <w:jc w:val="center"/>
            </w:pPr>
            <w:r w:rsidRPr="00E82299">
              <w:rPr>
                <w:lang w:eastAsia="pt-BR"/>
              </w:rPr>
              <w:t>2/1.16/5.5</w:t>
            </w:r>
          </w:p>
        </w:tc>
      </w:tr>
    </w:tbl>
    <w:p w14:paraId="0F1CD19B" w14:textId="6274698C" w:rsidR="00FA0DF9" w:rsidRPr="00576E83" w:rsidRDefault="00FA0DF9" w:rsidP="00576E83">
      <w:pPr>
        <w:pStyle w:val="Note"/>
        <w:ind w:left="284" w:hanging="284"/>
        <w:rPr>
          <w:sz w:val="20"/>
          <w:szCs w:val="16"/>
        </w:rPr>
      </w:pPr>
      <w:r w:rsidRPr="00576E83">
        <w:rPr>
          <w:sz w:val="20"/>
          <w:szCs w:val="16"/>
        </w:rPr>
        <w:t>*</w:t>
      </w:r>
      <w:r w:rsidR="00576E83" w:rsidRPr="00576E83">
        <w:rPr>
          <w:sz w:val="20"/>
          <w:szCs w:val="16"/>
        </w:rPr>
        <w:tab/>
      </w:r>
      <w:r w:rsidRPr="00576E83">
        <w:rPr>
          <w:sz w:val="20"/>
          <w:szCs w:val="16"/>
        </w:rPr>
        <w:t>Methods can be applied without any options. WRC-1</w:t>
      </w:r>
      <w:r w:rsidR="002A65EF" w:rsidRPr="00576E83">
        <w:rPr>
          <w:sz w:val="20"/>
          <w:szCs w:val="16"/>
        </w:rPr>
        <w:t>9</w:t>
      </w:r>
      <w:r w:rsidRPr="00576E83">
        <w:rPr>
          <w:sz w:val="20"/>
          <w:szCs w:val="16"/>
        </w:rPr>
        <w:t xml:space="preserve"> may decide to apply any of these options or others not already stated in this Report.</w:t>
      </w:r>
    </w:p>
    <w:p w14:paraId="41EF08F7" w14:textId="380CA606" w:rsidR="00FA0DF9" w:rsidRPr="00E82299" w:rsidRDefault="00FA0DF9" w:rsidP="00E82299">
      <w:pPr>
        <w:pStyle w:val="Heading2"/>
      </w:pPr>
      <w:r w:rsidRPr="00E82299">
        <w:t>2/1.16/</w:t>
      </w:r>
      <w:r w:rsidR="002A65EF" w:rsidRPr="00E82299">
        <w:t>4</w:t>
      </w:r>
      <w:r w:rsidRPr="00E82299">
        <w:t xml:space="preserve">.1 </w:t>
      </w:r>
      <w:r w:rsidRPr="00E82299">
        <w:tab/>
        <w:t>For the frequency band 5 150-5 250 MHz</w:t>
      </w:r>
    </w:p>
    <w:p w14:paraId="3D9E4E78" w14:textId="5849F3CB" w:rsidR="00FA0DF9" w:rsidRPr="00E82299" w:rsidRDefault="00FA0DF9" w:rsidP="00E82299">
      <w:pPr>
        <w:pStyle w:val="Heading2"/>
      </w:pPr>
      <w:r w:rsidRPr="00E82299">
        <w:t>2/1.16/</w:t>
      </w:r>
      <w:r w:rsidR="002A65EF" w:rsidRPr="00E82299">
        <w:t>4</w:t>
      </w:r>
      <w:r w:rsidRPr="00E82299">
        <w:t xml:space="preserve">.2 </w:t>
      </w:r>
      <w:r w:rsidRPr="00E82299">
        <w:tab/>
        <w:t>For the frequency band 5 250-5 350 MHz</w:t>
      </w:r>
    </w:p>
    <w:p w14:paraId="6999BC2E" w14:textId="281A94C1" w:rsidR="00FA0DF9" w:rsidRPr="00E82299" w:rsidRDefault="00FA0DF9" w:rsidP="00E82299">
      <w:pPr>
        <w:pStyle w:val="Heading2"/>
      </w:pPr>
      <w:r w:rsidRPr="00E82299">
        <w:t>2/1.16/</w:t>
      </w:r>
      <w:r w:rsidR="002A65EF" w:rsidRPr="00E82299">
        <w:t>4</w:t>
      </w:r>
      <w:r w:rsidRPr="00E82299">
        <w:t xml:space="preserve">.3 </w:t>
      </w:r>
      <w:r w:rsidRPr="00E82299">
        <w:tab/>
        <w:t>For the frequency band 5 350-5 470 MHz</w:t>
      </w:r>
    </w:p>
    <w:p w14:paraId="4095508E" w14:textId="1EC97A12" w:rsidR="00FA0DF9" w:rsidRPr="00E82299" w:rsidRDefault="00FA0DF9" w:rsidP="00E82299">
      <w:pPr>
        <w:pStyle w:val="Heading2"/>
      </w:pPr>
      <w:r w:rsidRPr="00E82299">
        <w:t>2/1.16/</w:t>
      </w:r>
      <w:r w:rsidR="002A65EF" w:rsidRPr="00E82299">
        <w:t>4</w:t>
      </w:r>
      <w:r w:rsidRPr="00E82299">
        <w:t xml:space="preserve">.4 </w:t>
      </w:r>
      <w:r w:rsidRPr="00E82299">
        <w:tab/>
        <w:t>For the frequency band 5 725-5 850 MHz</w:t>
      </w:r>
    </w:p>
    <w:p w14:paraId="7A28601E" w14:textId="325CC2BB" w:rsidR="00FA0DF9" w:rsidRPr="00E82299" w:rsidRDefault="00FA0DF9" w:rsidP="00E82299">
      <w:pPr>
        <w:pStyle w:val="Heading2"/>
      </w:pPr>
      <w:r w:rsidRPr="00E82299">
        <w:t>2/1.16/</w:t>
      </w:r>
      <w:r w:rsidR="002A65EF" w:rsidRPr="00E82299">
        <w:t>4</w:t>
      </w:r>
      <w:r w:rsidRPr="00E82299">
        <w:t xml:space="preserve">.5 </w:t>
      </w:r>
      <w:r w:rsidRPr="00E82299">
        <w:tab/>
        <w:t>For the frequency band 5 850-5 925 MHz</w:t>
      </w:r>
    </w:p>
    <w:p w14:paraId="63CA579B" w14:textId="2B03154D" w:rsidR="00FA0DF9" w:rsidRPr="00E82299" w:rsidRDefault="002A65EF" w:rsidP="00E82299">
      <w:pPr>
        <w:rPr>
          <w:szCs w:val="24"/>
          <w:lang w:eastAsia="ja-JP"/>
        </w:rPr>
      </w:pPr>
      <w:r w:rsidRPr="00E82299">
        <w:rPr>
          <w:szCs w:val="24"/>
          <w:lang w:eastAsia="ja-JP"/>
        </w:rPr>
        <w:t>[</w:t>
      </w:r>
      <w:r w:rsidR="00FA0DF9" w:rsidRPr="00E82299">
        <w:rPr>
          <w:szCs w:val="24"/>
          <w:lang w:eastAsia="ja-JP"/>
        </w:rPr>
        <w:t>Only Method A is applicable.</w:t>
      </w:r>
      <w:r w:rsidRPr="00E82299">
        <w:rPr>
          <w:szCs w:val="24"/>
          <w:lang w:eastAsia="ja-JP"/>
        </w:rPr>
        <w:t>]</w:t>
      </w:r>
    </w:p>
    <w:p w14:paraId="72DDFF5A" w14:textId="2BA750A2" w:rsidR="00FA0DF9" w:rsidRPr="00E82299" w:rsidRDefault="002A65EF" w:rsidP="00E82299">
      <w:pPr>
        <w:tabs>
          <w:tab w:val="left" w:pos="794"/>
          <w:tab w:val="left" w:pos="1191"/>
          <w:tab w:val="left" w:pos="1588"/>
          <w:tab w:val="left" w:pos="1985"/>
        </w:tabs>
        <w:rPr>
          <w:i/>
          <w:iCs/>
        </w:rPr>
      </w:pPr>
      <w:r w:rsidRPr="00E82299">
        <w:rPr>
          <w:iCs/>
        </w:rPr>
        <w:t>[</w:t>
      </w:r>
      <w:r w:rsidR="00FA0DF9" w:rsidRPr="00E82299">
        <w:rPr>
          <w:iCs/>
        </w:rPr>
        <w:t>In this band allocations to all three primary services have already been made on a national or regional level in these bands throughout the world, therefore any sharing analysis carried out under this agenda should not prejudice any current or future allocations made to operate mobile services under the primary mobile allocation on a national or regional basis (i.e. any recommendations developed should be of an advisory and non-binding nature).</w:t>
      </w:r>
      <w:r w:rsidRPr="00E82299">
        <w:rPr>
          <w:iCs/>
        </w:rPr>
        <w:t>]</w:t>
      </w:r>
    </w:p>
    <w:p w14:paraId="7233526C" w14:textId="77777777" w:rsidR="00FA0DF9" w:rsidRPr="00E82299" w:rsidRDefault="00FA0DF9" w:rsidP="00E82299">
      <w:pPr>
        <w:pStyle w:val="Heading1"/>
      </w:pPr>
      <w:r w:rsidRPr="00E82299">
        <w:t>2/1.16/5</w:t>
      </w:r>
      <w:r w:rsidRPr="00E82299">
        <w:tab/>
        <w:t>Regulatory and procedural considerations</w:t>
      </w:r>
    </w:p>
    <w:p w14:paraId="1E3DAE81" w14:textId="56F5865C" w:rsidR="00FA0DF9" w:rsidRDefault="00FA0DF9" w:rsidP="00E82299">
      <w:pPr>
        <w:tabs>
          <w:tab w:val="left" w:pos="794"/>
          <w:tab w:val="left" w:pos="1191"/>
          <w:tab w:val="left" w:pos="1588"/>
          <w:tab w:val="left" w:pos="1985"/>
        </w:tabs>
        <w:rPr>
          <w:i/>
          <w:iCs/>
        </w:rPr>
      </w:pPr>
      <w:r w:rsidRPr="00E82299">
        <w:rPr>
          <w:i/>
          <w:iCs/>
        </w:rPr>
        <w:t>[Example(s) of regulatory text relating to the Method(s) to satisfy the agenda item</w:t>
      </w:r>
      <w:r w:rsidR="00E60C3D">
        <w:rPr>
          <w:i/>
          <w:iCs/>
        </w:rPr>
        <w:t>.</w:t>
      </w:r>
      <w:r w:rsidRPr="00E82299">
        <w:rPr>
          <w:i/>
          <w:iCs/>
        </w:rPr>
        <w:t>]</w:t>
      </w:r>
    </w:p>
    <w:p w14:paraId="70C659AD" w14:textId="77777777" w:rsidR="00E60C3D" w:rsidRDefault="00E60C3D" w:rsidP="0032202E">
      <w:pPr>
        <w:pStyle w:val="Reasons"/>
      </w:pPr>
    </w:p>
    <w:p w14:paraId="24306CB0" w14:textId="1FEED433" w:rsidR="00E60C3D" w:rsidRPr="00E82299" w:rsidRDefault="00E60C3D" w:rsidP="00E60C3D">
      <w:pPr>
        <w:jc w:val="center"/>
        <w:rPr>
          <w:i/>
          <w:iCs/>
        </w:rPr>
      </w:pPr>
      <w:r>
        <w:t>______________</w:t>
      </w:r>
    </w:p>
    <w:sectPr w:rsidR="00E60C3D" w:rsidRPr="00E82299" w:rsidSect="003D3229">
      <w:headerReference w:type="default" r:id="rId11"/>
      <w:footerReference w:type="default" r:id="rId12"/>
      <w:footerReference w:type="first" r:id="rId13"/>
      <w:pgSz w:w="11907" w:h="16834"/>
      <w:pgMar w:top="1418" w:right="1134" w:bottom="993"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6363" w14:textId="77777777" w:rsidR="00B51F8E" w:rsidRDefault="00B51F8E">
      <w:r>
        <w:separator/>
      </w:r>
    </w:p>
  </w:endnote>
  <w:endnote w:type="continuationSeparator" w:id="0">
    <w:p w14:paraId="05AB524F" w14:textId="77777777" w:rsidR="00B51F8E" w:rsidRDefault="00B5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6A39" w14:textId="3152F7B4" w:rsidR="00A64D7D" w:rsidRDefault="00E60C3D" w:rsidP="00A64D7D">
    <w:pPr>
      <w:pStyle w:val="Footer"/>
    </w:pPr>
    <w:fldSimple w:instr=" FILENAME \p  \* MERGEFORMAT ">
      <w:r w:rsidR="00241C8B">
        <w:t>M:\BRSGD\TEXT2016\SG05\WP5A\200\298\298N10e.docx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3AFA" w14:textId="32358F4C" w:rsidR="00A64D7D" w:rsidRDefault="00E60C3D" w:rsidP="00E60C3D">
    <w:pPr>
      <w:pStyle w:val="Footer"/>
    </w:pPr>
    <w:fldSimple w:instr=" FILENAME \p  \* MERGEFORMAT ">
      <w:r w:rsidR="00241C8B">
        <w:t>M:\BRSGD\TEXT2016\SG05\WP5A\200\298\298N10e.docx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E1D1B" w14:textId="77777777" w:rsidR="00B51F8E" w:rsidRDefault="00B51F8E">
      <w:r>
        <w:t>____________________</w:t>
      </w:r>
    </w:p>
  </w:footnote>
  <w:footnote w:type="continuationSeparator" w:id="0">
    <w:p w14:paraId="015A5D52" w14:textId="77777777" w:rsidR="00B51F8E" w:rsidRDefault="00B5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D3DE" w14:textId="3D95AB50" w:rsidR="00D13903" w:rsidRDefault="00D13903" w:rsidP="00D139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41C8B">
      <w:rPr>
        <w:rStyle w:val="PageNumber"/>
        <w:noProof/>
      </w:rPr>
      <w:t>4</w:t>
    </w:r>
    <w:r>
      <w:rPr>
        <w:rStyle w:val="PageNumber"/>
      </w:rPr>
      <w:fldChar w:fldCharType="end"/>
    </w:r>
    <w:r>
      <w:rPr>
        <w:rStyle w:val="PageNumber"/>
      </w:rPr>
      <w:t xml:space="preserve"> -</w:t>
    </w:r>
  </w:p>
  <w:p w14:paraId="22A0AD12" w14:textId="7C756302" w:rsidR="00FA124A" w:rsidRDefault="00D13903" w:rsidP="00A64D7D">
    <w:pPr>
      <w:pStyle w:val="Header"/>
      <w:rPr>
        <w:lang w:val="en-US"/>
      </w:rPr>
    </w:pPr>
    <w:r>
      <w:rPr>
        <w:lang w:val="en-US"/>
      </w:rPr>
      <w:t>5</w:t>
    </w:r>
    <w:r w:rsidR="00A64D7D">
      <w:rPr>
        <w:lang w:val="en-US"/>
      </w:rPr>
      <w:t>A</w:t>
    </w:r>
    <w:r>
      <w:rPr>
        <w:lang w:val="en-US"/>
      </w:rPr>
      <w:t>/</w:t>
    </w:r>
    <w:r w:rsidR="00DD302E">
      <w:rPr>
        <w:lang w:val="en-US"/>
      </w:rPr>
      <w:t>298 (Annex 10</w:t>
    </w:r>
    <w:r w:rsidR="00A64D7D">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F9"/>
    <w:rsid w:val="000069D4"/>
    <w:rsid w:val="000174AD"/>
    <w:rsid w:val="00047A1D"/>
    <w:rsid w:val="0005579E"/>
    <w:rsid w:val="000604B9"/>
    <w:rsid w:val="00083AC4"/>
    <w:rsid w:val="000A6F8C"/>
    <w:rsid w:val="000A7D55"/>
    <w:rsid w:val="000C2E8E"/>
    <w:rsid w:val="000E0E7C"/>
    <w:rsid w:val="000F1B4B"/>
    <w:rsid w:val="00100139"/>
    <w:rsid w:val="0012744F"/>
    <w:rsid w:val="00131178"/>
    <w:rsid w:val="00156F66"/>
    <w:rsid w:val="00163271"/>
    <w:rsid w:val="00182528"/>
    <w:rsid w:val="0018500B"/>
    <w:rsid w:val="00196A19"/>
    <w:rsid w:val="00202DC1"/>
    <w:rsid w:val="002116EE"/>
    <w:rsid w:val="002309D8"/>
    <w:rsid w:val="00233814"/>
    <w:rsid w:val="00233B77"/>
    <w:rsid w:val="00241C8B"/>
    <w:rsid w:val="002A65EF"/>
    <w:rsid w:val="002A7FE2"/>
    <w:rsid w:val="002E1B4F"/>
    <w:rsid w:val="002E1DDB"/>
    <w:rsid w:val="002F2E67"/>
    <w:rsid w:val="002F7CB3"/>
    <w:rsid w:val="00315546"/>
    <w:rsid w:val="00330567"/>
    <w:rsid w:val="003461F7"/>
    <w:rsid w:val="00360A13"/>
    <w:rsid w:val="003804CC"/>
    <w:rsid w:val="00382ACA"/>
    <w:rsid w:val="00386A9D"/>
    <w:rsid w:val="00391081"/>
    <w:rsid w:val="003B2789"/>
    <w:rsid w:val="003C13CE"/>
    <w:rsid w:val="003C5849"/>
    <w:rsid w:val="003D3229"/>
    <w:rsid w:val="003D5CFC"/>
    <w:rsid w:val="003E2518"/>
    <w:rsid w:val="003E7CEF"/>
    <w:rsid w:val="004002B6"/>
    <w:rsid w:val="00426C33"/>
    <w:rsid w:val="00432E3A"/>
    <w:rsid w:val="00492180"/>
    <w:rsid w:val="004B1EF7"/>
    <w:rsid w:val="004B3FAD"/>
    <w:rsid w:val="00501DCA"/>
    <w:rsid w:val="00513A47"/>
    <w:rsid w:val="005408DF"/>
    <w:rsid w:val="005561AB"/>
    <w:rsid w:val="00573344"/>
    <w:rsid w:val="00576E83"/>
    <w:rsid w:val="00583F9B"/>
    <w:rsid w:val="005D42D0"/>
    <w:rsid w:val="005E5C10"/>
    <w:rsid w:val="005F2C78"/>
    <w:rsid w:val="006144E4"/>
    <w:rsid w:val="00650299"/>
    <w:rsid w:val="00655FC5"/>
    <w:rsid w:val="00732652"/>
    <w:rsid w:val="00781460"/>
    <w:rsid w:val="007A10FE"/>
    <w:rsid w:val="00800212"/>
    <w:rsid w:val="00814E0A"/>
    <w:rsid w:val="00822581"/>
    <w:rsid w:val="008309DD"/>
    <w:rsid w:val="0083227A"/>
    <w:rsid w:val="00866900"/>
    <w:rsid w:val="00881BA1"/>
    <w:rsid w:val="008C26B8"/>
    <w:rsid w:val="008D640D"/>
    <w:rsid w:val="008F208F"/>
    <w:rsid w:val="00910666"/>
    <w:rsid w:val="009147E5"/>
    <w:rsid w:val="009217C6"/>
    <w:rsid w:val="00926B39"/>
    <w:rsid w:val="009424BD"/>
    <w:rsid w:val="00982084"/>
    <w:rsid w:val="009863B6"/>
    <w:rsid w:val="00995963"/>
    <w:rsid w:val="009B61EB"/>
    <w:rsid w:val="009C2064"/>
    <w:rsid w:val="009C45DF"/>
    <w:rsid w:val="009D1697"/>
    <w:rsid w:val="009F3A46"/>
    <w:rsid w:val="00A014F8"/>
    <w:rsid w:val="00A5173C"/>
    <w:rsid w:val="00A61AEF"/>
    <w:rsid w:val="00A64D7D"/>
    <w:rsid w:val="00AD2345"/>
    <w:rsid w:val="00AD5887"/>
    <w:rsid w:val="00AF173A"/>
    <w:rsid w:val="00B06487"/>
    <w:rsid w:val="00B066A4"/>
    <w:rsid w:val="00B07A13"/>
    <w:rsid w:val="00B4279B"/>
    <w:rsid w:val="00B43514"/>
    <w:rsid w:val="00B45FC9"/>
    <w:rsid w:val="00B46D3B"/>
    <w:rsid w:val="00B51F8E"/>
    <w:rsid w:val="00B81138"/>
    <w:rsid w:val="00BC7CCF"/>
    <w:rsid w:val="00BE470B"/>
    <w:rsid w:val="00C57A91"/>
    <w:rsid w:val="00CB6EB7"/>
    <w:rsid w:val="00CC01C2"/>
    <w:rsid w:val="00CF21F2"/>
    <w:rsid w:val="00D02712"/>
    <w:rsid w:val="00D046A7"/>
    <w:rsid w:val="00D13903"/>
    <w:rsid w:val="00D214D0"/>
    <w:rsid w:val="00D6546B"/>
    <w:rsid w:val="00D96357"/>
    <w:rsid w:val="00DB178B"/>
    <w:rsid w:val="00DB4975"/>
    <w:rsid w:val="00DC17D3"/>
    <w:rsid w:val="00DD302E"/>
    <w:rsid w:val="00DD4BED"/>
    <w:rsid w:val="00DE39F0"/>
    <w:rsid w:val="00DF0AF3"/>
    <w:rsid w:val="00DF7E9F"/>
    <w:rsid w:val="00E01880"/>
    <w:rsid w:val="00E27D7E"/>
    <w:rsid w:val="00E42E13"/>
    <w:rsid w:val="00E56D5C"/>
    <w:rsid w:val="00E60C3D"/>
    <w:rsid w:val="00E6257C"/>
    <w:rsid w:val="00E63C59"/>
    <w:rsid w:val="00E82299"/>
    <w:rsid w:val="00F25662"/>
    <w:rsid w:val="00F338BA"/>
    <w:rsid w:val="00F61E3D"/>
    <w:rsid w:val="00FA0DF9"/>
    <w:rsid w:val="00FA124A"/>
    <w:rsid w:val="00FA3D16"/>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3EC17F"/>
  <w15:docId w15:val="{09132B66-0D4E-4CBA-AAAE-8D2673E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enumlev1Char">
    <w:name w:val="enumlev1 Char"/>
    <w:basedOn w:val="DefaultParagraphFont"/>
    <w:link w:val="enumlev1"/>
    <w:rsid w:val="00FA0DF9"/>
    <w:rPr>
      <w:rFonts w:ascii="Times New Roman" w:hAnsi="Times New Roman"/>
      <w:sz w:val="24"/>
      <w:lang w:val="en-GB" w:eastAsia="en-US"/>
    </w:rPr>
  </w:style>
  <w:style w:type="character" w:customStyle="1" w:styleId="Heading2Char">
    <w:name w:val="Heading 2 Char"/>
    <w:basedOn w:val="DefaultParagraphFont"/>
    <w:link w:val="Heading2"/>
    <w:rsid w:val="00FA0DF9"/>
    <w:rPr>
      <w:rFonts w:ascii="Times New Roman" w:hAnsi="Times New Roman"/>
      <w:b/>
      <w:sz w:val="24"/>
      <w:lang w:val="en-GB" w:eastAsia="en-US"/>
    </w:rPr>
  </w:style>
  <w:style w:type="character" w:customStyle="1" w:styleId="Heading3Char">
    <w:name w:val="Heading 3 Char"/>
    <w:basedOn w:val="DefaultParagraphFont"/>
    <w:link w:val="Heading3"/>
    <w:rsid w:val="00FA0DF9"/>
    <w:rPr>
      <w:rFonts w:ascii="Times New Roman" w:hAnsi="Times New Roman"/>
      <w:b/>
      <w:sz w:val="24"/>
      <w:lang w:val="en-GB" w:eastAsia="en-US"/>
    </w:rPr>
  </w:style>
  <w:style w:type="character" w:customStyle="1" w:styleId="Heading4Char">
    <w:name w:val="Heading 4 Char"/>
    <w:basedOn w:val="DefaultParagraphFont"/>
    <w:link w:val="Heading4"/>
    <w:rsid w:val="00FA0DF9"/>
    <w:rPr>
      <w:rFonts w:ascii="Times New Roman" w:hAnsi="Times New Roman"/>
      <w:b/>
      <w:sz w:val="24"/>
      <w:lang w:val="en-GB" w:eastAsia="en-US"/>
    </w:rPr>
  </w:style>
  <w:style w:type="character" w:customStyle="1" w:styleId="TabletextChar">
    <w:name w:val="Table_text Char"/>
    <w:basedOn w:val="DefaultParagraphFont"/>
    <w:link w:val="Tabletext"/>
    <w:locked/>
    <w:rsid w:val="00FA0DF9"/>
    <w:rPr>
      <w:rFonts w:ascii="Times New Roman" w:hAnsi="Times New Roman"/>
      <w:lang w:val="en-GB" w:eastAsia="en-US"/>
    </w:rPr>
  </w:style>
  <w:style w:type="character" w:customStyle="1" w:styleId="TableheadChar">
    <w:name w:val="Table_head Char"/>
    <w:link w:val="Tablehead"/>
    <w:locked/>
    <w:rsid w:val="00FA0DF9"/>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FA0DF9"/>
    <w:rPr>
      <w:rFonts w:ascii="Times New Roman Bold" w:hAnsi="Times New Roman Bold"/>
      <w:b/>
      <w:lang w:val="en-GB" w:eastAsia="en-US"/>
    </w:rPr>
  </w:style>
  <w:style w:type="character" w:customStyle="1" w:styleId="NoteChar">
    <w:name w:val="Note Char"/>
    <w:link w:val="Note"/>
    <w:locked/>
    <w:rsid w:val="00FA0DF9"/>
    <w:rPr>
      <w:rFonts w:ascii="Times New Roman" w:hAnsi="Times New Roman"/>
      <w:sz w:val="24"/>
      <w:lang w:val="en-GB" w:eastAsia="en-US"/>
    </w:rPr>
  </w:style>
  <w:style w:type="character" w:customStyle="1" w:styleId="HeadingbChar">
    <w:name w:val="Heading_b Char"/>
    <w:link w:val="Headingb"/>
    <w:locked/>
    <w:rsid w:val="00FA0DF9"/>
    <w:rPr>
      <w:rFonts w:ascii="Times New Roman Bold" w:hAnsi="Times New Roman Bold" w:cs="Times New Roman Bold"/>
      <w:b/>
      <w:sz w:val="24"/>
      <w:lang w:val="fr-CH" w:eastAsia="en-US"/>
    </w:rPr>
  </w:style>
  <w:style w:type="paragraph" w:styleId="BalloonText">
    <w:name w:val="Balloon Text"/>
    <w:basedOn w:val="Normal"/>
    <w:link w:val="BalloonTextChar"/>
    <w:semiHidden/>
    <w:unhideWhenUsed/>
    <w:rsid w:val="00CB6EB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6EB7"/>
    <w:rPr>
      <w:rFonts w:ascii="Segoe UI" w:hAnsi="Segoe UI" w:cs="Segoe UI"/>
      <w:sz w:val="18"/>
      <w:szCs w:val="18"/>
      <w:lang w:val="en-GB" w:eastAsia="en-US"/>
    </w:rPr>
  </w:style>
  <w:style w:type="character" w:styleId="Hyperlink">
    <w:name w:val="Hyperlink"/>
    <w:basedOn w:val="DefaultParagraphFont"/>
    <w:unhideWhenUsed/>
    <w:rsid w:val="00AD5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18CC63B1-2F96-4735-8328-6244F7984A17}">
  <ds:schemaRefs>
    <ds:schemaRef ds:uri="http://schemas.microsoft.com/sharepoint/v3/contenttype/forms"/>
  </ds:schemaRefs>
</ds:datastoreItem>
</file>

<file path=customXml/itemProps2.xml><?xml version="1.0" encoding="utf-8"?>
<ds:datastoreItem xmlns:ds="http://schemas.openxmlformats.org/officeDocument/2006/customXml" ds:itemID="{9DCF1A27-4C3F-47AC-BD95-37CF1EF74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8B6D3-140E-48A9-80D4-C016D2BBB4F3}">
  <ds:schemaRefs>
    <ds:schemaRef ds:uri="4c6a61cb-1973-4fc6-92ae-f4d7a4471404"/>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PE_BR110.dotm</Template>
  <TotalTime>6</TotalTime>
  <Pages>4</Pages>
  <Words>1684</Words>
  <Characters>8925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Fernandez Jimenez, Virginia</cp:lastModifiedBy>
  <cp:revision>5</cp:revision>
  <cp:lastPrinted>2016-11-17T10:26:00Z</cp:lastPrinted>
  <dcterms:created xsi:type="dcterms:W3CDTF">2016-11-21T07:11:00Z</dcterms:created>
  <dcterms:modified xsi:type="dcterms:W3CDTF">2016-11-21T07:17:00Z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_NewReviewCycle">
    <vt:lpwstr/>
  </property>
</Properties>
</file>