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01D76" w:rsidP="00C01D76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C01D76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01D76" w:rsidRPr="00256B60" w:rsidRDefault="000D413F" w:rsidP="00C01D7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256B60">
              <w:rPr>
                <w:rFonts w:ascii="Verdana" w:hAnsi="Verdana"/>
                <w:sz w:val="20"/>
                <w:lang w:val="fr-CH"/>
              </w:rPr>
              <w:t xml:space="preserve">Source: </w:t>
            </w:r>
            <w:r w:rsidRPr="00256B60">
              <w:rPr>
                <w:rFonts w:ascii="Verdana" w:hAnsi="Verdana"/>
                <w:sz w:val="20"/>
                <w:lang w:val="fr-CH"/>
              </w:rPr>
              <w:tab/>
            </w:r>
            <w:r w:rsidR="006E40AE" w:rsidRPr="00256B60">
              <w:rPr>
                <w:rFonts w:ascii="Verdana" w:hAnsi="Verdana"/>
                <w:sz w:val="20"/>
                <w:lang w:val="fr-CH"/>
              </w:rPr>
              <w:t>Document 5A/TEMP/2(Rev.1)</w:t>
            </w:r>
          </w:p>
        </w:tc>
        <w:tc>
          <w:tcPr>
            <w:tcW w:w="3451" w:type="dxa"/>
            <w:gridSpan w:val="2"/>
          </w:tcPr>
          <w:p w:rsidR="000069D4" w:rsidRPr="00C01D76" w:rsidRDefault="006E40AE" w:rsidP="006E40A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28</w:t>
            </w:r>
            <w:r w:rsidR="00190924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="00875E81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C01D76" w:rsidRDefault="006E40AE" w:rsidP="00256B6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56B60"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C01D76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01D76" w:rsidRDefault="00C01D7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65203" w:rsidP="00A65203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65561A">
              <w:rPr>
                <w:lang w:eastAsia="zh-CN"/>
              </w:rPr>
              <w:t xml:space="preserve">Annex </w:t>
            </w:r>
            <w:r>
              <w:rPr>
                <w:lang w:eastAsia="zh-CN"/>
              </w:rPr>
              <w:t>28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574ABD">
              <w:rPr>
                <w:lang w:val="en-US" w:eastAsia="ja-JP"/>
              </w:rPr>
              <w:t xml:space="preserve">working document towards a preliminary draft </w:t>
            </w:r>
            <w:r>
              <w:rPr>
                <w:lang w:val="en-US" w:eastAsia="ja-JP"/>
              </w:rPr>
              <w:br/>
            </w:r>
            <w:r w:rsidRPr="00574ABD">
              <w:rPr>
                <w:lang w:val="en-US" w:eastAsia="ja-JP"/>
              </w:rPr>
              <w:t>new report itu-r M.[300GH</w:t>
            </w:r>
            <w:r w:rsidRPr="00574ABD">
              <w:rPr>
                <w:caps w:val="0"/>
                <w:lang w:val="en-US" w:eastAsia="ja-JP"/>
              </w:rPr>
              <w:t>z</w:t>
            </w:r>
            <w:r w:rsidRPr="00574ABD">
              <w:rPr>
                <w:lang w:val="en-US" w:eastAsia="ja-JP"/>
              </w:rPr>
              <w:t>_MS_CHAR]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D413F" w:rsidP="00CC4CA4">
            <w:pPr>
              <w:pStyle w:val="Reptitle"/>
              <w:rPr>
                <w:lang w:eastAsia="zh-CN"/>
              </w:rPr>
            </w:pPr>
            <w:bookmarkStart w:id="7" w:name="dtitle1" w:colFirst="0" w:colLast="0"/>
            <w:bookmarkEnd w:id="6"/>
            <w:r w:rsidRPr="00A52637">
              <w:rPr>
                <w:lang w:val="en-US" w:eastAsia="ja-JP"/>
              </w:rPr>
              <w:t>Technical and operational characteristics and applications of the land mobile service operating in the frequency b</w:t>
            </w:r>
            <w:r w:rsidRPr="00574ABD">
              <w:rPr>
                <w:lang w:val="en-US" w:eastAsia="ja-JP"/>
              </w:rPr>
              <w:t>an</w:t>
            </w:r>
            <w:r w:rsidRPr="003459B5">
              <w:rPr>
                <w:lang w:val="en-US" w:eastAsia="ja-JP"/>
              </w:rPr>
              <w:t>d 275-450 GHz</w:t>
            </w:r>
          </w:p>
        </w:tc>
      </w:tr>
    </w:tbl>
    <w:p w:rsidR="000D413F" w:rsidRPr="006E40AE" w:rsidRDefault="000D413F" w:rsidP="00875E81">
      <w:pPr>
        <w:pStyle w:val="Agendaitem"/>
        <w:rPr>
          <w:lang w:val="en-US" w:eastAsia="zh-CN"/>
        </w:rPr>
      </w:pPr>
      <w:bookmarkStart w:id="8" w:name="dbreak"/>
      <w:bookmarkEnd w:id="7"/>
      <w:bookmarkEnd w:id="8"/>
      <w:r w:rsidRPr="006E40AE">
        <w:rPr>
          <w:lang w:val="en-US" w:eastAsia="ja-JP"/>
        </w:rPr>
        <w:t>WRC-19 agenda item 1.15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Introduction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2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Scope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3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Related Recommendation and Report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74"/>
      </w:tblGrid>
      <w:tr w:rsidR="000D413F" w:rsidRPr="00574ABD" w:rsidTr="000D413F">
        <w:tc>
          <w:tcPr>
            <w:tcW w:w="2835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Report ITU-R SM.2352-0</w:t>
            </w:r>
            <w:r>
              <w:rPr>
                <w:lang w:val="en-US"/>
              </w:rPr>
              <w:t>:</w:t>
            </w:r>
          </w:p>
        </w:tc>
        <w:tc>
          <w:tcPr>
            <w:tcW w:w="6874" w:type="dxa"/>
          </w:tcPr>
          <w:p w:rsidR="000D413F" w:rsidRPr="00574ABD" w:rsidRDefault="000D413F" w:rsidP="008A3AEF">
            <w:pPr>
              <w:rPr>
                <w:lang w:val="en-US"/>
              </w:rPr>
            </w:pPr>
            <w:r w:rsidRPr="00574ABD">
              <w:rPr>
                <w:lang w:val="en-US"/>
              </w:rPr>
              <w:t>Technology trends of active servic</w:t>
            </w:r>
            <w:r>
              <w:rPr>
                <w:lang w:val="en-US"/>
              </w:rPr>
              <w:t>es in the frequency range 275</w:t>
            </w:r>
            <w:r>
              <w:rPr>
                <w:lang w:val="en-US"/>
              </w:rPr>
              <w:noBreakHyphen/>
              <w:t>3 </w:t>
            </w:r>
            <w:r w:rsidRPr="00574ABD">
              <w:rPr>
                <w:lang w:val="en-US"/>
              </w:rPr>
              <w:t>000 GHz</w:t>
            </w:r>
          </w:p>
        </w:tc>
      </w:tr>
    </w:tbl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4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List of acronyms and abbreviations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476"/>
      </w:tblGrid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BBU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highlight w:val="yellow"/>
                <w:lang w:val="en-US"/>
              </w:rPr>
            </w:pPr>
            <w:r w:rsidRPr="00574ABD">
              <w:rPr>
                <w:lang w:val="en-US"/>
              </w:rPr>
              <w:t>Base band unit</w:t>
            </w:r>
          </w:p>
        </w:tc>
      </w:tr>
      <w:tr w:rsidR="000D413F" w:rsidRPr="00574ABD" w:rsidTr="000D413F">
        <w:tc>
          <w:tcPr>
            <w:tcW w:w="1134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RRH</w:t>
            </w:r>
          </w:p>
        </w:tc>
        <w:tc>
          <w:tcPr>
            <w:tcW w:w="8476" w:type="dxa"/>
          </w:tcPr>
          <w:p w:rsidR="000D413F" w:rsidRPr="00574ABD" w:rsidRDefault="000D413F" w:rsidP="000D413F">
            <w:pPr>
              <w:rPr>
                <w:lang w:val="en-US"/>
              </w:rPr>
            </w:pPr>
            <w:r w:rsidRPr="00574ABD">
              <w:rPr>
                <w:lang w:val="en-US"/>
              </w:rPr>
              <w:t>Remote radio head</w:t>
            </w:r>
          </w:p>
        </w:tc>
      </w:tr>
    </w:tbl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5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Definition of terahertz (THz) and others</w:t>
      </w:r>
    </w:p>
    <w:p w:rsidR="000D413F" w:rsidRPr="00574ABD" w:rsidRDefault="000D413F" w:rsidP="000D413F">
      <w:pPr>
        <w:rPr>
          <w:i/>
          <w:lang w:val="en-US" w:eastAsia="ja-JP"/>
        </w:rPr>
      </w:pPr>
      <w:r w:rsidRPr="00574ABD">
        <w:rPr>
          <w:i/>
          <w:lang w:val="en-US" w:eastAsia="ja-JP"/>
        </w:rPr>
        <w:t>[</w:t>
      </w:r>
      <w:r w:rsidRPr="00A52637">
        <w:rPr>
          <w:rFonts w:hint="eastAsia"/>
          <w:i/>
          <w:highlight w:val="cyan"/>
          <w:lang w:val="en-US" w:eastAsia="ja-JP"/>
        </w:rPr>
        <w:t>Edito</w:t>
      </w:r>
      <w:r w:rsidRPr="00A52637">
        <w:rPr>
          <w:i/>
          <w:highlight w:val="cyan"/>
          <w:lang w:val="en-US" w:eastAsia="ja-JP"/>
        </w:rPr>
        <w:t>r’s note: This section will review section 2.1 to Report ITU-R SM.2352-0 from the points of view of the land mobile service applications and technologies.</w:t>
      </w:r>
      <w:r w:rsidRPr="00574ABD">
        <w:rPr>
          <w:i/>
          <w:lang w:val="en-US" w:eastAsia="ja-JP"/>
        </w:rPr>
        <w:t>]</w:t>
      </w:r>
    </w:p>
    <w:p w:rsidR="000D413F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6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Regulatory information above 275 GHz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7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Overview 3</w:t>
      </w:r>
      <w:r>
        <w:rPr>
          <w:lang w:val="en-US" w:eastAsia="ja-JP"/>
        </w:rPr>
        <w:t xml:space="preserve">00 </w:t>
      </w:r>
      <w:r w:rsidRPr="00574ABD">
        <w:rPr>
          <w:lang w:val="en-US" w:eastAsia="ja-JP"/>
        </w:rPr>
        <w:t>GHz close proximity radiocommunication system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This section will identify the specific frequency bands and land mobile service applications which will be used for sharing and compatibility studies with passive services by WP 1A.</w:t>
      </w:r>
      <w:r w:rsidRPr="000D413F">
        <w:rPr>
          <w:i/>
          <w:iCs/>
          <w:lang w:val="en-US" w:eastAsia="ja-JP"/>
        </w:rPr>
        <w:t>]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>8</w:t>
      </w:r>
      <w:r>
        <w:rPr>
          <w:lang w:val="en-US" w:eastAsia="ja-JP"/>
        </w:rPr>
        <w:tab/>
      </w:r>
      <w:r w:rsidRPr="00A52637">
        <w:rPr>
          <w:lang w:val="en-US" w:eastAsia="ja-JP"/>
        </w:rPr>
        <w:t>System characteristics</w:t>
      </w:r>
    </w:p>
    <w:p w:rsidR="000D413F" w:rsidRPr="000D413F" w:rsidRDefault="000D413F" w:rsidP="000D413F">
      <w:pPr>
        <w:rPr>
          <w:i/>
          <w:iCs/>
          <w:lang w:val="en-US" w:eastAsia="ja-JP"/>
        </w:rPr>
      </w:pPr>
      <w:r w:rsidRPr="000D413F">
        <w:rPr>
          <w:i/>
          <w:iCs/>
          <w:lang w:val="en-US" w:eastAsia="ja-JP"/>
        </w:rPr>
        <w:t>[</w:t>
      </w:r>
      <w:r w:rsidRPr="000D413F">
        <w:rPr>
          <w:rFonts w:hint="eastAsia"/>
          <w:i/>
          <w:iCs/>
          <w:highlight w:val="cyan"/>
          <w:lang w:val="en-US" w:eastAsia="ja-JP"/>
        </w:rPr>
        <w:t>Editor</w:t>
      </w:r>
      <w:r w:rsidRPr="000D413F">
        <w:rPr>
          <w:i/>
          <w:iCs/>
          <w:highlight w:val="cyan"/>
          <w:lang w:val="en-US" w:eastAsia="ja-JP"/>
        </w:rPr>
        <w:t>’s note: Technical and operational characteristics of the land mobile radiocommunication system operating in the frequency band 275-450 GHz are invited to be addressed in this section.</w:t>
      </w:r>
      <w:r w:rsidRPr="000D413F">
        <w:rPr>
          <w:i/>
          <w:iCs/>
          <w:lang w:val="en-US" w:eastAsia="ja-JP"/>
        </w:rPr>
        <w:t>]</w:t>
      </w:r>
    </w:p>
    <w:p w:rsidR="000D413F" w:rsidRPr="00702D82" w:rsidRDefault="000D413F" w:rsidP="000D413F">
      <w:pPr>
        <w:pStyle w:val="Heading2"/>
        <w:rPr>
          <w:lang w:val="en-US" w:eastAsia="ja-JP"/>
        </w:rPr>
      </w:pPr>
      <w:r w:rsidRPr="00702D82">
        <w:rPr>
          <w:lang w:val="en-US" w:eastAsia="ja-JP"/>
        </w:rPr>
        <w:t xml:space="preserve">8.1 </w:t>
      </w:r>
      <w:r>
        <w:rPr>
          <w:lang w:val="en-US" w:eastAsia="ja-JP"/>
        </w:rPr>
        <w:tab/>
      </w:r>
      <w:r w:rsidRPr="00702D82">
        <w:rPr>
          <w:rFonts w:hint="eastAsia"/>
          <w:lang w:val="en-US" w:eastAsia="ja-JP"/>
        </w:rPr>
        <w:t xml:space="preserve">A </w:t>
      </w:r>
      <w:r w:rsidRPr="00702D82">
        <w:rPr>
          <w:lang w:eastAsia="ja-JP"/>
        </w:rPr>
        <w:t>close proximity radiocommunication system</w:t>
      </w:r>
    </w:p>
    <w:p w:rsidR="000D413F" w:rsidRPr="000D413F" w:rsidRDefault="000D413F" w:rsidP="000D413F">
      <w:pPr>
        <w:rPr>
          <w:szCs w:val="24"/>
          <w:lang w:val="en-US" w:eastAsia="ja-JP"/>
        </w:rPr>
      </w:pPr>
      <w:r w:rsidRPr="000D413F">
        <w:rPr>
          <w:szCs w:val="24"/>
          <w:lang w:val="en-US" w:eastAsia="ja-JP"/>
        </w:rPr>
        <w:t xml:space="preserve">A </w:t>
      </w:r>
      <w:r w:rsidRPr="000D413F">
        <w:rPr>
          <w:szCs w:val="24"/>
          <w:lang w:eastAsia="ja-JP"/>
        </w:rPr>
        <w:t>close p</w:t>
      </w:r>
      <w:r w:rsidRPr="000D413F">
        <w:rPr>
          <w:rFonts w:hint="eastAsia"/>
          <w:szCs w:val="24"/>
          <w:lang w:eastAsia="ja-JP"/>
        </w:rPr>
        <w:t>ro</w:t>
      </w:r>
      <w:r w:rsidRPr="000D413F">
        <w:rPr>
          <w:szCs w:val="24"/>
          <w:lang w:eastAsia="ja-JP"/>
        </w:rPr>
        <w:t>ximity land mobile radiocommunication system</w:t>
      </w:r>
      <w:r w:rsidRPr="000D413F">
        <w:rPr>
          <w:szCs w:val="24"/>
          <w:lang w:val="en-US" w:eastAsia="ja-JP"/>
        </w:rPr>
        <w:t xml:space="preserve"> operating in the band 275-320 GHz is shown in Table 1.</w:t>
      </w:r>
    </w:p>
    <w:p w:rsidR="000D413F" w:rsidRPr="00574ABD" w:rsidRDefault="000D413F" w:rsidP="000D413F">
      <w:pPr>
        <w:pStyle w:val="TableNo"/>
        <w:rPr>
          <w:lang w:val="en-US"/>
        </w:rPr>
      </w:pPr>
      <w:r w:rsidRPr="00BA0272">
        <w:rPr>
          <w:lang w:val="en-US"/>
        </w:rPr>
        <w:t>TABLE 1</w:t>
      </w:r>
    </w:p>
    <w:p w:rsidR="000D413F" w:rsidRPr="00574ABD" w:rsidRDefault="000D413F" w:rsidP="000D413F">
      <w:pPr>
        <w:pStyle w:val="Tabletitle"/>
        <w:rPr>
          <w:lang w:val="en-US"/>
        </w:rPr>
      </w:pPr>
      <w:r w:rsidRPr="00574ABD">
        <w:rPr>
          <w:lang w:val="en-US"/>
        </w:rPr>
        <w:t>Technical and op</w:t>
      </w:r>
      <w:r>
        <w:rPr>
          <w:lang w:val="en-US"/>
        </w:rPr>
        <w:t>erational characteristics of a</w:t>
      </w:r>
      <w:r w:rsidRPr="00574ABD">
        <w:rPr>
          <w:lang w:val="en-US"/>
        </w:rPr>
        <w:t xml:space="preserve"> land mobile </w:t>
      </w:r>
      <w:r>
        <w:rPr>
          <w:lang w:val="en-US"/>
        </w:rPr>
        <w:t>CPRS</w:t>
      </w:r>
      <w:r w:rsidRPr="00574ABD">
        <w:rPr>
          <w:lang w:val="en-US"/>
        </w:rPr>
        <w:t xml:space="preserve"> applications operating </w:t>
      </w:r>
      <w:r>
        <w:rPr>
          <w:lang w:val="en-US"/>
        </w:rPr>
        <w:br/>
      </w:r>
      <w:r w:rsidRPr="00574ABD">
        <w:rPr>
          <w:lang w:val="en-US"/>
        </w:rPr>
        <w:t>in the frequency band 275-320 GHz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2835"/>
      </w:tblGrid>
      <w:tr w:rsidR="000D413F" w:rsidRPr="00574ABD" w:rsidTr="000D413F">
        <w:trPr>
          <w:cantSplit/>
          <w:tblHeader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Frequency band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head"/>
              <w:rPr>
                <w:rFonts w:eastAsiaTheme="minorEastAsia"/>
                <w:bCs/>
                <w:lang w:val="en-US" w:eastAsia="ja-JP"/>
              </w:rPr>
            </w:pPr>
            <w:r w:rsidRPr="00BA0272">
              <w:rPr>
                <w:rFonts w:eastAsiaTheme="minorEastAsia"/>
                <w:bCs/>
                <w:lang w:val="en-US" w:eastAsia="ja-JP"/>
              </w:rPr>
              <w:t>275-320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Deployment density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Depending on outdoor usage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Duplex Method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TDD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Modulation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OOK/BPSK/QPSK/16QAM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distance between CPRS</w:t>
            </w:r>
            <w:r w:rsidRPr="00574ABD">
              <w:rPr>
                <w:rStyle w:val="FootnoteReference"/>
                <w:rFonts w:eastAsiaTheme="minorEastAsia"/>
                <w:szCs w:val="22"/>
                <w:lang w:val="en-US" w:eastAsia="ja-JP"/>
              </w:rPr>
              <w:footnoteReference w:id="1"/>
            </w:r>
            <w:r w:rsidRPr="00574ABD">
              <w:rPr>
                <w:rFonts w:eastAsiaTheme="minorEastAsia"/>
                <w:lang w:val="en-US" w:eastAsia="ja-JP"/>
              </w:rPr>
              <w:t xml:space="preserve">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0.1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between CPRS fixed and mobile devices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height (m)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Antenna beamwidth (degree)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3-10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Frequency reuse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1 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pattern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Antenna polarization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Liner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deployment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90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Indoor CPRS fixed device penetration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&gt;100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Feeder loss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output power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Channel bandwidth (GHz)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szCs w:val="24"/>
                <w:lang w:val="en-US" w:eastAsia="ja-JP"/>
              </w:rPr>
            </w:pPr>
            <w:r w:rsidRPr="00574ABD">
              <w:rPr>
                <w:rFonts w:eastAsiaTheme="minorEastAsia"/>
                <w:szCs w:val="24"/>
                <w:lang w:val="en-US" w:eastAsia="ja-JP"/>
              </w:rPr>
              <w:t>2.16/4.32/8.64/12.96/17.28/</w:t>
            </w:r>
            <w:r>
              <w:rPr>
                <w:rFonts w:eastAsiaTheme="minorEastAsia"/>
                <w:szCs w:val="24"/>
                <w:lang w:val="en-US" w:eastAsia="ja-JP"/>
              </w:rPr>
              <w:t xml:space="preserve"> </w:t>
            </w:r>
            <w:r w:rsidRPr="00574ABD">
              <w:rPr>
                <w:rFonts w:eastAsiaTheme="minorEastAsia"/>
                <w:szCs w:val="24"/>
                <w:lang w:val="en-US" w:eastAsia="ja-JP"/>
              </w:rPr>
              <w:t>21.60/43.20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 xml:space="preserve">Transmitter spectrum mask 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TBD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fixed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CPRS mobile device antenna gain (dBi)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30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fixed device output power (e.i.r.p.)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Maximum CRPS mobile device output power (e.i.r.p.) (dBm)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40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activity (%)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Average CPRS fixed device power (dBm (e.i.r.p))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20</w:t>
            </w:r>
          </w:p>
        </w:tc>
      </w:tr>
      <w:tr w:rsidR="000D413F" w:rsidRPr="00574ABD" w:rsidTr="000D413F">
        <w:trPr>
          <w:cantSplit/>
          <w:jc w:val="center"/>
        </w:trPr>
        <w:tc>
          <w:tcPr>
            <w:tcW w:w="5397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color w:val="000000"/>
                <w:szCs w:val="24"/>
                <w:lang w:val="en-US" w:eastAsia="ja-JP"/>
              </w:rPr>
              <w:t>Receiver noise figure typical (dB)</w:t>
            </w:r>
          </w:p>
        </w:tc>
        <w:tc>
          <w:tcPr>
            <w:tcW w:w="2835" w:type="dxa"/>
          </w:tcPr>
          <w:p w:rsidR="000D413F" w:rsidRPr="00574ABD" w:rsidRDefault="000D413F" w:rsidP="008A3AEF">
            <w:pPr>
              <w:pStyle w:val="Tabletext"/>
              <w:rPr>
                <w:rFonts w:eastAsiaTheme="minorEastAsia"/>
                <w:lang w:val="en-US" w:eastAsia="ja-JP"/>
              </w:rPr>
            </w:pPr>
            <w:r w:rsidRPr="00574ABD">
              <w:rPr>
                <w:rFonts w:eastAsiaTheme="minorEastAsia"/>
                <w:lang w:val="en-US" w:eastAsia="ja-JP"/>
              </w:rPr>
              <w:t>15</w:t>
            </w:r>
          </w:p>
        </w:tc>
      </w:tr>
    </w:tbl>
    <w:p w:rsidR="000D413F" w:rsidRDefault="000D413F" w:rsidP="000D413F">
      <w:pPr>
        <w:pStyle w:val="Tablefin"/>
      </w:pPr>
    </w:p>
    <w:p w:rsidR="000D413F" w:rsidRDefault="000D413F" w:rsidP="00875E81">
      <w:pPr>
        <w:pStyle w:val="Heading2"/>
        <w:keepNext w:val="0"/>
        <w:keepLines w:val="0"/>
        <w:rPr>
          <w:lang w:val="en-US" w:eastAsia="ja-JP"/>
        </w:rPr>
      </w:pPr>
      <w:r w:rsidRPr="00E21B9F">
        <w:rPr>
          <w:lang w:val="en-US" w:eastAsia="ja-JP"/>
        </w:rPr>
        <w:t>8.2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tab/>
        <w:t>[T.B.D.]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>9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Summary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10</w:t>
      </w:r>
      <w:r>
        <w:rPr>
          <w:lang w:val="en-US" w:eastAsia="ja-JP"/>
        </w:rPr>
        <w:tab/>
      </w:r>
      <w:r w:rsidRPr="00574ABD">
        <w:rPr>
          <w:lang w:val="en-US" w:eastAsia="ja-JP"/>
        </w:rPr>
        <w:t>References</w:t>
      </w:r>
    </w:p>
    <w:p w:rsidR="000D413F" w:rsidRPr="00574ABD" w:rsidRDefault="000D413F" w:rsidP="000D413F">
      <w:pPr>
        <w:pStyle w:val="Heading1"/>
        <w:rPr>
          <w:lang w:val="en-US" w:eastAsia="ja-JP"/>
        </w:rPr>
      </w:pPr>
      <w:r>
        <w:rPr>
          <w:lang w:val="en-US" w:eastAsia="ja-JP"/>
        </w:rPr>
        <w:t>11</w:t>
      </w:r>
      <w:r>
        <w:rPr>
          <w:lang w:val="en-US" w:eastAsia="ja-JP"/>
        </w:rPr>
        <w:tab/>
      </w:r>
      <w:r w:rsidRPr="00574ABD">
        <w:rPr>
          <w:lang w:val="en-US" w:eastAsia="ja-JP"/>
        </w:rPr>
        <w:t xml:space="preserve">Annex(s) </w:t>
      </w:r>
      <w:r w:rsidRPr="00BA0272">
        <w:rPr>
          <w:rFonts w:hint="eastAsia"/>
          <w:b w:val="0"/>
          <w:lang w:val="en-US" w:eastAsia="ja-JP"/>
        </w:rPr>
        <w:t>[</w:t>
      </w:r>
      <w:r w:rsidRPr="00BA0272">
        <w:rPr>
          <w:b w:val="0"/>
          <w:lang w:val="en-US" w:eastAsia="ja-JP"/>
        </w:rPr>
        <w:t>if necessary]</w:t>
      </w:r>
    </w:p>
    <w:p w:rsidR="000069D4" w:rsidRPr="000D413F" w:rsidRDefault="000069D4" w:rsidP="00DD4BED">
      <w:pPr>
        <w:rPr>
          <w:lang w:val="en-US" w:eastAsia="zh-CN"/>
        </w:rPr>
      </w:pPr>
    </w:p>
    <w:sectPr w:rsidR="000069D4" w:rsidRPr="000D413F" w:rsidSect="00D0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3D" w:rsidRDefault="00CD103D">
      <w:r>
        <w:separator/>
      </w:r>
    </w:p>
  </w:endnote>
  <w:endnote w:type="continuationSeparator" w:id="0">
    <w:p w:rsidR="00CD103D" w:rsidRDefault="00C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79" w:rsidRDefault="0041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GoBack"/>
  <w:bookmarkEnd w:id="9"/>
  <w:p w:rsidR="00FA124A" w:rsidRPr="002F7CB3" w:rsidRDefault="0041207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412079">
      <w:rPr>
        <w:lang w:val="en-US"/>
      </w:rPr>
      <w:t>M</w:t>
    </w:r>
    <w:r>
      <w:t>:\BRSGD\TEXT2016\SG05\WP5A\100\114\114N28e.docx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2645">
      <w:t>22.05.16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B7469">
      <w:t>21.02.08</w:t>
    </w:r>
    <w:r w:rsidR="00D0271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12079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256B60" w:rsidRPr="00256B60">
      <w:rPr>
        <w:lang w:val="en-US"/>
      </w:rPr>
      <w:t>M</w:t>
    </w:r>
    <w:r w:rsidR="00256B60">
      <w:t>:\BRSGD\TEXT2016\SG05\WP5A\100\114\114N28e.docx</w:t>
    </w:r>
    <w:r>
      <w:fldChar w:fldCharType="end"/>
    </w:r>
    <w:r w:rsidR="00875E81">
      <w:t xml:space="preserve"> 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302645">
      <w:t>22.05.16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0B746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3D" w:rsidRDefault="00CD103D">
      <w:r>
        <w:t>____________________</w:t>
      </w:r>
    </w:p>
  </w:footnote>
  <w:footnote w:type="continuationSeparator" w:id="0">
    <w:p w:rsidR="00CD103D" w:rsidRDefault="00CD103D">
      <w:r>
        <w:continuationSeparator/>
      </w:r>
    </w:p>
  </w:footnote>
  <w:footnote w:id="1">
    <w:p w:rsidR="000D413F" w:rsidRPr="000D413F" w:rsidRDefault="000D413F" w:rsidP="000D413F">
      <w:pPr>
        <w:pStyle w:val="FootnoteText"/>
        <w:rPr>
          <w:sz w:val="28"/>
          <w:szCs w:val="22"/>
          <w:lang w:eastAsia="ja-JP"/>
        </w:rPr>
      </w:pPr>
      <w:r w:rsidRPr="00681070">
        <w:rPr>
          <w:rStyle w:val="FootnoteReference"/>
          <w:sz w:val="16"/>
          <w:szCs w:val="16"/>
        </w:rPr>
        <w:footnoteRef/>
      </w:r>
      <w:r w:rsidRPr="0068107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D413F">
        <w:rPr>
          <w:rFonts w:hint="eastAsia"/>
          <w:szCs w:val="24"/>
          <w:lang w:eastAsia="ja-JP"/>
        </w:rPr>
        <w:t>CPRS stands for Close Pro</w:t>
      </w:r>
      <w:r w:rsidRPr="000D413F">
        <w:rPr>
          <w:szCs w:val="24"/>
          <w:lang w:eastAsia="ja-JP"/>
        </w:rPr>
        <w:t>ximity Radiocommunication System.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79" w:rsidRDefault="0041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41207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01D76">
    <w:pPr>
      <w:pStyle w:val="Header"/>
      <w:rPr>
        <w:lang w:val="en-US"/>
      </w:rPr>
    </w:pPr>
    <w:r>
      <w:rPr>
        <w:lang w:val="en-US"/>
      </w:rPr>
      <w:t>5A/</w:t>
    </w:r>
    <w:r w:rsidR="006E40AE">
      <w:rPr>
        <w:lang w:val="en-US"/>
      </w:rPr>
      <w:t xml:space="preserve">114 </w:t>
    </w:r>
    <w:r w:rsidR="00875E81">
      <w:rPr>
        <w:lang w:val="en-US"/>
      </w:rPr>
      <w:t>(</w:t>
    </w:r>
    <w:r w:rsidR="006E40AE">
      <w:rPr>
        <w:lang w:val="en-US"/>
      </w:rPr>
      <w:t>Annex 28</w:t>
    </w:r>
    <w:r w:rsidR="00875E81">
      <w:rPr>
        <w:lang w:val="en-US"/>
      </w:rPr>
      <w:t>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79" w:rsidRDefault="00412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6"/>
    <w:rsid w:val="000069D4"/>
    <w:rsid w:val="000174AD"/>
    <w:rsid w:val="00047A1D"/>
    <w:rsid w:val="000604B9"/>
    <w:rsid w:val="000A7D55"/>
    <w:rsid w:val="000B7469"/>
    <w:rsid w:val="000C2E8E"/>
    <w:rsid w:val="000D413F"/>
    <w:rsid w:val="000E0E7C"/>
    <w:rsid w:val="000F1B4B"/>
    <w:rsid w:val="0012744F"/>
    <w:rsid w:val="00131178"/>
    <w:rsid w:val="00156F66"/>
    <w:rsid w:val="00163271"/>
    <w:rsid w:val="00182528"/>
    <w:rsid w:val="0018500B"/>
    <w:rsid w:val="00190924"/>
    <w:rsid w:val="00196A19"/>
    <w:rsid w:val="00202DC1"/>
    <w:rsid w:val="002116EE"/>
    <w:rsid w:val="002309D8"/>
    <w:rsid w:val="00256B60"/>
    <w:rsid w:val="002A7FE2"/>
    <w:rsid w:val="002E1B4F"/>
    <w:rsid w:val="002F2E67"/>
    <w:rsid w:val="002F7CB3"/>
    <w:rsid w:val="00302645"/>
    <w:rsid w:val="00315546"/>
    <w:rsid w:val="00330567"/>
    <w:rsid w:val="00386A9D"/>
    <w:rsid w:val="00391081"/>
    <w:rsid w:val="003B2789"/>
    <w:rsid w:val="003C13CE"/>
    <w:rsid w:val="003E2518"/>
    <w:rsid w:val="003E7CEF"/>
    <w:rsid w:val="00412079"/>
    <w:rsid w:val="0043252D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72A09"/>
    <w:rsid w:val="006E40AE"/>
    <w:rsid w:val="00721F20"/>
    <w:rsid w:val="00814E0A"/>
    <w:rsid w:val="00822581"/>
    <w:rsid w:val="008309DD"/>
    <w:rsid w:val="0083227A"/>
    <w:rsid w:val="00866900"/>
    <w:rsid w:val="00875E81"/>
    <w:rsid w:val="00881BA1"/>
    <w:rsid w:val="008C26B8"/>
    <w:rsid w:val="008F208F"/>
    <w:rsid w:val="00982084"/>
    <w:rsid w:val="00995963"/>
    <w:rsid w:val="009B61EB"/>
    <w:rsid w:val="009C2064"/>
    <w:rsid w:val="009D1697"/>
    <w:rsid w:val="009E63C9"/>
    <w:rsid w:val="009F3A46"/>
    <w:rsid w:val="00A014F8"/>
    <w:rsid w:val="00A5173C"/>
    <w:rsid w:val="00A61AEF"/>
    <w:rsid w:val="00A65203"/>
    <w:rsid w:val="00AD2345"/>
    <w:rsid w:val="00AF173A"/>
    <w:rsid w:val="00B066A4"/>
    <w:rsid w:val="00B07A13"/>
    <w:rsid w:val="00B10BE5"/>
    <w:rsid w:val="00B4279B"/>
    <w:rsid w:val="00B45FC9"/>
    <w:rsid w:val="00B81138"/>
    <w:rsid w:val="00BC7CCF"/>
    <w:rsid w:val="00BE470B"/>
    <w:rsid w:val="00C01D76"/>
    <w:rsid w:val="00C57A91"/>
    <w:rsid w:val="00CC01C2"/>
    <w:rsid w:val="00CC4CA4"/>
    <w:rsid w:val="00CD103D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A83E97-8166-488C-B086-ED4CDEA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0D413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D413F"/>
    <w:rPr>
      <w:rFonts w:ascii="Times New Roman" w:hAnsi="Times New Roman"/>
      <w:b/>
      <w:sz w:val="28"/>
      <w:lang w:val="en-GB" w:eastAsia="en-US"/>
    </w:rPr>
  </w:style>
  <w:style w:type="paragraph" w:customStyle="1" w:styleId="Tablefin">
    <w:name w:val="Table_fin"/>
    <w:basedOn w:val="Normal"/>
    <w:rsid w:val="000D413F"/>
    <w:pPr>
      <w:spacing w:before="0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A937F-A6FC-4901-A0D3-EA2CF4B1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A2FF-AD03-4DF8-B756-3E2AF1122C59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6a61cb-1973-4fc6-92ae-f4d7a44714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3AB810-373C-485C-8711-380217F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3</Pages>
  <Words>398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Detraz, Laurence</cp:lastModifiedBy>
  <cp:revision>4</cp:revision>
  <cp:lastPrinted>2008-02-21T14:04:00Z</cp:lastPrinted>
  <dcterms:created xsi:type="dcterms:W3CDTF">2016-05-24T05:52:00Z</dcterms:created>
  <dcterms:modified xsi:type="dcterms:W3CDTF">2016-05-24T05:55:00Z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