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853C9F" w14:paraId="3A12A52E" w14:textId="77777777" w:rsidTr="00D046A7">
        <w:trPr>
          <w:cantSplit/>
        </w:trPr>
        <w:tc>
          <w:tcPr>
            <w:tcW w:w="1526" w:type="dxa"/>
            <w:vAlign w:val="center"/>
          </w:tcPr>
          <w:p w14:paraId="0366D1F4" w14:textId="77777777" w:rsidR="00DB178B" w:rsidRPr="00853C9F" w:rsidRDefault="00EB242E" w:rsidP="00EB242E">
            <w:pPr>
              <w:shd w:val="solid" w:color="FFFFFF" w:fill="FFFFFF"/>
              <w:spacing w:before="0"/>
              <w:rPr>
                <w:rFonts w:ascii="Verdana" w:hAnsi="Verdana" w:cs="Times New Roman Bold"/>
                <w:b/>
                <w:bCs/>
                <w:sz w:val="26"/>
                <w:szCs w:val="26"/>
                <w:lang w:val="en-US"/>
              </w:rPr>
            </w:pPr>
            <w:bookmarkStart w:id="0" w:name="ditulogo"/>
            <w:bookmarkEnd w:id="0"/>
            <w:r w:rsidRPr="00853C9F">
              <w:rPr>
                <w:rFonts w:ascii="Verdana" w:hAnsi="Verdana" w:cs="Times New Roman Bold"/>
                <w:b/>
                <w:bCs/>
                <w:noProof/>
                <w:sz w:val="20"/>
                <w:szCs w:val="26"/>
                <w:lang w:val="en-US" w:eastAsia="zh-CN"/>
              </w:rPr>
              <w:drawing>
                <wp:inline distT="0" distB="0" distL="0" distR="0" wp14:anchorId="39C94C30" wp14:editId="7A7C92B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1A912FEC" w14:textId="77777777" w:rsidR="00DB178B" w:rsidRPr="00853C9F" w:rsidRDefault="00DB178B" w:rsidP="000604B9">
            <w:pPr>
              <w:shd w:val="solid" w:color="FFFFFF" w:fill="FFFFFF"/>
              <w:spacing w:before="0"/>
              <w:jc w:val="center"/>
              <w:rPr>
                <w:rFonts w:ascii="Verdana" w:hAnsi="Verdana" w:cs="Times New Roman Bold"/>
                <w:b/>
                <w:bCs/>
                <w:sz w:val="26"/>
                <w:szCs w:val="26"/>
                <w:lang w:val="en-US"/>
              </w:rPr>
            </w:pPr>
            <w:r w:rsidRPr="00853C9F">
              <w:rPr>
                <w:rFonts w:ascii="Verdana" w:hAnsi="Verdana" w:cs="Times New Roman Bold"/>
                <w:b/>
                <w:bCs/>
                <w:sz w:val="26"/>
                <w:szCs w:val="26"/>
                <w:lang w:val="en-US"/>
              </w:rPr>
              <w:t>Radiocommunication Study Groups</w:t>
            </w:r>
          </w:p>
        </w:tc>
        <w:tc>
          <w:tcPr>
            <w:tcW w:w="1559" w:type="dxa"/>
          </w:tcPr>
          <w:p w14:paraId="4EE81FA4" w14:textId="77777777" w:rsidR="00DB178B" w:rsidRPr="00853C9F" w:rsidRDefault="00DB178B" w:rsidP="00163271">
            <w:pPr>
              <w:shd w:val="solid" w:color="FFFFFF" w:fill="FFFFFF"/>
              <w:spacing w:before="0" w:line="240" w:lineRule="atLeast"/>
              <w:jc w:val="right"/>
              <w:rPr>
                <w:lang w:val="en-US"/>
              </w:rPr>
            </w:pPr>
            <w:r w:rsidRPr="00853C9F">
              <w:rPr>
                <w:rFonts w:cs="Arial"/>
                <w:noProof/>
                <w:lang w:val="en-US" w:eastAsia="zh-CN"/>
              </w:rPr>
              <w:drawing>
                <wp:inline distT="0" distB="0" distL="0" distR="0" wp14:anchorId="181683E7" wp14:editId="32CEF89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853C9F" w14:paraId="0FD8475A" w14:textId="77777777" w:rsidTr="00D046A7">
        <w:trPr>
          <w:cantSplit/>
        </w:trPr>
        <w:tc>
          <w:tcPr>
            <w:tcW w:w="6438" w:type="dxa"/>
            <w:gridSpan w:val="2"/>
            <w:tcBorders>
              <w:bottom w:val="single" w:sz="12" w:space="0" w:color="auto"/>
            </w:tcBorders>
          </w:tcPr>
          <w:p w14:paraId="78579DF0" w14:textId="77777777" w:rsidR="000069D4" w:rsidRPr="00853C9F" w:rsidRDefault="00DB178B" w:rsidP="00A5173C">
            <w:pPr>
              <w:shd w:val="solid" w:color="FFFFFF" w:fill="FFFFFF"/>
              <w:spacing w:before="0" w:after="48"/>
              <w:rPr>
                <w:rFonts w:ascii="Verdana" w:hAnsi="Verdana" w:cs="Times New Roman Bold"/>
                <w:b/>
                <w:sz w:val="22"/>
                <w:szCs w:val="22"/>
                <w:lang w:val="en-US"/>
              </w:rPr>
            </w:pPr>
            <w:r w:rsidRPr="00853C9F">
              <w:rPr>
                <w:rFonts w:ascii="Verdana" w:hAnsi="Verdana" w:cs="Times New Roman Bold"/>
                <w:b/>
                <w:sz w:val="20"/>
                <w:lang w:val="en-US"/>
              </w:rPr>
              <w:t>INTERNATIONAL TELECOMMUNICATION UNION</w:t>
            </w:r>
          </w:p>
        </w:tc>
        <w:tc>
          <w:tcPr>
            <w:tcW w:w="3451" w:type="dxa"/>
            <w:gridSpan w:val="2"/>
            <w:tcBorders>
              <w:bottom w:val="single" w:sz="12" w:space="0" w:color="auto"/>
            </w:tcBorders>
          </w:tcPr>
          <w:p w14:paraId="54530449" w14:textId="77777777" w:rsidR="000069D4" w:rsidRPr="00853C9F" w:rsidRDefault="000069D4" w:rsidP="00A5173C">
            <w:pPr>
              <w:shd w:val="solid" w:color="FFFFFF" w:fill="FFFFFF"/>
              <w:spacing w:before="0" w:after="48" w:line="240" w:lineRule="atLeast"/>
              <w:rPr>
                <w:sz w:val="22"/>
                <w:szCs w:val="22"/>
                <w:lang w:val="en-US"/>
              </w:rPr>
            </w:pPr>
          </w:p>
        </w:tc>
      </w:tr>
      <w:tr w:rsidR="000069D4" w:rsidRPr="00853C9F" w14:paraId="57B7EBCE" w14:textId="77777777" w:rsidTr="00D046A7">
        <w:trPr>
          <w:cantSplit/>
        </w:trPr>
        <w:tc>
          <w:tcPr>
            <w:tcW w:w="6438" w:type="dxa"/>
            <w:gridSpan w:val="2"/>
            <w:tcBorders>
              <w:top w:val="single" w:sz="12" w:space="0" w:color="auto"/>
            </w:tcBorders>
          </w:tcPr>
          <w:p w14:paraId="77361192" w14:textId="77777777" w:rsidR="000069D4" w:rsidRPr="00853C9F"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14:paraId="704D11FC" w14:textId="77777777" w:rsidR="000069D4" w:rsidRPr="00853C9F" w:rsidRDefault="000069D4" w:rsidP="00A5173C">
            <w:pPr>
              <w:shd w:val="solid" w:color="FFFFFF" w:fill="FFFFFF"/>
              <w:spacing w:before="0" w:after="48" w:line="240" w:lineRule="atLeast"/>
              <w:rPr>
                <w:lang w:val="en-US"/>
              </w:rPr>
            </w:pPr>
          </w:p>
        </w:tc>
      </w:tr>
      <w:tr w:rsidR="000069D4" w:rsidRPr="00853C9F" w14:paraId="0531E560" w14:textId="77777777" w:rsidTr="00D046A7">
        <w:trPr>
          <w:cantSplit/>
        </w:trPr>
        <w:tc>
          <w:tcPr>
            <w:tcW w:w="6438" w:type="dxa"/>
            <w:gridSpan w:val="2"/>
            <w:vMerge w:val="restart"/>
          </w:tcPr>
          <w:p w14:paraId="7319E6B5" w14:textId="29C20D43" w:rsidR="00EB242E" w:rsidRPr="00853C9F" w:rsidRDefault="00C02C60" w:rsidP="00EB242E">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Pr>
                <w:rFonts w:ascii="Verdana" w:hAnsi="Verdana"/>
                <w:sz w:val="20"/>
                <w:lang w:val="en-US"/>
              </w:rPr>
              <w:t>Source:</w:t>
            </w:r>
            <w:r>
              <w:rPr>
                <w:rFonts w:ascii="Verdana" w:hAnsi="Verdana"/>
                <w:sz w:val="20"/>
                <w:lang w:val="en-US"/>
              </w:rPr>
              <w:tab/>
            </w:r>
            <w:r w:rsidRPr="00C02C60">
              <w:rPr>
                <w:rFonts w:ascii="Verdana" w:hAnsi="Verdana"/>
                <w:sz w:val="20"/>
                <w:lang w:val="en-US"/>
              </w:rPr>
              <w:t>Document 5A/TEMP/35</w:t>
            </w:r>
          </w:p>
        </w:tc>
        <w:tc>
          <w:tcPr>
            <w:tcW w:w="3451" w:type="dxa"/>
            <w:gridSpan w:val="2"/>
          </w:tcPr>
          <w:p w14:paraId="52226646" w14:textId="77777777" w:rsidR="00C02C60" w:rsidRDefault="00C02C60" w:rsidP="00A5173C">
            <w:pPr>
              <w:shd w:val="solid" w:color="FFFFFF" w:fill="FFFFFF"/>
              <w:spacing w:before="0" w:line="240" w:lineRule="atLeast"/>
              <w:rPr>
                <w:rFonts w:ascii="Verdana" w:hAnsi="Verdana"/>
                <w:b/>
                <w:sz w:val="20"/>
                <w:lang w:val="en-US" w:eastAsia="zh-CN"/>
              </w:rPr>
            </w:pPr>
            <w:r>
              <w:rPr>
                <w:rFonts w:ascii="Verdana" w:hAnsi="Verdana"/>
                <w:b/>
                <w:sz w:val="20"/>
                <w:lang w:val="en-US" w:eastAsia="zh-CN"/>
              </w:rPr>
              <w:t>Annex 15 to</w:t>
            </w:r>
          </w:p>
          <w:p w14:paraId="43B4ABDC" w14:textId="3574C32F" w:rsidR="000069D4" w:rsidRPr="00853C9F" w:rsidRDefault="00EB242E" w:rsidP="00C02C60">
            <w:pPr>
              <w:shd w:val="solid" w:color="FFFFFF" w:fill="FFFFFF"/>
              <w:spacing w:before="0" w:line="240" w:lineRule="atLeast"/>
              <w:rPr>
                <w:rFonts w:ascii="Verdana" w:hAnsi="Verdana"/>
                <w:sz w:val="20"/>
                <w:lang w:val="en-US" w:eastAsia="zh-CN"/>
              </w:rPr>
            </w:pPr>
            <w:r w:rsidRPr="00853C9F">
              <w:rPr>
                <w:rFonts w:ascii="Verdana" w:hAnsi="Verdana"/>
                <w:b/>
                <w:sz w:val="20"/>
                <w:lang w:val="en-US" w:eastAsia="zh-CN"/>
              </w:rPr>
              <w:t>Document 5A/</w:t>
            </w:r>
            <w:r w:rsidR="00C02C60">
              <w:rPr>
                <w:rFonts w:ascii="Verdana" w:hAnsi="Verdana"/>
                <w:b/>
                <w:sz w:val="20"/>
                <w:lang w:val="en-US" w:eastAsia="zh-CN"/>
              </w:rPr>
              <w:t>114</w:t>
            </w:r>
            <w:r w:rsidRPr="00853C9F">
              <w:rPr>
                <w:rFonts w:ascii="Verdana" w:hAnsi="Verdana"/>
                <w:b/>
                <w:sz w:val="20"/>
                <w:lang w:val="en-US" w:eastAsia="zh-CN"/>
              </w:rPr>
              <w:t>-E</w:t>
            </w:r>
          </w:p>
        </w:tc>
      </w:tr>
      <w:tr w:rsidR="000069D4" w:rsidRPr="00853C9F" w14:paraId="13A8A897" w14:textId="77777777" w:rsidTr="00D046A7">
        <w:trPr>
          <w:cantSplit/>
        </w:trPr>
        <w:tc>
          <w:tcPr>
            <w:tcW w:w="6438" w:type="dxa"/>
            <w:gridSpan w:val="2"/>
            <w:vMerge/>
          </w:tcPr>
          <w:p w14:paraId="66394E2B" w14:textId="0CBA5B62" w:rsidR="000069D4" w:rsidRPr="00853C9F" w:rsidRDefault="000069D4" w:rsidP="00A5173C">
            <w:pPr>
              <w:spacing w:before="60"/>
              <w:jc w:val="center"/>
              <w:rPr>
                <w:b/>
                <w:smallCaps/>
                <w:sz w:val="32"/>
                <w:lang w:val="en-US" w:eastAsia="zh-CN"/>
              </w:rPr>
            </w:pPr>
            <w:bookmarkStart w:id="3" w:name="ddate" w:colFirst="1" w:colLast="1"/>
            <w:bookmarkEnd w:id="2"/>
          </w:p>
        </w:tc>
        <w:tc>
          <w:tcPr>
            <w:tcW w:w="3451" w:type="dxa"/>
            <w:gridSpan w:val="2"/>
          </w:tcPr>
          <w:p w14:paraId="3F78AD99" w14:textId="36EAA1FA" w:rsidR="000069D4" w:rsidRPr="00853C9F" w:rsidRDefault="00C02C60" w:rsidP="001D3240">
            <w:pPr>
              <w:shd w:val="solid" w:color="FFFFFF" w:fill="FFFFFF"/>
              <w:spacing w:before="0" w:line="240" w:lineRule="atLeast"/>
              <w:rPr>
                <w:rFonts w:ascii="Verdana" w:hAnsi="Verdana"/>
                <w:sz w:val="20"/>
                <w:lang w:val="en-US" w:eastAsia="zh-CN"/>
              </w:rPr>
            </w:pPr>
            <w:r>
              <w:rPr>
                <w:rFonts w:ascii="Verdana" w:hAnsi="Verdana"/>
                <w:b/>
                <w:sz w:val="20"/>
                <w:lang w:val="en-US" w:eastAsia="zh-CN"/>
              </w:rPr>
              <w:t>2</w:t>
            </w:r>
            <w:r w:rsidR="001D3240">
              <w:rPr>
                <w:rFonts w:ascii="Verdana" w:hAnsi="Verdana"/>
                <w:b/>
                <w:sz w:val="20"/>
                <w:lang w:val="en-US" w:eastAsia="zh-CN"/>
              </w:rPr>
              <w:t>3</w:t>
            </w:r>
            <w:r w:rsidR="00EB242E" w:rsidRPr="00853C9F">
              <w:rPr>
                <w:rFonts w:ascii="Verdana" w:hAnsi="Verdana"/>
                <w:b/>
                <w:sz w:val="20"/>
                <w:lang w:val="en-US" w:eastAsia="zh-CN"/>
              </w:rPr>
              <w:t xml:space="preserve"> May 2016</w:t>
            </w:r>
          </w:p>
        </w:tc>
      </w:tr>
      <w:tr w:rsidR="000069D4" w:rsidRPr="00853C9F" w14:paraId="264EE3D0" w14:textId="77777777" w:rsidTr="00D046A7">
        <w:trPr>
          <w:cantSplit/>
        </w:trPr>
        <w:tc>
          <w:tcPr>
            <w:tcW w:w="6438" w:type="dxa"/>
            <w:gridSpan w:val="2"/>
            <w:vMerge/>
          </w:tcPr>
          <w:p w14:paraId="485872CF" w14:textId="77777777" w:rsidR="000069D4" w:rsidRPr="00853C9F" w:rsidRDefault="000069D4" w:rsidP="00A5173C">
            <w:pPr>
              <w:spacing w:before="60"/>
              <w:jc w:val="center"/>
              <w:rPr>
                <w:b/>
                <w:smallCaps/>
                <w:sz w:val="32"/>
                <w:lang w:val="en-US" w:eastAsia="zh-CN"/>
              </w:rPr>
            </w:pPr>
            <w:bookmarkStart w:id="4" w:name="dorlang" w:colFirst="1" w:colLast="1"/>
            <w:bookmarkEnd w:id="3"/>
          </w:p>
        </w:tc>
        <w:tc>
          <w:tcPr>
            <w:tcW w:w="3451" w:type="dxa"/>
            <w:gridSpan w:val="2"/>
          </w:tcPr>
          <w:p w14:paraId="043953C2" w14:textId="77777777" w:rsidR="000069D4" w:rsidRPr="00853C9F" w:rsidRDefault="00EB242E" w:rsidP="00A5173C">
            <w:pPr>
              <w:shd w:val="solid" w:color="FFFFFF" w:fill="FFFFFF"/>
              <w:spacing w:before="0" w:line="240" w:lineRule="atLeast"/>
              <w:rPr>
                <w:rFonts w:ascii="Verdana" w:eastAsia="SimSun" w:hAnsi="Verdana"/>
                <w:sz w:val="20"/>
                <w:lang w:val="en-US" w:eastAsia="zh-CN"/>
              </w:rPr>
            </w:pPr>
            <w:r w:rsidRPr="00853C9F">
              <w:rPr>
                <w:rFonts w:ascii="Verdana" w:eastAsia="SimSun" w:hAnsi="Verdana"/>
                <w:b/>
                <w:sz w:val="20"/>
                <w:lang w:val="en-US" w:eastAsia="zh-CN"/>
              </w:rPr>
              <w:t>English only</w:t>
            </w:r>
          </w:p>
        </w:tc>
      </w:tr>
      <w:tr w:rsidR="000069D4" w:rsidRPr="00853C9F" w14:paraId="2F3A45CB" w14:textId="77777777" w:rsidTr="00D046A7">
        <w:trPr>
          <w:cantSplit/>
        </w:trPr>
        <w:tc>
          <w:tcPr>
            <w:tcW w:w="9889" w:type="dxa"/>
            <w:gridSpan w:val="4"/>
          </w:tcPr>
          <w:p w14:paraId="3B866E17" w14:textId="7264C914" w:rsidR="000069D4" w:rsidRPr="00853C9F" w:rsidRDefault="00C02C60" w:rsidP="00C02C60">
            <w:pPr>
              <w:pStyle w:val="Source"/>
              <w:rPr>
                <w:lang w:val="en-US" w:eastAsia="zh-CN"/>
              </w:rPr>
            </w:pPr>
            <w:bookmarkStart w:id="5" w:name="dsource" w:colFirst="0" w:colLast="0"/>
            <w:bookmarkEnd w:id="4"/>
            <w:r>
              <w:rPr>
                <w:lang w:val="en-US" w:eastAsia="ja-JP"/>
              </w:rPr>
              <w:t>Annex 15 to Working Party 5A Chairman’s Report</w:t>
            </w:r>
          </w:p>
        </w:tc>
      </w:tr>
      <w:tr w:rsidR="000069D4" w:rsidRPr="00853C9F" w14:paraId="77F34AE1" w14:textId="77777777" w:rsidTr="00D046A7">
        <w:trPr>
          <w:cantSplit/>
        </w:trPr>
        <w:tc>
          <w:tcPr>
            <w:tcW w:w="9889" w:type="dxa"/>
            <w:gridSpan w:val="4"/>
          </w:tcPr>
          <w:p w14:paraId="699443A0" w14:textId="58E224CB" w:rsidR="000069D4" w:rsidRPr="00853C9F" w:rsidRDefault="001D46CF" w:rsidP="003E45D0">
            <w:pPr>
              <w:pStyle w:val="RepNo"/>
              <w:rPr>
                <w:lang w:val="en-US" w:eastAsia="zh-CN"/>
              </w:rPr>
            </w:pPr>
            <w:bookmarkStart w:id="6" w:name="drec" w:colFirst="0" w:colLast="0"/>
            <w:bookmarkStart w:id="7" w:name="_GoBack" w:colFirst="0" w:colLast="0"/>
            <w:bookmarkEnd w:id="5"/>
            <w:r w:rsidRPr="00853C9F">
              <w:rPr>
                <w:lang w:val="en-US" w:eastAsia="zh-CN"/>
              </w:rPr>
              <w:t>working Document toward preliminary draft new</w:t>
            </w:r>
            <w:r w:rsidRPr="00853C9F">
              <w:rPr>
                <w:lang w:val="en-US" w:eastAsia="zh-CN"/>
              </w:rPr>
              <w:br/>
              <w:t>report itu-r M.[amateur_50_MH</w:t>
            </w:r>
            <w:r w:rsidR="001D3240" w:rsidRPr="00853C9F">
              <w:rPr>
                <w:caps w:val="0"/>
                <w:lang w:val="en-US" w:eastAsia="zh-CN"/>
              </w:rPr>
              <w:t>z</w:t>
            </w:r>
            <w:r w:rsidRPr="00853C9F">
              <w:rPr>
                <w:lang w:val="en-US" w:eastAsia="zh-CN"/>
              </w:rPr>
              <w:t>]</w:t>
            </w:r>
          </w:p>
        </w:tc>
      </w:tr>
      <w:tr w:rsidR="000069D4" w:rsidRPr="00853C9F" w14:paraId="6CEED93A" w14:textId="77777777" w:rsidTr="00D046A7">
        <w:trPr>
          <w:cantSplit/>
        </w:trPr>
        <w:tc>
          <w:tcPr>
            <w:tcW w:w="9889" w:type="dxa"/>
            <w:gridSpan w:val="4"/>
          </w:tcPr>
          <w:p w14:paraId="4B8CA04F" w14:textId="12FE9ABC" w:rsidR="000069D4" w:rsidRPr="00853C9F" w:rsidRDefault="001D46CF" w:rsidP="003E45D0">
            <w:pPr>
              <w:pStyle w:val="Reptitle"/>
              <w:rPr>
                <w:lang w:val="en-US" w:eastAsia="zh-CN"/>
              </w:rPr>
            </w:pPr>
            <w:bookmarkStart w:id="8" w:name="dtitle1" w:colFirst="0" w:colLast="0"/>
            <w:bookmarkEnd w:id="6"/>
            <w:r w:rsidRPr="00853C9F">
              <w:rPr>
                <w:lang w:val="en-US" w:eastAsia="zh-CN"/>
              </w:rPr>
              <w:t>Spectrum needs for the amateur service in the frequency band 50-54 MHz in Region 1 and sharing with mobile fixed, radiolocation, and broadcasting services</w:t>
            </w:r>
          </w:p>
        </w:tc>
      </w:tr>
    </w:tbl>
    <w:p w14:paraId="5C94FB38" w14:textId="77777777" w:rsidR="001D3240" w:rsidRDefault="001D3240" w:rsidP="001D3240">
      <w:pPr>
        <w:rPr>
          <w:lang w:val="en-US"/>
        </w:rPr>
      </w:pPr>
      <w:bookmarkStart w:id="9" w:name="dbreak"/>
      <w:bookmarkStart w:id="10" w:name="_Toc449638998"/>
      <w:bookmarkStart w:id="11" w:name="_Toc451373073"/>
      <w:bookmarkEnd w:id="8"/>
      <w:bookmarkEnd w:id="9"/>
      <w:bookmarkEnd w:id="7"/>
    </w:p>
    <w:p w14:paraId="1F832D1A" w14:textId="04CD8C88" w:rsidR="001549CF" w:rsidRPr="00853C9F" w:rsidRDefault="001D3240" w:rsidP="001549CF">
      <w:pPr>
        <w:pStyle w:val="Title3"/>
        <w:rPr>
          <w:lang w:val="en-US"/>
        </w:rPr>
      </w:pPr>
      <w:r w:rsidRPr="001D3240">
        <w:rPr>
          <w:sz w:val="24"/>
          <w:szCs w:val="18"/>
          <w:lang w:val="en-US"/>
        </w:rPr>
        <w:t>TABLE OF CONTENTS</w:t>
      </w:r>
    </w:p>
    <w:p w14:paraId="1DDD55F3" w14:textId="523F3988" w:rsidR="003E45D0" w:rsidRPr="00853C9F" w:rsidRDefault="003E45D0">
      <w:pPr>
        <w:pStyle w:val="TOC1"/>
        <w:rPr>
          <w:rFonts w:asciiTheme="minorHAnsi" w:eastAsiaTheme="minorEastAsia" w:hAnsiTheme="minorHAnsi" w:cstheme="minorBidi"/>
          <w:sz w:val="22"/>
          <w:szCs w:val="22"/>
          <w:lang w:val="en-US" w:eastAsia="zh-CN"/>
        </w:rPr>
      </w:pPr>
      <w:r w:rsidRPr="00853C9F">
        <w:rPr>
          <w:lang w:val="en-US"/>
        </w:rPr>
        <w:fldChar w:fldCharType="begin"/>
      </w:r>
      <w:r w:rsidRPr="00853C9F">
        <w:rPr>
          <w:lang w:val="en-US"/>
        </w:rPr>
        <w:instrText xml:space="preserve"> TOC \o "1-2" \h \z \u </w:instrText>
      </w:r>
      <w:r w:rsidRPr="00853C9F">
        <w:rPr>
          <w:lang w:val="en-US"/>
        </w:rPr>
        <w:fldChar w:fldCharType="separate"/>
      </w:r>
      <w:hyperlink w:anchor="_Toc451353752" w:history="1">
        <w:r w:rsidRPr="00853C9F">
          <w:rPr>
            <w:rStyle w:val="Hyperlink"/>
            <w:lang w:val="en-US"/>
          </w:rPr>
          <w:t>1</w:t>
        </w:r>
        <w:r w:rsidRPr="00853C9F">
          <w:rPr>
            <w:rFonts w:asciiTheme="minorHAnsi" w:eastAsiaTheme="minorEastAsia" w:hAnsiTheme="minorHAnsi" w:cstheme="minorBidi"/>
            <w:sz w:val="22"/>
            <w:szCs w:val="22"/>
            <w:lang w:val="en-US" w:eastAsia="zh-CN"/>
          </w:rPr>
          <w:tab/>
        </w:r>
        <w:r w:rsidRPr="00853C9F">
          <w:rPr>
            <w:rStyle w:val="Hyperlink"/>
            <w:lang w:val="en-US"/>
          </w:rPr>
          <w:t>Introduction</w:t>
        </w:r>
        <w:r w:rsidRPr="00853C9F">
          <w:rPr>
            <w:webHidden/>
            <w:lang w:val="en-US"/>
          </w:rPr>
          <w:tab/>
        </w:r>
        <w:r w:rsidRPr="00853C9F">
          <w:rPr>
            <w:webHidden/>
            <w:lang w:val="en-US"/>
          </w:rPr>
          <w:tab/>
        </w:r>
        <w:r w:rsidRPr="00853C9F">
          <w:rPr>
            <w:webHidden/>
            <w:lang w:val="en-US"/>
          </w:rPr>
          <w:fldChar w:fldCharType="begin"/>
        </w:r>
        <w:r w:rsidRPr="00853C9F">
          <w:rPr>
            <w:webHidden/>
            <w:lang w:val="en-US"/>
          </w:rPr>
          <w:instrText xml:space="preserve"> PAGEREF _Toc451353752 \h </w:instrText>
        </w:r>
        <w:r w:rsidRPr="00853C9F">
          <w:rPr>
            <w:webHidden/>
            <w:lang w:val="en-US"/>
          </w:rPr>
        </w:r>
        <w:r w:rsidRPr="00853C9F">
          <w:rPr>
            <w:webHidden/>
            <w:lang w:val="en-US"/>
          </w:rPr>
          <w:fldChar w:fldCharType="separate"/>
        </w:r>
        <w:r w:rsidRPr="00853C9F">
          <w:rPr>
            <w:noProof/>
            <w:webHidden/>
            <w:lang w:val="en-US"/>
          </w:rPr>
          <w:t>1</w:t>
        </w:r>
        <w:r w:rsidRPr="00853C9F">
          <w:rPr>
            <w:webHidden/>
            <w:lang w:val="en-US"/>
          </w:rPr>
          <w:fldChar w:fldCharType="end"/>
        </w:r>
      </w:hyperlink>
    </w:p>
    <w:p w14:paraId="4F371C59" w14:textId="5E8EFDCE" w:rsidR="003E45D0" w:rsidRPr="00853C9F" w:rsidRDefault="001D3240">
      <w:pPr>
        <w:pStyle w:val="TOC1"/>
        <w:rPr>
          <w:rFonts w:asciiTheme="minorHAnsi" w:eastAsiaTheme="minorEastAsia" w:hAnsiTheme="minorHAnsi" w:cstheme="minorBidi"/>
          <w:sz w:val="22"/>
          <w:szCs w:val="22"/>
          <w:lang w:val="en-US" w:eastAsia="zh-CN"/>
        </w:rPr>
      </w:pPr>
      <w:hyperlink w:anchor="_Toc451353753" w:history="1">
        <w:r w:rsidR="003E45D0" w:rsidRPr="00853C9F">
          <w:rPr>
            <w:rStyle w:val="Hyperlink"/>
            <w:lang w:val="en-US"/>
          </w:rPr>
          <w:t>2</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Use of the frequency band 50-54 MHz by amateur service stations</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_Toc451353753 \h </w:instrText>
        </w:r>
        <w:r w:rsidR="003E45D0" w:rsidRPr="00853C9F">
          <w:rPr>
            <w:webHidden/>
            <w:lang w:val="en-US"/>
          </w:rPr>
        </w:r>
        <w:r w:rsidR="003E45D0" w:rsidRPr="00853C9F">
          <w:rPr>
            <w:webHidden/>
            <w:lang w:val="en-US"/>
          </w:rPr>
          <w:fldChar w:fldCharType="separate"/>
        </w:r>
        <w:r w:rsidR="003E45D0" w:rsidRPr="00853C9F">
          <w:rPr>
            <w:noProof/>
            <w:webHidden/>
            <w:lang w:val="en-US"/>
          </w:rPr>
          <w:t>2</w:t>
        </w:r>
        <w:r w:rsidR="003E45D0" w:rsidRPr="00853C9F">
          <w:rPr>
            <w:webHidden/>
            <w:lang w:val="en-US"/>
          </w:rPr>
          <w:fldChar w:fldCharType="end"/>
        </w:r>
      </w:hyperlink>
    </w:p>
    <w:p w14:paraId="104770B4" w14:textId="2EABBB27" w:rsidR="003E45D0" w:rsidRPr="00853C9F" w:rsidRDefault="001D3240">
      <w:pPr>
        <w:pStyle w:val="TOC1"/>
        <w:rPr>
          <w:rFonts w:asciiTheme="minorHAnsi" w:eastAsiaTheme="minorEastAsia" w:hAnsiTheme="minorHAnsi" w:cstheme="minorBidi"/>
          <w:sz w:val="22"/>
          <w:szCs w:val="22"/>
          <w:lang w:val="en-US" w:eastAsia="zh-CN"/>
        </w:rPr>
      </w:pPr>
      <w:hyperlink w:anchor="_Toc451353754" w:history="1">
        <w:r w:rsidR="003E45D0" w:rsidRPr="00853C9F">
          <w:rPr>
            <w:rStyle w:val="Hyperlink"/>
            <w:lang w:val="en-US"/>
          </w:rPr>
          <w:t>3</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Spectrum needs for the amateur service in Region 1</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_Toc451353754 \h </w:instrText>
        </w:r>
        <w:r w:rsidR="003E45D0" w:rsidRPr="00853C9F">
          <w:rPr>
            <w:webHidden/>
            <w:lang w:val="en-US"/>
          </w:rPr>
        </w:r>
        <w:r w:rsidR="003E45D0" w:rsidRPr="00853C9F">
          <w:rPr>
            <w:webHidden/>
            <w:lang w:val="en-US"/>
          </w:rPr>
          <w:fldChar w:fldCharType="separate"/>
        </w:r>
        <w:r w:rsidR="003E45D0" w:rsidRPr="00853C9F">
          <w:rPr>
            <w:noProof/>
            <w:webHidden/>
            <w:lang w:val="en-US"/>
          </w:rPr>
          <w:t>6</w:t>
        </w:r>
        <w:r w:rsidR="003E45D0" w:rsidRPr="00853C9F">
          <w:rPr>
            <w:webHidden/>
            <w:lang w:val="en-US"/>
          </w:rPr>
          <w:fldChar w:fldCharType="end"/>
        </w:r>
      </w:hyperlink>
    </w:p>
    <w:p w14:paraId="1FBB7239" w14:textId="0D378F8D" w:rsidR="003E45D0" w:rsidRPr="00853C9F" w:rsidRDefault="001D3240">
      <w:pPr>
        <w:pStyle w:val="TOC1"/>
        <w:rPr>
          <w:rFonts w:asciiTheme="minorHAnsi" w:eastAsiaTheme="minorEastAsia" w:hAnsiTheme="minorHAnsi" w:cstheme="minorBidi"/>
          <w:sz w:val="22"/>
          <w:szCs w:val="22"/>
          <w:lang w:val="en-US" w:eastAsia="zh-CN"/>
        </w:rPr>
      </w:pPr>
      <w:hyperlink w:anchor="_Toc451353755" w:history="1">
        <w:r w:rsidR="003E45D0" w:rsidRPr="00853C9F">
          <w:rPr>
            <w:rStyle w:val="Hyperlink"/>
            <w:lang w:val="en-US"/>
          </w:rPr>
          <w:t>4</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Characteristics of amateur stations for sharing studies</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_Toc451353755 \h </w:instrText>
        </w:r>
        <w:r w:rsidR="003E45D0" w:rsidRPr="00853C9F">
          <w:rPr>
            <w:webHidden/>
            <w:lang w:val="en-US"/>
          </w:rPr>
        </w:r>
        <w:r w:rsidR="003E45D0" w:rsidRPr="00853C9F">
          <w:rPr>
            <w:webHidden/>
            <w:lang w:val="en-US"/>
          </w:rPr>
          <w:fldChar w:fldCharType="separate"/>
        </w:r>
        <w:r w:rsidR="003E45D0" w:rsidRPr="00853C9F">
          <w:rPr>
            <w:noProof/>
            <w:webHidden/>
            <w:lang w:val="en-US"/>
          </w:rPr>
          <w:t>7</w:t>
        </w:r>
        <w:r w:rsidR="003E45D0" w:rsidRPr="00853C9F">
          <w:rPr>
            <w:webHidden/>
            <w:lang w:val="en-US"/>
          </w:rPr>
          <w:fldChar w:fldCharType="end"/>
        </w:r>
      </w:hyperlink>
    </w:p>
    <w:p w14:paraId="7519BD76" w14:textId="278AD988" w:rsidR="003E45D0" w:rsidRPr="00853C9F" w:rsidRDefault="001D3240">
      <w:pPr>
        <w:pStyle w:val="TOC1"/>
        <w:rPr>
          <w:rFonts w:asciiTheme="minorHAnsi" w:eastAsiaTheme="minorEastAsia" w:hAnsiTheme="minorHAnsi" w:cstheme="minorBidi"/>
          <w:sz w:val="22"/>
          <w:szCs w:val="22"/>
          <w:lang w:val="en-US" w:eastAsia="zh-CN"/>
        </w:rPr>
      </w:pPr>
      <w:hyperlink w:anchor="_Toc451353756" w:history="1">
        <w:r w:rsidR="003E45D0" w:rsidRPr="00853C9F">
          <w:rPr>
            <w:rStyle w:val="Hyperlink"/>
            <w:lang w:val="en-US"/>
          </w:rPr>
          <w:t>5</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Sharing with other services</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_Toc451353756 \h </w:instrText>
        </w:r>
        <w:r w:rsidR="003E45D0" w:rsidRPr="00853C9F">
          <w:rPr>
            <w:webHidden/>
            <w:lang w:val="en-US"/>
          </w:rPr>
        </w:r>
        <w:r w:rsidR="003E45D0" w:rsidRPr="00853C9F">
          <w:rPr>
            <w:webHidden/>
            <w:lang w:val="en-US"/>
          </w:rPr>
          <w:fldChar w:fldCharType="separate"/>
        </w:r>
        <w:r w:rsidR="003E45D0" w:rsidRPr="00853C9F">
          <w:rPr>
            <w:noProof/>
            <w:webHidden/>
            <w:lang w:val="en-US"/>
          </w:rPr>
          <w:t>8</w:t>
        </w:r>
        <w:r w:rsidR="003E45D0" w:rsidRPr="00853C9F">
          <w:rPr>
            <w:webHidden/>
            <w:lang w:val="en-US"/>
          </w:rPr>
          <w:fldChar w:fldCharType="end"/>
        </w:r>
      </w:hyperlink>
    </w:p>
    <w:p w14:paraId="77864004" w14:textId="14C810EC" w:rsidR="003E45D0" w:rsidRPr="00853C9F" w:rsidRDefault="001D3240">
      <w:pPr>
        <w:pStyle w:val="TOC2"/>
        <w:rPr>
          <w:rFonts w:asciiTheme="minorHAnsi" w:eastAsiaTheme="minorEastAsia" w:hAnsiTheme="minorHAnsi" w:cstheme="minorBidi"/>
          <w:sz w:val="22"/>
          <w:szCs w:val="22"/>
          <w:lang w:val="en-US" w:eastAsia="zh-CN"/>
        </w:rPr>
      </w:pPr>
      <w:hyperlink w:anchor="_Toc451353757" w:history="1">
        <w:r w:rsidR="003E45D0" w:rsidRPr="00853C9F">
          <w:rPr>
            <w:rStyle w:val="Hyperlink"/>
            <w:lang w:val="en-US"/>
          </w:rPr>
          <w:t>5.1</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Mobile service</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_Toc451353757 \h </w:instrText>
        </w:r>
        <w:r w:rsidR="003E45D0" w:rsidRPr="00853C9F">
          <w:rPr>
            <w:webHidden/>
            <w:lang w:val="en-US"/>
          </w:rPr>
        </w:r>
        <w:r w:rsidR="003E45D0" w:rsidRPr="00853C9F">
          <w:rPr>
            <w:webHidden/>
            <w:lang w:val="en-US"/>
          </w:rPr>
          <w:fldChar w:fldCharType="separate"/>
        </w:r>
        <w:r w:rsidR="003E45D0" w:rsidRPr="00853C9F">
          <w:rPr>
            <w:noProof/>
            <w:webHidden/>
            <w:lang w:val="en-US"/>
          </w:rPr>
          <w:t>8</w:t>
        </w:r>
        <w:r w:rsidR="003E45D0" w:rsidRPr="00853C9F">
          <w:rPr>
            <w:webHidden/>
            <w:lang w:val="en-US"/>
          </w:rPr>
          <w:fldChar w:fldCharType="end"/>
        </w:r>
      </w:hyperlink>
    </w:p>
    <w:p w14:paraId="7452C5DF" w14:textId="5A3DF165" w:rsidR="003E45D0" w:rsidRPr="00853C9F" w:rsidRDefault="001D3240">
      <w:pPr>
        <w:pStyle w:val="TOC2"/>
        <w:rPr>
          <w:rFonts w:asciiTheme="minorHAnsi" w:eastAsiaTheme="minorEastAsia" w:hAnsiTheme="minorHAnsi" w:cstheme="minorBidi"/>
          <w:sz w:val="22"/>
          <w:szCs w:val="22"/>
          <w:lang w:val="en-US" w:eastAsia="zh-CN"/>
        </w:rPr>
      </w:pPr>
      <w:hyperlink w:anchor="_Toc451353758" w:history="1">
        <w:r w:rsidR="003E45D0" w:rsidRPr="00853C9F">
          <w:rPr>
            <w:rStyle w:val="Hyperlink"/>
            <w:lang w:val="en-US"/>
          </w:rPr>
          <w:t>5.2</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Fixed Service</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_Toc451353758 \h </w:instrText>
        </w:r>
        <w:r w:rsidR="003E45D0" w:rsidRPr="00853C9F">
          <w:rPr>
            <w:webHidden/>
            <w:lang w:val="en-US"/>
          </w:rPr>
        </w:r>
        <w:r w:rsidR="003E45D0" w:rsidRPr="00853C9F">
          <w:rPr>
            <w:webHidden/>
            <w:lang w:val="en-US"/>
          </w:rPr>
          <w:fldChar w:fldCharType="separate"/>
        </w:r>
        <w:r w:rsidR="003E45D0" w:rsidRPr="00853C9F">
          <w:rPr>
            <w:noProof/>
            <w:webHidden/>
            <w:lang w:val="en-US"/>
          </w:rPr>
          <w:t>9</w:t>
        </w:r>
        <w:r w:rsidR="003E45D0" w:rsidRPr="00853C9F">
          <w:rPr>
            <w:webHidden/>
            <w:lang w:val="en-US"/>
          </w:rPr>
          <w:fldChar w:fldCharType="end"/>
        </w:r>
      </w:hyperlink>
    </w:p>
    <w:p w14:paraId="267DF5EC" w14:textId="15628A5C" w:rsidR="003E45D0" w:rsidRPr="00853C9F" w:rsidRDefault="001D3240">
      <w:pPr>
        <w:pStyle w:val="TOC2"/>
        <w:rPr>
          <w:rFonts w:asciiTheme="minorHAnsi" w:eastAsiaTheme="minorEastAsia" w:hAnsiTheme="minorHAnsi" w:cstheme="minorBidi"/>
          <w:sz w:val="22"/>
          <w:szCs w:val="22"/>
          <w:lang w:val="en-US" w:eastAsia="zh-CN"/>
        </w:rPr>
      </w:pPr>
      <w:hyperlink w:anchor="_Toc451353759" w:history="1">
        <w:r w:rsidR="003E45D0" w:rsidRPr="00853C9F">
          <w:rPr>
            <w:rStyle w:val="Hyperlink"/>
            <w:lang w:val="en-US"/>
          </w:rPr>
          <w:t>5.3</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Radiolocation Service</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_Toc451353759 \h </w:instrText>
        </w:r>
        <w:r w:rsidR="003E45D0" w:rsidRPr="00853C9F">
          <w:rPr>
            <w:webHidden/>
            <w:lang w:val="en-US"/>
          </w:rPr>
        </w:r>
        <w:r w:rsidR="003E45D0" w:rsidRPr="00853C9F">
          <w:rPr>
            <w:webHidden/>
            <w:lang w:val="en-US"/>
          </w:rPr>
          <w:fldChar w:fldCharType="separate"/>
        </w:r>
        <w:r w:rsidR="003E45D0" w:rsidRPr="00853C9F">
          <w:rPr>
            <w:noProof/>
            <w:webHidden/>
            <w:lang w:val="en-US"/>
          </w:rPr>
          <w:t>9</w:t>
        </w:r>
        <w:r w:rsidR="003E45D0" w:rsidRPr="00853C9F">
          <w:rPr>
            <w:webHidden/>
            <w:lang w:val="en-US"/>
          </w:rPr>
          <w:fldChar w:fldCharType="end"/>
        </w:r>
      </w:hyperlink>
    </w:p>
    <w:p w14:paraId="49502697" w14:textId="006296A9" w:rsidR="003E45D0" w:rsidRPr="00853C9F" w:rsidRDefault="001D3240">
      <w:pPr>
        <w:pStyle w:val="TOC2"/>
        <w:rPr>
          <w:rFonts w:asciiTheme="minorHAnsi" w:eastAsiaTheme="minorEastAsia" w:hAnsiTheme="minorHAnsi" w:cstheme="minorBidi"/>
          <w:sz w:val="22"/>
          <w:szCs w:val="22"/>
          <w:lang w:val="en-US" w:eastAsia="zh-CN"/>
        </w:rPr>
      </w:pPr>
      <w:hyperlink w:anchor="_Toc451353760" w:history="1">
        <w:r w:rsidR="003E45D0" w:rsidRPr="00853C9F">
          <w:rPr>
            <w:rStyle w:val="Hyperlink"/>
            <w:lang w:val="en-US"/>
          </w:rPr>
          <w:t xml:space="preserve">5.4 </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Broadcasting Service</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_Toc451353760 \h </w:instrText>
        </w:r>
        <w:r w:rsidR="003E45D0" w:rsidRPr="00853C9F">
          <w:rPr>
            <w:webHidden/>
            <w:lang w:val="en-US"/>
          </w:rPr>
        </w:r>
        <w:r w:rsidR="003E45D0" w:rsidRPr="00853C9F">
          <w:rPr>
            <w:webHidden/>
            <w:lang w:val="en-US"/>
          </w:rPr>
          <w:fldChar w:fldCharType="separate"/>
        </w:r>
        <w:r w:rsidR="003E45D0" w:rsidRPr="00853C9F">
          <w:rPr>
            <w:noProof/>
            <w:webHidden/>
            <w:lang w:val="en-US"/>
          </w:rPr>
          <w:t>9</w:t>
        </w:r>
        <w:r w:rsidR="003E45D0" w:rsidRPr="00853C9F">
          <w:rPr>
            <w:webHidden/>
            <w:lang w:val="en-US"/>
          </w:rPr>
          <w:fldChar w:fldCharType="end"/>
        </w:r>
      </w:hyperlink>
    </w:p>
    <w:p w14:paraId="22E5501D" w14:textId="613A7D73" w:rsidR="003E45D0" w:rsidRPr="00853C9F" w:rsidRDefault="001D3240">
      <w:pPr>
        <w:pStyle w:val="TOC1"/>
        <w:rPr>
          <w:rFonts w:asciiTheme="minorHAnsi" w:eastAsiaTheme="minorEastAsia" w:hAnsiTheme="minorHAnsi" w:cstheme="minorBidi"/>
          <w:sz w:val="22"/>
          <w:szCs w:val="22"/>
          <w:lang w:val="en-US" w:eastAsia="zh-CN"/>
        </w:rPr>
      </w:pPr>
      <w:hyperlink w:anchor="_Toc451353761" w:history="1">
        <w:r w:rsidR="003E45D0" w:rsidRPr="00853C9F">
          <w:rPr>
            <w:rStyle w:val="Hyperlink"/>
            <w:lang w:val="en-US"/>
          </w:rPr>
          <w:t>6</w:t>
        </w:r>
        <w:r w:rsidR="003E45D0" w:rsidRPr="00853C9F">
          <w:rPr>
            <w:rFonts w:asciiTheme="minorHAnsi" w:eastAsiaTheme="minorEastAsia" w:hAnsiTheme="minorHAnsi" w:cstheme="minorBidi"/>
            <w:sz w:val="22"/>
            <w:szCs w:val="22"/>
            <w:lang w:val="en-US" w:eastAsia="zh-CN"/>
          </w:rPr>
          <w:tab/>
        </w:r>
        <w:r w:rsidR="003E45D0" w:rsidRPr="00853C9F">
          <w:rPr>
            <w:rStyle w:val="Hyperlink"/>
            <w:lang w:val="en-US"/>
          </w:rPr>
          <w:t>Summary</w:t>
        </w:r>
        <w:r w:rsidR="003E45D0" w:rsidRPr="00853C9F">
          <w:rPr>
            <w:webHidden/>
            <w:lang w:val="en-US"/>
          </w:rPr>
          <w:tab/>
        </w:r>
        <w:r w:rsidR="003E45D0" w:rsidRPr="00853C9F">
          <w:rPr>
            <w:webHidden/>
            <w:lang w:val="en-US"/>
          </w:rPr>
          <w:tab/>
        </w:r>
        <w:r w:rsidR="003E45D0" w:rsidRPr="00853C9F">
          <w:rPr>
            <w:webHidden/>
            <w:lang w:val="en-US"/>
          </w:rPr>
          <w:fldChar w:fldCharType="begin"/>
        </w:r>
        <w:r w:rsidR="003E45D0" w:rsidRPr="00853C9F">
          <w:rPr>
            <w:webHidden/>
            <w:lang w:val="en-US"/>
          </w:rPr>
          <w:instrText xml:space="preserve"> PAGEREF _Toc451353761 \h </w:instrText>
        </w:r>
        <w:r w:rsidR="003E45D0" w:rsidRPr="00853C9F">
          <w:rPr>
            <w:webHidden/>
            <w:lang w:val="en-US"/>
          </w:rPr>
        </w:r>
        <w:r w:rsidR="003E45D0" w:rsidRPr="00853C9F">
          <w:rPr>
            <w:webHidden/>
            <w:lang w:val="en-US"/>
          </w:rPr>
          <w:fldChar w:fldCharType="separate"/>
        </w:r>
        <w:r w:rsidR="003E45D0" w:rsidRPr="00853C9F">
          <w:rPr>
            <w:noProof/>
            <w:webHidden/>
            <w:lang w:val="en-US"/>
          </w:rPr>
          <w:t>10</w:t>
        </w:r>
        <w:r w:rsidR="003E45D0" w:rsidRPr="00853C9F">
          <w:rPr>
            <w:webHidden/>
            <w:lang w:val="en-US"/>
          </w:rPr>
          <w:fldChar w:fldCharType="end"/>
        </w:r>
      </w:hyperlink>
    </w:p>
    <w:p w14:paraId="06660F72" w14:textId="77777777" w:rsidR="001549CF" w:rsidRPr="00853C9F" w:rsidRDefault="003E45D0" w:rsidP="001549CF">
      <w:pPr>
        <w:rPr>
          <w:lang w:val="en-US"/>
        </w:rPr>
      </w:pPr>
      <w:r w:rsidRPr="00853C9F">
        <w:rPr>
          <w:lang w:val="en-US"/>
        </w:rPr>
        <w:fldChar w:fldCharType="end"/>
      </w:r>
    </w:p>
    <w:p w14:paraId="31010D19" w14:textId="06AD0265" w:rsidR="00EB242E" w:rsidRPr="00853C9F" w:rsidRDefault="00EB242E" w:rsidP="001549CF">
      <w:pPr>
        <w:pStyle w:val="Heading1"/>
        <w:rPr>
          <w:lang w:val="en-US"/>
        </w:rPr>
      </w:pPr>
      <w:bookmarkStart w:id="12" w:name="_Toc451353752"/>
      <w:r w:rsidRPr="00853C9F">
        <w:rPr>
          <w:lang w:val="en-US"/>
        </w:rPr>
        <w:lastRenderedPageBreak/>
        <w:t>1</w:t>
      </w:r>
      <w:r w:rsidR="001549CF" w:rsidRPr="00853C9F">
        <w:rPr>
          <w:lang w:val="en-US"/>
        </w:rPr>
        <w:tab/>
      </w:r>
      <w:r w:rsidRPr="00853C9F">
        <w:rPr>
          <w:lang w:val="en-US"/>
        </w:rPr>
        <w:t>Introduction</w:t>
      </w:r>
      <w:bookmarkEnd w:id="10"/>
      <w:bookmarkEnd w:id="11"/>
      <w:bookmarkEnd w:id="12"/>
    </w:p>
    <w:p w14:paraId="106039DF" w14:textId="77777777" w:rsidR="00EB242E" w:rsidRPr="00853C9F" w:rsidRDefault="00EB242E" w:rsidP="003E45D0">
      <w:pPr>
        <w:keepNext/>
        <w:keepLines/>
        <w:rPr>
          <w:lang w:val="en-US" w:eastAsia="zh-CN"/>
        </w:rPr>
      </w:pPr>
      <w:r w:rsidRPr="00853C9F">
        <w:rPr>
          <w:lang w:val="en-US" w:eastAsia="zh-CN"/>
        </w:rPr>
        <w:t xml:space="preserve">Resolution </w:t>
      </w:r>
      <w:r w:rsidRPr="00853C9F">
        <w:rPr>
          <w:b/>
          <w:lang w:val="en-US" w:eastAsia="zh-CN"/>
        </w:rPr>
        <w:t>658</w:t>
      </w:r>
      <w:r w:rsidRPr="00853C9F">
        <w:rPr>
          <w:lang w:val="en-US" w:eastAsia="zh-CN"/>
        </w:rPr>
        <w:t xml:space="preserve"> (Geneva, 2015) invites ITU-R to conduct the following studies to support the deliberations of WRC-19 on agenda item 1.1:</w:t>
      </w:r>
    </w:p>
    <w:p w14:paraId="5698E5EB" w14:textId="77777777" w:rsidR="00EB242E" w:rsidRPr="00853C9F" w:rsidRDefault="00EB242E" w:rsidP="003E45D0">
      <w:pPr>
        <w:keepNext/>
        <w:keepLines/>
        <w:rPr>
          <w:i/>
          <w:iCs/>
          <w:lang w:val="en-US" w:eastAsia="zh-CN"/>
        </w:rPr>
      </w:pPr>
      <w:r w:rsidRPr="00853C9F">
        <w:rPr>
          <w:i/>
          <w:iCs/>
          <w:lang w:val="en-US" w:eastAsia="zh-CN"/>
        </w:rPr>
        <w:t xml:space="preserve">1 </w:t>
      </w:r>
      <w:r w:rsidRPr="00853C9F">
        <w:rPr>
          <w:i/>
          <w:iCs/>
          <w:lang w:val="en-US" w:eastAsia="zh-CN"/>
        </w:rPr>
        <w:tab/>
        <w:t>to study spectrum needs in Region 1 for the amateur service in the frequency band 50</w:t>
      </w:r>
      <w:r w:rsidRPr="00853C9F">
        <w:rPr>
          <w:i/>
          <w:iCs/>
          <w:lang w:val="en-US" w:eastAsia="zh-CN"/>
        </w:rPr>
        <w:noBreakHyphen/>
        <w:t>54 MHz;</w:t>
      </w:r>
    </w:p>
    <w:p w14:paraId="42B95445" w14:textId="77777777" w:rsidR="00EB242E" w:rsidRPr="00853C9F" w:rsidRDefault="00EB242E" w:rsidP="00EB242E">
      <w:pPr>
        <w:rPr>
          <w:lang w:val="en-US" w:eastAsia="zh-CN"/>
        </w:rPr>
      </w:pPr>
      <w:r w:rsidRPr="00853C9F">
        <w:rPr>
          <w:i/>
          <w:iCs/>
          <w:lang w:val="en-US" w:eastAsia="zh-CN"/>
        </w:rPr>
        <w:t xml:space="preserve">2 </w:t>
      </w:r>
      <w:r w:rsidRPr="00853C9F">
        <w:rPr>
          <w:i/>
          <w:iCs/>
          <w:lang w:val="en-US" w:eastAsia="zh-CN"/>
        </w:rPr>
        <w:tab/>
        <w:t>taking into account the results of the above studies, to study sharing between the amateur service and the mobile, fixed, radiolocation and broadcasting services, in order to ensure protection of these services.</w:t>
      </w:r>
    </w:p>
    <w:p w14:paraId="5AE2A41F" w14:textId="77777777" w:rsidR="00EB242E" w:rsidRPr="00853C9F" w:rsidRDefault="00EB242E" w:rsidP="00EB242E">
      <w:pPr>
        <w:rPr>
          <w:lang w:val="en-US" w:eastAsia="zh-CN"/>
        </w:rPr>
      </w:pPr>
      <w:r w:rsidRPr="00853C9F">
        <w:rPr>
          <w:lang w:val="en-US" w:eastAsia="zh-CN"/>
        </w:rPr>
        <w:t xml:space="preserve">This Report responds to the invitations of Resolution </w:t>
      </w:r>
      <w:r w:rsidRPr="00853C9F">
        <w:rPr>
          <w:b/>
          <w:lang w:val="en-US" w:eastAsia="zh-CN"/>
        </w:rPr>
        <w:t>658</w:t>
      </w:r>
      <w:r w:rsidRPr="00853C9F">
        <w:rPr>
          <w:lang w:val="en-US" w:eastAsia="zh-CN"/>
        </w:rPr>
        <w:t>.</w:t>
      </w:r>
    </w:p>
    <w:p w14:paraId="14DF3786" w14:textId="7FBFE750" w:rsidR="00EB242E" w:rsidRPr="00853C9F" w:rsidRDefault="00EB242E" w:rsidP="001549CF">
      <w:pPr>
        <w:pStyle w:val="Heading1"/>
        <w:rPr>
          <w:lang w:val="en-US"/>
        </w:rPr>
      </w:pPr>
      <w:bookmarkStart w:id="13" w:name="_Toc451373074"/>
      <w:bookmarkStart w:id="14" w:name="_Toc451353753"/>
      <w:r w:rsidRPr="00853C9F">
        <w:rPr>
          <w:lang w:val="en-US"/>
        </w:rPr>
        <w:t>2</w:t>
      </w:r>
      <w:r w:rsidR="001549CF" w:rsidRPr="00853C9F">
        <w:rPr>
          <w:lang w:val="en-US"/>
        </w:rPr>
        <w:tab/>
      </w:r>
      <w:r w:rsidRPr="00853C9F">
        <w:rPr>
          <w:lang w:val="en-US"/>
        </w:rPr>
        <w:t>Use of the frequency band 50-54 MHz by amateur service stations</w:t>
      </w:r>
      <w:bookmarkEnd w:id="13"/>
      <w:bookmarkEnd w:id="14"/>
    </w:p>
    <w:p w14:paraId="5261D6B6" w14:textId="77777777" w:rsidR="00EB242E" w:rsidRPr="00853C9F" w:rsidRDefault="00EB242E" w:rsidP="00EB242E">
      <w:pPr>
        <w:rPr>
          <w:lang w:val="en-US"/>
        </w:rPr>
      </w:pPr>
      <w:r w:rsidRPr="00853C9F">
        <w:rPr>
          <w:lang w:val="en-US"/>
        </w:rPr>
        <w:t xml:space="preserve">It is important to note that it is not possible to perform a quantitative analysis of the occupancy of the 50-54 MHz band by amateur service stations using MIFR data, because Administrations do not have amateur service frequency assignments registered by the Bureau. </w:t>
      </w:r>
    </w:p>
    <w:p w14:paraId="0E76E574" w14:textId="74B6CD73" w:rsidR="00EB242E" w:rsidRPr="00853C9F" w:rsidRDefault="00EB242E" w:rsidP="00EB242E">
      <w:pPr>
        <w:rPr>
          <w:lang w:val="en-US"/>
        </w:rPr>
      </w:pPr>
      <w:r w:rsidRPr="00853C9F">
        <w:rPr>
          <w:lang w:val="en-US"/>
        </w:rPr>
        <w:t>However, the European Table of Frequency Allocations (ECA TABLE) al</w:t>
      </w:r>
      <w:r w:rsidR="003E45D0" w:rsidRPr="00853C9F">
        <w:rPr>
          <w:lang w:val="en-US"/>
        </w:rPr>
        <w:t>locates the frequency band 50-</w:t>
      </w:r>
      <w:r w:rsidRPr="00853C9F">
        <w:rPr>
          <w:lang w:val="en-US"/>
        </w:rPr>
        <w:t xml:space="preserve">52 MHz to the amateur service on a secondary basis. In all European countries the frequency band is allocated for use by amateur service stations. The permitted maximum power of such stations is mostly 100 W, in some countries there are territorial limitations with regard to power and frequencies. </w:t>
      </w:r>
    </w:p>
    <w:p w14:paraId="024D44BF" w14:textId="79C7E148" w:rsidR="00EB242E" w:rsidRPr="00853C9F" w:rsidRDefault="00EB242E" w:rsidP="00EB242E">
      <w:pPr>
        <w:rPr>
          <w:lang w:val="en-US"/>
        </w:rPr>
      </w:pPr>
      <w:r w:rsidRPr="00853C9F">
        <w:rPr>
          <w:lang w:val="en-US"/>
        </w:rPr>
        <w:t xml:space="preserve">Table 1 provides a list of Region 1 Administrations </w:t>
      </w:r>
      <w:r w:rsidRPr="00853C9F">
        <w:rPr>
          <w:highlight w:val="yellow"/>
          <w:lang w:val="en-US"/>
        </w:rPr>
        <w:t>and the conditions for</w:t>
      </w:r>
      <w:r w:rsidRPr="00853C9F">
        <w:rPr>
          <w:lang w:val="en-US"/>
        </w:rPr>
        <w:t xml:space="preserve"> using the frequency band 50-54 MHz, as published in the website of the Internation</w:t>
      </w:r>
      <w:r w:rsidR="003E45D0" w:rsidRPr="00853C9F">
        <w:rPr>
          <w:lang w:val="en-US"/>
        </w:rPr>
        <w:t xml:space="preserve">al Amateur Radio Union (IARU). </w:t>
      </w:r>
    </w:p>
    <w:p w14:paraId="6953104D" w14:textId="7B905CA2" w:rsidR="00EB242E" w:rsidRPr="00853C9F" w:rsidRDefault="00EB242E" w:rsidP="00EB242E">
      <w:pPr>
        <w:rPr>
          <w:i/>
          <w:lang w:val="en-US"/>
        </w:rPr>
      </w:pPr>
      <w:r w:rsidRPr="00853C9F">
        <w:rPr>
          <w:i/>
          <w:highlight w:val="yellow"/>
          <w:lang w:val="en-US"/>
        </w:rPr>
        <w:t xml:space="preserve">Editor’s note: </w:t>
      </w:r>
      <w:r w:rsidR="00AE72CB" w:rsidRPr="00853C9F">
        <w:rPr>
          <w:i/>
          <w:highlight w:val="yellow"/>
          <w:lang w:val="en-US"/>
        </w:rPr>
        <w:t xml:space="preserve">This </w:t>
      </w:r>
      <w:r w:rsidRPr="00853C9F">
        <w:rPr>
          <w:i/>
          <w:highlight w:val="yellow"/>
          <w:lang w:val="en-US"/>
        </w:rPr>
        <w:t xml:space="preserve">information needs to be checked for currency and a final decision about which version of </w:t>
      </w:r>
      <w:r w:rsidR="00AE72CB" w:rsidRPr="00853C9F">
        <w:rPr>
          <w:i/>
          <w:highlight w:val="yellow"/>
          <w:lang w:val="en-US"/>
        </w:rPr>
        <w:t xml:space="preserve">Table </w:t>
      </w:r>
      <w:r w:rsidRPr="00853C9F">
        <w:rPr>
          <w:i/>
          <w:highlight w:val="yellow"/>
          <w:lang w:val="en-US"/>
        </w:rPr>
        <w:t>1 is to be used or whether to merge</w:t>
      </w:r>
      <w:r w:rsidR="00AE72CB">
        <w:rPr>
          <w:i/>
          <w:lang w:val="en-US"/>
        </w:rPr>
        <w:t>.</w:t>
      </w:r>
    </w:p>
    <w:p w14:paraId="3BDB183F" w14:textId="77777777" w:rsidR="00AE72CB" w:rsidRDefault="00AE72CB">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14:paraId="32A54DAA" w14:textId="6C3EAF61" w:rsidR="00EB242E" w:rsidRPr="00853C9F" w:rsidRDefault="00EB242E" w:rsidP="00EB242E">
      <w:pPr>
        <w:pStyle w:val="TableNo"/>
        <w:rPr>
          <w:lang w:val="en-US"/>
        </w:rPr>
      </w:pPr>
      <w:r w:rsidRPr="00853C9F">
        <w:rPr>
          <w:lang w:val="en-US"/>
        </w:rPr>
        <w:lastRenderedPageBreak/>
        <w:t>Table 1</w:t>
      </w:r>
    </w:p>
    <w:p w14:paraId="0AA14EA0" w14:textId="77777777" w:rsidR="00EB242E" w:rsidRPr="00853C9F" w:rsidRDefault="00EB242E" w:rsidP="00EB242E">
      <w:pPr>
        <w:pStyle w:val="Tabletitle"/>
        <w:rPr>
          <w:szCs w:val="24"/>
          <w:lang w:val="en-US" w:eastAsia="ru-RU"/>
        </w:rPr>
      </w:pPr>
      <w:r w:rsidRPr="00853C9F">
        <w:rPr>
          <w:lang w:val="en-US"/>
        </w:rPr>
        <w:t>Conditions for using the 50-52 MHz band, as published in the IARU website as at February 2016</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6"/>
        <w:gridCol w:w="709"/>
        <w:gridCol w:w="1134"/>
        <w:gridCol w:w="850"/>
        <w:gridCol w:w="709"/>
        <w:gridCol w:w="1417"/>
        <w:gridCol w:w="851"/>
        <w:gridCol w:w="1559"/>
        <w:gridCol w:w="1418"/>
      </w:tblGrid>
      <w:tr w:rsidR="00EB242E" w:rsidRPr="00AE72CB" w14:paraId="73C313F9" w14:textId="77777777" w:rsidTr="00295860">
        <w:trPr>
          <w:cantSplit/>
          <w:trHeight w:val="1134"/>
          <w:jc w:val="center"/>
        </w:trPr>
        <w:tc>
          <w:tcPr>
            <w:tcW w:w="856" w:type="dxa"/>
            <w:shd w:val="clear" w:color="auto" w:fill="F2DBDB"/>
            <w:textDirection w:val="btLr"/>
            <w:vAlign w:val="center"/>
          </w:tcPr>
          <w:p w14:paraId="089AD10E" w14:textId="53E3ABCD" w:rsidR="00EB242E" w:rsidRPr="00AE72CB" w:rsidRDefault="00EB242E" w:rsidP="00295860">
            <w:pPr>
              <w:pStyle w:val="Tablehead"/>
              <w:ind w:left="113" w:right="113"/>
              <w:rPr>
                <w:lang w:val="en-US" w:eastAsia="ru-RU"/>
              </w:rPr>
            </w:pPr>
            <w:r w:rsidRPr="00AE72CB">
              <w:rPr>
                <w:lang w:val="en-US" w:eastAsia="ru-RU"/>
              </w:rPr>
              <w:t>ADM</w:t>
            </w:r>
          </w:p>
        </w:tc>
        <w:tc>
          <w:tcPr>
            <w:tcW w:w="709" w:type="dxa"/>
            <w:shd w:val="clear" w:color="auto" w:fill="F2DBDB"/>
            <w:textDirection w:val="btLr"/>
            <w:vAlign w:val="center"/>
          </w:tcPr>
          <w:p w14:paraId="3652B810" w14:textId="77777777" w:rsidR="00EB242E" w:rsidRPr="00AE72CB" w:rsidRDefault="00EB242E" w:rsidP="00295860">
            <w:pPr>
              <w:pStyle w:val="Tablehead"/>
              <w:ind w:left="113" w:right="113"/>
              <w:rPr>
                <w:lang w:val="en-US" w:eastAsia="ru-RU"/>
              </w:rPr>
            </w:pPr>
            <w:r w:rsidRPr="00AE72CB">
              <w:rPr>
                <w:lang w:val="en-US" w:eastAsia="ru-RU"/>
              </w:rPr>
              <w:t>used/ not used</w:t>
            </w:r>
          </w:p>
        </w:tc>
        <w:tc>
          <w:tcPr>
            <w:tcW w:w="1134" w:type="dxa"/>
            <w:shd w:val="clear" w:color="auto" w:fill="F2DBDB"/>
            <w:textDirection w:val="btLr"/>
            <w:vAlign w:val="center"/>
          </w:tcPr>
          <w:p w14:paraId="1E6C1D93" w14:textId="0D5D6B22" w:rsidR="00EB242E" w:rsidRPr="00AE72CB" w:rsidRDefault="00EB242E" w:rsidP="00295860">
            <w:pPr>
              <w:pStyle w:val="Tablehead"/>
              <w:ind w:left="113" w:right="113"/>
              <w:rPr>
                <w:lang w:val="en-US" w:eastAsia="ru-RU"/>
              </w:rPr>
            </w:pPr>
            <w:r w:rsidRPr="00AE72CB">
              <w:rPr>
                <w:lang w:val="en-US" w:eastAsia="ru-RU"/>
              </w:rPr>
              <w:t>Usage condition</w:t>
            </w:r>
          </w:p>
        </w:tc>
        <w:tc>
          <w:tcPr>
            <w:tcW w:w="850" w:type="dxa"/>
            <w:shd w:val="clear" w:color="auto" w:fill="F2DBDB"/>
            <w:textDirection w:val="btLr"/>
            <w:vAlign w:val="center"/>
          </w:tcPr>
          <w:p w14:paraId="34B74920" w14:textId="77777777" w:rsidR="00EB242E" w:rsidRPr="00AE72CB" w:rsidRDefault="00EB242E" w:rsidP="00295860">
            <w:pPr>
              <w:pStyle w:val="Tablehead"/>
              <w:ind w:left="113" w:right="113"/>
              <w:rPr>
                <w:lang w:val="en-US" w:eastAsia="ru-RU"/>
              </w:rPr>
            </w:pPr>
            <w:r w:rsidRPr="00AE72CB">
              <w:rPr>
                <w:lang w:val="en-US" w:eastAsia="ru-RU"/>
              </w:rPr>
              <w:t>ADM</w:t>
            </w:r>
          </w:p>
        </w:tc>
        <w:tc>
          <w:tcPr>
            <w:tcW w:w="709" w:type="dxa"/>
            <w:shd w:val="clear" w:color="auto" w:fill="F2DBDB"/>
            <w:textDirection w:val="btLr"/>
            <w:vAlign w:val="center"/>
          </w:tcPr>
          <w:p w14:paraId="767D175B" w14:textId="77777777" w:rsidR="00EB242E" w:rsidRPr="00AE72CB" w:rsidRDefault="00EB242E" w:rsidP="00295860">
            <w:pPr>
              <w:pStyle w:val="Tablehead"/>
              <w:ind w:left="113" w:right="113"/>
              <w:rPr>
                <w:lang w:val="en-US" w:eastAsia="ru-RU"/>
              </w:rPr>
            </w:pPr>
            <w:r w:rsidRPr="00AE72CB">
              <w:rPr>
                <w:lang w:val="en-US" w:eastAsia="ru-RU"/>
              </w:rPr>
              <w:t>used/ not used</w:t>
            </w:r>
          </w:p>
        </w:tc>
        <w:tc>
          <w:tcPr>
            <w:tcW w:w="1417" w:type="dxa"/>
            <w:shd w:val="clear" w:color="auto" w:fill="F2DBDB"/>
            <w:textDirection w:val="btLr"/>
            <w:vAlign w:val="center"/>
          </w:tcPr>
          <w:p w14:paraId="37F5E9E2" w14:textId="77777777" w:rsidR="00EB242E" w:rsidRPr="00AE72CB" w:rsidRDefault="00EB242E" w:rsidP="00295860">
            <w:pPr>
              <w:pStyle w:val="Tablehead"/>
              <w:ind w:left="113" w:right="113"/>
              <w:rPr>
                <w:lang w:val="en-US" w:eastAsia="ru-RU"/>
              </w:rPr>
            </w:pPr>
            <w:r w:rsidRPr="00AE72CB">
              <w:rPr>
                <w:lang w:val="en-US" w:eastAsia="ru-RU"/>
              </w:rPr>
              <w:t>Usage condition</w:t>
            </w:r>
          </w:p>
        </w:tc>
        <w:tc>
          <w:tcPr>
            <w:tcW w:w="851" w:type="dxa"/>
            <w:shd w:val="clear" w:color="auto" w:fill="F2DBDB"/>
            <w:textDirection w:val="btLr"/>
            <w:vAlign w:val="center"/>
          </w:tcPr>
          <w:p w14:paraId="701A4543" w14:textId="77777777" w:rsidR="00EB242E" w:rsidRPr="00AE72CB" w:rsidRDefault="00EB242E" w:rsidP="00295860">
            <w:pPr>
              <w:pStyle w:val="Tablehead"/>
              <w:ind w:left="113" w:right="113"/>
              <w:rPr>
                <w:lang w:val="en-US" w:eastAsia="ru-RU"/>
              </w:rPr>
            </w:pPr>
            <w:r w:rsidRPr="00AE72CB">
              <w:rPr>
                <w:lang w:val="en-US" w:eastAsia="ru-RU"/>
              </w:rPr>
              <w:t>ADM</w:t>
            </w:r>
          </w:p>
        </w:tc>
        <w:tc>
          <w:tcPr>
            <w:tcW w:w="1559" w:type="dxa"/>
            <w:shd w:val="clear" w:color="auto" w:fill="F2DBDB"/>
            <w:textDirection w:val="btLr"/>
            <w:vAlign w:val="center"/>
          </w:tcPr>
          <w:p w14:paraId="3AE00417" w14:textId="77777777" w:rsidR="00EB242E" w:rsidRPr="00AE72CB" w:rsidRDefault="00EB242E" w:rsidP="00295860">
            <w:pPr>
              <w:pStyle w:val="Tablehead"/>
              <w:ind w:left="113" w:right="113"/>
              <w:rPr>
                <w:lang w:val="en-US" w:eastAsia="ru-RU"/>
              </w:rPr>
            </w:pPr>
            <w:r w:rsidRPr="00AE72CB">
              <w:rPr>
                <w:lang w:val="en-US" w:eastAsia="ru-RU"/>
              </w:rPr>
              <w:t>used/ not used</w:t>
            </w:r>
          </w:p>
        </w:tc>
        <w:tc>
          <w:tcPr>
            <w:tcW w:w="1418" w:type="dxa"/>
            <w:shd w:val="clear" w:color="auto" w:fill="F2DBDB"/>
            <w:textDirection w:val="btLr"/>
            <w:vAlign w:val="center"/>
          </w:tcPr>
          <w:p w14:paraId="3F09BDCC" w14:textId="77777777" w:rsidR="00EB242E" w:rsidRPr="00AE72CB" w:rsidRDefault="00EB242E" w:rsidP="00295860">
            <w:pPr>
              <w:pStyle w:val="Tablehead"/>
              <w:ind w:left="113" w:right="113"/>
              <w:rPr>
                <w:lang w:val="en-US" w:eastAsia="ru-RU"/>
              </w:rPr>
            </w:pPr>
            <w:r w:rsidRPr="00AE72CB">
              <w:rPr>
                <w:lang w:val="en-US" w:eastAsia="ru-RU"/>
              </w:rPr>
              <w:t>Usage condition</w:t>
            </w:r>
          </w:p>
        </w:tc>
      </w:tr>
      <w:tr w:rsidR="00EB242E" w:rsidRPr="00AE72CB" w14:paraId="0CF92F22" w14:textId="77777777" w:rsidTr="00295860">
        <w:trPr>
          <w:jc w:val="center"/>
        </w:trPr>
        <w:tc>
          <w:tcPr>
            <w:tcW w:w="856" w:type="dxa"/>
            <w:shd w:val="clear" w:color="auto" w:fill="FFFFFF"/>
          </w:tcPr>
          <w:p w14:paraId="1DE221A2" w14:textId="77777777" w:rsidR="00EB242E" w:rsidRPr="00AE72CB" w:rsidRDefault="00EB242E" w:rsidP="00295860">
            <w:pPr>
              <w:pStyle w:val="Tabletext"/>
              <w:jc w:val="center"/>
              <w:rPr>
                <w:lang w:val="en-US"/>
              </w:rPr>
            </w:pPr>
            <w:r w:rsidRPr="00AE72CB">
              <w:rPr>
                <w:lang w:val="en-US"/>
              </w:rPr>
              <w:t>ARM</w:t>
            </w:r>
          </w:p>
        </w:tc>
        <w:tc>
          <w:tcPr>
            <w:tcW w:w="709" w:type="dxa"/>
            <w:shd w:val="clear" w:color="auto" w:fill="FFFFFF"/>
          </w:tcPr>
          <w:p w14:paraId="0731062B" w14:textId="77777777" w:rsidR="00EB242E" w:rsidRPr="00AE72CB" w:rsidRDefault="00EB242E" w:rsidP="00295860">
            <w:pPr>
              <w:pStyle w:val="Tabletext"/>
              <w:jc w:val="center"/>
              <w:rPr>
                <w:lang w:val="en-US"/>
              </w:rPr>
            </w:pPr>
            <w:r w:rsidRPr="00AE72CB">
              <w:rPr>
                <w:lang w:val="en-US"/>
              </w:rPr>
              <w:t>no</w:t>
            </w:r>
          </w:p>
        </w:tc>
        <w:tc>
          <w:tcPr>
            <w:tcW w:w="1134" w:type="dxa"/>
            <w:shd w:val="clear" w:color="auto" w:fill="FFFFFF"/>
          </w:tcPr>
          <w:p w14:paraId="7EC64994" w14:textId="7F745CAE" w:rsidR="00EB242E" w:rsidRPr="00AE72CB" w:rsidRDefault="00295860" w:rsidP="00295860">
            <w:pPr>
              <w:pStyle w:val="Tabletext"/>
              <w:jc w:val="center"/>
              <w:rPr>
                <w:lang w:val="en-US"/>
              </w:rPr>
            </w:pPr>
            <w:r w:rsidRPr="00AE72CB">
              <w:rPr>
                <w:lang w:val="en-US"/>
              </w:rPr>
              <w:t>–</w:t>
            </w:r>
          </w:p>
        </w:tc>
        <w:tc>
          <w:tcPr>
            <w:tcW w:w="850" w:type="dxa"/>
            <w:shd w:val="clear" w:color="auto" w:fill="FFFFFF"/>
          </w:tcPr>
          <w:p w14:paraId="1801A82E" w14:textId="77777777" w:rsidR="00EB242E" w:rsidRPr="00AE72CB" w:rsidRDefault="00EB242E" w:rsidP="00295860">
            <w:pPr>
              <w:pStyle w:val="Tabletext"/>
              <w:jc w:val="center"/>
              <w:rPr>
                <w:lang w:val="en-US"/>
              </w:rPr>
            </w:pPr>
            <w:r w:rsidRPr="00AE72CB">
              <w:rPr>
                <w:lang w:val="en-US"/>
              </w:rPr>
              <w:t>E</w:t>
            </w:r>
          </w:p>
        </w:tc>
        <w:tc>
          <w:tcPr>
            <w:tcW w:w="709" w:type="dxa"/>
            <w:shd w:val="clear" w:color="auto" w:fill="FFFFFF"/>
          </w:tcPr>
          <w:p w14:paraId="129DB877" w14:textId="77777777" w:rsidR="00EB242E" w:rsidRPr="00AE72CB" w:rsidRDefault="00EB242E" w:rsidP="00295860">
            <w:pPr>
              <w:pStyle w:val="Tabletext"/>
              <w:jc w:val="center"/>
              <w:rPr>
                <w:lang w:val="en-US"/>
              </w:rPr>
            </w:pPr>
            <w:r w:rsidRPr="00AE72CB">
              <w:rPr>
                <w:lang w:val="en-US"/>
              </w:rPr>
              <w:t>yes</w:t>
            </w:r>
          </w:p>
        </w:tc>
        <w:tc>
          <w:tcPr>
            <w:tcW w:w="1417" w:type="dxa"/>
            <w:shd w:val="clear" w:color="auto" w:fill="FFFFFF"/>
          </w:tcPr>
          <w:p w14:paraId="47BA7935" w14:textId="365322D9" w:rsidR="00EB242E" w:rsidRPr="00AE72CB" w:rsidRDefault="00EB242E" w:rsidP="00295860">
            <w:pPr>
              <w:pStyle w:val="Tabletext"/>
              <w:jc w:val="center"/>
              <w:rPr>
                <w:lang w:val="en-US"/>
              </w:rPr>
            </w:pPr>
            <w:r w:rsidRPr="00AE72CB">
              <w:rPr>
                <w:lang w:val="en-US"/>
              </w:rPr>
              <w:t>600 W PEP, 1</w:t>
            </w:r>
            <w:r w:rsidR="00295860" w:rsidRPr="00AE72CB">
              <w:rPr>
                <w:lang w:val="en-US"/>
              </w:rPr>
              <w:t> </w:t>
            </w:r>
            <w:r w:rsidRPr="00AE72CB">
              <w:rPr>
                <w:lang w:val="en-US"/>
              </w:rPr>
              <w:t>000 W EME and MS outside cities</w:t>
            </w:r>
          </w:p>
        </w:tc>
        <w:tc>
          <w:tcPr>
            <w:tcW w:w="851" w:type="dxa"/>
            <w:shd w:val="clear" w:color="auto" w:fill="FFFFFF"/>
          </w:tcPr>
          <w:p w14:paraId="57C8C723" w14:textId="77777777" w:rsidR="00EB242E" w:rsidRPr="00AE72CB" w:rsidRDefault="00EB242E" w:rsidP="00295860">
            <w:pPr>
              <w:pStyle w:val="Tabletext"/>
              <w:jc w:val="center"/>
              <w:rPr>
                <w:lang w:val="en-US"/>
              </w:rPr>
            </w:pPr>
            <w:r w:rsidRPr="00AE72CB">
              <w:rPr>
                <w:lang w:val="en-US"/>
              </w:rPr>
              <w:t>KAZ</w:t>
            </w:r>
          </w:p>
        </w:tc>
        <w:tc>
          <w:tcPr>
            <w:tcW w:w="1559" w:type="dxa"/>
            <w:shd w:val="clear" w:color="auto" w:fill="FFFFFF"/>
          </w:tcPr>
          <w:p w14:paraId="4C8C5E3C" w14:textId="77777777" w:rsidR="00EB242E" w:rsidRPr="00AE72CB" w:rsidRDefault="00EB242E" w:rsidP="00295860">
            <w:pPr>
              <w:pStyle w:val="Tabletext"/>
              <w:jc w:val="center"/>
              <w:rPr>
                <w:lang w:val="en-US"/>
              </w:rPr>
            </w:pPr>
            <w:r w:rsidRPr="00AE72CB">
              <w:rPr>
                <w:lang w:val="en-US"/>
              </w:rPr>
              <w:t>no</w:t>
            </w:r>
          </w:p>
        </w:tc>
        <w:tc>
          <w:tcPr>
            <w:tcW w:w="1418" w:type="dxa"/>
            <w:shd w:val="clear" w:color="auto" w:fill="FFFFFF"/>
          </w:tcPr>
          <w:p w14:paraId="4007F971" w14:textId="63ADD426" w:rsidR="00EB242E" w:rsidRPr="00AE72CB" w:rsidRDefault="00295860" w:rsidP="00295860">
            <w:pPr>
              <w:pStyle w:val="Tabletext"/>
              <w:jc w:val="center"/>
              <w:rPr>
                <w:lang w:val="en-US"/>
              </w:rPr>
            </w:pPr>
            <w:r w:rsidRPr="00AE72CB">
              <w:rPr>
                <w:lang w:val="en-US"/>
              </w:rPr>
              <w:t>–</w:t>
            </w:r>
          </w:p>
        </w:tc>
      </w:tr>
      <w:tr w:rsidR="00EB242E" w:rsidRPr="00AE72CB" w14:paraId="6CE6F852" w14:textId="77777777" w:rsidTr="00295860">
        <w:trPr>
          <w:jc w:val="center"/>
        </w:trPr>
        <w:tc>
          <w:tcPr>
            <w:tcW w:w="856" w:type="dxa"/>
            <w:shd w:val="clear" w:color="auto" w:fill="FFFFFF"/>
          </w:tcPr>
          <w:p w14:paraId="4E91DEFA" w14:textId="77777777" w:rsidR="00EB242E" w:rsidRPr="00AE72CB" w:rsidRDefault="00EB242E" w:rsidP="00295860">
            <w:pPr>
              <w:pStyle w:val="Tabletext"/>
              <w:jc w:val="center"/>
              <w:rPr>
                <w:lang w:val="en-US"/>
              </w:rPr>
            </w:pPr>
            <w:r w:rsidRPr="00AE72CB">
              <w:rPr>
                <w:lang w:val="en-US"/>
              </w:rPr>
              <w:t>AUT</w:t>
            </w:r>
          </w:p>
        </w:tc>
        <w:tc>
          <w:tcPr>
            <w:tcW w:w="709" w:type="dxa"/>
            <w:shd w:val="clear" w:color="auto" w:fill="FFFFFF"/>
          </w:tcPr>
          <w:p w14:paraId="4D23FC6E"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7897D91B" w14:textId="77777777" w:rsidR="00EB242E" w:rsidRPr="00AE72CB" w:rsidRDefault="00EB242E" w:rsidP="00295860">
            <w:pPr>
              <w:pStyle w:val="Tabletext"/>
              <w:jc w:val="center"/>
              <w:rPr>
                <w:lang w:val="en-US"/>
              </w:rPr>
            </w:pPr>
            <w:r w:rsidRPr="00AE72CB">
              <w:rPr>
                <w:lang w:val="en-US"/>
              </w:rPr>
              <w:t>50-52 MHz sec, 100 W</w:t>
            </w:r>
          </w:p>
        </w:tc>
        <w:tc>
          <w:tcPr>
            <w:tcW w:w="850" w:type="dxa"/>
            <w:shd w:val="clear" w:color="auto" w:fill="FFFFFF"/>
          </w:tcPr>
          <w:p w14:paraId="7470D625" w14:textId="77777777" w:rsidR="00EB242E" w:rsidRPr="00AE72CB" w:rsidRDefault="00EB242E" w:rsidP="00295860">
            <w:pPr>
              <w:pStyle w:val="Tabletext"/>
              <w:jc w:val="center"/>
              <w:rPr>
                <w:lang w:val="en-US"/>
              </w:rPr>
            </w:pPr>
            <w:r w:rsidRPr="00AE72CB">
              <w:rPr>
                <w:lang w:val="en-US"/>
              </w:rPr>
              <w:t>EGY</w:t>
            </w:r>
          </w:p>
        </w:tc>
        <w:tc>
          <w:tcPr>
            <w:tcW w:w="709" w:type="dxa"/>
            <w:shd w:val="clear" w:color="auto" w:fill="FFFFFF"/>
          </w:tcPr>
          <w:p w14:paraId="27D434AA" w14:textId="77777777" w:rsidR="00EB242E" w:rsidRPr="00AE72CB" w:rsidRDefault="00EB242E" w:rsidP="00295860">
            <w:pPr>
              <w:pStyle w:val="Tabletext"/>
              <w:jc w:val="center"/>
              <w:rPr>
                <w:lang w:val="en-US"/>
              </w:rPr>
            </w:pPr>
            <w:r w:rsidRPr="00AE72CB">
              <w:rPr>
                <w:lang w:val="en-US"/>
              </w:rPr>
              <w:t>no</w:t>
            </w:r>
          </w:p>
        </w:tc>
        <w:tc>
          <w:tcPr>
            <w:tcW w:w="1417" w:type="dxa"/>
            <w:shd w:val="clear" w:color="auto" w:fill="FFFFFF"/>
          </w:tcPr>
          <w:p w14:paraId="12F534E7" w14:textId="77777777" w:rsidR="00EB242E" w:rsidRPr="00AE72CB" w:rsidRDefault="00EB242E" w:rsidP="00295860">
            <w:pPr>
              <w:pStyle w:val="Tabletext"/>
              <w:jc w:val="center"/>
              <w:rPr>
                <w:lang w:val="en-US"/>
              </w:rPr>
            </w:pPr>
          </w:p>
        </w:tc>
        <w:tc>
          <w:tcPr>
            <w:tcW w:w="851" w:type="dxa"/>
            <w:shd w:val="clear" w:color="auto" w:fill="FFFFFF"/>
          </w:tcPr>
          <w:p w14:paraId="63FB3EE8" w14:textId="77777777" w:rsidR="00EB242E" w:rsidRPr="00AE72CB" w:rsidRDefault="00EB242E" w:rsidP="00295860">
            <w:pPr>
              <w:pStyle w:val="Tabletext"/>
              <w:jc w:val="center"/>
              <w:rPr>
                <w:lang w:val="en-US"/>
              </w:rPr>
            </w:pPr>
            <w:r w:rsidRPr="00AE72CB">
              <w:rPr>
                <w:lang w:val="en-US"/>
              </w:rPr>
              <w:t>KEN</w:t>
            </w:r>
          </w:p>
        </w:tc>
        <w:tc>
          <w:tcPr>
            <w:tcW w:w="1559" w:type="dxa"/>
            <w:shd w:val="clear" w:color="auto" w:fill="FFFFFF"/>
          </w:tcPr>
          <w:p w14:paraId="38A944F1" w14:textId="77777777" w:rsidR="00EB242E" w:rsidRPr="00AE72CB" w:rsidRDefault="00EB242E" w:rsidP="00295860">
            <w:pPr>
              <w:pStyle w:val="Tabletext"/>
              <w:jc w:val="center"/>
              <w:rPr>
                <w:lang w:val="en-US"/>
              </w:rPr>
            </w:pPr>
            <w:r w:rsidRPr="00AE72CB">
              <w:rPr>
                <w:lang w:val="en-US"/>
              </w:rPr>
              <w:t>no</w:t>
            </w:r>
          </w:p>
        </w:tc>
        <w:tc>
          <w:tcPr>
            <w:tcW w:w="1418" w:type="dxa"/>
            <w:shd w:val="clear" w:color="auto" w:fill="FFFFFF"/>
          </w:tcPr>
          <w:p w14:paraId="50C6924A" w14:textId="79EA776D" w:rsidR="00EB242E" w:rsidRPr="00AE72CB" w:rsidRDefault="00295860" w:rsidP="00295860">
            <w:pPr>
              <w:pStyle w:val="Tabletext"/>
              <w:jc w:val="center"/>
              <w:rPr>
                <w:lang w:val="en-US"/>
              </w:rPr>
            </w:pPr>
            <w:r w:rsidRPr="00AE72CB">
              <w:rPr>
                <w:lang w:val="en-US"/>
              </w:rPr>
              <w:t>–</w:t>
            </w:r>
          </w:p>
        </w:tc>
      </w:tr>
      <w:tr w:rsidR="00EB242E" w:rsidRPr="00AE72CB" w14:paraId="79941409" w14:textId="77777777" w:rsidTr="00295860">
        <w:trPr>
          <w:jc w:val="center"/>
        </w:trPr>
        <w:tc>
          <w:tcPr>
            <w:tcW w:w="856" w:type="dxa"/>
            <w:shd w:val="clear" w:color="auto" w:fill="FFFFFF"/>
          </w:tcPr>
          <w:p w14:paraId="73D16104" w14:textId="77777777" w:rsidR="00EB242E" w:rsidRPr="00AE72CB" w:rsidRDefault="00EB242E" w:rsidP="00295860">
            <w:pPr>
              <w:pStyle w:val="Tabletext"/>
              <w:jc w:val="center"/>
              <w:rPr>
                <w:lang w:val="en-US"/>
              </w:rPr>
            </w:pPr>
            <w:r w:rsidRPr="00AE72CB">
              <w:rPr>
                <w:lang w:val="en-US"/>
              </w:rPr>
              <w:t>AZE</w:t>
            </w:r>
          </w:p>
        </w:tc>
        <w:tc>
          <w:tcPr>
            <w:tcW w:w="709" w:type="dxa"/>
            <w:shd w:val="clear" w:color="auto" w:fill="FFFFFF"/>
          </w:tcPr>
          <w:p w14:paraId="4283C0C7" w14:textId="77777777" w:rsidR="00EB242E" w:rsidRPr="00AE72CB" w:rsidRDefault="00EB242E" w:rsidP="00295860">
            <w:pPr>
              <w:pStyle w:val="Tabletext"/>
              <w:jc w:val="center"/>
              <w:rPr>
                <w:lang w:val="en-US"/>
              </w:rPr>
            </w:pPr>
            <w:r w:rsidRPr="00AE72CB">
              <w:rPr>
                <w:lang w:val="en-US"/>
              </w:rPr>
              <w:t>no</w:t>
            </w:r>
          </w:p>
        </w:tc>
        <w:tc>
          <w:tcPr>
            <w:tcW w:w="1134" w:type="dxa"/>
            <w:shd w:val="clear" w:color="auto" w:fill="FFFFFF"/>
          </w:tcPr>
          <w:p w14:paraId="5387628A" w14:textId="682ADF42" w:rsidR="00EB242E" w:rsidRPr="00AE72CB" w:rsidRDefault="00295860" w:rsidP="00295860">
            <w:pPr>
              <w:pStyle w:val="Tabletext"/>
              <w:jc w:val="center"/>
              <w:rPr>
                <w:lang w:val="en-US"/>
              </w:rPr>
            </w:pPr>
            <w:r w:rsidRPr="00AE72CB">
              <w:rPr>
                <w:lang w:val="en-US"/>
              </w:rPr>
              <w:t>–</w:t>
            </w:r>
          </w:p>
        </w:tc>
        <w:tc>
          <w:tcPr>
            <w:tcW w:w="850" w:type="dxa"/>
            <w:shd w:val="clear" w:color="auto" w:fill="FFFFFF"/>
          </w:tcPr>
          <w:p w14:paraId="0BDC3695" w14:textId="77777777" w:rsidR="00EB242E" w:rsidRPr="00AE72CB" w:rsidRDefault="00EB242E" w:rsidP="00295860">
            <w:pPr>
              <w:pStyle w:val="Tabletext"/>
              <w:jc w:val="center"/>
              <w:rPr>
                <w:lang w:val="en-US"/>
              </w:rPr>
            </w:pPr>
            <w:r w:rsidRPr="00AE72CB">
              <w:rPr>
                <w:lang w:val="en-US"/>
              </w:rPr>
              <w:t>EST</w:t>
            </w:r>
          </w:p>
        </w:tc>
        <w:tc>
          <w:tcPr>
            <w:tcW w:w="709" w:type="dxa"/>
            <w:shd w:val="clear" w:color="auto" w:fill="FFFFFF"/>
          </w:tcPr>
          <w:p w14:paraId="1A269B91" w14:textId="77777777" w:rsidR="00EB242E" w:rsidRPr="00AE72CB" w:rsidRDefault="00EB242E" w:rsidP="00295860">
            <w:pPr>
              <w:pStyle w:val="Tabletext"/>
              <w:jc w:val="center"/>
              <w:rPr>
                <w:lang w:val="en-US"/>
              </w:rPr>
            </w:pPr>
            <w:r w:rsidRPr="00AE72CB">
              <w:rPr>
                <w:lang w:val="en-US"/>
              </w:rPr>
              <w:t>yes</w:t>
            </w:r>
          </w:p>
        </w:tc>
        <w:tc>
          <w:tcPr>
            <w:tcW w:w="1417" w:type="dxa"/>
            <w:shd w:val="clear" w:color="auto" w:fill="FFFFFF"/>
          </w:tcPr>
          <w:p w14:paraId="562ACE4F" w14:textId="77777777" w:rsidR="00EB242E" w:rsidRPr="00AE72CB" w:rsidRDefault="00EB242E" w:rsidP="00295860">
            <w:pPr>
              <w:pStyle w:val="Tabletext"/>
              <w:jc w:val="center"/>
              <w:rPr>
                <w:lang w:val="en-US"/>
              </w:rPr>
            </w:pPr>
            <w:r w:rsidRPr="00AE72CB">
              <w:rPr>
                <w:lang w:val="en-US"/>
              </w:rPr>
              <w:t>50-52 MHz sec</w:t>
            </w:r>
          </w:p>
        </w:tc>
        <w:tc>
          <w:tcPr>
            <w:tcW w:w="851" w:type="dxa"/>
            <w:shd w:val="clear" w:color="auto" w:fill="FFFFFF"/>
          </w:tcPr>
          <w:p w14:paraId="43399539" w14:textId="77777777" w:rsidR="00EB242E" w:rsidRPr="00AE72CB" w:rsidRDefault="00EB242E" w:rsidP="00295860">
            <w:pPr>
              <w:pStyle w:val="Tabletext"/>
              <w:jc w:val="center"/>
              <w:rPr>
                <w:lang w:val="en-US"/>
              </w:rPr>
            </w:pPr>
            <w:r w:rsidRPr="00AE72CB">
              <w:rPr>
                <w:lang w:val="en-US"/>
              </w:rPr>
              <w:t>KGZ</w:t>
            </w:r>
          </w:p>
        </w:tc>
        <w:tc>
          <w:tcPr>
            <w:tcW w:w="1559" w:type="dxa"/>
            <w:shd w:val="clear" w:color="auto" w:fill="FFFFFF"/>
          </w:tcPr>
          <w:p w14:paraId="131E9476" w14:textId="77777777" w:rsidR="00EB242E" w:rsidRPr="00AE72CB" w:rsidRDefault="00EB242E" w:rsidP="00295860">
            <w:pPr>
              <w:pStyle w:val="Tabletext"/>
              <w:jc w:val="center"/>
              <w:rPr>
                <w:lang w:val="en-US"/>
              </w:rPr>
            </w:pPr>
            <w:r w:rsidRPr="00AE72CB">
              <w:rPr>
                <w:lang w:val="en-US"/>
              </w:rPr>
              <w:t>no</w:t>
            </w:r>
          </w:p>
        </w:tc>
        <w:tc>
          <w:tcPr>
            <w:tcW w:w="1418" w:type="dxa"/>
            <w:shd w:val="clear" w:color="auto" w:fill="FFFFFF"/>
          </w:tcPr>
          <w:p w14:paraId="173223CC" w14:textId="71CD8CA3" w:rsidR="00EB242E" w:rsidRPr="00AE72CB" w:rsidRDefault="00295860" w:rsidP="00295860">
            <w:pPr>
              <w:pStyle w:val="Tabletext"/>
              <w:jc w:val="center"/>
              <w:rPr>
                <w:lang w:val="en-US"/>
              </w:rPr>
            </w:pPr>
            <w:r w:rsidRPr="00AE72CB">
              <w:rPr>
                <w:lang w:val="en-US"/>
              </w:rPr>
              <w:t>–</w:t>
            </w:r>
          </w:p>
        </w:tc>
      </w:tr>
      <w:tr w:rsidR="00EB242E" w:rsidRPr="00AE72CB" w14:paraId="6C4CFF14" w14:textId="77777777" w:rsidTr="00295860">
        <w:trPr>
          <w:jc w:val="center"/>
        </w:trPr>
        <w:tc>
          <w:tcPr>
            <w:tcW w:w="856" w:type="dxa"/>
            <w:shd w:val="clear" w:color="auto" w:fill="FFFFFF"/>
          </w:tcPr>
          <w:p w14:paraId="40D18FAF" w14:textId="77777777" w:rsidR="00EB242E" w:rsidRPr="00AE72CB" w:rsidRDefault="00EB242E" w:rsidP="00295860">
            <w:pPr>
              <w:pStyle w:val="Tabletext"/>
              <w:jc w:val="center"/>
              <w:rPr>
                <w:lang w:val="en-US"/>
              </w:rPr>
            </w:pPr>
            <w:r w:rsidRPr="00AE72CB">
              <w:rPr>
                <w:lang w:val="en-US"/>
              </w:rPr>
              <w:t>BEL</w:t>
            </w:r>
          </w:p>
        </w:tc>
        <w:tc>
          <w:tcPr>
            <w:tcW w:w="709" w:type="dxa"/>
            <w:shd w:val="clear" w:color="auto" w:fill="FFFFFF"/>
          </w:tcPr>
          <w:p w14:paraId="42821480"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135949DF" w14:textId="77777777" w:rsidR="00EB242E" w:rsidRPr="00AE72CB" w:rsidRDefault="00EB242E" w:rsidP="00295860">
            <w:pPr>
              <w:pStyle w:val="Tabletext"/>
              <w:jc w:val="center"/>
              <w:rPr>
                <w:lang w:val="en-US"/>
              </w:rPr>
            </w:pPr>
            <w:r w:rsidRPr="00AE72CB">
              <w:rPr>
                <w:lang w:val="en-US"/>
              </w:rPr>
              <w:t>50-52 MHz sec</w:t>
            </w:r>
          </w:p>
        </w:tc>
        <w:tc>
          <w:tcPr>
            <w:tcW w:w="850" w:type="dxa"/>
            <w:shd w:val="clear" w:color="auto" w:fill="FFFFFF"/>
          </w:tcPr>
          <w:p w14:paraId="63739B8B" w14:textId="77777777" w:rsidR="00EB242E" w:rsidRPr="00AE72CB" w:rsidRDefault="00EB242E" w:rsidP="00295860">
            <w:pPr>
              <w:pStyle w:val="Tabletext"/>
              <w:jc w:val="center"/>
              <w:rPr>
                <w:lang w:val="en-US"/>
              </w:rPr>
            </w:pPr>
            <w:r w:rsidRPr="00AE72CB">
              <w:rPr>
                <w:lang w:val="en-US"/>
              </w:rPr>
              <w:t>FIN</w:t>
            </w:r>
          </w:p>
        </w:tc>
        <w:tc>
          <w:tcPr>
            <w:tcW w:w="709" w:type="dxa"/>
            <w:shd w:val="clear" w:color="auto" w:fill="FFFFFF"/>
          </w:tcPr>
          <w:p w14:paraId="652311CA" w14:textId="77777777" w:rsidR="00EB242E" w:rsidRPr="00AE72CB" w:rsidRDefault="00EB242E" w:rsidP="00295860">
            <w:pPr>
              <w:pStyle w:val="Tabletext"/>
              <w:jc w:val="center"/>
              <w:rPr>
                <w:lang w:val="en-US"/>
              </w:rPr>
            </w:pPr>
            <w:r w:rsidRPr="00AE72CB">
              <w:rPr>
                <w:lang w:val="en-US"/>
              </w:rPr>
              <w:t>yes</w:t>
            </w:r>
          </w:p>
        </w:tc>
        <w:tc>
          <w:tcPr>
            <w:tcW w:w="1417" w:type="dxa"/>
            <w:shd w:val="clear" w:color="auto" w:fill="FFFFFF"/>
          </w:tcPr>
          <w:p w14:paraId="0D6E5A9D" w14:textId="77777777" w:rsidR="00EB242E" w:rsidRPr="00AE72CB" w:rsidRDefault="00EB242E" w:rsidP="00295860">
            <w:pPr>
              <w:pStyle w:val="Tabletext"/>
              <w:jc w:val="center"/>
              <w:rPr>
                <w:lang w:val="en-US"/>
              </w:rPr>
            </w:pPr>
            <w:r w:rsidRPr="00AE72CB">
              <w:rPr>
                <w:lang w:val="en-US"/>
              </w:rPr>
              <w:t>50-52 MHz sec</w:t>
            </w:r>
          </w:p>
        </w:tc>
        <w:tc>
          <w:tcPr>
            <w:tcW w:w="851" w:type="dxa"/>
            <w:shd w:val="clear" w:color="auto" w:fill="FFFFFF"/>
          </w:tcPr>
          <w:p w14:paraId="5D96DF8C" w14:textId="77777777" w:rsidR="00EB242E" w:rsidRPr="00AE72CB" w:rsidRDefault="00EB242E" w:rsidP="00295860">
            <w:pPr>
              <w:pStyle w:val="Tabletext"/>
              <w:jc w:val="center"/>
              <w:rPr>
                <w:lang w:val="en-US"/>
              </w:rPr>
            </w:pPr>
            <w:r w:rsidRPr="00AE72CB">
              <w:rPr>
                <w:lang w:val="en-US"/>
              </w:rPr>
              <w:t>NIG</w:t>
            </w:r>
          </w:p>
        </w:tc>
        <w:tc>
          <w:tcPr>
            <w:tcW w:w="1559" w:type="dxa"/>
            <w:shd w:val="clear" w:color="auto" w:fill="FFFFFF"/>
          </w:tcPr>
          <w:p w14:paraId="000AE5A4" w14:textId="77777777" w:rsidR="00EB242E" w:rsidRPr="00AE72CB" w:rsidRDefault="00EB242E" w:rsidP="00295860">
            <w:pPr>
              <w:pStyle w:val="Tabletext"/>
              <w:jc w:val="center"/>
              <w:rPr>
                <w:lang w:val="en-US"/>
              </w:rPr>
            </w:pPr>
            <w:r w:rsidRPr="00AE72CB">
              <w:rPr>
                <w:lang w:val="en-US"/>
              </w:rPr>
              <w:t>no</w:t>
            </w:r>
          </w:p>
        </w:tc>
        <w:tc>
          <w:tcPr>
            <w:tcW w:w="1418" w:type="dxa"/>
            <w:shd w:val="clear" w:color="auto" w:fill="FFFFFF"/>
          </w:tcPr>
          <w:p w14:paraId="3D1867A5" w14:textId="159C7472" w:rsidR="00EB242E" w:rsidRPr="00AE72CB" w:rsidRDefault="00295860" w:rsidP="00295860">
            <w:pPr>
              <w:pStyle w:val="Tabletext"/>
              <w:jc w:val="center"/>
              <w:rPr>
                <w:lang w:val="en-US"/>
              </w:rPr>
            </w:pPr>
            <w:r w:rsidRPr="00AE72CB">
              <w:rPr>
                <w:lang w:val="en-US"/>
              </w:rPr>
              <w:t>–</w:t>
            </w:r>
          </w:p>
        </w:tc>
      </w:tr>
      <w:tr w:rsidR="00EB242E" w:rsidRPr="00AE72CB" w14:paraId="005D5035" w14:textId="77777777" w:rsidTr="00295860">
        <w:trPr>
          <w:jc w:val="center"/>
        </w:trPr>
        <w:tc>
          <w:tcPr>
            <w:tcW w:w="856" w:type="dxa"/>
            <w:shd w:val="clear" w:color="auto" w:fill="FFFFFF"/>
          </w:tcPr>
          <w:p w14:paraId="60E29D72" w14:textId="77777777" w:rsidR="00EB242E" w:rsidRPr="00AE72CB" w:rsidRDefault="00EB242E" w:rsidP="00295860">
            <w:pPr>
              <w:pStyle w:val="Tabletext"/>
              <w:jc w:val="center"/>
              <w:rPr>
                <w:lang w:val="en-US"/>
              </w:rPr>
            </w:pPr>
            <w:r w:rsidRPr="00AE72CB">
              <w:rPr>
                <w:lang w:val="en-US"/>
              </w:rPr>
              <w:t>BLR</w:t>
            </w:r>
          </w:p>
        </w:tc>
        <w:tc>
          <w:tcPr>
            <w:tcW w:w="709" w:type="dxa"/>
            <w:shd w:val="clear" w:color="auto" w:fill="FFFFFF"/>
          </w:tcPr>
          <w:p w14:paraId="70BF0FEE" w14:textId="77777777" w:rsidR="00EB242E" w:rsidRPr="00AE72CB" w:rsidRDefault="00EB242E" w:rsidP="00295860">
            <w:pPr>
              <w:pStyle w:val="Tabletext"/>
              <w:jc w:val="center"/>
              <w:rPr>
                <w:lang w:val="en-US"/>
              </w:rPr>
            </w:pPr>
            <w:r w:rsidRPr="00AE72CB">
              <w:rPr>
                <w:lang w:val="en-US"/>
              </w:rPr>
              <w:t>no</w:t>
            </w:r>
          </w:p>
        </w:tc>
        <w:tc>
          <w:tcPr>
            <w:tcW w:w="1134" w:type="dxa"/>
            <w:shd w:val="clear" w:color="auto" w:fill="FFFFFF"/>
          </w:tcPr>
          <w:p w14:paraId="6CD2FE6A" w14:textId="663737FB" w:rsidR="00EB242E" w:rsidRPr="00AE72CB" w:rsidRDefault="00295860" w:rsidP="00295860">
            <w:pPr>
              <w:pStyle w:val="Tabletext"/>
              <w:jc w:val="center"/>
              <w:rPr>
                <w:lang w:val="en-US"/>
              </w:rPr>
            </w:pPr>
            <w:r w:rsidRPr="00AE72CB">
              <w:rPr>
                <w:lang w:val="en-US"/>
              </w:rPr>
              <w:t>–</w:t>
            </w:r>
          </w:p>
        </w:tc>
        <w:tc>
          <w:tcPr>
            <w:tcW w:w="850" w:type="dxa"/>
            <w:shd w:val="clear" w:color="auto" w:fill="FFFFFF"/>
          </w:tcPr>
          <w:p w14:paraId="75772A81" w14:textId="77777777" w:rsidR="00EB242E" w:rsidRPr="00AE72CB" w:rsidRDefault="00EB242E" w:rsidP="00295860">
            <w:pPr>
              <w:pStyle w:val="Tabletext"/>
              <w:jc w:val="center"/>
              <w:rPr>
                <w:lang w:val="en-US"/>
              </w:rPr>
            </w:pPr>
            <w:r w:rsidRPr="00AE72CB">
              <w:rPr>
                <w:lang w:val="en-US"/>
              </w:rPr>
              <w:t>GEO</w:t>
            </w:r>
          </w:p>
        </w:tc>
        <w:tc>
          <w:tcPr>
            <w:tcW w:w="709" w:type="dxa"/>
            <w:shd w:val="clear" w:color="auto" w:fill="FFFFFF"/>
          </w:tcPr>
          <w:p w14:paraId="77A69CC2" w14:textId="77777777" w:rsidR="00EB242E" w:rsidRPr="00AE72CB" w:rsidRDefault="00EB242E" w:rsidP="00295860">
            <w:pPr>
              <w:pStyle w:val="Tabletext"/>
              <w:jc w:val="center"/>
              <w:rPr>
                <w:lang w:val="en-US"/>
              </w:rPr>
            </w:pPr>
            <w:r w:rsidRPr="00AE72CB">
              <w:rPr>
                <w:lang w:val="en-US"/>
              </w:rPr>
              <w:t>no</w:t>
            </w:r>
          </w:p>
        </w:tc>
        <w:tc>
          <w:tcPr>
            <w:tcW w:w="1417" w:type="dxa"/>
            <w:shd w:val="clear" w:color="auto" w:fill="FFFFFF"/>
          </w:tcPr>
          <w:p w14:paraId="4DD8AF18" w14:textId="0B383CDE" w:rsidR="00EB242E" w:rsidRPr="00AE72CB" w:rsidRDefault="00295860" w:rsidP="00295860">
            <w:pPr>
              <w:pStyle w:val="Tabletext"/>
              <w:jc w:val="center"/>
              <w:rPr>
                <w:lang w:val="en-US"/>
              </w:rPr>
            </w:pPr>
            <w:r w:rsidRPr="00AE72CB">
              <w:rPr>
                <w:lang w:val="en-US"/>
              </w:rPr>
              <w:t>–</w:t>
            </w:r>
          </w:p>
        </w:tc>
        <w:tc>
          <w:tcPr>
            <w:tcW w:w="851" w:type="dxa"/>
            <w:shd w:val="clear" w:color="auto" w:fill="FFFFFF"/>
          </w:tcPr>
          <w:p w14:paraId="0CC205DC" w14:textId="77777777" w:rsidR="00EB242E" w:rsidRPr="00AE72CB" w:rsidRDefault="00EB242E" w:rsidP="00295860">
            <w:pPr>
              <w:pStyle w:val="Tabletext"/>
              <w:jc w:val="center"/>
              <w:rPr>
                <w:lang w:val="en-US"/>
              </w:rPr>
            </w:pPr>
            <w:r w:rsidRPr="00AE72CB">
              <w:rPr>
                <w:lang w:val="en-US"/>
              </w:rPr>
              <w:t>LVA</w:t>
            </w:r>
          </w:p>
        </w:tc>
        <w:tc>
          <w:tcPr>
            <w:tcW w:w="1559" w:type="dxa"/>
            <w:shd w:val="clear" w:color="auto" w:fill="FFFFFF"/>
          </w:tcPr>
          <w:p w14:paraId="0A67901B" w14:textId="77777777" w:rsidR="00EB242E" w:rsidRPr="00AE72CB" w:rsidRDefault="00EB242E" w:rsidP="00295860">
            <w:pPr>
              <w:pStyle w:val="Tabletext"/>
              <w:jc w:val="center"/>
              <w:rPr>
                <w:lang w:val="en-US"/>
              </w:rPr>
            </w:pPr>
            <w:r w:rsidRPr="00AE72CB">
              <w:rPr>
                <w:lang w:val="en-US"/>
              </w:rPr>
              <w:t>yes</w:t>
            </w:r>
          </w:p>
        </w:tc>
        <w:tc>
          <w:tcPr>
            <w:tcW w:w="1418" w:type="dxa"/>
            <w:shd w:val="clear" w:color="auto" w:fill="FFFFFF"/>
          </w:tcPr>
          <w:p w14:paraId="421024B7" w14:textId="0783CE51" w:rsidR="00EB242E" w:rsidRPr="00AE72CB" w:rsidRDefault="00EB242E" w:rsidP="00295860">
            <w:pPr>
              <w:pStyle w:val="Tabletext"/>
              <w:jc w:val="center"/>
              <w:rPr>
                <w:lang w:val="en-US"/>
              </w:rPr>
            </w:pPr>
            <w:r w:rsidRPr="00AE72CB">
              <w:rPr>
                <w:lang w:val="en-US"/>
              </w:rPr>
              <w:t>50-52</w:t>
            </w:r>
            <w:r w:rsidR="00295860" w:rsidRPr="00AE72CB">
              <w:rPr>
                <w:lang w:val="en-US"/>
              </w:rPr>
              <w:t> </w:t>
            </w:r>
            <w:r w:rsidRPr="00AE72CB">
              <w:rPr>
                <w:lang w:val="en-US"/>
              </w:rPr>
              <w:t>MHz sec</w:t>
            </w:r>
          </w:p>
        </w:tc>
      </w:tr>
      <w:tr w:rsidR="00EB242E" w:rsidRPr="00AE72CB" w14:paraId="2A0832B0" w14:textId="77777777" w:rsidTr="00295860">
        <w:trPr>
          <w:jc w:val="center"/>
        </w:trPr>
        <w:tc>
          <w:tcPr>
            <w:tcW w:w="856" w:type="dxa"/>
            <w:shd w:val="clear" w:color="auto" w:fill="FFFFFF"/>
          </w:tcPr>
          <w:p w14:paraId="16DABEEC" w14:textId="77777777" w:rsidR="00EB242E" w:rsidRPr="00AE72CB" w:rsidRDefault="00EB242E" w:rsidP="00295860">
            <w:pPr>
              <w:pStyle w:val="Tabletext"/>
              <w:jc w:val="center"/>
              <w:rPr>
                <w:lang w:val="en-US"/>
              </w:rPr>
            </w:pPr>
            <w:r w:rsidRPr="00AE72CB">
              <w:rPr>
                <w:lang w:val="en-US"/>
              </w:rPr>
              <w:t>CZE</w:t>
            </w:r>
          </w:p>
        </w:tc>
        <w:tc>
          <w:tcPr>
            <w:tcW w:w="709" w:type="dxa"/>
            <w:shd w:val="clear" w:color="auto" w:fill="FFFFFF"/>
          </w:tcPr>
          <w:p w14:paraId="60DB2A04"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52E7D232" w14:textId="77777777" w:rsidR="00EB242E" w:rsidRPr="00AE72CB" w:rsidRDefault="00EB242E" w:rsidP="00295860">
            <w:pPr>
              <w:pStyle w:val="Tabletext"/>
              <w:jc w:val="center"/>
              <w:rPr>
                <w:lang w:val="en-US"/>
              </w:rPr>
            </w:pPr>
            <w:r w:rsidRPr="00AE72CB">
              <w:rPr>
                <w:lang w:val="en-US"/>
              </w:rPr>
              <w:t>50-52 MHz sec</w:t>
            </w:r>
          </w:p>
        </w:tc>
        <w:tc>
          <w:tcPr>
            <w:tcW w:w="850" w:type="dxa"/>
            <w:shd w:val="clear" w:color="auto" w:fill="FFFFFF"/>
          </w:tcPr>
          <w:p w14:paraId="2277A60D" w14:textId="77777777" w:rsidR="00EB242E" w:rsidRPr="00AE72CB" w:rsidRDefault="00EB242E" w:rsidP="00295860">
            <w:pPr>
              <w:pStyle w:val="Tabletext"/>
              <w:jc w:val="center"/>
              <w:rPr>
                <w:lang w:val="en-US"/>
              </w:rPr>
            </w:pPr>
            <w:r w:rsidRPr="00AE72CB">
              <w:rPr>
                <w:lang w:val="en-US"/>
              </w:rPr>
              <w:t>HNG</w:t>
            </w:r>
          </w:p>
        </w:tc>
        <w:tc>
          <w:tcPr>
            <w:tcW w:w="709" w:type="dxa"/>
            <w:shd w:val="clear" w:color="auto" w:fill="FFFFFF"/>
          </w:tcPr>
          <w:p w14:paraId="632A0B0D" w14:textId="77777777" w:rsidR="00EB242E" w:rsidRPr="00AE72CB" w:rsidRDefault="00EB242E" w:rsidP="00295860">
            <w:pPr>
              <w:pStyle w:val="Tabletext"/>
              <w:jc w:val="center"/>
              <w:rPr>
                <w:lang w:val="en-US"/>
              </w:rPr>
            </w:pPr>
            <w:r w:rsidRPr="00AE72CB">
              <w:rPr>
                <w:lang w:val="en-US"/>
              </w:rPr>
              <w:t>yes</w:t>
            </w:r>
          </w:p>
        </w:tc>
        <w:tc>
          <w:tcPr>
            <w:tcW w:w="1417" w:type="dxa"/>
            <w:shd w:val="clear" w:color="auto" w:fill="FFFFFF"/>
          </w:tcPr>
          <w:p w14:paraId="5EF6D2C1" w14:textId="668EBFB5" w:rsidR="00EB242E" w:rsidRPr="00AE72CB" w:rsidRDefault="00EB242E" w:rsidP="00295860">
            <w:pPr>
              <w:pStyle w:val="Tabletext"/>
              <w:jc w:val="center"/>
              <w:rPr>
                <w:lang w:val="en-US"/>
              </w:rPr>
            </w:pPr>
            <w:r w:rsidRPr="00AE72CB">
              <w:rPr>
                <w:lang w:val="en-US"/>
              </w:rPr>
              <w:t>50-52</w:t>
            </w:r>
            <w:r w:rsidR="00295860" w:rsidRPr="00AE72CB">
              <w:rPr>
                <w:lang w:val="en-US"/>
              </w:rPr>
              <w:t> </w:t>
            </w:r>
            <w:r w:rsidRPr="00AE72CB">
              <w:rPr>
                <w:lang w:val="en-US"/>
              </w:rPr>
              <w:t>MHz sec, 10 W ERP</w:t>
            </w:r>
          </w:p>
        </w:tc>
        <w:tc>
          <w:tcPr>
            <w:tcW w:w="851" w:type="dxa"/>
            <w:shd w:val="clear" w:color="auto" w:fill="FFFFFF"/>
          </w:tcPr>
          <w:p w14:paraId="3E001892" w14:textId="77777777" w:rsidR="00EB242E" w:rsidRPr="00AE72CB" w:rsidRDefault="00EB242E" w:rsidP="00295860">
            <w:pPr>
              <w:pStyle w:val="Tabletext"/>
              <w:jc w:val="center"/>
              <w:rPr>
                <w:lang w:val="en-US"/>
              </w:rPr>
            </w:pPr>
            <w:r w:rsidRPr="00AE72CB">
              <w:rPr>
                <w:lang w:val="en-US"/>
              </w:rPr>
              <w:t>MDA</w:t>
            </w:r>
          </w:p>
        </w:tc>
        <w:tc>
          <w:tcPr>
            <w:tcW w:w="1559" w:type="dxa"/>
            <w:shd w:val="clear" w:color="auto" w:fill="FFFFFF"/>
          </w:tcPr>
          <w:p w14:paraId="24BB6671" w14:textId="77777777" w:rsidR="00EB242E" w:rsidRPr="00AE72CB" w:rsidRDefault="00EB242E" w:rsidP="00295860">
            <w:pPr>
              <w:pStyle w:val="Tabletext"/>
              <w:jc w:val="center"/>
              <w:rPr>
                <w:lang w:val="en-US"/>
              </w:rPr>
            </w:pPr>
            <w:r w:rsidRPr="00AE72CB">
              <w:rPr>
                <w:lang w:val="en-US"/>
              </w:rPr>
              <w:t>no</w:t>
            </w:r>
          </w:p>
        </w:tc>
        <w:tc>
          <w:tcPr>
            <w:tcW w:w="1418" w:type="dxa"/>
            <w:shd w:val="clear" w:color="auto" w:fill="FFFFFF"/>
          </w:tcPr>
          <w:p w14:paraId="4455C8E1" w14:textId="77777777" w:rsidR="00EB242E" w:rsidRPr="00AE72CB" w:rsidRDefault="00EB242E" w:rsidP="00295860">
            <w:pPr>
              <w:pStyle w:val="Tabletext"/>
              <w:jc w:val="center"/>
              <w:rPr>
                <w:lang w:val="en-US"/>
              </w:rPr>
            </w:pPr>
            <w:r w:rsidRPr="00AE72CB">
              <w:rPr>
                <w:lang w:val="en-US"/>
              </w:rPr>
              <w:t>-</w:t>
            </w:r>
          </w:p>
        </w:tc>
      </w:tr>
      <w:tr w:rsidR="00EB242E" w:rsidRPr="00AE72CB" w14:paraId="0C87647D" w14:textId="77777777" w:rsidTr="00295860">
        <w:trPr>
          <w:jc w:val="center"/>
        </w:trPr>
        <w:tc>
          <w:tcPr>
            <w:tcW w:w="856" w:type="dxa"/>
            <w:shd w:val="clear" w:color="auto" w:fill="FFFFFF"/>
          </w:tcPr>
          <w:p w14:paraId="178D4057" w14:textId="77777777" w:rsidR="00EB242E" w:rsidRPr="00AE72CB" w:rsidRDefault="00EB242E" w:rsidP="00295860">
            <w:pPr>
              <w:pStyle w:val="Tabletext"/>
              <w:jc w:val="center"/>
              <w:rPr>
                <w:lang w:val="en-US"/>
              </w:rPr>
            </w:pPr>
            <w:r w:rsidRPr="00AE72CB">
              <w:rPr>
                <w:lang w:val="en-US"/>
              </w:rPr>
              <w:t>D</w:t>
            </w:r>
          </w:p>
        </w:tc>
        <w:tc>
          <w:tcPr>
            <w:tcW w:w="709" w:type="dxa"/>
            <w:shd w:val="clear" w:color="auto" w:fill="FFFFFF"/>
          </w:tcPr>
          <w:p w14:paraId="20E9F823"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4AE128D6" w14:textId="77777777" w:rsidR="00EB242E" w:rsidRPr="00AE72CB" w:rsidRDefault="00EB242E" w:rsidP="00295860">
            <w:pPr>
              <w:pStyle w:val="Tabletext"/>
              <w:jc w:val="center"/>
              <w:rPr>
                <w:lang w:val="en-US"/>
              </w:rPr>
            </w:pPr>
            <w:r w:rsidRPr="00AE72CB">
              <w:rPr>
                <w:lang w:val="en-US"/>
              </w:rPr>
              <w:t>50-52 sec</w:t>
            </w:r>
          </w:p>
        </w:tc>
        <w:tc>
          <w:tcPr>
            <w:tcW w:w="850" w:type="dxa"/>
            <w:shd w:val="clear" w:color="auto" w:fill="FFFFFF"/>
          </w:tcPr>
          <w:p w14:paraId="3AE87694" w14:textId="77777777" w:rsidR="00EB242E" w:rsidRPr="00AE72CB" w:rsidRDefault="00EB242E" w:rsidP="00295860">
            <w:pPr>
              <w:pStyle w:val="Tabletext"/>
              <w:jc w:val="center"/>
              <w:rPr>
                <w:lang w:val="en-US"/>
              </w:rPr>
            </w:pPr>
            <w:r w:rsidRPr="00AE72CB">
              <w:rPr>
                <w:lang w:val="en-US"/>
              </w:rPr>
              <w:t>I</w:t>
            </w:r>
          </w:p>
        </w:tc>
        <w:tc>
          <w:tcPr>
            <w:tcW w:w="709" w:type="dxa"/>
            <w:shd w:val="clear" w:color="auto" w:fill="FFFFFF"/>
          </w:tcPr>
          <w:p w14:paraId="0319E7A2" w14:textId="77777777" w:rsidR="00EB242E" w:rsidRPr="00AE72CB" w:rsidRDefault="00EB242E" w:rsidP="00295860">
            <w:pPr>
              <w:pStyle w:val="Tabletext"/>
              <w:jc w:val="center"/>
              <w:rPr>
                <w:lang w:val="en-US"/>
              </w:rPr>
            </w:pPr>
            <w:r w:rsidRPr="00AE72CB">
              <w:rPr>
                <w:lang w:val="en-US"/>
              </w:rPr>
              <w:t>yes</w:t>
            </w:r>
          </w:p>
        </w:tc>
        <w:tc>
          <w:tcPr>
            <w:tcW w:w="1417" w:type="dxa"/>
            <w:shd w:val="clear" w:color="auto" w:fill="FFFFFF"/>
          </w:tcPr>
          <w:p w14:paraId="13D7D97E" w14:textId="77777777" w:rsidR="00EB242E" w:rsidRPr="00AE72CB" w:rsidRDefault="00EB242E" w:rsidP="00295860">
            <w:pPr>
              <w:pStyle w:val="Tabletext"/>
              <w:jc w:val="center"/>
              <w:rPr>
                <w:lang w:val="en-US"/>
              </w:rPr>
            </w:pPr>
            <w:r w:rsidRPr="00AE72CB">
              <w:rPr>
                <w:lang w:val="en-US"/>
              </w:rPr>
              <w:t>50-52 MHz sec</w:t>
            </w:r>
          </w:p>
        </w:tc>
        <w:tc>
          <w:tcPr>
            <w:tcW w:w="851" w:type="dxa"/>
            <w:shd w:val="clear" w:color="auto" w:fill="FFFFFF"/>
          </w:tcPr>
          <w:p w14:paraId="5ABF6D9F" w14:textId="77777777" w:rsidR="00EB242E" w:rsidRPr="00AE72CB" w:rsidRDefault="00EB242E" w:rsidP="00295860">
            <w:pPr>
              <w:pStyle w:val="Tabletext"/>
              <w:jc w:val="center"/>
              <w:rPr>
                <w:lang w:val="en-US"/>
              </w:rPr>
            </w:pPr>
            <w:r w:rsidRPr="00AE72CB">
              <w:rPr>
                <w:lang w:val="en-US"/>
              </w:rPr>
              <w:t>SVN</w:t>
            </w:r>
          </w:p>
        </w:tc>
        <w:tc>
          <w:tcPr>
            <w:tcW w:w="1559" w:type="dxa"/>
            <w:shd w:val="clear" w:color="auto" w:fill="FFFFFF"/>
          </w:tcPr>
          <w:p w14:paraId="7CDD5C1A" w14:textId="77777777" w:rsidR="00EB242E" w:rsidRPr="00AE72CB" w:rsidRDefault="00EB242E" w:rsidP="00295860">
            <w:pPr>
              <w:pStyle w:val="Tabletext"/>
              <w:jc w:val="center"/>
              <w:rPr>
                <w:lang w:val="en-US"/>
              </w:rPr>
            </w:pPr>
            <w:r w:rsidRPr="00AE72CB">
              <w:rPr>
                <w:lang w:val="en-US"/>
              </w:rPr>
              <w:t>yes</w:t>
            </w:r>
          </w:p>
        </w:tc>
        <w:tc>
          <w:tcPr>
            <w:tcW w:w="1418" w:type="dxa"/>
            <w:shd w:val="clear" w:color="auto" w:fill="FFFFFF"/>
          </w:tcPr>
          <w:p w14:paraId="53234E80" w14:textId="77777777" w:rsidR="00EB242E" w:rsidRPr="00AE72CB" w:rsidRDefault="00EB242E" w:rsidP="00295860">
            <w:pPr>
              <w:pStyle w:val="Tabletext"/>
              <w:jc w:val="center"/>
              <w:rPr>
                <w:lang w:val="en-US"/>
              </w:rPr>
            </w:pPr>
            <w:r w:rsidRPr="00AE72CB">
              <w:rPr>
                <w:lang w:val="en-US"/>
              </w:rPr>
              <w:t>50-52 MHz prim</w:t>
            </w:r>
          </w:p>
        </w:tc>
      </w:tr>
      <w:tr w:rsidR="00EB242E" w:rsidRPr="00AE72CB" w14:paraId="41D01406" w14:textId="77777777" w:rsidTr="00295860">
        <w:trPr>
          <w:cantSplit/>
          <w:trHeight w:val="1134"/>
          <w:jc w:val="center"/>
        </w:trPr>
        <w:tc>
          <w:tcPr>
            <w:tcW w:w="856" w:type="dxa"/>
            <w:shd w:val="clear" w:color="auto" w:fill="F2DBDB"/>
            <w:textDirection w:val="btLr"/>
            <w:vAlign w:val="center"/>
          </w:tcPr>
          <w:p w14:paraId="4126B6AC" w14:textId="77777777" w:rsidR="00EB242E" w:rsidRPr="00AE72CB" w:rsidRDefault="00EB242E" w:rsidP="00295860">
            <w:pPr>
              <w:pStyle w:val="Tablehead"/>
              <w:ind w:left="113" w:right="113"/>
              <w:rPr>
                <w:lang w:val="en-US" w:eastAsia="ru-RU"/>
              </w:rPr>
            </w:pPr>
            <w:r w:rsidRPr="00AE72CB">
              <w:rPr>
                <w:lang w:val="en-US" w:eastAsia="ru-RU"/>
              </w:rPr>
              <w:t>ADM</w:t>
            </w:r>
          </w:p>
        </w:tc>
        <w:tc>
          <w:tcPr>
            <w:tcW w:w="709" w:type="dxa"/>
            <w:shd w:val="clear" w:color="auto" w:fill="F2DBDB"/>
            <w:textDirection w:val="btLr"/>
            <w:vAlign w:val="center"/>
          </w:tcPr>
          <w:p w14:paraId="053AC539" w14:textId="77777777" w:rsidR="00EB242E" w:rsidRPr="00AE72CB" w:rsidRDefault="00EB242E" w:rsidP="00295860">
            <w:pPr>
              <w:pStyle w:val="Tablehead"/>
              <w:ind w:left="113" w:right="113"/>
              <w:rPr>
                <w:lang w:val="en-US" w:eastAsia="ru-RU"/>
              </w:rPr>
            </w:pPr>
            <w:r w:rsidRPr="00AE72CB">
              <w:rPr>
                <w:lang w:val="en-US" w:eastAsia="ru-RU"/>
              </w:rPr>
              <w:t>used/ not used</w:t>
            </w:r>
          </w:p>
        </w:tc>
        <w:tc>
          <w:tcPr>
            <w:tcW w:w="1134" w:type="dxa"/>
            <w:shd w:val="clear" w:color="auto" w:fill="F2DBDB"/>
            <w:textDirection w:val="btLr"/>
            <w:vAlign w:val="center"/>
          </w:tcPr>
          <w:p w14:paraId="3AACBBED" w14:textId="77777777" w:rsidR="00EB242E" w:rsidRPr="00AE72CB" w:rsidRDefault="00EB242E" w:rsidP="00295860">
            <w:pPr>
              <w:pStyle w:val="Tablehead"/>
              <w:ind w:left="113" w:right="113"/>
              <w:rPr>
                <w:lang w:val="en-US" w:eastAsia="ru-RU"/>
              </w:rPr>
            </w:pPr>
            <w:r w:rsidRPr="00AE72CB">
              <w:rPr>
                <w:lang w:val="en-US" w:eastAsia="ru-RU"/>
              </w:rPr>
              <w:t>Usage condition</w:t>
            </w:r>
          </w:p>
        </w:tc>
        <w:tc>
          <w:tcPr>
            <w:tcW w:w="850" w:type="dxa"/>
            <w:shd w:val="clear" w:color="auto" w:fill="F2DBDB"/>
            <w:textDirection w:val="btLr"/>
            <w:vAlign w:val="center"/>
          </w:tcPr>
          <w:p w14:paraId="0FB250FC" w14:textId="6042B701" w:rsidR="00EB242E" w:rsidRPr="00AE72CB" w:rsidRDefault="00EB242E" w:rsidP="00295860">
            <w:pPr>
              <w:pStyle w:val="Tablehead"/>
              <w:ind w:left="113" w:right="113"/>
              <w:rPr>
                <w:lang w:val="en-US" w:eastAsia="ru-RU"/>
              </w:rPr>
            </w:pPr>
            <w:r w:rsidRPr="00AE72CB">
              <w:rPr>
                <w:lang w:val="en-US" w:eastAsia="ru-RU"/>
              </w:rPr>
              <w:t>ADM</w:t>
            </w:r>
          </w:p>
        </w:tc>
        <w:tc>
          <w:tcPr>
            <w:tcW w:w="709" w:type="dxa"/>
            <w:shd w:val="clear" w:color="auto" w:fill="F2DBDB"/>
            <w:textDirection w:val="btLr"/>
            <w:vAlign w:val="center"/>
          </w:tcPr>
          <w:p w14:paraId="46D99DE0" w14:textId="77777777" w:rsidR="00EB242E" w:rsidRPr="00AE72CB" w:rsidRDefault="00EB242E" w:rsidP="00295860">
            <w:pPr>
              <w:pStyle w:val="Tablehead"/>
              <w:ind w:left="113" w:right="113"/>
              <w:rPr>
                <w:lang w:val="en-US" w:eastAsia="ru-RU"/>
              </w:rPr>
            </w:pPr>
            <w:r w:rsidRPr="00AE72CB">
              <w:rPr>
                <w:lang w:val="en-US" w:eastAsia="ru-RU"/>
              </w:rPr>
              <w:t>used/ not used</w:t>
            </w:r>
          </w:p>
        </w:tc>
        <w:tc>
          <w:tcPr>
            <w:tcW w:w="1417" w:type="dxa"/>
            <w:shd w:val="clear" w:color="auto" w:fill="F2DBDB"/>
            <w:textDirection w:val="btLr"/>
            <w:vAlign w:val="center"/>
          </w:tcPr>
          <w:p w14:paraId="258A7B69" w14:textId="77777777" w:rsidR="00EB242E" w:rsidRPr="00AE72CB" w:rsidRDefault="00EB242E" w:rsidP="00295860">
            <w:pPr>
              <w:pStyle w:val="Tablehead"/>
              <w:ind w:left="113" w:right="113"/>
              <w:rPr>
                <w:lang w:val="en-US" w:eastAsia="ru-RU"/>
              </w:rPr>
            </w:pPr>
            <w:r w:rsidRPr="00AE72CB">
              <w:rPr>
                <w:lang w:val="en-US" w:eastAsia="ru-RU"/>
              </w:rPr>
              <w:t>Usage condition</w:t>
            </w:r>
          </w:p>
        </w:tc>
        <w:tc>
          <w:tcPr>
            <w:tcW w:w="851" w:type="dxa"/>
            <w:shd w:val="clear" w:color="auto" w:fill="F2DBDB"/>
            <w:textDirection w:val="btLr"/>
            <w:vAlign w:val="center"/>
          </w:tcPr>
          <w:p w14:paraId="4CAD273D" w14:textId="77777777" w:rsidR="00EB242E" w:rsidRPr="00AE72CB" w:rsidRDefault="00EB242E" w:rsidP="00295860">
            <w:pPr>
              <w:pStyle w:val="Tablehead"/>
              <w:ind w:left="113" w:right="113"/>
              <w:rPr>
                <w:lang w:val="en-US" w:eastAsia="ru-RU"/>
              </w:rPr>
            </w:pPr>
          </w:p>
        </w:tc>
        <w:tc>
          <w:tcPr>
            <w:tcW w:w="1559" w:type="dxa"/>
            <w:shd w:val="clear" w:color="auto" w:fill="F2DBDB"/>
            <w:textDirection w:val="btLr"/>
            <w:vAlign w:val="center"/>
          </w:tcPr>
          <w:p w14:paraId="29C71C90" w14:textId="77777777" w:rsidR="00EB242E" w:rsidRPr="00AE72CB" w:rsidRDefault="00EB242E" w:rsidP="00295860">
            <w:pPr>
              <w:pStyle w:val="Tablehead"/>
              <w:ind w:left="113" w:right="113"/>
              <w:rPr>
                <w:lang w:val="en-US" w:eastAsia="ru-RU"/>
              </w:rPr>
            </w:pPr>
          </w:p>
        </w:tc>
        <w:tc>
          <w:tcPr>
            <w:tcW w:w="1418" w:type="dxa"/>
            <w:shd w:val="clear" w:color="auto" w:fill="F2DBDB"/>
            <w:textDirection w:val="btLr"/>
            <w:vAlign w:val="center"/>
          </w:tcPr>
          <w:p w14:paraId="569F8C24" w14:textId="77777777" w:rsidR="00EB242E" w:rsidRPr="00AE72CB" w:rsidRDefault="00EB242E" w:rsidP="00295860">
            <w:pPr>
              <w:pStyle w:val="Tablehead"/>
              <w:ind w:left="113" w:right="113"/>
              <w:rPr>
                <w:lang w:val="en-US" w:eastAsia="ru-RU"/>
              </w:rPr>
            </w:pPr>
          </w:p>
        </w:tc>
      </w:tr>
      <w:tr w:rsidR="00EB242E" w:rsidRPr="00AE72CB" w14:paraId="469F69CF" w14:textId="77777777" w:rsidTr="00295860">
        <w:trPr>
          <w:jc w:val="center"/>
        </w:trPr>
        <w:tc>
          <w:tcPr>
            <w:tcW w:w="856" w:type="dxa"/>
            <w:shd w:val="clear" w:color="auto" w:fill="FFFFFF"/>
          </w:tcPr>
          <w:p w14:paraId="669D06F0" w14:textId="77777777" w:rsidR="00EB242E" w:rsidRPr="00AE72CB" w:rsidRDefault="00EB242E" w:rsidP="00295860">
            <w:pPr>
              <w:pStyle w:val="Tabletext"/>
              <w:jc w:val="center"/>
              <w:rPr>
                <w:lang w:val="en-US"/>
              </w:rPr>
            </w:pPr>
            <w:r w:rsidRPr="00AE72CB">
              <w:rPr>
                <w:lang w:val="en-US"/>
              </w:rPr>
              <w:t>NOR</w:t>
            </w:r>
          </w:p>
        </w:tc>
        <w:tc>
          <w:tcPr>
            <w:tcW w:w="709" w:type="dxa"/>
            <w:shd w:val="clear" w:color="auto" w:fill="FFFFFF"/>
          </w:tcPr>
          <w:p w14:paraId="31202072"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38898789" w14:textId="77777777" w:rsidR="00EB242E" w:rsidRPr="00AE72CB" w:rsidRDefault="00EB242E" w:rsidP="00295860">
            <w:pPr>
              <w:pStyle w:val="Tabletext"/>
              <w:jc w:val="center"/>
              <w:rPr>
                <w:lang w:val="en-US"/>
              </w:rPr>
            </w:pPr>
            <w:r w:rsidRPr="00AE72CB">
              <w:rPr>
                <w:lang w:val="en-US"/>
              </w:rPr>
              <w:t>50-52</w:t>
            </w:r>
            <w:r w:rsidRPr="00AE72CB">
              <w:rPr>
                <w:highlight w:val="red"/>
                <w:lang w:val="en-US"/>
              </w:rPr>
              <w:t xml:space="preserve"> </w:t>
            </w:r>
            <w:r w:rsidRPr="00AE72CB">
              <w:rPr>
                <w:lang w:val="en-US"/>
              </w:rPr>
              <w:t>MHz sec</w:t>
            </w:r>
          </w:p>
        </w:tc>
        <w:tc>
          <w:tcPr>
            <w:tcW w:w="850" w:type="dxa"/>
            <w:shd w:val="clear" w:color="auto" w:fill="FFFFFF"/>
          </w:tcPr>
          <w:p w14:paraId="0F216F9C" w14:textId="77777777" w:rsidR="00EB242E" w:rsidRPr="00AE72CB" w:rsidRDefault="00EB242E" w:rsidP="00295860">
            <w:pPr>
              <w:pStyle w:val="Tabletext"/>
              <w:jc w:val="center"/>
              <w:rPr>
                <w:lang w:val="en-US"/>
              </w:rPr>
            </w:pPr>
            <w:r w:rsidRPr="00AE72CB">
              <w:rPr>
                <w:lang w:val="en-US"/>
              </w:rPr>
              <w:t>TKM</w:t>
            </w:r>
          </w:p>
        </w:tc>
        <w:tc>
          <w:tcPr>
            <w:tcW w:w="709" w:type="dxa"/>
            <w:shd w:val="clear" w:color="auto" w:fill="FFFFFF"/>
          </w:tcPr>
          <w:p w14:paraId="10C3692D" w14:textId="77777777" w:rsidR="00EB242E" w:rsidRPr="00AE72CB" w:rsidRDefault="00EB242E" w:rsidP="00295860">
            <w:pPr>
              <w:pStyle w:val="Tabletext"/>
              <w:jc w:val="center"/>
              <w:rPr>
                <w:lang w:val="en-US"/>
              </w:rPr>
            </w:pPr>
            <w:r w:rsidRPr="00AE72CB">
              <w:rPr>
                <w:lang w:val="en-US"/>
              </w:rPr>
              <w:t>no</w:t>
            </w:r>
          </w:p>
        </w:tc>
        <w:tc>
          <w:tcPr>
            <w:tcW w:w="1417" w:type="dxa"/>
            <w:shd w:val="clear" w:color="auto" w:fill="FFFFFF"/>
          </w:tcPr>
          <w:p w14:paraId="33A68AFC" w14:textId="77777777" w:rsidR="00EB242E" w:rsidRPr="00AE72CB" w:rsidRDefault="00EB242E" w:rsidP="00295860">
            <w:pPr>
              <w:pStyle w:val="Tabletext"/>
              <w:jc w:val="center"/>
              <w:rPr>
                <w:lang w:val="en-US"/>
              </w:rPr>
            </w:pPr>
            <w:r w:rsidRPr="00AE72CB">
              <w:rPr>
                <w:lang w:val="en-US"/>
              </w:rPr>
              <w:t>-</w:t>
            </w:r>
          </w:p>
        </w:tc>
        <w:tc>
          <w:tcPr>
            <w:tcW w:w="851" w:type="dxa"/>
            <w:shd w:val="clear" w:color="auto" w:fill="FFFFFF"/>
          </w:tcPr>
          <w:p w14:paraId="172EC2C3" w14:textId="77777777" w:rsidR="00EB242E" w:rsidRPr="00AE72CB" w:rsidRDefault="00EB242E" w:rsidP="00295860">
            <w:pPr>
              <w:pStyle w:val="Tabletext"/>
              <w:jc w:val="center"/>
              <w:rPr>
                <w:lang w:val="en-US"/>
              </w:rPr>
            </w:pPr>
            <w:r w:rsidRPr="00AE72CB">
              <w:rPr>
                <w:lang w:val="en-US"/>
              </w:rPr>
              <w:t>SUI</w:t>
            </w:r>
          </w:p>
        </w:tc>
        <w:tc>
          <w:tcPr>
            <w:tcW w:w="1559" w:type="dxa"/>
            <w:shd w:val="clear" w:color="auto" w:fill="FFFFFF"/>
          </w:tcPr>
          <w:p w14:paraId="77F264D0" w14:textId="77777777" w:rsidR="00EB242E" w:rsidRPr="00AE72CB" w:rsidRDefault="00EB242E" w:rsidP="00295860">
            <w:pPr>
              <w:pStyle w:val="Tabletext"/>
              <w:jc w:val="center"/>
              <w:rPr>
                <w:lang w:val="en-US"/>
              </w:rPr>
            </w:pPr>
            <w:r w:rsidRPr="00AE72CB">
              <w:rPr>
                <w:lang w:val="en-US"/>
              </w:rPr>
              <w:t>yes</w:t>
            </w:r>
          </w:p>
        </w:tc>
        <w:tc>
          <w:tcPr>
            <w:tcW w:w="1418" w:type="dxa"/>
            <w:shd w:val="clear" w:color="auto" w:fill="FFFFFF"/>
          </w:tcPr>
          <w:p w14:paraId="291285B0" w14:textId="7A7391E7" w:rsidR="00EB242E" w:rsidRPr="00AE72CB" w:rsidRDefault="00EB242E" w:rsidP="00295860">
            <w:pPr>
              <w:pStyle w:val="Tabletext"/>
              <w:jc w:val="center"/>
              <w:rPr>
                <w:lang w:val="en-US"/>
              </w:rPr>
            </w:pPr>
            <w:r w:rsidRPr="00AE72CB">
              <w:rPr>
                <w:lang w:val="en-US"/>
              </w:rPr>
              <w:t>50-52</w:t>
            </w:r>
            <w:r w:rsidR="00295860" w:rsidRPr="00AE72CB">
              <w:rPr>
                <w:lang w:val="en-US"/>
              </w:rPr>
              <w:t> </w:t>
            </w:r>
            <w:r w:rsidRPr="00AE72CB">
              <w:rPr>
                <w:lang w:val="en-US"/>
              </w:rPr>
              <w:t>MHz sec</w:t>
            </w:r>
          </w:p>
        </w:tc>
      </w:tr>
      <w:tr w:rsidR="00EB242E" w:rsidRPr="00AE72CB" w14:paraId="51D98DD5" w14:textId="77777777" w:rsidTr="00295860">
        <w:trPr>
          <w:jc w:val="center"/>
        </w:trPr>
        <w:tc>
          <w:tcPr>
            <w:tcW w:w="856" w:type="dxa"/>
            <w:shd w:val="clear" w:color="auto" w:fill="FFFFFF"/>
          </w:tcPr>
          <w:p w14:paraId="6CAAFEDE" w14:textId="77777777" w:rsidR="00EB242E" w:rsidRPr="00AE72CB" w:rsidRDefault="00EB242E" w:rsidP="00295860">
            <w:pPr>
              <w:pStyle w:val="Tabletext"/>
              <w:jc w:val="center"/>
              <w:rPr>
                <w:lang w:val="en-US"/>
              </w:rPr>
            </w:pPr>
            <w:r w:rsidRPr="00AE72CB">
              <w:rPr>
                <w:lang w:val="en-US"/>
              </w:rPr>
              <w:t>POL</w:t>
            </w:r>
          </w:p>
        </w:tc>
        <w:tc>
          <w:tcPr>
            <w:tcW w:w="709" w:type="dxa"/>
            <w:shd w:val="clear" w:color="auto" w:fill="FFFFFF"/>
          </w:tcPr>
          <w:p w14:paraId="77006E3A"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66919058" w14:textId="77777777" w:rsidR="00EB242E" w:rsidRPr="00AE72CB" w:rsidRDefault="00EB242E" w:rsidP="00295860">
            <w:pPr>
              <w:pStyle w:val="Tabletext"/>
              <w:jc w:val="center"/>
              <w:rPr>
                <w:lang w:val="en-US"/>
              </w:rPr>
            </w:pPr>
            <w:r w:rsidRPr="00AE72CB">
              <w:rPr>
                <w:lang w:val="en-US"/>
              </w:rPr>
              <w:t>50-52 MHz sec</w:t>
            </w:r>
          </w:p>
        </w:tc>
        <w:tc>
          <w:tcPr>
            <w:tcW w:w="850" w:type="dxa"/>
            <w:shd w:val="clear" w:color="auto" w:fill="FFFFFF"/>
          </w:tcPr>
          <w:p w14:paraId="795B61BF" w14:textId="77777777" w:rsidR="00EB242E" w:rsidRPr="00AE72CB" w:rsidRDefault="00EB242E" w:rsidP="00295860">
            <w:pPr>
              <w:pStyle w:val="Tabletext"/>
              <w:jc w:val="center"/>
              <w:rPr>
                <w:lang w:val="en-US"/>
              </w:rPr>
            </w:pPr>
            <w:r w:rsidRPr="00AE72CB">
              <w:rPr>
                <w:lang w:val="en-US"/>
              </w:rPr>
              <w:t>UAE</w:t>
            </w:r>
          </w:p>
        </w:tc>
        <w:tc>
          <w:tcPr>
            <w:tcW w:w="709" w:type="dxa"/>
            <w:shd w:val="clear" w:color="auto" w:fill="FFFFFF"/>
          </w:tcPr>
          <w:p w14:paraId="41C1DE2A" w14:textId="77777777" w:rsidR="00EB242E" w:rsidRPr="00AE72CB" w:rsidRDefault="00EB242E" w:rsidP="00295860">
            <w:pPr>
              <w:pStyle w:val="Tabletext"/>
              <w:jc w:val="center"/>
              <w:rPr>
                <w:lang w:val="en-US"/>
              </w:rPr>
            </w:pPr>
            <w:r w:rsidRPr="00AE72CB">
              <w:rPr>
                <w:lang w:val="en-US"/>
              </w:rPr>
              <w:t>no</w:t>
            </w:r>
          </w:p>
        </w:tc>
        <w:tc>
          <w:tcPr>
            <w:tcW w:w="1417" w:type="dxa"/>
            <w:shd w:val="clear" w:color="auto" w:fill="FFFFFF"/>
          </w:tcPr>
          <w:p w14:paraId="4574BBD0" w14:textId="77777777" w:rsidR="00EB242E" w:rsidRPr="00AE72CB" w:rsidRDefault="00EB242E" w:rsidP="00295860">
            <w:pPr>
              <w:pStyle w:val="Tabletext"/>
              <w:jc w:val="center"/>
              <w:rPr>
                <w:lang w:val="en-US"/>
              </w:rPr>
            </w:pPr>
            <w:r w:rsidRPr="00AE72CB">
              <w:rPr>
                <w:lang w:val="en-US"/>
              </w:rPr>
              <w:t>-</w:t>
            </w:r>
          </w:p>
        </w:tc>
        <w:tc>
          <w:tcPr>
            <w:tcW w:w="851" w:type="dxa"/>
            <w:shd w:val="clear" w:color="auto" w:fill="FFFFFF"/>
          </w:tcPr>
          <w:p w14:paraId="2A55EA23" w14:textId="77777777" w:rsidR="00EB242E" w:rsidRPr="00AE72CB" w:rsidRDefault="00EB242E" w:rsidP="00295860">
            <w:pPr>
              <w:pStyle w:val="Tabletext"/>
              <w:jc w:val="center"/>
              <w:rPr>
                <w:lang w:val="en-US"/>
              </w:rPr>
            </w:pPr>
            <w:r w:rsidRPr="00AE72CB">
              <w:rPr>
                <w:lang w:val="en-US"/>
              </w:rPr>
              <w:t>SVK</w:t>
            </w:r>
          </w:p>
        </w:tc>
        <w:tc>
          <w:tcPr>
            <w:tcW w:w="1559" w:type="dxa"/>
            <w:shd w:val="clear" w:color="auto" w:fill="FFFFFF"/>
          </w:tcPr>
          <w:p w14:paraId="3D0416CF" w14:textId="77777777" w:rsidR="00EB242E" w:rsidRPr="00AE72CB" w:rsidRDefault="00EB242E" w:rsidP="00295860">
            <w:pPr>
              <w:pStyle w:val="Tabletext"/>
              <w:jc w:val="center"/>
              <w:rPr>
                <w:lang w:val="en-US"/>
              </w:rPr>
            </w:pPr>
            <w:r w:rsidRPr="00AE72CB">
              <w:rPr>
                <w:lang w:val="en-US"/>
              </w:rPr>
              <w:t>yes</w:t>
            </w:r>
          </w:p>
        </w:tc>
        <w:tc>
          <w:tcPr>
            <w:tcW w:w="1418" w:type="dxa"/>
            <w:shd w:val="clear" w:color="auto" w:fill="FFFFFF"/>
          </w:tcPr>
          <w:p w14:paraId="60EBD1B9" w14:textId="77777777" w:rsidR="00EB242E" w:rsidRPr="00AE72CB" w:rsidRDefault="00EB242E" w:rsidP="00295860">
            <w:pPr>
              <w:pStyle w:val="Tabletext"/>
              <w:jc w:val="center"/>
              <w:rPr>
                <w:lang w:val="en-US"/>
              </w:rPr>
            </w:pPr>
            <w:r w:rsidRPr="00AE72CB">
              <w:rPr>
                <w:lang w:val="en-US"/>
              </w:rPr>
              <w:t>50-52 MHz sec</w:t>
            </w:r>
          </w:p>
        </w:tc>
      </w:tr>
      <w:tr w:rsidR="00EB242E" w:rsidRPr="00AE72CB" w14:paraId="79F01308" w14:textId="77777777" w:rsidTr="00295860">
        <w:trPr>
          <w:jc w:val="center"/>
        </w:trPr>
        <w:tc>
          <w:tcPr>
            <w:tcW w:w="856" w:type="dxa"/>
            <w:shd w:val="clear" w:color="auto" w:fill="FFFFFF"/>
          </w:tcPr>
          <w:p w14:paraId="2223063D" w14:textId="77777777" w:rsidR="00EB242E" w:rsidRPr="00AE72CB" w:rsidRDefault="00EB242E" w:rsidP="00295860">
            <w:pPr>
              <w:pStyle w:val="Tabletext"/>
              <w:jc w:val="center"/>
              <w:rPr>
                <w:lang w:val="en-US"/>
              </w:rPr>
            </w:pPr>
            <w:r w:rsidRPr="00AE72CB">
              <w:rPr>
                <w:lang w:val="en-US"/>
              </w:rPr>
              <w:t>POR</w:t>
            </w:r>
          </w:p>
        </w:tc>
        <w:tc>
          <w:tcPr>
            <w:tcW w:w="709" w:type="dxa"/>
            <w:shd w:val="clear" w:color="auto" w:fill="FFFFFF"/>
          </w:tcPr>
          <w:p w14:paraId="34B30E2E"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5433C125" w14:textId="55E110EC" w:rsidR="00EB242E" w:rsidRPr="00AE72CB" w:rsidRDefault="00EB242E" w:rsidP="00295860">
            <w:pPr>
              <w:pStyle w:val="Tabletext"/>
              <w:jc w:val="center"/>
              <w:rPr>
                <w:lang w:val="en-US"/>
              </w:rPr>
            </w:pPr>
            <w:r w:rsidRPr="00AE72CB">
              <w:rPr>
                <w:lang w:val="en-US"/>
              </w:rPr>
              <w:t>50-52</w:t>
            </w:r>
            <w:r w:rsidR="00295860" w:rsidRPr="00AE72CB">
              <w:rPr>
                <w:lang w:val="en-US"/>
              </w:rPr>
              <w:t xml:space="preserve"> </w:t>
            </w:r>
            <w:r w:rsidRPr="00AE72CB">
              <w:rPr>
                <w:lang w:val="en-US"/>
              </w:rPr>
              <w:t>MHz sec, 25 W</w:t>
            </w:r>
          </w:p>
        </w:tc>
        <w:tc>
          <w:tcPr>
            <w:tcW w:w="850" w:type="dxa"/>
            <w:shd w:val="clear" w:color="auto" w:fill="FFFFFF"/>
          </w:tcPr>
          <w:p w14:paraId="60857863" w14:textId="77777777" w:rsidR="00EB242E" w:rsidRPr="00AE72CB" w:rsidRDefault="00EB242E" w:rsidP="00295860">
            <w:pPr>
              <w:pStyle w:val="Tabletext"/>
              <w:jc w:val="center"/>
              <w:rPr>
                <w:lang w:val="en-US"/>
              </w:rPr>
            </w:pPr>
            <w:r w:rsidRPr="00AE72CB">
              <w:rPr>
                <w:lang w:val="en-US"/>
              </w:rPr>
              <w:t>UKR</w:t>
            </w:r>
          </w:p>
        </w:tc>
        <w:tc>
          <w:tcPr>
            <w:tcW w:w="709" w:type="dxa"/>
            <w:shd w:val="clear" w:color="auto" w:fill="FFFFFF"/>
          </w:tcPr>
          <w:p w14:paraId="7B6866E5" w14:textId="77777777" w:rsidR="00EB242E" w:rsidRPr="00AE72CB" w:rsidRDefault="00EB242E" w:rsidP="00295860">
            <w:pPr>
              <w:pStyle w:val="Tabletext"/>
              <w:jc w:val="center"/>
              <w:rPr>
                <w:lang w:val="en-US"/>
              </w:rPr>
            </w:pPr>
            <w:r w:rsidRPr="00AE72CB">
              <w:rPr>
                <w:lang w:val="en-US"/>
              </w:rPr>
              <w:t>yes</w:t>
            </w:r>
          </w:p>
        </w:tc>
        <w:tc>
          <w:tcPr>
            <w:tcW w:w="1417" w:type="dxa"/>
            <w:shd w:val="clear" w:color="auto" w:fill="FFFFFF"/>
          </w:tcPr>
          <w:p w14:paraId="6F4065D6" w14:textId="77777777" w:rsidR="00EB242E" w:rsidRPr="00AE72CB" w:rsidRDefault="00EB242E" w:rsidP="00295860">
            <w:pPr>
              <w:pStyle w:val="Tabletext"/>
              <w:jc w:val="center"/>
              <w:rPr>
                <w:lang w:val="en-US"/>
              </w:rPr>
            </w:pPr>
            <w:r w:rsidRPr="00AE72CB">
              <w:rPr>
                <w:lang w:val="en-US"/>
              </w:rPr>
              <w:t>Only on limited permission</w:t>
            </w:r>
          </w:p>
          <w:p w14:paraId="148FAC52" w14:textId="77777777" w:rsidR="00EB242E" w:rsidRPr="00AE72CB" w:rsidRDefault="00EB242E" w:rsidP="00295860">
            <w:pPr>
              <w:pStyle w:val="Tabletext"/>
              <w:jc w:val="center"/>
              <w:rPr>
                <w:highlight w:val="yellow"/>
                <w:lang w:val="en-US"/>
              </w:rPr>
            </w:pPr>
          </w:p>
        </w:tc>
        <w:tc>
          <w:tcPr>
            <w:tcW w:w="851" w:type="dxa"/>
            <w:shd w:val="clear" w:color="auto" w:fill="FFFFFF"/>
          </w:tcPr>
          <w:p w14:paraId="66D276B7" w14:textId="77777777" w:rsidR="00EB242E" w:rsidRPr="00AE72CB" w:rsidRDefault="00EB242E" w:rsidP="00295860">
            <w:pPr>
              <w:pStyle w:val="Tabletext"/>
              <w:jc w:val="center"/>
              <w:rPr>
                <w:lang w:val="en-US"/>
              </w:rPr>
            </w:pPr>
            <w:r w:rsidRPr="00AE72CB">
              <w:rPr>
                <w:lang w:val="en-US"/>
              </w:rPr>
              <w:t>TJK</w:t>
            </w:r>
          </w:p>
        </w:tc>
        <w:tc>
          <w:tcPr>
            <w:tcW w:w="1559" w:type="dxa"/>
            <w:shd w:val="clear" w:color="auto" w:fill="FFFFFF"/>
          </w:tcPr>
          <w:p w14:paraId="33213BC6" w14:textId="77777777" w:rsidR="00EB242E" w:rsidRPr="00AE72CB" w:rsidRDefault="00EB242E" w:rsidP="00295860">
            <w:pPr>
              <w:pStyle w:val="Tabletext"/>
              <w:jc w:val="center"/>
              <w:rPr>
                <w:lang w:val="en-US"/>
              </w:rPr>
            </w:pPr>
            <w:r w:rsidRPr="00AE72CB">
              <w:rPr>
                <w:lang w:val="en-US"/>
              </w:rPr>
              <w:t>no</w:t>
            </w:r>
          </w:p>
        </w:tc>
        <w:tc>
          <w:tcPr>
            <w:tcW w:w="1418" w:type="dxa"/>
            <w:shd w:val="clear" w:color="auto" w:fill="FFFFFF"/>
          </w:tcPr>
          <w:p w14:paraId="1CFEE6FC" w14:textId="77777777" w:rsidR="00EB242E" w:rsidRPr="00AE72CB" w:rsidRDefault="00EB242E" w:rsidP="00295860">
            <w:pPr>
              <w:pStyle w:val="Tabletext"/>
              <w:jc w:val="center"/>
              <w:rPr>
                <w:lang w:val="en-US"/>
              </w:rPr>
            </w:pPr>
            <w:r w:rsidRPr="00AE72CB">
              <w:rPr>
                <w:lang w:val="en-US"/>
              </w:rPr>
              <w:t>-</w:t>
            </w:r>
          </w:p>
        </w:tc>
      </w:tr>
      <w:tr w:rsidR="00EB242E" w:rsidRPr="00AE72CB" w14:paraId="35490D3F" w14:textId="77777777" w:rsidTr="00295860">
        <w:trPr>
          <w:jc w:val="center"/>
        </w:trPr>
        <w:tc>
          <w:tcPr>
            <w:tcW w:w="856" w:type="dxa"/>
            <w:shd w:val="clear" w:color="auto" w:fill="FFFFFF"/>
          </w:tcPr>
          <w:p w14:paraId="0A1710AC" w14:textId="77777777" w:rsidR="00EB242E" w:rsidRPr="00AE72CB" w:rsidRDefault="00EB242E" w:rsidP="00295860">
            <w:pPr>
              <w:pStyle w:val="Tabletext"/>
              <w:jc w:val="center"/>
              <w:rPr>
                <w:lang w:val="en-US"/>
              </w:rPr>
            </w:pPr>
            <w:r w:rsidRPr="00AE72CB">
              <w:rPr>
                <w:lang w:val="en-US"/>
              </w:rPr>
              <w:t>S</w:t>
            </w:r>
          </w:p>
        </w:tc>
        <w:tc>
          <w:tcPr>
            <w:tcW w:w="709" w:type="dxa"/>
            <w:shd w:val="clear" w:color="auto" w:fill="FFFFFF"/>
          </w:tcPr>
          <w:p w14:paraId="31E74637" w14:textId="77777777" w:rsidR="00EB242E" w:rsidRPr="00AE72CB" w:rsidRDefault="00EB242E" w:rsidP="00295860">
            <w:pPr>
              <w:pStyle w:val="Tabletext"/>
              <w:jc w:val="center"/>
              <w:rPr>
                <w:lang w:val="en-US"/>
              </w:rPr>
            </w:pPr>
            <w:r w:rsidRPr="00AE72CB">
              <w:rPr>
                <w:lang w:val="en-US"/>
              </w:rPr>
              <w:t>yes</w:t>
            </w:r>
          </w:p>
        </w:tc>
        <w:tc>
          <w:tcPr>
            <w:tcW w:w="1134" w:type="dxa"/>
            <w:shd w:val="clear" w:color="auto" w:fill="FFFFFF"/>
          </w:tcPr>
          <w:p w14:paraId="107D7A82" w14:textId="77777777" w:rsidR="00EB242E" w:rsidRPr="00AE72CB" w:rsidRDefault="00EB242E" w:rsidP="00295860">
            <w:pPr>
              <w:pStyle w:val="Tabletext"/>
              <w:jc w:val="center"/>
              <w:rPr>
                <w:lang w:val="en-US"/>
              </w:rPr>
            </w:pPr>
            <w:r w:rsidRPr="00AE72CB">
              <w:rPr>
                <w:lang w:val="en-US"/>
              </w:rPr>
              <w:t>50-52 MHz sec, 200 W</w:t>
            </w:r>
          </w:p>
        </w:tc>
        <w:tc>
          <w:tcPr>
            <w:tcW w:w="850" w:type="dxa"/>
            <w:shd w:val="clear" w:color="auto" w:fill="FFFFFF"/>
          </w:tcPr>
          <w:p w14:paraId="38D18E7D" w14:textId="77777777" w:rsidR="00EB242E" w:rsidRPr="00AE72CB" w:rsidRDefault="00EB242E" w:rsidP="00295860">
            <w:pPr>
              <w:pStyle w:val="Tabletext"/>
              <w:jc w:val="center"/>
              <w:rPr>
                <w:lang w:val="en-US"/>
              </w:rPr>
            </w:pPr>
            <w:r w:rsidRPr="00AE72CB">
              <w:rPr>
                <w:lang w:val="en-US"/>
              </w:rPr>
              <w:t>UZB</w:t>
            </w:r>
          </w:p>
        </w:tc>
        <w:tc>
          <w:tcPr>
            <w:tcW w:w="709" w:type="dxa"/>
            <w:shd w:val="clear" w:color="auto" w:fill="FFFFFF"/>
          </w:tcPr>
          <w:p w14:paraId="5A543344" w14:textId="77777777" w:rsidR="00EB242E" w:rsidRPr="00AE72CB" w:rsidRDefault="00EB242E" w:rsidP="00295860">
            <w:pPr>
              <w:pStyle w:val="Tabletext"/>
              <w:jc w:val="center"/>
              <w:rPr>
                <w:lang w:val="en-US"/>
              </w:rPr>
            </w:pPr>
            <w:r w:rsidRPr="00AE72CB">
              <w:rPr>
                <w:lang w:val="en-US"/>
              </w:rPr>
              <w:t>no</w:t>
            </w:r>
          </w:p>
        </w:tc>
        <w:tc>
          <w:tcPr>
            <w:tcW w:w="1417" w:type="dxa"/>
            <w:shd w:val="clear" w:color="auto" w:fill="FFFFFF"/>
          </w:tcPr>
          <w:p w14:paraId="6B3F9A15" w14:textId="77777777" w:rsidR="00EB242E" w:rsidRPr="00AE72CB" w:rsidRDefault="00EB242E" w:rsidP="00295860">
            <w:pPr>
              <w:pStyle w:val="Tabletext"/>
              <w:jc w:val="center"/>
              <w:rPr>
                <w:lang w:val="en-US"/>
              </w:rPr>
            </w:pPr>
            <w:r w:rsidRPr="00AE72CB">
              <w:rPr>
                <w:lang w:val="en-US"/>
              </w:rPr>
              <w:t>-</w:t>
            </w:r>
          </w:p>
        </w:tc>
        <w:tc>
          <w:tcPr>
            <w:tcW w:w="851" w:type="dxa"/>
            <w:shd w:val="clear" w:color="auto" w:fill="FFFFFF"/>
          </w:tcPr>
          <w:p w14:paraId="0207046E" w14:textId="77777777" w:rsidR="00EB242E" w:rsidRPr="00AE72CB" w:rsidRDefault="00EB242E" w:rsidP="00295860">
            <w:pPr>
              <w:pStyle w:val="Tabletext"/>
              <w:jc w:val="center"/>
              <w:rPr>
                <w:lang w:val="en-US"/>
              </w:rPr>
            </w:pPr>
          </w:p>
        </w:tc>
        <w:tc>
          <w:tcPr>
            <w:tcW w:w="1559" w:type="dxa"/>
            <w:shd w:val="clear" w:color="auto" w:fill="FFFFFF"/>
          </w:tcPr>
          <w:p w14:paraId="6241998B" w14:textId="77777777" w:rsidR="00EB242E" w:rsidRPr="00AE72CB" w:rsidRDefault="00EB242E" w:rsidP="00295860">
            <w:pPr>
              <w:pStyle w:val="Tabletext"/>
              <w:jc w:val="center"/>
              <w:rPr>
                <w:lang w:val="en-US"/>
              </w:rPr>
            </w:pPr>
          </w:p>
        </w:tc>
        <w:tc>
          <w:tcPr>
            <w:tcW w:w="1418" w:type="dxa"/>
            <w:shd w:val="clear" w:color="auto" w:fill="FFFFFF"/>
          </w:tcPr>
          <w:p w14:paraId="09AC6270" w14:textId="77777777" w:rsidR="00EB242E" w:rsidRPr="00AE72CB" w:rsidRDefault="00EB242E" w:rsidP="00295860">
            <w:pPr>
              <w:pStyle w:val="Tabletext"/>
              <w:jc w:val="center"/>
              <w:rPr>
                <w:lang w:val="en-US"/>
              </w:rPr>
            </w:pPr>
          </w:p>
        </w:tc>
      </w:tr>
    </w:tbl>
    <w:p w14:paraId="4E8E0A52" w14:textId="77777777" w:rsidR="00EB242E" w:rsidRPr="00853C9F" w:rsidRDefault="00EB242E" w:rsidP="00C66D09">
      <w:pPr>
        <w:pStyle w:val="Tablefin"/>
        <w:rPr>
          <w:lang w:val="en-US"/>
        </w:rPr>
      </w:pPr>
    </w:p>
    <w:p w14:paraId="3A2EBCDD" w14:textId="77777777" w:rsidR="00EB242E" w:rsidRPr="00853C9F" w:rsidRDefault="00EB242E">
      <w:pPr>
        <w:tabs>
          <w:tab w:val="clear" w:pos="1134"/>
          <w:tab w:val="clear" w:pos="1871"/>
          <w:tab w:val="clear" w:pos="2268"/>
        </w:tabs>
        <w:overflowPunct/>
        <w:autoSpaceDE/>
        <w:autoSpaceDN/>
        <w:adjustRightInd/>
        <w:spacing w:before="0"/>
        <w:textAlignment w:val="auto"/>
        <w:rPr>
          <w:iCs/>
          <w:lang w:val="en-US"/>
        </w:rPr>
      </w:pPr>
      <w:r w:rsidRPr="00853C9F">
        <w:rPr>
          <w:iCs/>
          <w:lang w:val="en-US"/>
        </w:rPr>
        <w:br w:type="page"/>
      </w:r>
    </w:p>
    <w:p w14:paraId="3E663014" w14:textId="77777777" w:rsidR="00EB242E" w:rsidRPr="00853C9F" w:rsidRDefault="00EB242E" w:rsidP="00EB242E">
      <w:pPr>
        <w:rPr>
          <w:iCs/>
          <w:lang w:val="en-US"/>
        </w:rPr>
      </w:pPr>
    </w:p>
    <w:p w14:paraId="714F3805" w14:textId="63868491" w:rsidR="00EB242E" w:rsidRPr="00853C9F" w:rsidRDefault="00EB242E" w:rsidP="00C45CE0">
      <w:pPr>
        <w:spacing w:after="120"/>
        <w:rPr>
          <w:iCs/>
          <w:lang w:val="en-US"/>
        </w:rPr>
      </w:pPr>
      <w:r w:rsidRPr="00853C9F">
        <w:rPr>
          <w:i/>
          <w:iCs/>
          <w:highlight w:val="yellow"/>
          <w:lang w:val="en-US"/>
        </w:rPr>
        <w:t xml:space="preserve">Editor’s note: New </w:t>
      </w:r>
      <w:r w:rsidR="00C66D09" w:rsidRPr="00853C9F">
        <w:rPr>
          <w:i/>
          <w:iCs/>
          <w:highlight w:val="yellow"/>
          <w:lang w:val="en-US"/>
        </w:rPr>
        <w:t xml:space="preserve">Table </w:t>
      </w:r>
      <w:r w:rsidRPr="00853C9F">
        <w:rPr>
          <w:i/>
          <w:iCs/>
          <w:highlight w:val="yellow"/>
          <w:lang w:val="en-US"/>
        </w:rPr>
        <w:t>1 to replace above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1"/>
        <w:gridCol w:w="781"/>
        <w:gridCol w:w="766"/>
        <w:gridCol w:w="449"/>
        <w:gridCol w:w="662"/>
        <w:gridCol w:w="583"/>
        <w:gridCol w:w="766"/>
        <w:gridCol w:w="322"/>
        <w:gridCol w:w="662"/>
        <w:gridCol w:w="463"/>
        <w:gridCol w:w="766"/>
        <w:gridCol w:w="449"/>
        <w:gridCol w:w="662"/>
        <w:gridCol w:w="583"/>
        <w:gridCol w:w="605"/>
        <w:gridCol w:w="449"/>
      </w:tblGrid>
      <w:tr w:rsidR="00E56922" w:rsidRPr="00853C9F" w14:paraId="6434BF9F" w14:textId="77777777" w:rsidTr="00E56922">
        <w:trPr>
          <w:trHeight w:val="300"/>
          <w:jc w:val="center"/>
        </w:trPr>
        <w:tc>
          <w:tcPr>
            <w:tcW w:w="0" w:type="auto"/>
            <w:shd w:val="clear" w:color="auto" w:fill="auto"/>
            <w:noWrap/>
            <w:vAlign w:val="bottom"/>
            <w:hideMark/>
          </w:tcPr>
          <w:p w14:paraId="0724FFF8" w14:textId="77777777" w:rsidR="00C66D09" w:rsidRPr="00853C9F" w:rsidRDefault="00C66D09" w:rsidP="00C66D09">
            <w:pPr>
              <w:pStyle w:val="Tablehead"/>
              <w:rPr>
                <w:spacing w:val="-3"/>
                <w:sz w:val="16"/>
                <w:szCs w:val="16"/>
                <w:lang w:val="en-US"/>
              </w:rPr>
            </w:pPr>
            <w:r w:rsidRPr="00853C9F">
              <w:rPr>
                <w:spacing w:val="-3"/>
                <w:sz w:val="16"/>
                <w:szCs w:val="16"/>
                <w:lang w:val="en-US"/>
              </w:rPr>
              <w:t>Country</w:t>
            </w:r>
          </w:p>
        </w:tc>
        <w:tc>
          <w:tcPr>
            <w:tcW w:w="0" w:type="auto"/>
            <w:shd w:val="clear" w:color="auto" w:fill="auto"/>
            <w:noWrap/>
            <w:vAlign w:val="bottom"/>
            <w:hideMark/>
          </w:tcPr>
          <w:p w14:paraId="317C9327"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132612A4"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Status</w:t>
            </w:r>
          </w:p>
        </w:tc>
        <w:tc>
          <w:tcPr>
            <w:tcW w:w="0" w:type="auto"/>
            <w:shd w:val="clear" w:color="auto" w:fill="auto"/>
            <w:noWrap/>
            <w:vAlign w:val="bottom"/>
            <w:hideMark/>
          </w:tcPr>
          <w:p w14:paraId="36A5DE64"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RR</w:t>
            </w:r>
          </w:p>
        </w:tc>
        <w:tc>
          <w:tcPr>
            <w:tcW w:w="0" w:type="auto"/>
            <w:shd w:val="clear" w:color="auto" w:fill="auto"/>
            <w:noWrap/>
            <w:vAlign w:val="bottom"/>
            <w:hideMark/>
          </w:tcPr>
          <w:p w14:paraId="145180BE"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Country</w:t>
            </w:r>
          </w:p>
        </w:tc>
        <w:tc>
          <w:tcPr>
            <w:tcW w:w="0" w:type="auto"/>
            <w:shd w:val="clear" w:color="auto" w:fill="auto"/>
            <w:noWrap/>
            <w:vAlign w:val="bottom"/>
            <w:hideMark/>
          </w:tcPr>
          <w:p w14:paraId="15C4A768"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345704F8"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Status</w:t>
            </w:r>
          </w:p>
        </w:tc>
        <w:tc>
          <w:tcPr>
            <w:tcW w:w="0" w:type="auto"/>
            <w:shd w:val="clear" w:color="auto" w:fill="auto"/>
            <w:noWrap/>
            <w:vAlign w:val="bottom"/>
            <w:hideMark/>
          </w:tcPr>
          <w:p w14:paraId="09665CD0"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RR</w:t>
            </w:r>
          </w:p>
        </w:tc>
        <w:tc>
          <w:tcPr>
            <w:tcW w:w="0" w:type="auto"/>
            <w:shd w:val="clear" w:color="auto" w:fill="auto"/>
            <w:noWrap/>
            <w:vAlign w:val="bottom"/>
            <w:hideMark/>
          </w:tcPr>
          <w:p w14:paraId="37034C50" w14:textId="77777777" w:rsidR="00C66D09" w:rsidRPr="00853C9F" w:rsidRDefault="00C66D09" w:rsidP="00C66D09">
            <w:pPr>
              <w:pStyle w:val="Tablehead"/>
              <w:rPr>
                <w:spacing w:val="-3"/>
                <w:sz w:val="16"/>
                <w:szCs w:val="16"/>
                <w:lang w:val="en-US"/>
              </w:rPr>
            </w:pPr>
            <w:r w:rsidRPr="00853C9F">
              <w:rPr>
                <w:spacing w:val="-3"/>
                <w:sz w:val="16"/>
                <w:szCs w:val="16"/>
                <w:lang w:val="en-US"/>
              </w:rPr>
              <w:t>Country</w:t>
            </w:r>
          </w:p>
        </w:tc>
        <w:tc>
          <w:tcPr>
            <w:tcW w:w="0" w:type="auto"/>
            <w:shd w:val="clear" w:color="auto" w:fill="auto"/>
            <w:noWrap/>
            <w:vAlign w:val="bottom"/>
            <w:hideMark/>
          </w:tcPr>
          <w:p w14:paraId="14936E1C"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76F3E1DD"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Status</w:t>
            </w:r>
          </w:p>
        </w:tc>
        <w:tc>
          <w:tcPr>
            <w:tcW w:w="0" w:type="auto"/>
            <w:shd w:val="clear" w:color="auto" w:fill="auto"/>
            <w:noWrap/>
            <w:vAlign w:val="bottom"/>
            <w:hideMark/>
          </w:tcPr>
          <w:p w14:paraId="052CD63F"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RR</w:t>
            </w:r>
          </w:p>
        </w:tc>
        <w:tc>
          <w:tcPr>
            <w:tcW w:w="0" w:type="auto"/>
            <w:shd w:val="clear" w:color="auto" w:fill="auto"/>
            <w:noWrap/>
            <w:vAlign w:val="bottom"/>
            <w:hideMark/>
          </w:tcPr>
          <w:p w14:paraId="2423E536" w14:textId="77777777" w:rsidR="00C66D09" w:rsidRPr="00853C9F" w:rsidRDefault="00C66D09" w:rsidP="00C66D09">
            <w:pPr>
              <w:pStyle w:val="Tablehead"/>
              <w:rPr>
                <w:spacing w:val="-3"/>
                <w:sz w:val="16"/>
                <w:szCs w:val="16"/>
                <w:lang w:val="en-US"/>
              </w:rPr>
            </w:pPr>
            <w:r w:rsidRPr="00853C9F">
              <w:rPr>
                <w:spacing w:val="-3"/>
                <w:sz w:val="16"/>
                <w:szCs w:val="16"/>
                <w:lang w:val="en-US"/>
              </w:rPr>
              <w:t>Country</w:t>
            </w:r>
          </w:p>
        </w:tc>
        <w:tc>
          <w:tcPr>
            <w:tcW w:w="0" w:type="auto"/>
            <w:shd w:val="clear" w:color="auto" w:fill="auto"/>
            <w:noWrap/>
            <w:vAlign w:val="bottom"/>
            <w:hideMark/>
          </w:tcPr>
          <w:p w14:paraId="101D168C"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46F6A8BD"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Status</w:t>
            </w:r>
          </w:p>
        </w:tc>
        <w:tc>
          <w:tcPr>
            <w:tcW w:w="0" w:type="auto"/>
            <w:shd w:val="clear" w:color="auto" w:fill="auto"/>
            <w:noWrap/>
            <w:vAlign w:val="bottom"/>
            <w:hideMark/>
          </w:tcPr>
          <w:p w14:paraId="7FB4371E" w14:textId="77777777" w:rsidR="00C66D09" w:rsidRPr="00853C9F" w:rsidRDefault="00C66D09" w:rsidP="00C66D09">
            <w:pPr>
              <w:pStyle w:val="Tablehead"/>
              <w:rPr>
                <w:spacing w:val="-3"/>
                <w:sz w:val="16"/>
                <w:szCs w:val="16"/>
                <w:u w:val="single"/>
                <w:lang w:val="en-US"/>
              </w:rPr>
            </w:pPr>
            <w:r w:rsidRPr="00853C9F">
              <w:rPr>
                <w:spacing w:val="-3"/>
                <w:sz w:val="16"/>
                <w:szCs w:val="16"/>
                <w:u w:val="single"/>
                <w:lang w:val="en-US"/>
              </w:rPr>
              <w:t>RR</w:t>
            </w:r>
          </w:p>
        </w:tc>
      </w:tr>
      <w:tr w:rsidR="00E22BB5" w:rsidRPr="00853C9F" w14:paraId="5277CE4D" w14:textId="77777777" w:rsidTr="00E56922">
        <w:trPr>
          <w:trHeight w:val="300"/>
          <w:jc w:val="center"/>
        </w:trPr>
        <w:tc>
          <w:tcPr>
            <w:tcW w:w="0" w:type="auto"/>
            <w:shd w:val="clear" w:color="auto" w:fill="auto"/>
            <w:noWrap/>
            <w:vAlign w:val="bottom"/>
            <w:hideMark/>
          </w:tcPr>
          <w:p w14:paraId="56A8191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AFS</w:t>
            </w:r>
          </w:p>
        </w:tc>
        <w:tc>
          <w:tcPr>
            <w:tcW w:w="0" w:type="auto"/>
            <w:shd w:val="clear" w:color="auto" w:fill="auto"/>
            <w:noWrap/>
            <w:vAlign w:val="bottom"/>
            <w:hideMark/>
          </w:tcPr>
          <w:p w14:paraId="09D6870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0606057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300B458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3B76E31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DNK</w:t>
            </w:r>
          </w:p>
        </w:tc>
        <w:tc>
          <w:tcPr>
            <w:tcW w:w="0" w:type="auto"/>
            <w:shd w:val="clear" w:color="auto" w:fill="auto"/>
            <w:noWrap/>
            <w:vAlign w:val="bottom"/>
            <w:hideMark/>
          </w:tcPr>
          <w:p w14:paraId="5AF3F40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BE498B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6BC46459"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84A946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LBR</w:t>
            </w:r>
          </w:p>
        </w:tc>
        <w:tc>
          <w:tcPr>
            <w:tcW w:w="0" w:type="auto"/>
            <w:shd w:val="clear" w:color="000000" w:fill="FFFF00"/>
            <w:noWrap/>
            <w:vAlign w:val="bottom"/>
            <w:hideMark/>
          </w:tcPr>
          <w:p w14:paraId="102D2199" w14:textId="4C3A031C"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E6E91B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2D82C75" w14:textId="68962B0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A2E79B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03FF587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75F0920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r>
      <w:tr w:rsidR="00E56922" w:rsidRPr="00853C9F" w14:paraId="70419F0D" w14:textId="77777777" w:rsidTr="00E56922">
        <w:trPr>
          <w:trHeight w:val="300"/>
          <w:jc w:val="center"/>
        </w:trPr>
        <w:tc>
          <w:tcPr>
            <w:tcW w:w="0" w:type="auto"/>
            <w:shd w:val="clear" w:color="auto" w:fill="auto"/>
            <w:noWrap/>
            <w:vAlign w:val="bottom"/>
            <w:hideMark/>
          </w:tcPr>
          <w:p w14:paraId="5932313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ALB</w:t>
            </w:r>
          </w:p>
        </w:tc>
        <w:tc>
          <w:tcPr>
            <w:tcW w:w="0" w:type="auto"/>
            <w:shd w:val="clear" w:color="auto" w:fill="auto"/>
            <w:noWrap/>
            <w:vAlign w:val="bottom"/>
            <w:hideMark/>
          </w:tcPr>
          <w:p w14:paraId="7596211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1B80EFC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3C7AD57F"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F5D31D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E</w:t>
            </w:r>
          </w:p>
        </w:tc>
        <w:tc>
          <w:tcPr>
            <w:tcW w:w="0" w:type="auto"/>
            <w:shd w:val="clear" w:color="auto" w:fill="auto"/>
            <w:noWrap/>
            <w:vAlign w:val="bottom"/>
            <w:hideMark/>
          </w:tcPr>
          <w:p w14:paraId="454D001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609FC3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381D1C0D"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FC9EB4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LBY</w:t>
            </w:r>
          </w:p>
        </w:tc>
        <w:tc>
          <w:tcPr>
            <w:tcW w:w="0" w:type="auto"/>
            <w:shd w:val="clear" w:color="000000" w:fill="FFFF00"/>
            <w:noWrap/>
            <w:vAlign w:val="bottom"/>
            <w:hideMark/>
          </w:tcPr>
          <w:p w14:paraId="1054B4E1" w14:textId="63FD8DEC"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CABCF4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63C2287" w14:textId="113A8389"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C0543F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SDN</w:t>
            </w:r>
          </w:p>
        </w:tc>
        <w:tc>
          <w:tcPr>
            <w:tcW w:w="0" w:type="auto"/>
            <w:shd w:val="clear" w:color="000000" w:fill="FFFF00"/>
            <w:noWrap/>
            <w:vAlign w:val="bottom"/>
            <w:hideMark/>
          </w:tcPr>
          <w:p w14:paraId="010C8FE2" w14:textId="0CD4C85C"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9F872F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B5F71D5" w14:textId="5A171DA1" w:rsidR="00C66D09" w:rsidRPr="00853C9F" w:rsidRDefault="00C66D09" w:rsidP="00C45CE0">
            <w:pPr>
              <w:pStyle w:val="Tabletext"/>
              <w:jc w:val="center"/>
              <w:rPr>
                <w:spacing w:val="-2"/>
                <w:sz w:val="16"/>
                <w:szCs w:val="16"/>
                <w:lang w:val="en-US"/>
              </w:rPr>
            </w:pPr>
          </w:p>
        </w:tc>
      </w:tr>
      <w:tr w:rsidR="00E56922" w:rsidRPr="00853C9F" w14:paraId="1F5AAAF7" w14:textId="77777777" w:rsidTr="00E56922">
        <w:trPr>
          <w:trHeight w:val="300"/>
          <w:jc w:val="center"/>
        </w:trPr>
        <w:tc>
          <w:tcPr>
            <w:tcW w:w="0" w:type="auto"/>
            <w:shd w:val="clear" w:color="auto" w:fill="auto"/>
            <w:noWrap/>
            <w:vAlign w:val="bottom"/>
            <w:hideMark/>
          </w:tcPr>
          <w:p w14:paraId="207FAD1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ALG</w:t>
            </w:r>
          </w:p>
        </w:tc>
        <w:tc>
          <w:tcPr>
            <w:tcW w:w="0" w:type="auto"/>
            <w:shd w:val="clear" w:color="auto" w:fill="auto"/>
            <w:noWrap/>
            <w:vAlign w:val="bottom"/>
            <w:hideMark/>
          </w:tcPr>
          <w:p w14:paraId="5D1FE61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BCB6DB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363D6332"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C133AD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EGY</w:t>
            </w:r>
          </w:p>
        </w:tc>
        <w:tc>
          <w:tcPr>
            <w:tcW w:w="0" w:type="auto"/>
            <w:shd w:val="clear" w:color="auto" w:fill="auto"/>
            <w:noWrap/>
            <w:vAlign w:val="bottom"/>
            <w:hideMark/>
          </w:tcPr>
          <w:p w14:paraId="38C56DD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09130D26"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3AEC27F2"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0C5512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LIE</w:t>
            </w:r>
          </w:p>
        </w:tc>
        <w:tc>
          <w:tcPr>
            <w:tcW w:w="0" w:type="auto"/>
            <w:shd w:val="clear" w:color="auto" w:fill="auto"/>
            <w:noWrap/>
            <w:vAlign w:val="bottom"/>
            <w:hideMark/>
          </w:tcPr>
          <w:p w14:paraId="7CC6D74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33E7D2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3F548628" w14:textId="43D889C5"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8AB748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SEN</w:t>
            </w:r>
          </w:p>
        </w:tc>
        <w:tc>
          <w:tcPr>
            <w:tcW w:w="0" w:type="auto"/>
            <w:shd w:val="clear" w:color="auto" w:fill="auto"/>
            <w:noWrap/>
            <w:vAlign w:val="bottom"/>
            <w:hideMark/>
          </w:tcPr>
          <w:p w14:paraId="54A29AF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50-51</w:t>
            </w:r>
          </w:p>
        </w:tc>
        <w:tc>
          <w:tcPr>
            <w:tcW w:w="0" w:type="auto"/>
            <w:shd w:val="clear" w:color="auto" w:fill="auto"/>
            <w:noWrap/>
            <w:vAlign w:val="bottom"/>
            <w:hideMark/>
          </w:tcPr>
          <w:p w14:paraId="7D1FBE7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45DB833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r>
      <w:tr w:rsidR="00E56922" w:rsidRPr="00853C9F" w14:paraId="12D7E7C3" w14:textId="77777777" w:rsidTr="00E56922">
        <w:trPr>
          <w:trHeight w:val="300"/>
          <w:jc w:val="center"/>
        </w:trPr>
        <w:tc>
          <w:tcPr>
            <w:tcW w:w="0" w:type="auto"/>
            <w:shd w:val="clear" w:color="auto" w:fill="auto"/>
            <w:noWrap/>
            <w:vAlign w:val="bottom"/>
            <w:hideMark/>
          </w:tcPr>
          <w:p w14:paraId="745D868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AND</w:t>
            </w:r>
          </w:p>
        </w:tc>
        <w:tc>
          <w:tcPr>
            <w:tcW w:w="0" w:type="auto"/>
            <w:shd w:val="clear" w:color="auto" w:fill="auto"/>
            <w:noWrap/>
            <w:vAlign w:val="bottom"/>
            <w:hideMark/>
          </w:tcPr>
          <w:p w14:paraId="42FF60E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A35790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5070C5BA"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15E55A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ERI</w:t>
            </w:r>
          </w:p>
        </w:tc>
        <w:tc>
          <w:tcPr>
            <w:tcW w:w="0" w:type="auto"/>
            <w:shd w:val="clear" w:color="000000" w:fill="FFFF00"/>
            <w:noWrap/>
            <w:vAlign w:val="bottom"/>
            <w:hideMark/>
          </w:tcPr>
          <w:p w14:paraId="6B089C6A" w14:textId="652A341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46589E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668B625" w14:textId="1F1C406D"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A205EA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LSO</w:t>
            </w:r>
          </w:p>
        </w:tc>
        <w:tc>
          <w:tcPr>
            <w:tcW w:w="0" w:type="auto"/>
            <w:shd w:val="clear" w:color="auto" w:fill="auto"/>
            <w:noWrap/>
            <w:vAlign w:val="bottom"/>
            <w:hideMark/>
          </w:tcPr>
          <w:p w14:paraId="46DB921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707F83F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66F5B8B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c>
          <w:tcPr>
            <w:tcW w:w="0" w:type="auto"/>
            <w:shd w:val="clear" w:color="000000" w:fill="FFFF00"/>
            <w:noWrap/>
            <w:vAlign w:val="bottom"/>
            <w:hideMark/>
          </w:tcPr>
          <w:p w14:paraId="7BBC7AE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SEY</w:t>
            </w:r>
          </w:p>
        </w:tc>
        <w:tc>
          <w:tcPr>
            <w:tcW w:w="0" w:type="auto"/>
            <w:shd w:val="clear" w:color="000000" w:fill="FFFF00"/>
            <w:noWrap/>
            <w:vAlign w:val="bottom"/>
            <w:hideMark/>
          </w:tcPr>
          <w:p w14:paraId="08C4E19E" w14:textId="19E05DAE"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410264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A98DD8F" w14:textId="4F76AC02" w:rsidR="00C66D09" w:rsidRPr="00853C9F" w:rsidRDefault="00C66D09" w:rsidP="00C45CE0">
            <w:pPr>
              <w:pStyle w:val="Tabletext"/>
              <w:jc w:val="center"/>
              <w:rPr>
                <w:spacing w:val="-2"/>
                <w:sz w:val="16"/>
                <w:szCs w:val="16"/>
                <w:lang w:val="en-US"/>
              </w:rPr>
            </w:pPr>
          </w:p>
        </w:tc>
      </w:tr>
      <w:tr w:rsidR="00E22BB5" w:rsidRPr="00853C9F" w14:paraId="35FADBF6" w14:textId="77777777" w:rsidTr="00E56922">
        <w:trPr>
          <w:trHeight w:val="300"/>
          <w:jc w:val="center"/>
        </w:trPr>
        <w:tc>
          <w:tcPr>
            <w:tcW w:w="0" w:type="auto"/>
            <w:shd w:val="clear" w:color="000000" w:fill="FFFF00"/>
            <w:noWrap/>
            <w:vAlign w:val="bottom"/>
            <w:hideMark/>
          </w:tcPr>
          <w:p w14:paraId="7FE2EBC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ANG</w:t>
            </w:r>
          </w:p>
        </w:tc>
        <w:tc>
          <w:tcPr>
            <w:tcW w:w="0" w:type="auto"/>
            <w:shd w:val="clear" w:color="000000" w:fill="FFFF00"/>
            <w:noWrap/>
            <w:vAlign w:val="bottom"/>
            <w:hideMark/>
          </w:tcPr>
          <w:p w14:paraId="3F7BCCCB" w14:textId="16B1B3BA"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B6C54B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5FA1F68" w14:textId="3A48A8BC"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793C47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EST</w:t>
            </w:r>
          </w:p>
        </w:tc>
        <w:tc>
          <w:tcPr>
            <w:tcW w:w="0" w:type="auto"/>
            <w:shd w:val="clear" w:color="auto" w:fill="auto"/>
            <w:noWrap/>
            <w:vAlign w:val="bottom"/>
            <w:hideMark/>
          </w:tcPr>
          <w:p w14:paraId="7AE470A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8C2A0B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4D9B810A"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1B2353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LTU</w:t>
            </w:r>
          </w:p>
        </w:tc>
        <w:tc>
          <w:tcPr>
            <w:tcW w:w="0" w:type="auto"/>
            <w:shd w:val="clear" w:color="auto" w:fill="auto"/>
            <w:noWrap/>
            <w:vAlign w:val="bottom"/>
            <w:hideMark/>
          </w:tcPr>
          <w:p w14:paraId="0CAFB3D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4B929EB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52E08084" w14:textId="107DF6B0"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9AF293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SMR</w:t>
            </w:r>
          </w:p>
        </w:tc>
        <w:tc>
          <w:tcPr>
            <w:tcW w:w="0" w:type="auto"/>
            <w:shd w:val="clear" w:color="auto" w:fill="auto"/>
            <w:noWrap/>
            <w:vAlign w:val="bottom"/>
            <w:hideMark/>
          </w:tcPr>
          <w:p w14:paraId="1FCCCD9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0EF8E77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r>
      <w:tr w:rsidR="00E56922" w:rsidRPr="00853C9F" w14:paraId="19459B9A" w14:textId="77777777" w:rsidTr="00E56922">
        <w:trPr>
          <w:trHeight w:val="300"/>
          <w:jc w:val="center"/>
        </w:trPr>
        <w:tc>
          <w:tcPr>
            <w:tcW w:w="0" w:type="auto"/>
            <w:shd w:val="clear" w:color="auto" w:fill="auto"/>
            <w:noWrap/>
            <w:vAlign w:val="bottom"/>
            <w:hideMark/>
          </w:tcPr>
          <w:p w14:paraId="73D531D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ARM</w:t>
            </w:r>
          </w:p>
        </w:tc>
        <w:tc>
          <w:tcPr>
            <w:tcW w:w="0" w:type="auto"/>
            <w:shd w:val="clear" w:color="auto" w:fill="auto"/>
            <w:noWrap/>
            <w:vAlign w:val="bottom"/>
            <w:hideMark/>
          </w:tcPr>
          <w:p w14:paraId="54E5541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7CD84B60"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0D08B3A"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B79F28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ETH</w:t>
            </w:r>
          </w:p>
        </w:tc>
        <w:tc>
          <w:tcPr>
            <w:tcW w:w="0" w:type="auto"/>
            <w:shd w:val="clear" w:color="000000" w:fill="FFFF00"/>
            <w:noWrap/>
            <w:vAlign w:val="bottom"/>
            <w:hideMark/>
          </w:tcPr>
          <w:p w14:paraId="005A29AC" w14:textId="4B6D6EDE"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DFD4BE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1956B5E4" w14:textId="40430594"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E8CB82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LUX</w:t>
            </w:r>
          </w:p>
        </w:tc>
        <w:tc>
          <w:tcPr>
            <w:tcW w:w="0" w:type="auto"/>
            <w:shd w:val="clear" w:color="auto" w:fill="auto"/>
            <w:noWrap/>
            <w:vAlign w:val="bottom"/>
            <w:hideMark/>
          </w:tcPr>
          <w:p w14:paraId="67829A1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185D8AD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57A34B71" w14:textId="6639CAD1"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E920DE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SOM</w:t>
            </w:r>
          </w:p>
        </w:tc>
        <w:tc>
          <w:tcPr>
            <w:tcW w:w="0" w:type="auto"/>
            <w:shd w:val="clear" w:color="auto" w:fill="auto"/>
            <w:noWrap/>
            <w:vAlign w:val="bottom"/>
            <w:hideMark/>
          </w:tcPr>
          <w:p w14:paraId="342B7D2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036D2A26"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DF69347" w14:textId="52269BC7" w:rsidR="00C66D09" w:rsidRPr="00853C9F" w:rsidRDefault="00C66D09" w:rsidP="00C45CE0">
            <w:pPr>
              <w:pStyle w:val="Tabletext"/>
              <w:jc w:val="center"/>
              <w:rPr>
                <w:spacing w:val="-2"/>
                <w:sz w:val="16"/>
                <w:szCs w:val="16"/>
                <w:lang w:val="en-US"/>
              </w:rPr>
            </w:pPr>
          </w:p>
        </w:tc>
      </w:tr>
      <w:tr w:rsidR="00E22BB5" w:rsidRPr="00853C9F" w14:paraId="3F792481" w14:textId="77777777" w:rsidTr="00E56922">
        <w:trPr>
          <w:trHeight w:val="300"/>
          <w:jc w:val="center"/>
        </w:trPr>
        <w:tc>
          <w:tcPr>
            <w:tcW w:w="0" w:type="auto"/>
            <w:shd w:val="clear" w:color="auto" w:fill="auto"/>
            <w:noWrap/>
            <w:vAlign w:val="bottom"/>
            <w:hideMark/>
          </w:tcPr>
          <w:p w14:paraId="1E6F19D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ARS</w:t>
            </w:r>
          </w:p>
        </w:tc>
        <w:tc>
          <w:tcPr>
            <w:tcW w:w="0" w:type="auto"/>
            <w:shd w:val="clear" w:color="auto" w:fill="auto"/>
            <w:noWrap/>
            <w:vAlign w:val="bottom"/>
            <w:hideMark/>
          </w:tcPr>
          <w:p w14:paraId="274038F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65D5EAA4"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A977509"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F71C3D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F</w:t>
            </w:r>
          </w:p>
        </w:tc>
        <w:tc>
          <w:tcPr>
            <w:tcW w:w="0" w:type="auto"/>
            <w:shd w:val="clear" w:color="auto" w:fill="auto"/>
            <w:noWrap/>
            <w:vAlign w:val="bottom"/>
            <w:hideMark/>
          </w:tcPr>
          <w:p w14:paraId="4A730CA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50.2-52</w:t>
            </w:r>
          </w:p>
        </w:tc>
        <w:tc>
          <w:tcPr>
            <w:tcW w:w="0" w:type="auto"/>
            <w:shd w:val="clear" w:color="auto" w:fill="auto"/>
            <w:noWrap/>
            <w:vAlign w:val="bottom"/>
            <w:hideMark/>
          </w:tcPr>
          <w:p w14:paraId="3ABA7FE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1FC96ABB"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D10490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LVA</w:t>
            </w:r>
          </w:p>
        </w:tc>
        <w:tc>
          <w:tcPr>
            <w:tcW w:w="0" w:type="auto"/>
            <w:shd w:val="clear" w:color="auto" w:fill="auto"/>
            <w:noWrap/>
            <w:vAlign w:val="bottom"/>
            <w:hideMark/>
          </w:tcPr>
          <w:p w14:paraId="44CF254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9D5FF6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01B4718F" w14:textId="2E32F1B1"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2752B9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SRB</w:t>
            </w:r>
          </w:p>
        </w:tc>
        <w:tc>
          <w:tcPr>
            <w:tcW w:w="0" w:type="auto"/>
            <w:shd w:val="clear" w:color="auto" w:fill="auto"/>
            <w:noWrap/>
            <w:vAlign w:val="bottom"/>
            <w:hideMark/>
          </w:tcPr>
          <w:p w14:paraId="6415A22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50-51.9</w:t>
            </w:r>
          </w:p>
        </w:tc>
        <w:tc>
          <w:tcPr>
            <w:tcW w:w="0" w:type="auto"/>
            <w:gridSpan w:val="2"/>
            <w:shd w:val="clear" w:color="auto" w:fill="auto"/>
            <w:noWrap/>
            <w:vAlign w:val="bottom"/>
            <w:hideMark/>
          </w:tcPr>
          <w:p w14:paraId="2CFBD89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r>
      <w:tr w:rsidR="00E56922" w:rsidRPr="00853C9F" w14:paraId="2FE27F90" w14:textId="77777777" w:rsidTr="00E56922">
        <w:trPr>
          <w:trHeight w:val="300"/>
          <w:jc w:val="center"/>
        </w:trPr>
        <w:tc>
          <w:tcPr>
            <w:tcW w:w="0" w:type="auto"/>
            <w:shd w:val="clear" w:color="auto" w:fill="auto"/>
            <w:noWrap/>
            <w:vAlign w:val="bottom"/>
            <w:hideMark/>
          </w:tcPr>
          <w:p w14:paraId="257A42D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AUT</w:t>
            </w:r>
          </w:p>
        </w:tc>
        <w:tc>
          <w:tcPr>
            <w:tcW w:w="0" w:type="auto"/>
            <w:shd w:val="clear" w:color="auto" w:fill="auto"/>
            <w:noWrap/>
            <w:vAlign w:val="bottom"/>
            <w:hideMark/>
          </w:tcPr>
          <w:p w14:paraId="5E6384C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AEAA3F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06A1C986"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7BCDE6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FIN</w:t>
            </w:r>
          </w:p>
        </w:tc>
        <w:tc>
          <w:tcPr>
            <w:tcW w:w="0" w:type="auto"/>
            <w:shd w:val="clear" w:color="auto" w:fill="auto"/>
            <w:noWrap/>
            <w:vAlign w:val="bottom"/>
            <w:hideMark/>
          </w:tcPr>
          <w:p w14:paraId="73AC6B7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8A34C2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6BAC8C17"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587431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MAU</w:t>
            </w:r>
          </w:p>
        </w:tc>
        <w:tc>
          <w:tcPr>
            <w:tcW w:w="0" w:type="auto"/>
            <w:shd w:val="clear" w:color="auto" w:fill="auto"/>
            <w:noWrap/>
            <w:vAlign w:val="bottom"/>
            <w:hideMark/>
          </w:tcPr>
          <w:p w14:paraId="4125C98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61B2449F"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EFF6128" w14:textId="736EE951"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763EE36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SRL</w:t>
            </w:r>
          </w:p>
        </w:tc>
        <w:tc>
          <w:tcPr>
            <w:tcW w:w="0" w:type="auto"/>
            <w:shd w:val="clear" w:color="000000" w:fill="FFFF00"/>
            <w:noWrap/>
            <w:vAlign w:val="bottom"/>
            <w:hideMark/>
          </w:tcPr>
          <w:p w14:paraId="65A66571" w14:textId="00F9B65A"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3B8E927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795C714" w14:textId="06D539CB" w:rsidR="00C66D09" w:rsidRPr="00853C9F" w:rsidRDefault="00C66D09" w:rsidP="00C45CE0">
            <w:pPr>
              <w:pStyle w:val="Tabletext"/>
              <w:jc w:val="center"/>
              <w:rPr>
                <w:spacing w:val="-2"/>
                <w:sz w:val="16"/>
                <w:szCs w:val="16"/>
                <w:lang w:val="en-US"/>
              </w:rPr>
            </w:pPr>
          </w:p>
        </w:tc>
      </w:tr>
      <w:tr w:rsidR="00E56922" w:rsidRPr="00853C9F" w14:paraId="38B26825" w14:textId="77777777" w:rsidTr="00E56922">
        <w:trPr>
          <w:trHeight w:val="300"/>
          <w:jc w:val="center"/>
        </w:trPr>
        <w:tc>
          <w:tcPr>
            <w:tcW w:w="0" w:type="auto"/>
            <w:shd w:val="clear" w:color="auto" w:fill="auto"/>
            <w:noWrap/>
            <w:vAlign w:val="bottom"/>
            <w:hideMark/>
          </w:tcPr>
          <w:p w14:paraId="1F447ED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AZE</w:t>
            </w:r>
          </w:p>
        </w:tc>
        <w:tc>
          <w:tcPr>
            <w:tcW w:w="0" w:type="auto"/>
            <w:shd w:val="clear" w:color="auto" w:fill="auto"/>
            <w:noWrap/>
            <w:vAlign w:val="bottom"/>
            <w:hideMark/>
          </w:tcPr>
          <w:p w14:paraId="21C3F66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75D0622C"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65317E3"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CC83A8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w:t>
            </w:r>
          </w:p>
        </w:tc>
        <w:tc>
          <w:tcPr>
            <w:tcW w:w="0" w:type="auto"/>
            <w:shd w:val="clear" w:color="auto" w:fill="auto"/>
            <w:noWrap/>
            <w:vAlign w:val="bottom"/>
            <w:hideMark/>
          </w:tcPr>
          <w:p w14:paraId="387934F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50-51</w:t>
            </w:r>
          </w:p>
        </w:tc>
        <w:tc>
          <w:tcPr>
            <w:tcW w:w="0" w:type="auto"/>
            <w:shd w:val="clear" w:color="auto" w:fill="auto"/>
            <w:noWrap/>
            <w:vAlign w:val="bottom"/>
            <w:hideMark/>
          </w:tcPr>
          <w:p w14:paraId="1CF0BF5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5AEA4D5E"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9A6EF4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MCO</w:t>
            </w:r>
          </w:p>
        </w:tc>
        <w:tc>
          <w:tcPr>
            <w:tcW w:w="0" w:type="auto"/>
            <w:shd w:val="clear" w:color="auto" w:fill="auto"/>
            <w:noWrap/>
            <w:vAlign w:val="bottom"/>
            <w:hideMark/>
          </w:tcPr>
          <w:p w14:paraId="443678B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8C2035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4606C193" w14:textId="3D16E2D6"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C3CFB3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SSD</w:t>
            </w:r>
          </w:p>
        </w:tc>
        <w:tc>
          <w:tcPr>
            <w:tcW w:w="0" w:type="auto"/>
            <w:shd w:val="clear" w:color="000000" w:fill="FFFF00"/>
            <w:noWrap/>
            <w:vAlign w:val="bottom"/>
            <w:hideMark/>
          </w:tcPr>
          <w:p w14:paraId="1A7F675F" w14:textId="3208F2AA"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4AD65E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B2C1AB4" w14:textId="1C52277F" w:rsidR="00C66D09" w:rsidRPr="00853C9F" w:rsidRDefault="00C66D09" w:rsidP="00C45CE0">
            <w:pPr>
              <w:pStyle w:val="Tabletext"/>
              <w:jc w:val="center"/>
              <w:rPr>
                <w:spacing w:val="-2"/>
                <w:sz w:val="16"/>
                <w:szCs w:val="16"/>
                <w:lang w:val="en-US"/>
              </w:rPr>
            </w:pPr>
          </w:p>
        </w:tc>
      </w:tr>
      <w:tr w:rsidR="00E56922" w:rsidRPr="00853C9F" w14:paraId="3982AC02" w14:textId="77777777" w:rsidTr="00E56922">
        <w:trPr>
          <w:trHeight w:val="300"/>
          <w:jc w:val="center"/>
        </w:trPr>
        <w:tc>
          <w:tcPr>
            <w:tcW w:w="0" w:type="auto"/>
            <w:shd w:val="clear" w:color="auto" w:fill="auto"/>
            <w:noWrap/>
            <w:vAlign w:val="bottom"/>
            <w:hideMark/>
          </w:tcPr>
          <w:p w14:paraId="2F52362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BEL</w:t>
            </w:r>
          </w:p>
        </w:tc>
        <w:tc>
          <w:tcPr>
            <w:tcW w:w="0" w:type="auto"/>
            <w:shd w:val="clear" w:color="auto" w:fill="auto"/>
            <w:noWrap/>
            <w:vAlign w:val="bottom"/>
            <w:hideMark/>
          </w:tcPr>
          <w:p w14:paraId="7FF3259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DF5118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2DAD5602"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DC963E4" w14:textId="16C1EE68"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20A018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51-52</w:t>
            </w:r>
          </w:p>
        </w:tc>
        <w:tc>
          <w:tcPr>
            <w:tcW w:w="0" w:type="auto"/>
            <w:shd w:val="clear" w:color="auto" w:fill="auto"/>
            <w:noWrap/>
            <w:vAlign w:val="bottom"/>
            <w:hideMark/>
          </w:tcPr>
          <w:p w14:paraId="34E8D6C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6384887A"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E7497A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MDA</w:t>
            </w:r>
          </w:p>
        </w:tc>
        <w:tc>
          <w:tcPr>
            <w:tcW w:w="0" w:type="auto"/>
            <w:shd w:val="clear" w:color="auto" w:fill="auto"/>
            <w:noWrap/>
            <w:vAlign w:val="bottom"/>
            <w:hideMark/>
          </w:tcPr>
          <w:p w14:paraId="09EA814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046EC08A"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7DD1AA4" w14:textId="28E3D942"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853DB5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STP</w:t>
            </w:r>
          </w:p>
        </w:tc>
        <w:tc>
          <w:tcPr>
            <w:tcW w:w="0" w:type="auto"/>
            <w:shd w:val="clear" w:color="000000" w:fill="FFFF00"/>
            <w:noWrap/>
            <w:vAlign w:val="bottom"/>
            <w:hideMark/>
          </w:tcPr>
          <w:p w14:paraId="7413A486" w14:textId="48128BC6"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309BA0C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D7445D0" w14:textId="0A88F9C2" w:rsidR="00C66D09" w:rsidRPr="00853C9F" w:rsidRDefault="00C66D09" w:rsidP="00C45CE0">
            <w:pPr>
              <w:pStyle w:val="Tabletext"/>
              <w:jc w:val="center"/>
              <w:rPr>
                <w:spacing w:val="-2"/>
                <w:sz w:val="16"/>
                <w:szCs w:val="16"/>
                <w:lang w:val="en-US"/>
              </w:rPr>
            </w:pPr>
          </w:p>
        </w:tc>
      </w:tr>
      <w:tr w:rsidR="00E22BB5" w:rsidRPr="00853C9F" w14:paraId="1177A07F" w14:textId="77777777" w:rsidTr="00E56922">
        <w:trPr>
          <w:trHeight w:val="300"/>
          <w:jc w:val="center"/>
        </w:trPr>
        <w:tc>
          <w:tcPr>
            <w:tcW w:w="0" w:type="auto"/>
            <w:shd w:val="clear" w:color="auto" w:fill="auto"/>
            <w:noWrap/>
            <w:vAlign w:val="bottom"/>
            <w:hideMark/>
          </w:tcPr>
          <w:p w14:paraId="650D918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BEN</w:t>
            </w:r>
          </w:p>
        </w:tc>
        <w:tc>
          <w:tcPr>
            <w:tcW w:w="0" w:type="auto"/>
            <w:shd w:val="clear" w:color="auto" w:fill="auto"/>
            <w:noWrap/>
            <w:vAlign w:val="bottom"/>
            <w:hideMark/>
          </w:tcPr>
          <w:p w14:paraId="5495E3B4"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54D588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auto" w:fill="auto"/>
            <w:noWrap/>
            <w:vAlign w:val="bottom"/>
            <w:hideMark/>
          </w:tcPr>
          <w:p w14:paraId="534A9267"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EDF655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GAB</w:t>
            </w:r>
          </w:p>
        </w:tc>
        <w:tc>
          <w:tcPr>
            <w:tcW w:w="0" w:type="auto"/>
            <w:shd w:val="clear" w:color="000000" w:fill="FFFF00"/>
            <w:noWrap/>
            <w:vAlign w:val="bottom"/>
            <w:hideMark/>
          </w:tcPr>
          <w:p w14:paraId="0B3E9D7C" w14:textId="43E23E4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7C2C556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BD5CCA0" w14:textId="597AEE9F"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417FF8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MDG</w:t>
            </w:r>
          </w:p>
        </w:tc>
        <w:tc>
          <w:tcPr>
            <w:tcW w:w="0" w:type="auto"/>
            <w:shd w:val="clear" w:color="000000" w:fill="FFFF00"/>
            <w:noWrap/>
            <w:vAlign w:val="bottom"/>
            <w:hideMark/>
          </w:tcPr>
          <w:p w14:paraId="07B38D82" w14:textId="5C212DA4"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E485A1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8B40D9A" w14:textId="7FE0CB49"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E7A951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SUI</w:t>
            </w:r>
          </w:p>
        </w:tc>
        <w:tc>
          <w:tcPr>
            <w:tcW w:w="0" w:type="auto"/>
            <w:shd w:val="clear" w:color="auto" w:fill="auto"/>
            <w:noWrap/>
            <w:vAlign w:val="bottom"/>
            <w:hideMark/>
          </w:tcPr>
          <w:p w14:paraId="3FB6DD3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655147A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r>
      <w:tr w:rsidR="00E22BB5" w:rsidRPr="00853C9F" w14:paraId="72E353CE" w14:textId="77777777" w:rsidTr="00E56922">
        <w:trPr>
          <w:trHeight w:val="300"/>
          <w:jc w:val="center"/>
        </w:trPr>
        <w:tc>
          <w:tcPr>
            <w:tcW w:w="0" w:type="auto"/>
            <w:shd w:val="clear" w:color="auto" w:fill="auto"/>
            <w:noWrap/>
            <w:vAlign w:val="bottom"/>
            <w:hideMark/>
          </w:tcPr>
          <w:p w14:paraId="3554EBA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BFA</w:t>
            </w:r>
          </w:p>
        </w:tc>
        <w:tc>
          <w:tcPr>
            <w:tcW w:w="0" w:type="auto"/>
            <w:shd w:val="clear" w:color="auto" w:fill="auto"/>
            <w:noWrap/>
            <w:vAlign w:val="bottom"/>
            <w:hideMark/>
          </w:tcPr>
          <w:p w14:paraId="15E10C09"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59768B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auto" w:fill="auto"/>
            <w:noWrap/>
            <w:vAlign w:val="bottom"/>
            <w:hideMark/>
          </w:tcPr>
          <w:p w14:paraId="4C9A390F"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38BCDF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GEO</w:t>
            </w:r>
          </w:p>
        </w:tc>
        <w:tc>
          <w:tcPr>
            <w:tcW w:w="0" w:type="auto"/>
            <w:shd w:val="clear" w:color="auto" w:fill="auto"/>
            <w:noWrap/>
            <w:vAlign w:val="bottom"/>
            <w:hideMark/>
          </w:tcPr>
          <w:p w14:paraId="356A3F1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48027F6A"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2DED23D"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93421A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MKD</w:t>
            </w:r>
          </w:p>
        </w:tc>
        <w:tc>
          <w:tcPr>
            <w:tcW w:w="0" w:type="auto"/>
            <w:shd w:val="clear" w:color="auto" w:fill="auto"/>
            <w:noWrap/>
            <w:vAlign w:val="bottom"/>
            <w:hideMark/>
          </w:tcPr>
          <w:p w14:paraId="3FFB3BE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4354CD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2BD23BC9" w14:textId="6DE3A022"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3B4C59C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SVK</w:t>
            </w:r>
          </w:p>
        </w:tc>
        <w:tc>
          <w:tcPr>
            <w:tcW w:w="0" w:type="auto"/>
            <w:shd w:val="clear" w:color="auto" w:fill="auto"/>
            <w:noWrap/>
            <w:vAlign w:val="bottom"/>
            <w:hideMark/>
          </w:tcPr>
          <w:p w14:paraId="7B1CCCE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1AEDC12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r>
      <w:tr w:rsidR="00E22BB5" w:rsidRPr="00853C9F" w14:paraId="0AC6253E" w14:textId="77777777" w:rsidTr="00E56922">
        <w:trPr>
          <w:trHeight w:val="300"/>
          <w:jc w:val="center"/>
        </w:trPr>
        <w:tc>
          <w:tcPr>
            <w:tcW w:w="0" w:type="auto"/>
            <w:shd w:val="clear" w:color="auto" w:fill="auto"/>
            <w:noWrap/>
            <w:vAlign w:val="bottom"/>
            <w:hideMark/>
          </w:tcPr>
          <w:p w14:paraId="1612F32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BHR</w:t>
            </w:r>
          </w:p>
        </w:tc>
        <w:tc>
          <w:tcPr>
            <w:tcW w:w="0" w:type="auto"/>
            <w:shd w:val="clear" w:color="auto" w:fill="auto"/>
            <w:noWrap/>
            <w:vAlign w:val="bottom"/>
            <w:hideMark/>
          </w:tcPr>
          <w:p w14:paraId="70071FF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50-50.5</w:t>
            </w:r>
          </w:p>
        </w:tc>
        <w:tc>
          <w:tcPr>
            <w:tcW w:w="0" w:type="auto"/>
            <w:shd w:val="clear" w:color="auto" w:fill="auto"/>
            <w:noWrap/>
            <w:vAlign w:val="bottom"/>
            <w:hideMark/>
          </w:tcPr>
          <w:p w14:paraId="5C62502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42A9A0BD"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08851D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GHA</w:t>
            </w:r>
          </w:p>
        </w:tc>
        <w:tc>
          <w:tcPr>
            <w:tcW w:w="0" w:type="auto"/>
            <w:shd w:val="clear" w:color="000000" w:fill="FFFF00"/>
            <w:noWrap/>
            <w:vAlign w:val="bottom"/>
            <w:hideMark/>
          </w:tcPr>
          <w:p w14:paraId="08B7B2FE" w14:textId="508338DA"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A5A7B9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C4503FF" w14:textId="5528F0D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EB73A8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MLI</w:t>
            </w:r>
          </w:p>
        </w:tc>
        <w:tc>
          <w:tcPr>
            <w:tcW w:w="0" w:type="auto"/>
            <w:shd w:val="clear" w:color="000000" w:fill="FFFF00"/>
            <w:noWrap/>
            <w:vAlign w:val="bottom"/>
            <w:hideMark/>
          </w:tcPr>
          <w:p w14:paraId="264DD40B" w14:textId="1EAB51CD"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2CC72E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860D7A4" w14:textId="2D6DF114"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63D929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SVN</w:t>
            </w:r>
          </w:p>
        </w:tc>
        <w:tc>
          <w:tcPr>
            <w:tcW w:w="0" w:type="auto"/>
            <w:shd w:val="clear" w:color="auto" w:fill="auto"/>
            <w:noWrap/>
            <w:vAlign w:val="bottom"/>
            <w:hideMark/>
          </w:tcPr>
          <w:p w14:paraId="432E30F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5E18E90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r>
      <w:tr w:rsidR="00E56922" w:rsidRPr="00853C9F" w14:paraId="6F957637" w14:textId="77777777" w:rsidTr="00E56922">
        <w:trPr>
          <w:trHeight w:val="300"/>
          <w:jc w:val="center"/>
        </w:trPr>
        <w:tc>
          <w:tcPr>
            <w:tcW w:w="0" w:type="auto"/>
            <w:shd w:val="clear" w:color="auto" w:fill="auto"/>
            <w:noWrap/>
            <w:vAlign w:val="bottom"/>
            <w:hideMark/>
          </w:tcPr>
          <w:p w14:paraId="6E8F5F69" w14:textId="6DC64A4E"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D4C3F9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50.5-52</w:t>
            </w:r>
          </w:p>
        </w:tc>
        <w:tc>
          <w:tcPr>
            <w:tcW w:w="0" w:type="auto"/>
            <w:shd w:val="clear" w:color="auto" w:fill="auto"/>
            <w:noWrap/>
            <w:vAlign w:val="bottom"/>
            <w:hideMark/>
          </w:tcPr>
          <w:p w14:paraId="412FAAC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5CB6FC2A"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72F4C4B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GMB</w:t>
            </w:r>
          </w:p>
        </w:tc>
        <w:tc>
          <w:tcPr>
            <w:tcW w:w="0" w:type="auto"/>
            <w:shd w:val="clear" w:color="000000" w:fill="FFFF00"/>
            <w:noWrap/>
            <w:vAlign w:val="bottom"/>
            <w:hideMark/>
          </w:tcPr>
          <w:p w14:paraId="332BFBDF" w14:textId="6B1D7B75"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396A6DD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3054E37" w14:textId="651631B6"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3D965DC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MLT</w:t>
            </w:r>
          </w:p>
        </w:tc>
        <w:tc>
          <w:tcPr>
            <w:tcW w:w="0" w:type="auto"/>
            <w:shd w:val="clear" w:color="auto" w:fill="auto"/>
            <w:noWrap/>
            <w:vAlign w:val="bottom"/>
            <w:hideMark/>
          </w:tcPr>
          <w:p w14:paraId="4C98BEA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1AD64C2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2A346550" w14:textId="1F7DF6D9"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371F6C2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SWZ</w:t>
            </w:r>
          </w:p>
        </w:tc>
        <w:tc>
          <w:tcPr>
            <w:tcW w:w="0" w:type="auto"/>
            <w:shd w:val="clear" w:color="auto" w:fill="auto"/>
            <w:noWrap/>
            <w:vAlign w:val="bottom"/>
            <w:hideMark/>
          </w:tcPr>
          <w:p w14:paraId="4B85EA7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6B7FC0B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1F10701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r>
      <w:tr w:rsidR="00E56922" w:rsidRPr="00853C9F" w14:paraId="0ED53CAD" w14:textId="77777777" w:rsidTr="00E56922">
        <w:trPr>
          <w:trHeight w:val="300"/>
          <w:jc w:val="center"/>
        </w:trPr>
        <w:tc>
          <w:tcPr>
            <w:tcW w:w="0" w:type="auto"/>
            <w:shd w:val="clear" w:color="auto" w:fill="auto"/>
            <w:noWrap/>
            <w:vAlign w:val="bottom"/>
            <w:hideMark/>
          </w:tcPr>
          <w:p w14:paraId="53E5186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BIH</w:t>
            </w:r>
          </w:p>
        </w:tc>
        <w:tc>
          <w:tcPr>
            <w:tcW w:w="0" w:type="auto"/>
            <w:shd w:val="clear" w:color="auto" w:fill="auto"/>
            <w:noWrap/>
            <w:vAlign w:val="bottom"/>
            <w:hideMark/>
          </w:tcPr>
          <w:p w14:paraId="16E74F4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42D9921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2FC74046"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9F979D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GNE</w:t>
            </w:r>
          </w:p>
        </w:tc>
        <w:tc>
          <w:tcPr>
            <w:tcW w:w="0" w:type="auto"/>
            <w:shd w:val="clear" w:color="000000" w:fill="FFFF00"/>
            <w:noWrap/>
            <w:vAlign w:val="bottom"/>
            <w:hideMark/>
          </w:tcPr>
          <w:p w14:paraId="42C35690" w14:textId="3E73B39B"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ADCB40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FF2F842" w14:textId="77BE13CD"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72AF10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MNE</w:t>
            </w:r>
          </w:p>
        </w:tc>
        <w:tc>
          <w:tcPr>
            <w:tcW w:w="0" w:type="auto"/>
            <w:shd w:val="clear" w:color="auto" w:fill="auto"/>
            <w:noWrap/>
            <w:vAlign w:val="bottom"/>
            <w:hideMark/>
          </w:tcPr>
          <w:p w14:paraId="156CF5A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1018E14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25876A4A" w14:textId="520A9F26"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705584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SYR</w:t>
            </w:r>
          </w:p>
        </w:tc>
        <w:tc>
          <w:tcPr>
            <w:tcW w:w="0" w:type="auto"/>
            <w:shd w:val="clear" w:color="000000" w:fill="FFFF00"/>
            <w:noWrap/>
            <w:vAlign w:val="bottom"/>
            <w:hideMark/>
          </w:tcPr>
          <w:p w14:paraId="03184289" w14:textId="7C88626C"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4BD31B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92969A3" w14:textId="1734BF79" w:rsidR="00C66D09" w:rsidRPr="00853C9F" w:rsidRDefault="00C66D09" w:rsidP="00C45CE0">
            <w:pPr>
              <w:pStyle w:val="Tabletext"/>
              <w:jc w:val="center"/>
              <w:rPr>
                <w:spacing w:val="-2"/>
                <w:sz w:val="16"/>
                <w:szCs w:val="16"/>
                <w:lang w:val="en-US"/>
              </w:rPr>
            </w:pPr>
          </w:p>
        </w:tc>
      </w:tr>
      <w:tr w:rsidR="00E56922" w:rsidRPr="00853C9F" w14:paraId="24FC2AD3" w14:textId="77777777" w:rsidTr="00E56922">
        <w:trPr>
          <w:trHeight w:val="300"/>
          <w:jc w:val="center"/>
        </w:trPr>
        <w:tc>
          <w:tcPr>
            <w:tcW w:w="0" w:type="auto"/>
            <w:shd w:val="clear" w:color="auto" w:fill="auto"/>
            <w:noWrap/>
            <w:vAlign w:val="bottom"/>
            <w:hideMark/>
          </w:tcPr>
          <w:p w14:paraId="2585721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BLR</w:t>
            </w:r>
          </w:p>
        </w:tc>
        <w:tc>
          <w:tcPr>
            <w:tcW w:w="0" w:type="auto"/>
            <w:shd w:val="clear" w:color="auto" w:fill="auto"/>
            <w:noWrap/>
            <w:vAlign w:val="bottom"/>
            <w:hideMark/>
          </w:tcPr>
          <w:p w14:paraId="0B76D3D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68AABA9F"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8C650D5"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B17EAD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GNB</w:t>
            </w:r>
          </w:p>
        </w:tc>
        <w:tc>
          <w:tcPr>
            <w:tcW w:w="0" w:type="auto"/>
            <w:shd w:val="clear" w:color="000000" w:fill="FFFF00"/>
            <w:noWrap/>
            <w:vAlign w:val="bottom"/>
            <w:hideMark/>
          </w:tcPr>
          <w:p w14:paraId="0F9A51A5" w14:textId="5DA250B5"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E3AD85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289902B" w14:textId="36FF2218"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26C74F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MNG</w:t>
            </w:r>
          </w:p>
        </w:tc>
        <w:tc>
          <w:tcPr>
            <w:tcW w:w="0" w:type="auto"/>
            <w:shd w:val="clear" w:color="000000" w:fill="FFFF00"/>
            <w:noWrap/>
            <w:vAlign w:val="bottom"/>
            <w:hideMark/>
          </w:tcPr>
          <w:p w14:paraId="65CF5203" w14:textId="74CBD399"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D8A1EB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16C96CB0" w14:textId="4A818F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85B485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TAN</w:t>
            </w:r>
          </w:p>
        </w:tc>
        <w:tc>
          <w:tcPr>
            <w:tcW w:w="0" w:type="auto"/>
            <w:shd w:val="clear" w:color="000000" w:fill="FFFF00"/>
            <w:noWrap/>
            <w:vAlign w:val="bottom"/>
            <w:hideMark/>
          </w:tcPr>
          <w:p w14:paraId="70F43355" w14:textId="67699DDF"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362476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C5925AF" w14:textId="59DA6574" w:rsidR="00C66D09" w:rsidRPr="00853C9F" w:rsidRDefault="00C66D09" w:rsidP="00C45CE0">
            <w:pPr>
              <w:pStyle w:val="Tabletext"/>
              <w:jc w:val="center"/>
              <w:rPr>
                <w:spacing w:val="-2"/>
                <w:sz w:val="16"/>
                <w:szCs w:val="16"/>
                <w:lang w:val="en-US"/>
              </w:rPr>
            </w:pPr>
          </w:p>
        </w:tc>
      </w:tr>
      <w:tr w:rsidR="00E56922" w:rsidRPr="00853C9F" w14:paraId="2EA548C7" w14:textId="77777777" w:rsidTr="00E56922">
        <w:trPr>
          <w:trHeight w:val="300"/>
          <w:jc w:val="center"/>
        </w:trPr>
        <w:tc>
          <w:tcPr>
            <w:tcW w:w="0" w:type="auto"/>
            <w:shd w:val="clear" w:color="auto" w:fill="auto"/>
            <w:noWrap/>
            <w:vAlign w:val="bottom"/>
            <w:hideMark/>
          </w:tcPr>
          <w:p w14:paraId="7903AB4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BOT</w:t>
            </w:r>
          </w:p>
        </w:tc>
        <w:tc>
          <w:tcPr>
            <w:tcW w:w="0" w:type="auto"/>
            <w:shd w:val="clear" w:color="auto" w:fill="auto"/>
            <w:noWrap/>
            <w:vAlign w:val="bottom"/>
            <w:hideMark/>
          </w:tcPr>
          <w:p w14:paraId="1CCEBFB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429D081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1D4B96C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77E3E38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GRC</w:t>
            </w:r>
          </w:p>
        </w:tc>
        <w:tc>
          <w:tcPr>
            <w:tcW w:w="0" w:type="auto"/>
            <w:shd w:val="clear" w:color="auto" w:fill="auto"/>
            <w:noWrap/>
            <w:vAlign w:val="bottom"/>
            <w:hideMark/>
          </w:tcPr>
          <w:p w14:paraId="7C9D65D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D59169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1DC37F56"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FF8C4B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MOZ</w:t>
            </w:r>
          </w:p>
        </w:tc>
        <w:tc>
          <w:tcPr>
            <w:tcW w:w="0" w:type="auto"/>
            <w:shd w:val="clear" w:color="000000" w:fill="FFFF00"/>
            <w:noWrap/>
            <w:vAlign w:val="bottom"/>
            <w:hideMark/>
          </w:tcPr>
          <w:p w14:paraId="35A02681" w14:textId="2A72ED22"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BF2045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E9D89DE" w14:textId="15FFEA9A"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CBF0B0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TCD</w:t>
            </w:r>
          </w:p>
        </w:tc>
        <w:tc>
          <w:tcPr>
            <w:tcW w:w="0" w:type="auto"/>
            <w:shd w:val="clear" w:color="000000" w:fill="FFFF00"/>
            <w:noWrap/>
            <w:vAlign w:val="bottom"/>
            <w:hideMark/>
          </w:tcPr>
          <w:p w14:paraId="3817BFE0" w14:textId="15D7C0BB"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228B92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F5429FE" w14:textId="110994E9" w:rsidR="00C66D09" w:rsidRPr="00853C9F" w:rsidRDefault="00C66D09" w:rsidP="00C45CE0">
            <w:pPr>
              <w:pStyle w:val="Tabletext"/>
              <w:jc w:val="center"/>
              <w:rPr>
                <w:spacing w:val="-2"/>
                <w:sz w:val="16"/>
                <w:szCs w:val="16"/>
                <w:lang w:val="en-US"/>
              </w:rPr>
            </w:pPr>
          </w:p>
        </w:tc>
      </w:tr>
      <w:tr w:rsidR="00E56922" w:rsidRPr="00853C9F" w14:paraId="54024161" w14:textId="77777777" w:rsidTr="00E56922">
        <w:trPr>
          <w:trHeight w:val="300"/>
          <w:jc w:val="center"/>
        </w:trPr>
        <w:tc>
          <w:tcPr>
            <w:tcW w:w="0" w:type="auto"/>
            <w:shd w:val="clear" w:color="auto" w:fill="auto"/>
            <w:noWrap/>
            <w:vAlign w:val="bottom"/>
            <w:hideMark/>
          </w:tcPr>
          <w:p w14:paraId="15E5BC1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BUL</w:t>
            </w:r>
          </w:p>
        </w:tc>
        <w:tc>
          <w:tcPr>
            <w:tcW w:w="0" w:type="auto"/>
            <w:shd w:val="clear" w:color="auto" w:fill="auto"/>
            <w:noWrap/>
            <w:vAlign w:val="bottom"/>
            <w:hideMark/>
          </w:tcPr>
          <w:p w14:paraId="296D378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50.05-50.2</w:t>
            </w:r>
          </w:p>
        </w:tc>
        <w:tc>
          <w:tcPr>
            <w:tcW w:w="0" w:type="auto"/>
            <w:shd w:val="clear" w:color="auto" w:fill="auto"/>
            <w:noWrap/>
            <w:vAlign w:val="bottom"/>
            <w:hideMark/>
          </w:tcPr>
          <w:p w14:paraId="5DF86EA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1EBA5F2E"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EE21F0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HNG</w:t>
            </w:r>
          </w:p>
        </w:tc>
        <w:tc>
          <w:tcPr>
            <w:tcW w:w="0" w:type="auto"/>
            <w:shd w:val="clear" w:color="auto" w:fill="auto"/>
            <w:noWrap/>
            <w:vAlign w:val="bottom"/>
            <w:hideMark/>
          </w:tcPr>
          <w:p w14:paraId="73CC6B8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4456E1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769C1DD2"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E31027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MRC</w:t>
            </w:r>
          </w:p>
        </w:tc>
        <w:tc>
          <w:tcPr>
            <w:tcW w:w="0" w:type="auto"/>
            <w:shd w:val="clear" w:color="000000" w:fill="FFFF00"/>
            <w:noWrap/>
            <w:vAlign w:val="bottom"/>
            <w:hideMark/>
          </w:tcPr>
          <w:p w14:paraId="19386EC4" w14:textId="37A2735B"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4FE1F6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406C5B2" w14:textId="6E30333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2DB285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TGO</w:t>
            </w:r>
          </w:p>
        </w:tc>
        <w:tc>
          <w:tcPr>
            <w:tcW w:w="0" w:type="auto"/>
            <w:shd w:val="clear" w:color="000000" w:fill="FFFF00"/>
            <w:noWrap/>
            <w:vAlign w:val="bottom"/>
            <w:hideMark/>
          </w:tcPr>
          <w:p w14:paraId="3CA84470" w14:textId="4A289D11"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E564F9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036F6BD" w14:textId="131E6CEB" w:rsidR="00C66D09" w:rsidRPr="00853C9F" w:rsidRDefault="00C66D09" w:rsidP="00C45CE0">
            <w:pPr>
              <w:pStyle w:val="Tabletext"/>
              <w:jc w:val="center"/>
              <w:rPr>
                <w:spacing w:val="-2"/>
                <w:sz w:val="16"/>
                <w:szCs w:val="16"/>
                <w:lang w:val="en-US"/>
              </w:rPr>
            </w:pPr>
          </w:p>
        </w:tc>
      </w:tr>
      <w:tr w:rsidR="00E56922" w:rsidRPr="00853C9F" w14:paraId="2BE880C5" w14:textId="77777777" w:rsidTr="00E56922">
        <w:trPr>
          <w:trHeight w:val="300"/>
          <w:jc w:val="center"/>
        </w:trPr>
        <w:tc>
          <w:tcPr>
            <w:tcW w:w="0" w:type="auto"/>
            <w:shd w:val="clear" w:color="000000" w:fill="FFFF00"/>
            <w:noWrap/>
            <w:vAlign w:val="bottom"/>
            <w:hideMark/>
          </w:tcPr>
          <w:p w14:paraId="7593069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BUR</w:t>
            </w:r>
          </w:p>
        </w:tc>
        <w:tc>
          <w:tcPr>
            <w:tcW w:w="0" w:type="auto"/>
            <w:shd w:val="clear" w:color="000000" w:fill="FFFF00"/>
            <w:noWrap/>
            <w:vAlign w:val="bottom"/>
            <w:hideMark/>
          </w:tcPr>
          <w:p w14:paraId="2470E5B0" w14:textId="114541C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A285D2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1989FD81" w14:textId="28F81614"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DCF060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HOL</w:t>
            </w:r>
          </w:p>
        </w:tc>
        <w:tc>
          <w:tcPr>
            <w:tcW w:w="0" w:type="auto"/>
            <w:shd w:val="clear" w:color="auto" w:fill="auto"/>
            <w:noWrap/>
            <w:vAlign w:val="bottom"/>
            <w:hideMark/>
          </w:tcPr>
          <w:p w14:paraId="6A26C49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6C506F0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64BF6243"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D29899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MTN</w:t>
            </w:r>
          </w:p>
        </w:tc>
        <w:tc>
          <w:tcPr>
            <w:tcW w:w="0" w:type="auto"/>
            <w:shd w:val="clear" w:color="000000" w:fill="FFFF00"/>
            <w:noWrap/>
            <w:vAlign w:val="bottom"/>
            <w:hideMark/>
          </w:tcPr>
          <w:p w14:paraId="5D8F68B9" w14:textId="5073C10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1B1745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FCA4151" w14:textId="03BFFEA3"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3D38B45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TJK</w:t>
            </w:r>
          </w:p>
        </w:tc>
        <w:tc>
          <w:tcPr>
            <w:tcW w:w="0" w:type="auto"/>
            <w:shd w:val="clear" w:color="auto" w:fill="auto"/>
            <w:noWrap/>
            <w:vAlign w:val="bottom"/>
            <w:hideMark/>
          </w:tcPr>
          <w:p w14:paraId="436B477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05A0B217"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0DCCF63" w14:textId="77985A53" w:rsidR="00C66D09" w:rsidRPr="00853C9F" w:rsidRDefault="00C66D09" w:rsidP="00C45CE0">
            <w:pPr>
              <w:pStyle w:val="Tabletext"/>
              <w:jc w:val="center"/>
              <w:rPr>
                <w:spacing w:val="-2"/>
                <w:sz w:val="16"/>
                <w:szCs w:val="16"/>
                <w:lang w:val="en-US"/>
              </w:rPr>
            </w:pPr>
          </w:p>
        </w:tc>
      </w:tr>
      <w:tr w:rsidR="00E56922" w:rsidRPr="00853C9F" w14:paraId="34839D36" w14:textId="77777777" w:rsidTr="00E56922">
        <w:trPr>
          <w:trHeight w:val="300"/>
          <w:jc w:val="center"/>
        </w:trPr>
        <w:tc>
          <w:tcPr>
            <w:tcW w:w="0" w:type="auto"/>
            <w:shd w:val="clear" w:color="000000" w:fill="FFFF00"/>
            <w:noWrap/>
            <w:vAlign w:val="bottom"/>
            <w:hideMark/>
          </w:tcPr>
          <w:p w14:paraId="11A0DD0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CAF</w:t>
            </w:r>
          </w:p>
        </w:tc>
        <w:tc>
          <w:tcPr>
            <w:tcW w:w="0" w:type="auto"/>
            <w:shd w:val="clear" w:color="000000" w:fill="FFFF00"/>
            <w:noWrap/>
            <w:vAlign w:val="bottom"/>
            <w:hideMark/>
          </w:tcPr>
          <w:p w14:paraId="634CDE86" w14:textId="2ACE1B5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701B5F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7AEFA35" w14:textId="3FFA9AF6"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EC19A8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HRV</w:t>
            </w:r>
          </w:p>
        </w:tc>
        <w:tc>
          <w:tcPr>
            <w:tcW w:w="0" w:type="auto"/>
            <w:shd w:val="clear" w:color="auto" w:fill="auto"/>
            <w:noWrap/>
            <w:vAlign w:val="bottom"/>
            <w:hideMark/>
          </w:tcPr>
          <w:p w14:paraId="7452B7C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50-51.9</w:t>
            </w:r>
          </w:p>
        </w:tc>
        <w:tc>
          <w:tcPr>
            <w:tcW w:w="0" w:type="auto"/>
            <w:shd w:val="clear" w:color="auto" w:fill="auto"/>
            <w:noWrap/>
            <w:vAlign w:val="bottom"/>
            <w:hideMark/>
          </w:tcPr>
          <w:p w14:paraId="24618C7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4D556640"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0407C9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MWI</w:t>
            </w:r>
          </w:p>
        </w:tc>
        <w:tc>
          <w:tcPr>
            <w:tcW w:w="0" w:type="auto"/>
            <w:shd w:val="clear" w:color="auto" w:fill="auto"/>
            <w:noWrap/>
            <w:vAlign w:val="bottom"/>
            <w:hideMark/>
          </w:tcPr>
          <w:p w14:paraId="24F98B4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1461AA8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01D8585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63C28E4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TKM</w:t>
            </w:r>
          </w:p>
        </w:tc>
        <w:tc>
          <w:tcPr>
            <w:tcW w:w="0" w:type="auto"/>
            <w:shd w:val="clear" w:color="auto" w:fill="auto"/>
            <w:noWrap/>
            <w:vAlign w:val="bottom"/>
            <w:hideMark/>
          </w:tcPr>
          <w:p w14:paraId="39D9E16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76A87365"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375FE121" w14:textId="0C17B37A" w:rsidR="00C66D09" w:rsidRPr="00853C9F" w:rsidRDefault="00C66D09" w:rsidP="00C45CE0">
            <w:pPr>
              <w:pStyle w:val="Tabletext"/>
              <w:jc w:val="center"/>
              <w:rPr>
                <w:spacing w:val="-2"/>
                <w:sz w:val="16"/>
                <w:szCs w:val="16"/>
                <w:lang w:val="en-US"/>
              </w:rPr>
            </w:pPr>
          </w:p>
        </w:tc>
      </w:tr>
      <w:tr w:rsidR="00E56922" w:rsidRPr="00853C9F" w14:paraId="49AC8F83" w14:textId="77777777" w:rsidTr="00E56922">
        <w:trPr>
          <w:trHeight w:val="300"/>
          <w:jc w:val="center"/>
        </w:trPr>
        <w:tc>
          <w:tcPr>
            <w:tcW w:w="0" w:type="auto"/>
            <w:shd w:val="clear" w:color="000000" w:fill="FFFF00"/>
            <w:noWrap/>
            <w:vAlign w:val="bottom"/>
            <w:hideMark/>
          </w:tcPr>
          <w:p w14:paraId="3832E14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CMR</w:t>
            </w:r>
          </w:p>
        </w:tc>
        <w:tc>
          <w:tcPr>
            <w:tcW w:w="0" w:type="auto"/>
            <w:shd w:val="clear" w:color="000000" w:fill="FFFF00"/>
            <w:noWrap/>
            <w:vAlign w:val="bottom"/>
            <w:hideMark/>
          </w:tcPr>
          <w:p w14:paraId="12F957A2" w14:textId="044CF636"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2A3987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91D43C1" w14:textId="178E3383"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2BD2F3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I</w:t>
            </w:r>
          </w:p>
        </w:tc>
        <w:tc>
          <w:tcPr>
            <w:tcW w:w="0" w:type="auto"/>
            <w:shd w:val="clear" w:color="auto" w:fill="auto"/>
            <w:noWrap/>
            <w:vAlign w:val="bottom"/>
            <w:hideMark/>
          </w:tcPr>
          <w:p w14:paraId="3ECA05C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674BD21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62C6DA46"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1B0923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NGR</w:t>
            </w:r>
          </w:p>
        </w:tc>
        <w:tc>
          <w:tcPr>
            <w:tcW w:w="0" w:type="auto"/>
            <w:shd w:val="clear" w:color="000000" w:fill="FFFF00"/>
            <w:noWrap/>
            <w:vAlign w:val="bottom"/>
            <w:hideMark/>
          </w:tcPr>
          <w:p w14:paraId="6DE4FE59" w14:textId="455ADD6A"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4FE7E0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2363128" w14:textId="49ED0785"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408981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TUN</w:t>
            </w:r>
          </w:p>
        </w:tc>
        <w:tc>
          <w:tcPr>
            <w:tcW w:w="0" w:type="auto"/>
            <w:shd w:val="clear" w:color="000000" w:fill="FFFF00"/>
            <w:noWrap/>
            <w:vAlign w:val="bottom"/>
            <w:hideMark/>
          </w:tcPr>
          <w:p w14:paraId="38C03613" w14:textId="25465541"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0E750D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5143A92" w14:textId="16417396" w:rsidR="00C66D09" w:rsidRPr="00853C9F" w:rsidRDefault="00C66D09" w:rsidP="00C45CE0">
            <w:pPr>
              <w:pStyle w:val="Tabletext"/>
              <w:jc w:val="center"/>
              <w:rPr>
                <w:spacing w:val="-2"/>
                <w:sz w:val="16"/>
                <w:szCs w:val="16"/>
                <w:lang w:val="en-US"/>
              </w:rPr>
            </w:pPr>
          </w:p>
        </w:tc>
      </w:tr>
      <w:tr w:rsidR="00E22BB5" w:rsidRPr="00853C9F" w14:paraId="4008EC30" w14:textId="77777777" w:rsidTr="00E56922">
        <w:trPr>
          <w:trHeight w:val="300"/>
          <w:jc w:val="center"/>
        </w:trPr>
        <w:tc>
          <w:tcPr>
            <w:tcW w:w="0" w:type="auto"/>
            <w:shd w:val="clear" w:color="auto" w:fill="auto"/>
            <w:noWrap/>
            <w:vAlign w:val="bottom"/>
            <w:hideMark/>
          </w:tcPr>
          <w:p w14:paraId="7C0A834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COD</w:t>
            </w:r>
          </w:p>
        </w:tc>
        <w:tc>
          <w:tcPr>
            <w:tcW w:w="0" w:type="auto"/>
            <w:shd w:val="clear" w:color="auto" w:fill="auto"/>
            <w:noWrap/>
            <w:vAlign w:val="bottom"/>
            <w:hideMark/>
          </w:tcPr>
          <w:p w14:paraId="3A5A5FA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381574D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2A306C1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1EB0991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IRL</w:t>
            </w:r>
          </w:p>
        </w:tc>
        <w:tc>
          <w:tcPr>
            <w:tcW w:w="0" w:type="auto"/>
            <w:shd w:val="clear" w:color="auto" w:fill="auto"/>
            <w:noWrap/>
            <w:vAlign w:val="bottom"/>
            <w:hideMark/>
          </w:tcPr>
          <w:p w14:paraId="77EDA0D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23FDBE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16E4F721"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8E9735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NIG</w:t>
            </w:r>
          </w:p>
        </w:tc>
        <w:tc>
          <w:tcPr>
            <w:tcW w:w="0" w:type="auto"/>
            <w:shd w:val="clear" w:color="auto" w:fill="auto"/>
            <w:noWrap/>
            <w:vAlign w:val="bottom"/>
            <w:hideMark/>
          </w:tcPr>
          <w:p w14:paraId="5EFAE65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5A6261C1"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B4D0906" w14:textId="67FBF43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55FF1D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TUR</w:t>
            </w:r>
          </w:p>
        </w:tc>
        <w:tc>
          <w:tcPr>
            <w:tcW w:w="0" w:type="auto"/>
            <w:shd w:val="clear" w:color="auto" w:fill="auto"/>
            <w:noWrap/>
            <w:vAlign w:val="bottom"/>
            <w:hideMark/>
          </w:tcPr>
          <w:p w14:paraId="6CCD839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233E4AC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r>
      <w:tr w:rsidR="00E56922" w:rsidRPr="00853C9F" w14:paraId="39272EA6" w14:textId="77777777" w:rsidTr="00E56922">
        <w:trPr>
          <w:trHeight w:val="300"/>
          <w:jc w:val="center"/>
        </w:trPr>
        <w:tc>
          <w:tcPr>
            <w:tcW w:w="0" w:type="auto"/>
            <w:shd w:val="clear" w:color="000000" w:fill="FFFF00"/>
            <w:noWrap/>
            <w:vAlign w:val="bottom"/>
            <w:hideMark/>
          </w:tcPr>
          <w:p w14:paraId="3159C87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COG</w:t>
            </w:r>
          </w:p>
        </w:tc>
        <w:tc>
          <w:tcPr>
            <w:tcW w:w="0" w:type="auto"/>
            <w:shd w:val="clear" w:color="000000" w:fill="FFFF00"/>
            <w:noWrap/>
            <w:vAlign w:val="bottom"/>
            <w:hideMark/>
          </w:tcPr>
          <w:p w14:paraId="5C6CBE65" w14:textId="47D4E10F"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2D10CD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8E79B3B" w14:textId="4CCAD8AF"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83B069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IRQ</w:t>
            </w:r>
          </w:p>
        </w:tc>
        <w:tc>
          <w:tcPr>
            <w:tcW w:w="0" w:type="auto"/>
            <w:shd w:val="clear" w:color="000000" w:fill="FFFF00"/>
            <w:noWrap/>
            <w:vAlign w:val="bottom"/>
            <w:hideMark/>
          </w:tcPr>
          <w:p w14:paraId="7B77C43C" w14:textId="1CE7A26B"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3CB030A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E473E13" w14:textId="7D4EAB79"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E253CB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NMB</w:t>
            </w:r>
          </w:p>
        </w:tc>
        <w:tc>
          <w:tcPr>
            <w:tcW w:w="0" w:type="auto"/>
            <w:shd w:val="clear" w:color="auto" w:fill="auto"/>
            <w:noWrap/>
            <w:vAlign w:val="bottom"/>
            <w:hideMark/>
          </w:tcPr>
          <w:p w14:paraId="1596FBD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5C484C4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5CA2620E"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c>
          <w:tcPr>
            <w:tcW w:w="0" w:type="auto"/>
            <w:shd w:val="clear" w:color="000000" w:fill="FFFF00"/>
            <w:noWrap/>
            <w:vAlign w:val="bottom"/>
            <w:hideMark/>
          </w:tcPr>
          <w:p w14:paraId="5C98AA5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UAE</w:t>
            </w:r>
          </w:p>
        </w:tc>
        <w:tc>
          <w:tcPr>
            <w:tcW w:w="0" w:type="auto"/>
            <w:shd w:val="clear" w:color="000000" w:fill="FFFF00"/>
            <w:noWrap/>
            <w:vAlign w:val="bottom"/>
            <w:hideMark/>
          </w:tcPr>
          <w:p w14:paraId="67CCDEF1" w14:textId="4E154189"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3991BAF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6BF43EB" w14:textId="207FF2EC" w:rsidR="00C66D09" w:rsidRPr="00853C9F" w:rsidRDefault="00C66D09" w:rsidP="00C45CE0">
            <w:pPr>
              <w:pStyle w:val="Tabletext"/>
              <w:jc w:val="center"/>
              <w:rPr>
                <w:spacing w:val="-2"/>
                <w:sz w:val="16"/>
                <w:szCs w:val="16"/>
                <w:lang w:val="en-US"/>
              </w:rPr>
            </w:pPr>
          </w:p>
        </w:tc>
      </w:tr>
      <w:tr w:rsidR="00E56922" w:rsidRPr="00853C9F" w14:paraId="60909608" w14:textId="77777777" w:rsidTr="00E56922">
        <w:trPr>
          <w:trHeight w:val="300"/>
          <w:jc w:val="center"/>
        </w:trPr>
        <w:tc>
          <w:tcPr>
            <w:tcW w:w="0" w:type="auto"/>
            <w:shd w:val="clear" w:color="000000" w:fill="FFFF00"/>
            <w:noWrap/>
            <w:vAlign w:val="bottom"/>
            <w:hideMark/>
          </w:tcPr>
          <w:p w14:paraId="2F35581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COM</w:t>
            </w:r>
          </w:p>
        </w:tc>
        <w:tc>
          <w:tcPr>
            <w:tcW w:w="0" w:type="auto"/>
            <w:shd w:val="clear" w:color="000000" w:fill="FFFF00"/>
            <w:noWrap/>
            <w:vAlign w:val="bottom"/>
            <w:hideMark/>
          </w:tcPr>
          <w:p w14:paraId="2C8156A1" w14:textId="67970C84"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78E5240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9A3C33D" w14:textId="28C81A6B"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6A85B28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ISL</w:t>
            </w:r>
          </w:p>
        </w:tc>
        <w:tc>
          <w:tcPr>
            <w:tcW w:w="0" w:type="auto"/>
            <w:shd w:val="clear" w:color="auto" w:fill="auto"/>
            <w:noWrap/>
            <w:vAlign w:val="bottom"/>
            <w:hideMark/>
          </w:tcPr>
          <w:p w14:paraId="261EEE2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BA3842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1B124755"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74735F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NOR</w:t>
            </w:r>
          </w:p>
        </w:tc>
        <w:tc>
          <w:tcPr>
            <w:tcW w:w="0" w:type="auto"/>
            <w:shd w:val="clear" w:color="auto" w:fill="auto"/>
            <w:noWrap/>
            <w:vAlign w:val="bottom"/>
            <w:hideMark/>
          </w:tcPr>
          <w:p w14:paraId="71EDED0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4FAB8E3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037AEDDB" w14:textId="1FAA3505"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E03AE4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UGA</w:t>
            </w:r>
          </w:p>
        </w:tc>
        <w:tc>
          <w:tcPr>
            <w:tcW w:w="0" w:type="auto"/>
            <w:shd w:val="clear" w:color="000000" w:fill="FFFF00"/>
            <w:noWrap/>
            <w:vAlign w:val="bottom"/>
            <w:hideMark/>
          </w:tcPr>
          <w:p w14:paraId="0E4254E2" w14:textId="5FC0B27E"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1BF093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8D155C7" w14:textId="7E8C7605" w:rsidR="00C66D09" w:rsidRPr="00853C9F" w:rsidRDefault="00C66D09" w:rsidP="00C45CE0">
            <w:pPr>
              <w:pStyle w:val="Tabletext"/>
              <w:jc w:val="center"/>
              <w:rPr>
                <w:spacing w:val="-2"/>
                <w:sz w:val="16"/>
                <w:szCs w:val="16"/>
                <w:lang w:val="en-US"/>
              </w:rPr>
            </w:pPr>
          </w:p>
        </w:tc>
      </w:tr>
      <w:tr w:rsidR="00E56922" w:rsidRPr="00853C9F" w14:paraId="0DEC0B27" w14:textId="77777777" w:rsidTr="00E56922">
        <w:trPr>
          <w:trHeight w:val="300"/>
          <w:jc w:val="center"/>
        </w:trPr>
        <w:tc>
          <w:tcPr>
            <w:tcW w:w="0" w:type="auto"/>
            <w:shd w:val="clear" w:color="000000" w:fill="FFFF00"/>
            <w:noWrap/>
            <w:vAlign w:val="bottom"/>
            <w:hideMark/>
          </w:tcPr>
          <w:p w14:paraId="25D8A8A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CPV</w:t>
            </w:r>
          </w:p>
        </w:tc>
        <w:tc>
          <w:tcPr>
            <w:tcW w:w="0" w:type="auto"/>
            <w:shd w:val="clear" w:color="000000" w:fill="FFFF00"/>
            <w:noWrap/>
            <w:vAlign w:val="bottom"/>
            <w:hideMark/>
          </w:tcPr>
          <w:p w14:paraId="03CA7F76" w14:textId="6D988D62"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A888A3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32B2A3C" w14:textId="1074D44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A0019D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ISR</w:t>
            </w:r>
          </w:p>
        </w:tc>
        <w:tc>
          <w:tcPr>
            <w:tcW w:w="0" w:type="auto"/>
            <w:shd w:val="clear" w:color="000000" w:fill="FFFF00"/>
            <w:noWrap/>
            <w:vAlign w:val="bottom"/>
            <w:hideMark/>
          </w:tcPr>
          <w:p w14:paraId="10ECF380" w14:textId="6D005C04"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D46428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B730465" w14:textId="41D6F672"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67C57F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OMA</w:t>
            </w:r>
          </w:p>
        </w:tc>
        <w:tc>
          <w:tcPr>
            <w:tcW w:w="0" w:type="auto"/>
            <w:shd w:val="clear" w:color="auto" w:fill="auto"/>
            <w:noWrap/>
            <w:vAlign w:val="bottom"/>
            <w:hideMark/>
          </w:tcPr>
          <w:p w14:paraId="2B470D8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FDDA38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54D6EBC0" w14:textId="6EB949F4"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41EF4B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UKR</w:t>
            </w:r>
          </w:p>
        </w:tc>
        <w:tc>
          <w:tcPr>
            <w:tcW w:w="0" w:type="auto"/>
            <w:shd w:val="clear" w:color="000000" w:fill="FFFF00"/>
            <w:noWrap/>
            <w:vAlign w:val="bottom"/>
            <w:hideMark/>
          </w:tcPr>
          <w:p w14:paraId="429E4999" w14:textId="55570DF9"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D7A52D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8C9D1C8" w14:textId="07BFFEE0" w:rsidR="00C66D09" w:rsidRPr="00853C9F" w:rsidRDefault="00C66D09" w:rsidP="00C45CE0">
            <w:pPr>
              <w:pStyle w:val="Tabletext"/>
              <w:jc w:val="center"/>
              <w:rPr>
                <w:spacing w:val="-2"/>
                <w:sz w:val="16"/>
                <w:szCs w:val="16"/>
                <w:lang w:val="en-US"/>
              </w:rPr>
            </w:pPr>
          </w:p>
        </w:tc>
      </w:tr>
      <w:tr w:rsidR="00E56922" w:rsidRPr="00853C9F" w14:paraId="450E3058" w14:textId="77777777" w:rsidTr="00E56922">
        <w:trPr>
          <w:trHeight w:val="300"/>
          <w:jc w:val="center"/>
        </w:trPr>
        <w:tc>
          <w:tcPr>
            <w:tcW w:w="0" w:type="auto"/>
            <w:shd w:val="clear" w:color="000000" w:fill="FFFF00"/>
            <w:noWrap/>
            <w:vAlign w:val="bottom"/>
            <w:hideMark/>
          </w:tcPr>
          <w:p w14:paraId="3374809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CTI</w:t>
            </w:r>
          </w:p>
        </w:tc>
        <w:tc>
          <w:tcPr>
            <w:tcW w:w="0" w:type="auto"/>
            <w:shd w:val="clear" w:color="000000" w:fill="FFFF00"/>
            <w:noWrap/>
            <w:vAlign w:val="bottom"/>
            <w:hideMark/>
          </w:tcPr>
          <w:p w14:paraId="17767EF2" w14:textId="6BA17CB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37F0CC1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BD1DDA7" w14:textId="2D395750"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D3126F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JOR</w:t>
            </w:r>
          </w:p>
        </w:tc>
        <w:tc>
          <w:tcPr>
            <w:tcW w:w="0" w:type="auto"/>
            <w:shd w:val="clear" w:color="auto" w:fill="auto"/>
            <w:noWrap/>
            <w:vAlign w:val="bottom"/>
            <w:hideMark/>
          </w:tcPr>
          <w:p w14:paraId="51B0764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50-51.5</w:t>
            </w:r>
          </w:p>
        </w:tc>
        <w:tc>
          <w:tcPr>
            <w:tcW w:w="0" w:type="auto"/>
            <w:shd w:val="clear" w:color="auto" w:fill="auto"/>
            <w:noWrap/>
            <w:vAlign w:val="bottom"/>
            <w:hideMark/>
          </w:tcPr>
          <w:p w14:paraId="79B70DA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7E93F43E"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D0DE57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POL</w:t>
            </w:r>
          </w:p>
        </w:tc>
        <w:tc>
          <w:tcPr>
            <w:tcW w:w="0" w:type="auto"/>
            <w:shd w:val="clear" w:color="auto" w:fill="auto"/>
            <w:noWrap/>
            <w:vAlign w:val="bottom"/>
            <w:hideMark/>
          </w:tcPr>
          <w:p w14:paraId="6927B75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3B1E45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4A91C5FB" w14:textId="0BD756C8"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56508F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UZB</w:t>
            </w:r>
          </w:p>
        </w:tc>
        <w:tc>
          <w:tcPr>
            <w:tcW w:w="0" w:type="auto"/>
            <w:shd w:val="clear" w:color="auto" w:fill="auto"/>
            <w:noWrap/>
            <w:vAlign w:val="bottom"/>
            <w:hideMark/>
          </w:tcPr>
          <w:p w14:paraId="2016FE2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2D21A82A"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F3D265A" w14:textId="5F28EB67" w:rsidR="00C66D09" w:rsidRPr="00853C9F" w:rsidRDefault="00C66D09" w:rsidP="00C45CE0">
            <w:pPr>
              <w:pStyle w:val="Tabletext"/>
              <w:jc w:val="center"/>
              <w:rPr>
                <w:spacing w:val="-2"/>
                <w:sz w:val="16"/>
                <w:szCs w:val="16"/>
                <w:lang w:val="en-US"/>
              </w:rPr>
            </w:pPr>
          </w:p>
        </w:tc>
      </w:tr>
      <w:tr w:rsidR="00E56922" w:rsidRPr="00853C9F" w14:paraId="1D5768DD" w14:textId="77777777" w:rsidTr="00E56922">
        <w:trPr>
          <w:trHeight w:val="300"/>
          <w:jc w:val="center"/>
        </w:trPr>
        <w:tc>
          <w:tcPr>
            <w:tcW w:w="0" w:type="auto"/>
            <w:shd w:val="clear" w:color="auto" w:fill="auto"/>
            <w:noWrap/>
            <w:vAlign w:val="bottom"/>
            <w:hideMark/>
          </w:tcPr>
          <w:p w14:paraId="4C6172D7"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CVA</w:t>
            </w:r>
          </w:p>
        </w:tc>
        <w:tc>
          <w:tcPr>
            <w:tcW w:w="0" w:type="auto"/>
            <w:shd w:val="clear" w:color="auto" w:fill="auto"/>
            <w:noWrap/>
            <w:vAlign w:val="bottom"/>
            <w:hideMark/>
          </w:tcPr>
          <w:p w14:paraId="517F77E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2278B9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622231C9"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4DCCC6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KAZ</w:t>
            </w:r>
          </w:p>
        </w:tc>
        <w:tc>
          <w:tcPr>
            <w:tcW w:w="0" w:type="auto"/>
            <w:shd w:val="clear" w:color="auto" w:fill="auto"/>
            <w:noWrap/>
            <w:vAlign w:val="bottom"/>
            <w:hideMark/>
          </w:tcPr>
          <w:p w14:paraId="35996F5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5A514F18"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C543A89"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6568C6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POR</w:t>
            </w:r>
          </w:p>
        </w:tc>
        <w:tc>
          <w:tcPr>
            <w:tcW w:w="0" w:type="auto"/>
            <w:shd w:val="clear" w:color="auto" w:fill="auto"/>
            <w:noWrap/>
            <w:vAlign w:val="bottom"/>
            <w:hideMark/>
          </w:tcPr>
          <w:p w14:paraId="01556EB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458427E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79FBE48B" w14:textId="3FDBC9D3"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F7B981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YEM</w:t>
            </w:r>
          </w:p>
        </w:tc>
        <w:tc>
          <w:tcPr>
            <w:tcW w:w="0" w:type="auto"/>
            <w:shd w:val="clear" w:color="000000" w:fill="FFFF00"/>
            <w:noWrap/>
            <w:vAlign w:val="bottom"/>
            <w:hideMark/>
          </w:tcPr>
          <w:p w14:paraId="5385897C" w14:textId="6DDA83B5"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44F8348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1053BFA" w14:textId="72FBB1B5" w:rsidR="00C66D09" w:rsidRPr="00853C9F" w:rsidRDefault="00C66D09" w:rsidP="00C45CE0">
            <w:pPr>
              <w:pStyle w:val="Tabletext"/>
              <w:jc w:val="center"/>
              <w:rPr>
                <w:spacing w:val="-2"/>
                <w:sz w:val="16"/>
                <w:szCs w:val="16"/>
                <w:lang w:val="en-US"/>
              </w:rPr>
            </w:pPr>
          </w:p>
        </w:tc>
      </w:tr>
      <w:tr w:rsidR="00E56922" w:rsidRPr="00853C9F" w14:paraId="5FB8F728" w14:textId="77777777" w:rsidTr="00E56922">
        <w:trPr>
          <w:trHeight w:val="300"/>
          <w:jc w:val="center"/>
        </w:trPr>
        <w:tc>
          <w:tcPr>
            <w:tcW w:w="0" w:type="auto"/>
            <w:shd w:val="clear" w:color="auto" w:fill="auto"/>
            <w:noWrap/>
            <w:vAlign w:val="bottom"/>
            <w:hideMark/>
          </w:tcPr>
          <w:p w14:paraId="3D5E9DC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CYP</w:t>
            </w:r>
          </w:p>
        </w:tc>
        <w:tc>
          <w:tcPr>
            <w:tcW w:w="0" w:type="auto"/>
            <w:shd w:val="clear" w:color="auto" w:fill="auto"/>
            <w:noWrap/>
            <w:vAlign w:val="bottom"/>
            <w:hideMark/>
          </w:tcPr>
          <w:p w14:paraId="71D8D88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50-51</w:t>
            </w:r>
          </w:p>
        </w:tc>
        <w:tc>
          <w:tcPr>
            <w:tcW w:w="0" w:type="auto"/>
            <w:shd w:val="clear" w:color="auto" w:fill="auto"/>
            <w:noWrap/>
            <w:vAlign w:val="bottom"/>
            <w:hideMark/>
          </w:tcPr>
          <w:p w14:paraId="26F7941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02F87F70"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23D99B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KEN</w:t>
            </w:r>
          </w:p>
        </w:tc>
        <w:tc>
          <w:tcPr>
            <w:tcW w:w="0" w:type="auto"/>
            <w:shd w:val="clear" w:color="auto" w:fill="auto"/>
            <w:noWrap/>
            <w:vAlign w:val="bottom"/>
            <w:hideMark/>
          </w:tcPr>
          <w:p w14:paraId="603E095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46FA6BD6"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007C0EB"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1480B87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QAT</w:t>
            </w:r>
          </w:p>
        </w:tc>
        <w:tc>
          <w:tcPr>
            <w:tcW w:w="0" w:type="auto"/>
            <w:shd w:val="clear" w:color="000000" w:fill="FFFF00"/>
            <w:noWrap/>
            <w:vAlign w:val="bottom"/>
            <w:hideMark/>
          </w:tcPr>
          <w:p w14:paraId="293240F8" w14:textId="3CDD6FCE"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7F32E5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17461EBF" w14:textId="1616FFD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816360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ZMB</w:t>
            </w:r>
          </w:p>
        </w:tc>
        <w:tc>
          <w:tcPr>
            <w:tcW w:w="0" w:type="auto"/>
            <w:shd w:val="clear" w:color="auto" w:fill="auto"/>
            <w:noWrap/>
            <w:vAlign w:val="bottom"/>
            <w:hideMark/>
          </w:tcPr>
          <w:p w14:paraId="07230CE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66B1A38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47DC183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r>
      <w:tr w:rsidR="00E56922" w:rsidRPr="00853C9F" w14:paraId="443B05D7" w14:textId="77777777" w:rsidTr="00E56922">
        <w:trPr>
          <w:trHeight w:val="300"/>
          <w:jc w:val="center"/>
        </w:trPr>
        <w:tc>
          <w:tcPr>
            <w:tcW w:w="0" w:type="auto"/>
            <w:shd w:val="clear" w:color="auto" w:fill="auto"/>
            <w:noWrap/>
            <w:vAlign w:val="bottom"/>
            <w:hideMark/>
          </w:tcPr>
          <w:p w14:paraId="55EE9FF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CZE</w:t>
            </w:r>
          </w:p>
        </w:tc>
        <w:tc>
          <w:tcPr>
            <w:tcW w:w="0" w:type="auto"/>
            <w:shd w:val="clear" w:color="auto" w:fill="auto"/>
            <w:noWrap/>
            <w:vAlign w:val="bottom"/>
            <w:hideMark/>
          </w:tcPr>
          <w:p w14:paraId="3E7B5F7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1E09E31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7C59F684"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2532E40"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KGZ</w:t>
            </w:r>
          </w:p>
        </w:tc>
        <w:tc>
          <w:tcPr>
            <w:tcW w:w="0" w:type="auto"/>
            <w:shd w:val="clear" w:color="auto" w:fill="auto"/>
            <w:noWrap/>
            <w:vAlign w:val="bottom"/>
            <w:hideMark/>
          </w:tcPr>
          <w:p w14:paraId="6C22104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71D89657"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1D0C7A53"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2BD793B"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ROU</w:t>
            </w:r>
          </w:p>
        </w:tc>
        <w:tc>
          <w:tcPr>
            <w:tcW w:w="0" w:type="auto"/>
            <w:shd w:val="clear" w:color="auto" w:fill="auto"/>
            <w:noWrap/>
            <w:vAlign w:val="bottom"/>
            <w:hideMark/>
          </w:tcPr>
          <w:p w14:paraId="39E06CF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1C0A009"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05C8707C" w14:textId="0B6191F5"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58FF838"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ZWE</w:t>
            </w:r>
          </w:p>
        </w:tc>
        <w:tc>
          <w:tcPr>
            <w:tcW w:w="0" w:type="auto"/>
            <w:shd w:val="clear" w:color="auto" w:fill="auto"/>
            <w:noWrap/>
            <w:vAlign w:val="bottom"/>
            <w:hideMark/>
          </w:tcPr>
          <w:p w14:paraId="2F327ED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3F39F4AC"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2D6C452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r>
      <w:tr w:rsidR="00E56922" w:rsidRPr="00853C9F" w14:paraId="4EA437D9" w14:textId="77777777" w:rsidTr="00E56922">
        <w:trPr>
          <w:trHeight w:val="300"/>
          <w:jc w:val="center"/>
        </w:trPr>
        <w:tc>
          <w:tcPr>
            <w:tcW w:w="0" w:type="auto"/>
            <w:shd w:val="clear" w:color="auto" w:fill="auto"/>
            <w:noWrap/>
            <w:vAlign w:val="bottom"/>
            <w:hideMark/>
          </w:tcPr>
          <w:p w14:paraId="275BDB7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D</w:t>
            </w:r>
          </w:p>
        </w:tc>
        <w:tc>
          <w:tcPr>
            <w:tcW w:w="0" w:type="auto"/>
            <w:shd w:val="clear" w:color="auto" w:fill="auto"/>
            <w:noWrap/>
            <w:vAlign w:val="bottom"/>
            <w:hideMark/>
          </w:tcPr>
          <w:p w14:paraId="09FEBC86"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50.08-51</w:t>
            </w:r>
          </w:p>
        </w:tc>
        <w:tc>
          <w:tcPr>
            <w:tcW w:w="0" w:type="auto"/>
            <w:shd w:val="clear" w:color="auto" w:fill="auto"/>
            <w:noWrap/>
            <w:vAlign w:val="bottom"/>
            <w:hideMark/>
          </w:tcPr>
          <w:p w14:paraId="0C9309D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Secondary</w:t>
            </w:r>
          </w:p>
        </w:tc>
        <w:tc>
          <w:tcPr>
            <w:tcW w:w="0" w:type="auto"/>
            <w:shd w:val="clear" w:color="auto" w:fill="auto"/>
            <w:noWrap/>
            <w:vAlign w:val="bottom"/>
            <w:hideMark/>
          </w:tcPr>
          <w:p w14:paraId="7FEC660C" w14:textId="77777777"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2B13D35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KWT</w:t>
            </w:r>
          </w:p>
        </w:tc>
        <w:tc>
          <w:tcPr>
            <w:tcW w:w="0" w:type="auto"/>
            <w:shd w:val="clear" w:color="000000" w:fill="FFFF00"/>
            <w:noWrap/>
            <w:vAlign w:val="bottom"/>
            <w:hideMark/>
          </w:tcPr>
          <w:p w14:paraId="32A0A47A" w14:textId="392915FB"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57D2A24D"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6A956D6" w14:textId="783D1DF0"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9753B0A"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RUS</w:t>
            </w:r>
          </w:p>
        </w:tc>
        <w:tc>
          <w:tcPr>
            <w:tcW w:w="0" w:type="auto"/>
            <w:shd w:val="clear" w:color="000000" w:fill="FFFF00"/>
            <w:noWrap/>
            <w:vAlign w:val="bottom"/>
            <w:hideMark/>
          </w:tcPr>
          <w:p w14:paraId="5166CCAB" w14:textId="5BB285A2"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6FC6946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03772C2" w14:textId="6ABD8505"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5A3A3964" w14:textId="03A5039C"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6B8A505"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49F75AC" w14:textId="77777777"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247244EB" w14:textId="6C8835A3" w:rsidR="00C66D09" w:rsidRPr="00853C9F" w:rsidRDefault="00C66D09" w:rsidP="00C45CE0">
            <w:pPr>
              <w:pStyle w:val="Tabletext"/>
              <w:jc w:val="center"/>
              <w:rPr>
                <w:spacing w:val="-2"/>
                <w:sz w:val="16"/>
                <w:szCs w:val="16"/>
                <w:lang w:val="en-US"/>
              </w:rPr>
            </w:pPr>
          </w:p>
        </w:tc>
      </w:tr>
      <w:tr w:rsidR="00E56922" w:rsidRPr="00853C9F" w14:paraId="391B6121" w14:textId="77777777" w:rsidTr="00E56922">
        <w:trPr>
          <w:trHeight w:val="300"/>
          <w:jc w:val="center"/>
        </w:trPr>
        <w:tc>
          <w:tcPr>
            <w:tcW w:w="0" w:type="auto"/>
            <w:shd w:val="clear" w:color="000000" w:fill="FFFF00"/>
            <w:noWrap/>
            <w:vAlign w:val="bottom"/>
            <w:hideMark/>
          </w:tcPr>
          <w:p w14:paraId="0CFF5E5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DJI</w:t>
            </w:r>
          </w:p>
        </w:tc>
        <w:tc>
          <w:tcPr>
            <w:tcW w:w="0" w:type="auto"/>
            <w:shd w:val="clear" w:color="000000" w:fill="FFFF00"/>
            <w:noWrap/>
            <w:vAlign w:val="bottom"/>
            <w:hideMark/>
          </w:tcPr>
          <w:p w14:paraId="3BD22523" w14:textId="407E905F" w:rsidR="00C66D09" w:rsidRPr="00853C9F" w:rsidRDefault="00C66D09" w:rsidP="00C45CE0">
            <w:pPr>
              <w:pStyle w:val="Tabletext"/>
              <w:jc w:val="center"/>
              <w:rPr>
                <w:spacing w:val="-2"/>
                <w:sz w:val="16"/>
                <w:szCs w:val="16"/>
                <w:lang w:val="en-US"/>
              </w:rPr>
            </w:pPr>
          </w:p>
        </w:tc>
        <w:tc>
          <w:tcPr>
            <w:tcW w:w="0" w:type="auto"/>
            <w:shd w:val="clear" w:color="000000" w:fill="FFFF00"/>
            <w:noWrap/>
            <w:vAlign w:val="bottom"/>
            <w:hideMark/>
          </w:tcPr>
          <w:p w14:paraId="07E79625"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A77C888" w14:textId="5275648D"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054E0F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LBN</w:t>
            </w:r>
          </w:p>
        </w:tc>
        <w:tc>
          <w:tcPr>
            <w:tcW w:w="0" w:type="auto"/>
            <w:shd w:val="clear" w:color="auto" w:fill="auto"/>
            <w:noWrap/>
            <w:vAlign w:val="bottom"/>
            <w:hideMark/>
          </w:tcPr>
          <w:p w14:paraId="13487D71"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5F01139E" w14:textId="7C9F5F78"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475A7DBF" w14:textId="091E6E2A"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7596F10F"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RWW</w:t>
            </w:r>
          </w:p>
        </w:tc>
        <w:tc>
          <w:tcPr>
            <w:tcW w:w="0" w:type="auto"/>
            <w:shd w:val="clear" w:color="auto" w:fill="auto"/>
            <w:noWrap/>
            <w:vAlign w:val="bottom"/>
            <w:hideMark/>
          </w:tcPr>
          <w:p w14:paraId="3AAAC323"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440CE4C4"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Primary</w:t>
            </w:r>
          </w:p>
        </w:tc>
        <w:tc>
          <w:tcPr>
            <w:tcW w:w="0" w:type="auto"/>
            <w:shd w:val="clear" w:color="auto" w:fill="auto"/>
            <w:noWrap/>
            <w:vAlign w:val="bottom"/>
            <w:hideMark/>
          </w:tcPr>
          <w:p w14:paraId="3DB0FEE2" w14:textId="77777777" w:rsidR="00C66D09" w:rsidRPr="00853C9F" w:rsidRDefault="00C66D09" w:rsidP="00C45C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4A2EE91C" w14:textId="6F750690"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4B1BC2E" w14:textId="7789C330"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318CDE7E" w14:textId="7B11F275" w:rsidR="00C66D09" w:rsidRPr="00853C9F" w:rsidRDefault="00C66D09" w:rsidP="00C45CE0">
            <w:pPr>
              <w:pStyle w:val="Tabletext"/>
              <w:jc w:val="center"/>
              <w:rPr>
                <w:spacing w:val="-2"/>
                <w:sz w:val="16"/>
                <w:szCs w:val="16"/>
                <w:lang w:val="en-US"/>
              </w:rPr>
            </w:pPr>
          </w:p>
        </w:tc>
        <w:tc>
          <w:tcPr>
            <w:tcW w:w="0" w:type="auto"/>
            <w:shd w:val="clear" w:color="auto" w:fill="auto"/>
            <w:noWrap/>
            <w:vAlign w:val="bottom"/>
            <w:hideMark/>
          </w:tcPr>
          <w:p w14:paraId="044060F1" w14:textId="7A8F739A" w:rsidR="00C66D09" w:rsidRPr="00853C9F" w:rsidRDefault="00C66D09" w:rsidP="00C45CE0">
            <w:pPr>
              <w:pStyle w:val="Tabletext"/>
              <w:jc w:val="center"/>
              <w:rPr>
                <w:spacing w:val="-2"/>
                <w:sz w:val="16"/>
                <w:szCs w:val="16"/>
                <w:lang w:val="en-US"/>
              </w:rPr>
            </w:pPr>
          </w:p>
        </w:tc>
      </w:tr>
      <w:tr w:rsidR="00E22BB5" w:rsidRPr="00853C9F" w14:paraId="77407C59" w14:textId="77777777" w:rsidTr="00E56922">
        <w:trPr>
          <w:jc w:val="center"/>
        </w:trPr>
        <w:tc>
          <w:tcPr>
            <w:tcW w:w="0" w:type="auto"/>
            <w:gridSpan w:val="16"/>
            <w:shd w:val="clear" w:color="auto" w:fill="auto"/>
            <w:noWrap/>
            <w:vAlign w:val="bottom"/>
            <w:hideMark/>
          </w:tcPr>
          <w:p w14:paraId="039D97D6" w14:textId="7EF2CDC1" w:rsidR="00E22BB5" w:rsidRPr="00853C9F" w:rsidRDefault="00E22BB5" w:rsidP="00E34289">
            <w:pPr>
              <w:pStyle w:val="Tabletext"/>
              <w:rPr>
                <w:spacing w:val="-2"/>
                <w:sz w:val="16"/>
                <w:szCs w:val="16"/>
                <w:lang w:val="en-US"/>
              </w:rPr>
            </w:pPr>
            <w:r w:rsidRPr="00853C9F">
              <w:rPr>
                <w:b/>
                <w:bCs/>
                <w:spacing w:val="-2"/>
                <w:sz w:val="16"/>
                <w:szCs w:val="16"/>
                <w:lang w:val="en-US"/>
              </w:rPr>
              <w:t>5.169</w:t>
            </w:r>
            <w:r w:rsidRPr="00853C9F">
              <w:rPr>
                <w:spacing w:val="-2"/>
                <w:sz w:val="16"/>
                <w:szCs w:val="16"/>
                <w:lang w:val="en-US"/>
              </w:rPr>
              <w:t xml:space="preserve"> </w:t>
            </w:r>
            <w:r w:rsidR="00E56922" w:rsidRPr="00853C9F">
              <w:rPr>
                <w:spacing w:val="-2"/>
                <w:sz w:val="16"/>
                <w:szCs w:val="16"/>
                <w:lang w:val="en-US"/>
              </w:rPr>
              <w:tab/>
            </w:r>
            <w:r w:rsidRPr="00853C9F">
              <w:rPr>
                <w:spacing w:val="-2"/>
                <w:sz w:val="16"/>
                <w:szCs w:val="16"/>
                <w:lang w:val="en-US"/>
              </w:rPr>
              <w:t xml:space="preserve">Alternative allocation: in </w:t>
            </w:r>
            <w:r w:rsidRPr="00853C9F">
              <w:rPr>
                <w:b/>
                <w:bCs/>
                <w:spacing w:val="-2"/>
                <w:sz w:val="16"/>
                <w:szCs w:val="16"/>
                <w:lang w:val="en-US"/>
              </w:rPr>
              <w:t>Botswana</w:t>
            </w:r>
            <w:r w:rsidRPr="00853C9F">
              <w:rPr>
                <w:spacing w:val="-2"/>
                <w:sz w:val="16"/>
                <w:szCs w:val="16"/>
                <w:lang w:val="en-US"/>
              </w:rPr>
              <w:t xml:space="preserve">, </w:t>
            </w:r>
            <w:r w:rsidRPr="00853C9F">
              <w:rPr>
                <w:b/>
                <w:bCs/>
                <w:spacing w:val="-2"/>
                <w:sz w:val="16"/>
                <w:szCs w:val="16"/>
                <w:lang w:val="en-US"/>
              </w:rPr>
              <w:t>Lesotho</w:t>
            </w:r>
            <w:r w:rsidRPr="00853C9F">
              <w:rPr>
                <w:spacing w:val="-2"/>
                <w:sz w:val="16"/>
                <w:szCs w:val="16"/>
                <w:lang w:val="en-US"/>
              </w:rPr>
              <w:t xml:space="preserve">, </w:t>
            </w:r>
            <w:r w:rsidRPr="00853C9F">
              <w:rPr>
                <w:b/>
                <w:bCs/>
                <w:spacing w:val="-2"/>
                <w:sz w:val="16"/>
                <w:szCs w:val="16"/>
                <w:lang w:val="en-US"/>
              </w:rPr>
              <w:t>Malawi</w:t>
            </w:r>
            <w:r w:rsidRPr="00853C9F">
              <w:rPr>
                <w:spacing w:val="-2"/>
                <w:sz w:val="16"/>
                <w:szCs w:val="16"/>
                <w:lang w:val="en-US"/>
              </w:rPr>
              <w:t xml:space="preserve">, </w:t>
            </w:r>
            <w:r w:rsidRPr="00853C9F">
              <w:rPr>
                <w:b/>
                <w:bCs/>
                <w:spacing w:val="-2"/>
                <w:sz w:val="16"/>
                <w:szCs w:val="16"/>
                <w:lang w:val="en-US"/>
              </w:rPr>
              <w:t>Namibia</w:t>
            </w:r>
            <w:r w:rsidRPr="00853C9F">
              <w:rPr>
                <w:spacing w:val="-2"/>
                <w:sz w:val="16"/>
                <w:szCs w:val="16"/>
                <w:lang w:val="en-US"/>
              </w:rPr>
              <w:t xml:space="preserve">, </w:t>
            </w:r>
            <w:r w:rsidRPr="00853C9F">
              <w:rPr>
                <w:b/>
                <w:bCs/>
                <w:spacing w:val="-2"/>
                <w:sz w:val="16"/>
                <w:szCs w:val="16"/>
                <w:lang w:val="en-US"/>
              </w:rPr>
              <w:t>the Dem. Rep. of the Congo,</w:t>
            </w:r>
            <w:r w:rsidRPr="00853C9F">
              <w:rPr>
                <w:spacing w:val="-2"/>
                <w:sz w:val="16"/>
                <w:szCs w:val="16"/>
                <w:lang w:val="en-US"/>
              </w:rPr>
              <w:t xml:space="preserve"> </w:t>
            </w:r>
            <w:r w:rsidRPr="00853C9F">
              <w:rPr>
                <w:b/>
                <w:bCs/>
                <w:spacing w:val="-2"/>
                <w:sz w:val="16"/>
                <w:szCs w:val="16"/>
                <w:lang w:val="en-US"/>
              </w:rPr>
              <w:t>Rwanda,</w:t>
            </w:r>
            <w:r w:rsidR="00E34289" w:rsidRPr="00853C9F">
              <w:rPr>
                <w:b/>
                <w:bCs/>
                <w:spacing w:val="-2"/>
                <w:sz w:val="16"/>
                <w:szCs w:val="16"/>
                <w:lang w:val="en-US"/>
              </w:rPr>
              <w:t xml:space="preserve"> </w:t>
            </w:r>
            <w:r w:rsidRPr="00853C9F">
              <w:rPr>
                <w:b/>
                <w:bCs/>
                <w:spacing w:val="-2"/>
                <w:sz w:val="16"/>
                <w:szCs w:val="16"/>
                <w:lang w:val="en-US"/>
              </w:rPr>
              <w:t>South Africa</w:t>
            </w:r>
            <w:r w:rsidRPr="00853C9F">
              <w:rPr>
                <w:spacing w:val="-2"/>
                <w:sz w:val="16"/>
                <w:szCs w:val="16"/>
                <w:lang w:val="en-US"/>
              </w:rPr>
              <w:t>,</w:t>
            </w:r>
            <w:r w:rsidRPr="00853C9F">
              <w:rPr>
                <w:b/>
                <w:bCs/>
                <w:spacing w:val="-2"/>
                <w:sz w:val="16"/>
                <w:szCs w:val="16"/>
                <w:lang w:val="en-US"/>
              </w:rPr>
              <w:t xml:space="preserve"> Swaziland</w:t>
            </w:r>
            <w:r w:rsidRPr="00853C9F">
              <w:rPr>
                <w:spacing w:val="-2"/>
                <w:sz w:val="16"/>
                <w:szCs w:val="16"/>
                <w:lang w:val="en-US"/>
              </w:rPr>
              <w:t>,</w:t>
            </w:r>
            <w:r w:rsidRPr="00853C9F">
              <w:rPr>
                <w:b/>
                <w:bCs/>
                <w:spacing w:val="-2"/>
                <w:sz w:val="16"/>
                <w:szCs w:val="16"/>
                <w:lang w:val="en-US"/>
              </w:rPr>
              <w:t xml:space="preserve"> Zambia and Zimbabwe</w:t>
            </w:r>
            <w:r w:rsidRPr="00853C9F">
              <w:rPr>
                <w:spacing w:val="-2"/>
                <w:sz w:val="16"/>
                <w:szCs w:val="16"/>
                <w:lang w:val="en-US"/>
              </w:rPr>
              <w:t>, the band 50-54 MHz is allocated to the amateur service on a primary</w:t>
            </w:r>
            <w:r w:rsidR="00E34289" w:rsidRPr="00853C9F">
              <w:rPr>
                <w:spacing w:val="-2"/>
                <w:sz w:val="16"/>
                <w:szCs w:val="16"/>
                <w:lang w:val="en-US"/>
              </w:rPr>
              <w:t xml:space="preserve"> </w:t>
            </w:r>
            <w:r w:rsidRPr="00853C9F">
              <w:rPr>
                <w:spacing w:val="-2"/>
                <w:sz w:val="16"/>
                <w:szCs w:val="16"/>
                <w:lang w:val="en-US"/>
              </w:rPr>
              <w:t xml:space="preserve">basis. In Senegal, the band 50-51 MHz is allocated to the amateur service on a primary basis. </w:t>
            </w:r>
            <w:r w:rsidRPr="00853C9F">
              <w:rPr>
                <w:spacing w:val="-2"/>
                <w:sz w:val="10"/>
                <w:szCs w:val="10"/>
                <w:lang w:val="en-US"/>
              </w:rPr>
              <w:t>(WRC-12)</w:t>
            </w:r>
          </w:p>
        </w:tc>
      </w:tr>
    </w:tbl>
    <w:p w14:paraId="18AD5D96" w14:textId="77777777" w:rsidR="00EB242E" w:rsidRPr="00853C9F" w:rsidRDefault="00EB242E" w:rsidP="00CC515C">
      <w:pPr>
        <w:pStyle w:val="Tablefin"/>
        <w:rPr>
          <w:lang w:val="en-US"/>
        </w:rPr>
      </w:pPr>
    </w:p>
    <w:p w14:paraId="4DEBFE03" w14:textId="77777777" w:rsidR="00EB242E" w:rsidRPr="00853C9F" w:rsidRDefault="00EB242E">
      <w:pPr>
        <w:tabs>
          <w:tab w:val="clear" w:pos="1134"/>
          <w:tab w:val="clear" w:pos="1871"/>
          <w:tab w:val="clear" w:pos="2268"/>
        </w:tabs>
        <w:overflowPunct/>
        <w:autoSpaceDE/>
        <w:autoSpaceDN/>
        <w:adjustRightInd/>
        <w:spacing w:before="0"/>
        <w:textAlignment w:val="auto"/>
        <w:rPr>
          <w:iCs/>
          <w:szCs w:val="24"/>
          <w:lang w:val="en-US"/>
        </w:rPr>
      </w:pPr>
      <w:r w:rsidRPr="00853C9F">
        <w:rPr>
          <w:iCs/>
          <w:szCs w:val="24"/>
          <w:lang w:val="en-US"/>
        </w:rPr>
        <w:br w:type="page"/>
      </w:r>
    </w:p>
    <w:p w14:paraId="52516F50" w14:textId="77777777" w:rsidR="00EB242E" w:rsidRPr="00853C9F" w:rsidRDefault="00EB242E" w:rsidP="00EB242E">
      <w:pPr>
        <w:rPr>
          <w:lang w:val="en-US"/>
        </w:rPr>
      </w:pPr>
      <w:r w:rsidRPr="00853C9F">
        <w:rPr>
          <w:lang w:val="en-US"/>
        </w:rPr>
        <w:lastRenderedPageBreak/>
        <w:t>The IARU Region 1 Handbook on VHF use (Table 2) contains the following conditions of the recommended use of the frequency band 50-52 MHz (BANDPLAN – is an arrangement of frequency bands usage by type and mode of use agreed by IARU Region 1).</w:t>
      </w:r>
    </w:p>
    <w:p w14:paraId="19284195" w14:textId="77777777" w:rsidR="00EB242E" w:rsidRPr="00853C9F" w:rsidRDefault="00EB242E" w:rsidP="00853C9F">
      <w:pPr>
        <w:pStyle w:val="TableNo"/>
        <w:spacing w:before="240"/>
        <w:rPr>
          <w:lang w:val="en-US"/>
        </w:rPr>
      </w:pPr>
      <w:r w:rsidRPr="00853C9F">
        <w:rPr>
          <w:lang w:val="en-US"/>
        </w:rPr>
        <w:t>Table 2</w:t>
      </w:r>
    </w:p>
    <w:p w14:paraId="3868ABB9" w14:textId="77777777" w:rsidR="00EB242E" w:rsidRPr="00853C9F" w:rsidRDefault="00EB242E" w:rsidP="00EB242E">
      <w:pPr>
        <w:pStyle w:val="Tabletitle"/>
        <w:rPr>
          <w:lang w:val="en-US"/>
        </w:rPr>
      </w:pPr>
      <w:r w:rsidRPr="00853C9F">
        <w:rPr>
          <w:lang w:val="en-US"/>
        </w:rPr>
        <w:t>IARU Region 1 Band plan:</w:t>
      </w:r>
    </w:p>
    <w:p w14:paraId="2290B3B2" w14:textId="7BDD67BB" w:rsidR="00EB242E" w:rsidRPr="00853C9F" w:rsidRDefault="00EB242E" w:rsidP="00CC515C">
      <w:pPr>
        <w:spacing w:after="120"/>
        <w:rPr>
          <w:i/>
          <w:iCs/>
          <w:lang w:val="en-US"/>
        </w:rPr>
      </w:pPr>
      <w:r w:rsidRPr="00853C9F">
        <w:rPr>
          <w:i/>
          <w:iCs/>
          <w:highlight w:val="yellow"/>
          <w:lang w:val="en-US"/>
        </w:rPr>
        <w:t xml:space="preserve">Editor’s note: </w:t>
      </w:r>
      <w:r w:rsidR="00AE72CB" w:rsidRPr="00853C9F">
        <w:rPr>
          <w:i/>
          <w:iCs/>
          <w:highlight w:val="yellow"/>
          <w:lang w:val="en-US"/>
        </w:rPr>
        <w:t xml:space="preserve">Revised </w:t>
      </w:r>
      <w:r w:rsidR="00CC515C" w:rsidRPr="00853C9F">
        <w:rPr>
          <w:i/>
          <w:iCs/>
          <w:highlight w:val="yellow"/>
          <w:lang w:val="en-US"/>
        </w:rPr>
        <w:t xml:space="preserve">Table </w:t>
      </w:r>
      <w:r w:rsidRPr="00853C9F">
        <w:rPr>
          <w:i/>
          <w:iCs/>
          <w:highlight w:val="yellow"/>
          <w:lang w:val="en-US"/>
        </w:rPr>
        <w:t>2 inserted</w:t>
      </w:r>
    </w:p>
    <w:tbl>
      <w:tblPr>
        <w:tblStyle w:val="TableGrid"/>
        <w:tblW w:w="10110" w:type="dxa"/>
        <w:tblLook w:val="04A0" w:firstRow="1" w:lastRow="0" w:firstColumn="1" w:lastColumn="0" w:noHBand="0" w:noVBand="1"/>
      </w:tblPr>
      <w:tblGrid>
        <w:gridCol w:w="1249"/>
        <w:gridCol w:w="2303"/>
        <w:gridCol w:w="2480"/>
        <w:gridCol w:w="4078"/>
      </w:tblGrid>
      <w:tr w:rsidR="00EB242E" w:rsidRPr="00AE72CB" w14:paraId="69035A0E" w14:textId="77777777" w:rsidTr="00CC515C">
        <w:tc>
          <w:tcPr>
            <w:tcW w:w="0" w:type="auto"/>
            <w:hideMark/>
          </w:tcPr>
          <w:p w14:paraId="244A8530" w14:textId="77777777" w:rsidR="00EB242E" w:rsidRPr="00AE72CB" w:rsidRDefault="00EB242E" w:rsidP="0003367A">
            <w:pPr>
              <w:pStyle w:val="Tablehead"/>
              <w:rPr>
                <w:rFonts w:asciiTheme="majorBidi" w:hAnsiTheme="majorBidi" w:cstheme="majorBidi"/>
                <w:lang w:val="en-US"/>
              </w:rPr>
            </w:pPr>
            <w:r w:rsidRPr="00AE72CB">
              <w:rPr>
                <w:rFonts w:asciiTheme="majorBidi" w:hAnsiTheme="majorBidi" w:cstheme="majorBidi"/>
                <w:lang w:val="en-US"/>
              </w:rPr>
              <w:t>Frequency</w:t>
            </w:r>
          </w:p>
        </w:tc>
        <w:tc>
          <w:tcPr>
            <w:tcW w:w="0" w:type="auto"/>
            <w:hideMark/>
          </w:tcPr>
          <w:p w14:paraId="59E44DE4" w14:textId="0B46526D" w:rsidR="00EB242E" w:rsidRPr="00AE72CB" w:rsidRDefault="00EB242E" w:rsidP="0003367A">
            <w:pPr>
              <w:pStyle w:val="Tablehead"/>
              <w:rPr>
                <w:rFonts w:asciiTheme="majorBidi" w:hAnsiTheme="majorBidi" w:cstheme="majorBidi"/>
                <w:lang w:val="en-US"/>
              </w:rPr>
            </w:pPr>
            <w:r w:rsidRPr="00AE72CB">
              <w:rPr>
                <w:rFonts w:asciiTheme="majorBidi" w:hAnsiTheme="majorBidi" w:cstheme="majorBidi"/>
                <w:lang w:val="en-US"/>
              </w:rPr>
              <w:t xml:space="preserve">Maximum </w:t>
            </w:r>
            <w:r w:rsidR="0003367A" w:rsidRPr="00AE72CB">
              <w:rPr>
                <w:rFonts w:asciiTheme="majorBidi" w:hAnsiTheme="majorBidi" w:cstheme="majorBidi"/>
                <w:lang w:val="en-US"/>
              </w:rPr>
              <w:t>bandwidth</w:t>
            </w:r>
          </w:p>
        </w:tc>
        <w:tc>
          <w:tcPr>
            <w:tcW w:w="0" w:type="auto"/>
            <w:hideMark/>
          </w:tcPr>
          <w:p w14:paraId="268CFA4C" w14:textId="77777777" w:rsidR="00EB242E" w:rsidRPr="00AE72CB" w:rsidRDefault="00EB242E" w:rsidP="0003367A">
            <w:pPr>
              <w:pStyle w:val="Tablehead"/>
              <w:rPr>
                <w:rFonts w:asciiTheme="majorBidi" w:hAnsiTheme="majorBidi" w:cstheme="majorBidi"/>
                <w:lang w:val="en-US"/>
              </w:rPr>
            </w:pPr>
            <w:r w:rsidRPr="00AE72CB">
              <w:rPr>
                <w:rFonts w:asciiTheme="majorBidi" w:hAnsiTheme="majorBidi" w:cstheme="majorBidi"/>
                <w:lang w:val="en-US"/>
              </w:rPr>
              <w:t>Mode</w:t>
            </w:r>
          </w:p>
        </w:tc>
        <w:tc>
          <w:tcPr>
            <w:tcW w:w="4078" w:type="dxa"/>
            <w:hideMark/>
          </w:tcPr>
          <w:p w14:paraId="096B009E" w14:textId="77777777" w:rsidR="00EB242E" w:rsidRPr="00AE72CB" w:rsidRDefault="00EB242E" w:rsidP="0003367A">
            <w:pPr>
              <w:pStyle w:val="Tablehead"/>
              <w:rPr>
                <w:rFonts w:asciiTheme="majorBidi" w:hAnsiTheme="majorBidi" w:cstheme="majorBidi"/>
                <w:lang w:val="en-US"/>
              </w:rPr>
            </w:pPr>
            <w:r w:rsidRPr="00AE72CB">
              <w:rPr>
                <w:rFonts w:asciiTheme="majorBidi" w:hAnsiTheme="majorBidi" w:cstheme="majorBidi"/>
                <w:lang w:val="en-US"/>
              </w:rPr>
              <w:t>Usage</w:t>
            </w:r>
          </w:p>
        </w:tc>
      </w:tr>
      <w:tr w:rsidR="00EB242E" w:rsidRPr="00AE72CB" w14:paraId="67A57C3B" w14:textId="77777777" w:rsidTr="00CC515C">
        <w:tc>
          <w:tcPr>
            <w:tcW w:w="0" w:type="auto"/>
            <w:hideMark/>
          </w:tcPr>
          <w:p w14:paraId="40A2AED1"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50.000</w:t>
            </w:r>
          </w:p>
          <w:p w14:paraId="3C1958B3" w14:textId="19560404" w:rsidR="00EB242E" w:rsidRPr="00AE72CB" w:rsidRDefault="00EB242E" w:rsidP="0003367A">
            <w:pPr>
              <w:pStyle w:val="Tabletext"/>
              <w:jc w:val="center"/>
              <w:rPr>
                <w:rFonts w:asciiTheme="majorBidi" w:hAnsiTheme="majorBidi" w:cstheme="majorBidi"/>
                <w:lang w:val="en-US"/>
              </w:rPr>
            </w:pPr>
          </w:p>
          <w:p w14:paraId="336C9D86" w14:textId="13E4DAC8" w:rsidR="00EB242E" w:rsidRPr="00AE72CB" w:rsidRDefault="00EB242E" w:rsidP="0003367A">
            <w:pPr>
              <w:pStyle w:val="Tabletext"/>
              <w:jc w:val="center"/>
              <w:rPr>
                <w:rFonts w:asciiTheme="majorBidi" w:hAnsiTheme="majorBidi" w:cstheme="majorBidi"/>
                <w:lang w:val="en-US"/>
              </w:rPr>
            </w:pPr>
          </w:p>
          <w:p w14:paraId="68E3F6FE" w14:textId="4DA9EF84" w:rsidR="00EB242E" w:rsidRPr="00AE72CB" w:rsidRDefault="00EB242E" w:rsidP="0003367A">
            <w:pPr>
              <w:pStyle w:val="Tabletext"/>
              <w:jc w:val="center"/>
              <w:rPr>
                <w:rFonts w:asciiTheme="majorBidi" w:hAnsiTheme="majorBidi" w:cstheme="majorBidi"/>
                <w:lang w:val="en-US"/>
              </w:rPr>
            </w:pPr>
          </w:p>
          <w:p w14:paraId="0C875BE6"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50.100</w:t>
            </w:r>
          </w:p>
        </w:tc>
        <w:tc>
          <w:tcPr>
            <w:tcW w:w="0" w:type="auto"/>
            <w:hideMark/>
          </w:tcPr>
          <w:p w14:paraId="3FDD3011" w14:textId="0B567206" w:rsidR="00EB242E" w:rsidRPr="00AE72CB" w:rsidRDefault="00EB242E" w:rsidP="0003367A">
            <w:pPr>
              <w:pStyle w:val="Tabletext"/>
              <w:jc w:val="center"/>
              <w:rPr>
                <w:rFonts w:asciiTheme="majorBidi" w:hAnsiTheme="majorBidi" w:cstheme="majorBidi"/>
                <w:lang w:val="en-US"/>
              </w:rPr>
            </w:pPr>
          </w:p>
          <w:p w14:paraId="2389C7C8" w14:textId="0E610635" w:rsidR="00EB242E" w:rsidRPr="00AE72CB" w:rsidRDefault="00EB242E" w:rsidP="0003367A">
            <w:pPr>
              <w:pStyle w:val="Tabletext"/>
              <w:jc w:val="center"/>
              <w:rPr>
                <w:rFonts w:asciiTheme="majorBidi" w:hAnsiTheme="majorBidi" w:cstheme="majorBidi"/>
                <w:lang w:val="en-US"/>
              </w:rPr>
            </w:pPr>
          </w:p>
          <w:p w14:paraId="77C201B2"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500 Hz</w:t>
            </w:r>
          </w:p>
        </w:tc>
        <w:tc>
          <w:tcPr>
            <w:tcW w:w="0" w:type="auto"/>
            <w:hideMark/>
          </w:tcPr>
          <w:p w14:paraId="68C7F2C9" w14:textId="3008BA7C" w:rsidR="00EB242E" w:rsidRPr="00AE72CB" w:rsidRDefault="00EB242E" w:rsidP="0003367A">
            <w:pPr>
              <w:pStyle w:val="Tabletext"/>
              <w:jc w:val="center"/>
              <w:rPr>
                <w:rFonts w:asciiTheme="majorBidi" w:hAnsiTheme="majorBidi" w:cstheme="majorBidi"/>
                <w:lang w:val="en-US"/>
              </w:rPr>
            </w:pPr>
          </w:p>
          <w:p w14:paraId="59BA033A"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Telegraphy exclusive</w:t>
            </w:r>
          </w:p>
          <w:p w14:paraId="501AABB9"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(except Beacon Project)</w:t>
            </w:r>
          </w:p>
        </w:tc>
        <w:tc>
          <w:tcPr>
            <w:tcW w:w="4078" w:type="dxa"/>
            <w:hideMark/>
          </w:tcPr>
          <w:p w14:paraId="2A3AC860"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50.000 - 010 Region 1*</w:t>
            </w:r>
          </w:p>
          <w:p w14:paraId="2C25E17E"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50.010 - 020 Region 2*</w:t>
            </w:r>
          </w:p>
          <w:p w14:paraId="444877B7"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50.020 - 030 Region 3*</w:t>
            </w:r>
          </w:p>
          <w:p w14:paraId="2B257243"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50.050 CW future international center of activity</w:t>
            </w:r>
          </w:p>
          <w:p w14:paraId="569D3274"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50.090 Intercontinental  center of activity</w:t>
            </w:r>
          </w:p>
        </w:tc>
      </w:tr>
      <w:tr w:rsidR="00EB242E" w:rsidRPr="00AE72CB" w14:paraId="4F889F4B" w14:textId="77777777" w:rsidTr="00CC515C">
        <w:tc>
          <w:tcPr>
            <w:tcW w:w="0" w:type="auto"/>
            <w:hideMark/>
          </w:tcPr>
          <w:p w14:paraId="529BD972"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50.100</w:t>
            </w:r>
          </w:p>
          <w:p w14:paraId="3FF1C77A" w14:textId="3B37D14E" w:rsidR="00EB242E" w:rsidRPr="00AE72CB" w:rsidRDefault="00EB242E" w:rsidP="0003367A">
            <w:pPr>
              <w:pStyle w:val="Tabletext"/>
              <w:jc w:val="center"/>
              <w:rPr>
                <w:rFonts w:asciiTheme="majorBidi" w:hAnsiTheme="majorBidi" w:cstheme="majorBidi"/>
                <w:lang w:val="en-US"/>
              </w:rPr>
            </w:pPr>
          </w:p>
          <w:p w14:paraId="397E5DBA" w14:textId="6765840F" w:rsidR="00EB242E" w:rsidRPr="00AE72CB" w:rsidRDefault="00EB242E" w:rsidP="0003367A">
            <w:pPr>
              <w:pStyle w:val="Tabletext"/>
              <w:jc w:val="center"/>
              <w:rPr>
                <w:rFonts w:asciiTheme="majorBidi" w:hAnsiTheme="majorBidi" w:cstheme="majorBidi"/>
                <w:lang w:val="en-US"/>
              </w:rPr>
            </w:pPr>
          </w:p>
          <w:p w14:paraId="3FDE6A35" w14:textId="3C8834C7" w:rsidR="00EB242E" w:rsidRPr="00AE72CB" w:rsidRDefault="00EB242E" w:rsidP="0003367A">
            <w:pPr>
              <w:pStyle w:val="Tabletext"/>
              <w:jc w:val="center"/>
              <w:rPr>
                <w:rFonts w:asciiTheme="majorBidi" w:hAnsiTheme="majorBidi" w:cstheme="majorBidi"/>
                <w:lang w:val="en-US"/>
              </w:rPr>
            </w:pPr>
          </w:p>
          <w:p w14:paraId="529D5196"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50.200</w:t>
            </w:r>
          </w:p>
        </w:tc>
        <w:tc>
          <w:tcPr>
            <w:tcW w:w="0" w:type="auto"/>
            <w:hideMark/>
          </w:tcPr>
          <w:p w14:paraId="784FDBA1" w14:textId="505D7D66" w:rsidR="00EB242E" w:rsidRPr="00AE72CB" w:rsidRDefault="00EB242E" w:rsidP="0003367A">
            <w:pPr>
              <w:pStyle w:val="Tabletext"/>
              <w:jc w:val="center"/>
              <w:rPr>
                <w:rFonts w:asciiTheme="majorBidi" w:hAnsiTheme="majorBidi" w:cstheme="majorBidi"/>
                <w:lang w:val="en-US"/>
              </w:rPr>
            </w:pPr>
          </w:p>
          <w:p w14:paraId="2AA99E29" w14:textId="2DA09A5B" w:rsidR="00EB242E" w:rsidRPr="00AE72CB" w:rsidRDefault="00EB242E" w:rsidP="0003367A">
            <w:pPr>
              <w:pStyle w:val="Tabletext"/>
              <w:jc w:val="center"/>
              <w:rPr>
                <w:rFonts w:asciiTheme="majorBidi" w:hAnsiTheme="majorBidi" w:cstheme="majorBidi"/>
                <w:lang w:val="en-US"/>
              </w:rPr>
            </w:pPr>
          </w:p>
          <w:p w14:paraId="4825494F"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2 700 Hz</w:t>
            </w:r>
          </w:p>
        </w:tc>
        <w:tc>
          <w:tcPr>
            <w:tcW w:w="0" w:type="auto"/>
            <w:hideMark/>
          </w:tcPr>
          <w:p w14:paraId="597A414D" w14:textId="59E6FB1D" w:rsidR="00EB242E" w:rsidRPr="00AE72CB" w:rsidRDefault="00EB242E" w:rsidP="0003367A">
            <w:pPr>
              <w:pStyle w:val="Tabletext"/>
              <w:jc w:val="center"/>
              <w:rPr>
                <w:rFonts w:asciiTheme="majorBidi" w:hAnsiTheme="majorBidi" w:cstheme="majorBidi"/>
                <w:lang w:val="en-US"/>
              </w:rPr>
            </w:pPr>
          </w:p>
          <w:p w14:paraId="42280C80" w14:textId="0D3C8019"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Telegraphy</w:t>
            </w:r>
          </w:p>
          <w:p w14:paraId="15746910"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&amp; SSB</w:t>
            </w:r>
          </w:p>
        </w:tc>
        <w:tc>
          <w:tcPr>
            <w:tcW w:w="4078" w:type="dxa"/>
            <w:hideMark/>
          </w:tcPr>
          <w:p w14:paraId="2DEF4722" w14:textId="1C9C2465"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50.100 - 130   Intercontinental se</w:t>
            </w:r>
            <w:r w:rsidR="00A81607">
              <w:rPr>
                <w:rFonts w:asciiTheme="majorBidi" w:hAnsiTheme="majorBidi" w:cstheme="majorBidi"/>
                <w:lang w:val="en-US"/>
              </w:rPr>
              <w:t>ction</w:t>
            </w:r>
            <w:r w:rsidR="00A81607">
              <w:rPr>
                <w:rFonts w:asciiTheme="majorBidi" w:hAnsiTheme="majorBidi" w:cstheme="majorBidi"/>
                <w:lang w:val="en-US"/>
              </w:rPr>
              <w:br/>
            </w:r>
            <w:r w:rsidR="00A81607">
              <w:rPr>
                <w:rFonts w:asciiTheme="majorBidi" w:hAnsiTheme="majorBidi" w:cstheme="majorBidi"/>
                <w:lang w:val="en-US"/>
              </w:rPr>
              <w:br/>
              <w:t> 50.110   Intercontinent</w:t>
            </w:r>
            <w:r w:rsidRPr="00AE72CB">
              <w:rPr>
                <w:rFonts w:asciiTheme="majorBidi" w:hAnsiTheme="majorBidi" w:cstheme="majorBidi"/>
                <w:lang w:val="en-US"/>
              </w:rPr>
              <w:t xml:space="preserve">al center of activity </w:t>
            </w:r>
            <w:r w:rsidRPr="00AE72CB">
              <w:rPr>
                <w:rFonts w:asciiTheme="majorBidi" w:hAnsiTheme="majorBidi" w:cstheme="majorBidi"/>
                <w:lang w:val="en-US"/>
              </w:rPr>
              <w:br/>
            </w:r>
            <w:r w:rsidRPr="00AE72CB">
              <w:rPr>
                <w:rFonts w:asciiTheme="majorBidi" w:hAnsiTheme="majorBidi" w:cstheme="majorBidi"/>
                <w:lang w:val="en-US"/>
              </w:rPr>
              <w:br/>
              <w:t> 50.130 - 200 International section</w:t>
            </w:r>
            <w:r w:rsidRPr="00AE72CB">
              <w:rPr>
                <w:rFonts w:asciiTheme="majorBidi" w:hAnsiTheme="majorBidi" w:cstheme="majorBidi"/>
                <w:lang w:val="en-US"/>
              </w:rPr>
              <w:br/>
            </w:r>
            <w:r w:rsidRPr="00AE72CB">
              <w:rPr>
                <w:rFonts w:asciiTheme="majorBidi" w:hAnsiTheme="majorBidi" w:cstheme="majorBidi"/>
                <w:lang w:val="en-US"/>
              </w:rPr>
              <w:br/>
              <w:t> 50.150  International center of activity</w:t>
            </w:r>
          </w:p>
        </w:tc>
      </w:tr>
      <w:tr w:rsidR="00EB242E" w:rsidRPr="00AE72CB" w14:paraId="3EDA8E2C" w14:textId="77777777" w:rsidTr="00CC515C">
        <w:tc>
          <w:tcPr>
            <w:tcW w:w="0" w:type="auto"/>
            <w:hideMark/>
          </w:tcPr>
          <w:p w14:paraId="4753E613"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50.200</w:t>
            </w:r>
          </w:p>
          <w:p w14:paraId="78AE3AF8" w14:textId="054E68E8" w:rsidR="00EB242E" w:rsidRPr="00AE72CB" w:rsidRDefault="00EB242E" w:rsidP="0003367A">
            <w:pPr>
              <w:pStyle w:val="Tabletext"/>
              <w:jc w:val="center"/>
              <w:rPr>
                <w:rFonts w:asciiTheme="majorBidi" w:hAnsiTheme="majorBidi" w:cstheme="majorBidi"/>
                <w:lang w:val="en-US"/>
              </w:rPr>
            </w:pPr>
          </w:p>
          <w:p w14:paraId="4F1934A7"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50.300</w:t>
            </w:r>
          </w:p>
        </w:tc>
        <w:tc>
          <w:tcPr>
            <w:tcW w:w="0" w:type="auto"/>
            <w:hideMark/>
          </w:tcPr>
          <w:p w14:paraId="1505CE8D" w14:textId="2C1B4993" w:rsidR="00EB242E" w:rsidRPr="00AE72CB" w:rsidRDefault="00EB242E" w:rsidP="0003367A">
            <w:pPr>
              <w:pStyle w:val="Tabletext"/>
              <w:jc w:val="center"/>
              <w:rPr>
                <w:rFonts w:asciiTheme="majorBidi" w:hAnsiTheme="majorBidi" w:cstheme="majorBidi"/>
                <w:lang w:val="en-US"/>
              </w:rPr>
            </w:pPr>
          </w:p>
          <w:p w14:paraId="1AD1AF92"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2 700 Hz</w:t>
            </w:r>
          </w:p>
        </w:tc>
        <w:tc>
          <w:tcPr>
            <w:tcW w:w="0" w:type="auto"/>
            <w:hideMark/>
          </w:tcPr>
          <w:p w14:paraId="79493E4A" w14:textId="650AFC85" w:rsidR="00EB242E" w:rsidRPr="00AE72CB" w:rsidRDefault="00EB242E" w:rsidP="0003367A">
            <w:pPr>
              <w:pStyle w:val="Tabletext"/>
              <w:jc w:val="center"/>
              <w:rPr>
                <w:rFonts w:asciiTheme="majorBidi" w:hAnsiTheme="majorBidi" w:cstheme="majorBidi"/>
                <w:lang w:val="en-US"/>
              </w:rPr>
            </w:pPr>
          </w:p>
          <w:p w14:paraId="09E79D50" w14:textId="7186786B"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Telegraphy</w:t>
            </w:r>
          </w:p>
          <w:p w14:paraId="158AC66E"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&amp; SSB</w:t>
            </w:r>
          </w:p>
        </w:tc>
        <w:tc>
          <w:tcPr>
            <w:tcW w:w="4078" w:type="dxa"/>
            <w:hideMark/>
          </w:tcPr>
          <w:p w14:paraId="07EB1E90"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General usage</w:t>
            </w:r>
          </w:p>
          <w:p w14:paraId="6200416B"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50.285 for crossband</w:t>
            </w:r>
          </w:p>
        </w:tc>
      </w:tr>
      <w:tr w:rsidR="00EB242E" w:rsidRPr="00AE72CB" w14:paraId="36591C9C" w14:textId="77777777" w:rsidTr="00CC515C">
        <w:tc>
          <w:tcPr>
            <w:tcW w:w="0" w:type="auto"/>
            <w:hideMark/>
          </w:tcPr>
          <w:p w14:paraId="618D01D4"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50.300</w:t>
            </w:r>
          </w:p>
          <w:p w14:paraId="798C05AB" w14:textId="2DE25635" w:rsidR="00EB242E" w:rsidRPr="00AE72CB" w:rsidRDefault="00EB242E" w:rsidP="0003367A">
            <w:pPr>
              <w:pStyle w:val="Tabletext"/>
              <w:jc w:val="center"/>
              <w:rPr>
                <w:rFonts w:asciiTheme="majorBidi" w:hAnsiTheme="majorBidi" w:cstheme="majorBidi"/>
                <w:lang w:val="en-US"/>
              </w:rPr>
            </w:pPr>
          </w:p>
          <w:p w14:paraId="0BC2614B" w14:textId="5F1205DF" w:rsidR="00EB242E" w:rsidRPr="00AE72CB" w:rsidRDefault="00EB242E" w:rsidP="0003367A">
            <w:pPr>
              <w:pStyle w:val="Tabletext"/>
              <w:jc w:val="center"/>
              <w:rPr>
                <w:rFonts w:asciiTheme="majorBidi" w:hAnsiTheme="majorBidi" w:cstheme="majorBidi"/>
                <w:lang w:val="en-US"/>
              </w:rPr>
            </w:pPr>
          </w:p>
          <w:p w14:paraId="3B1B2A93"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50.400</w:t>
            </w:r>
          </w:p>
        </w:tc>
        <w:tc>
          <w:tcPr>
            <w:tcW w:w="0" w:type="auto"/>
            <w:hideMark/>
          </w:tcPr>
          <w:p w14:paraId="1C3D2950" w14:textId="517814F3" w:rsidR="00EB242E" w:rsidRPr="00AE72CB" w:rsidRDefault="00EB242E" w:rsidP="0003367A">
            <w:pPr>
              <w:pStyle w:val="Tabletext"/>
              <w:jc w:val="center"/>
              <w:rPr>
                <w:rFonts w:asciiTheme="majorBidi" w:hAnsiTheme="majorBidi" w:cstheme="majorBidi"/>
                <w:lang w:val="en-US"/>
              </w:rPr>
            </w:pPr>
          </w:p>
          <w:p w14:paraId="7166A8B8" w14:textId="06C89F6C" w:rsidR="00EB242E" w:rsidRPr="00AE72CB" w:rsidRDefault="00EB242E" w:rsidP="0003367A">
            <w:pPr>
              <w:pStyle w:val="Tabletext"/>
              <w:jc w:val="center"/>
              <w:rPr>
                <w:rFonts w:asciiTheme="majorBidi" w:hAnsiTheme="majorBidi" w:cstheme="majorBidi"/>
                <w:lang w:val="en-US"/>
              </w:rPr>
            </w:pPr>
          </w:p>
          <w:p w14:paraId="0A637FB3"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2 700 Hz</w:t>
            </w:r>
          </w:p>
        </w:tc>
        <w:tc>
          <w:tcPr>
            <w:tcW w:w="0" w:type="auto"/>
            <w:hideMark/>
          </w:tcPr>
          <w:p w14:paraId="2626BC63" w14:textId="4EC6959C" w:rsidR="00EB242E" w:rsidRPr="00AE72CB" w:rsidRDefault="00EB242E" w:rsidP="0003367A">
            <w:pPr>
              <w:pStyle w:val="Tabletext"/>
              <w:jc w:val="center"/>
              <w:rPr>
                <w:rFonts w:asciiTheme="majorBidi" w:hAnsiTheme="majorBidi" w:cstheme="majorBidi"/>
                <w:lang w:val="en-US"/>
              </w:rPr>
            </w:pPr>
          </w:p>
          <w:p w14:paraId="3715EAF2" w14:textId="33665B83"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MGM</w:t>
            </w:r>
          </w:p>
          <w:p w14:paraId="5EE31C9B"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Narrowband</w:t>
            </w:r>
          </w:p>
          <w:p w14:paraId="49CD4637" w14:textId="2D2D0598"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Telegrap</w:t>
            </w:r>
            <w:r w:rsidR="00A81607">
              <w:rPr>
                <w:rStyle w:val="Strong"/>
                <w:rFonts w:asciiTheme="majorBidi" w:hAnsiTheme="majorBidi" w:cstheme="majorBidi"/>
                <w:lang w:val="en-US"/>
              </w:rPr>
              <w:t>h</w:t>
            </w:r>
            <w:r w:rsidRPr="00AE72CB">
              <w:rPr>
                <w:rStyle w:val="Strong"/>
                <w:rFonts w:asciiTheme="majorBidi" w:hAnsiTheme="majorBidi" w:cstheme="majorBidi"/>
                <w:lang w:val="en-US"/>
              </w:rPr>
              <w:t>y</w:t>
            </w:r>
          </w:p>
        </w:tc>
        <w:tc>
          <w:tcPr>
            <w:tcW w:w="4078" w:type="dxa"/>
            <w:hideMark/>
          </w:tcPr>
          <w:p w14:paraId="630B9900"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50.305 PSK Center of activity</w:t>
            </w:r>
          </w:p>
          <w:p w14:paraId="4EF979DA"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50.310 - 320  EME center of activity</w:t>
            </w:r>
          </w:p>
          <w:p w14:paraId="53C48CC4"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50.320 - 380  MS center of activity</w:t>
            </w:r>
          </w:p>
        </w:tc>
      </w:tr>
      <w:tr w:rsidR="00EB242E" w:rsidRPr="00AE72CB" w14:paraId="597EA597" w14:textId="77777777" w:rsidTr="00CC515C">
        <w:tc>
          <w:tcPr>
            <w:tcW w:w="0" w:type="auto"/>
            <w:hideMark/>
          </w:tcPr>
          <w:p w14:paraId="13AB6B9C"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50.400</w:t>
            </w:r>
          </w:p>
          <w:p w14:paraId="324BF878" w14:textId="5998B059" w:rsidR="00EB242E" w:rsidRPr="00AE72CB" w:rsidRDefault="00EB242E" w:rsidP="0003367A">
            <w:pPr>
              <w:pStyle w:val="Tabletext"/>
              <w:jc w:val="center"/>
              <w:rPr>
                <w:rFonts w:asciiTheme="majorBidi" w:hAnsiTheme="majorBidi" w:cstheme="majorBidi"/>
                <w:lang w:val="en-US"/>
              </w:rPr>
            </w:pPr>
          </w:p>
          <w:p w14:paraId="2787E14C" w14:textId="51B2366D" w:rsidR="00EB242E" w:rsidRPr="00AE72CB" w:rsidRDefault="00EB242E" w:rsidP="0003367A">
            <w:pPr>
              <w:pStyle w:val="Tabletext"/>
              <w:jc w:val="center"/>
              <w:rPr>
                <w:rFonts w:asciiTheme="majorBidi" w:hAnsiTheme="majorBidi" w:cstheme="majorBidi"/>
                <w:lang w:val="en-US"/>
              </w:rPr>
            </w:pPr>
          </w:p>
          <w:p w14:paraId="22DAE1F3"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50.500</w:t>
            </w:r>
          </w:p>
        </w:tc>
        <w:tc>
          <w:tcPr>
            <w:tcW w:w="0" w:type="auto"/>
            <w:hideMark/>
          </w:tcPr>
          <w:p w14:paraId="421AE9BD" w14:textId="3CDEC33F" w:rsidR="00EB242E" w:rsidRPr="00AE72CB" w:rsidRDefault="00EB242E" w:rsidP="0003367A">
            <w:pPr>
              <w:pStyle w:val="Tabletext"/>
              <w:jc w:val="center"/>
              <w:rPr>
                <w:rFonts w:asciiTheme="majorBidi" w:hAnsiTheme="majorBidi" w:cstheme="majorBidi"/>
                <w:lang w:val="en-US"/>
              </w:rPr>
            </w:pPr>
          </w:p>
          <w:p w14:paraId="1D85D5EC" w14:textId="48F524F3" w:rsidR="00EB242E" w:rsidRPr="00AE72CB" w:rsidRDefault="00EB242E" w:rsidP="0003367A">
            <w:pPr>
              <w:pStyle w:val="Tabletext"/>
              <w:jc w:val="center"/>
              <w:rPr>
                <w:rFonts w:asciiTheme="majorBidi" w:hAnsiTheme="majorBidi" w:cstheme="majorBidi"/>
                <w:lang w:val="en-US"/>
              </w:rPr>
            </w:pPr>
          </w:p>
          <w:p w14:paraId="326C858B"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1 000 Hz</w:t>
            </w:r>
          </w:p>
        </w:tc>
        <w:tc>
          <w:tcPr>
            <w:tcW w:w="0" w:type="auto"/>
            <w:hideMark/>
          </w:tcPr>
          <w:p w14:paraId="084BF1ED" w14:textId="78D18242" w:rsidR="00EB242E" w:rsidRPr="00AE72CB" w:rsidRDefault="00EB242E" w:rsidP="0003367A">
            <w:pPr>
              <w:pStyle w:val="Tabletext"/>
              <w:jc w:val="center"/>
              <w:rPr>
                <w:rFonts w:asciiTheme="majorBidi" w:hAnsiTheme="majorBidi" w:cstheme="majorBidi"/>
                <w:lang w:val="en-US"/>
              </w:rPr>
            </w:pPr>
          </w:p>
          <w:p w14:paraId="648CCF10" w14:textId="187F1DBB" w:rsidR="00EB242E" w:rsidRPr="00AE72CB" w:rsidRDefault="00EB242E" w:rsidP="0003367A">
            <w:pPr>
              <w:pStyle w:val="Tabletext"/>
              <w:jc w:val="center"/>
              <w:rPr>
                <w:rFonts w:asciiTheme="majorBidi" w:hAnsiTheme="majorBidi" w:cstheme="majorBidi"/>
                <w:lang w:val="en-US"/>
              </w:rPr>
            </w:pPr>
          </w:p>
          <w:p w14:paraId="08F07AF9"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MGM</w:t>
            </w:r>
          </w:p>
          <w:p w14:paraId="0CAA53FD" w14:textId="5FA45D3B"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Telegraphy</w:t>
            </w:r>
          </w:p>
          <w:p w14:paraId="7D64C6DB" w14:textId="3F999985" w:rsidR="00EB242E" w:rsidRPr="00AE72CB" w:rsidRDefault="00EB242E" w:rsidP="0003367A">
            <w:pPr>
              <w:pStyle w:val="Tabletext"/>
              <w:jc w:val="center"/>
              <w:rPr>
                <w:rFonts w:asciiTheme="majorBidi" w:hAnsiTheme="majorBidi" w:cstheme="majorBidi"/>
                <w:lang w:val="en-US"/>
              </w:rPr>
            </w:pPr>
          </w:p>
        </w:tc>
        <w:tc>
          <w:tcPr>
            <w:tcW w:w="4078" w:type="dxa"/>
            <w:hideMark/>
          </w:tcPr>
          <w:p w14:paraId="1E2DB75F" w14:textId="77777777" w:rsidR="00EB242E" w:rsidRPr="00AE72CB" w:rsidRDefault="00EB242E" w:rsidP="00CC515C">
            <w:pPr>
              <w:pStyle w:val="Tabletext"/>
              <w:rPr>
                <w:rFonts w:asciiTheme="majorBidi" w:hAnsiTheme="majorBidi" w:cstheme="majorBidi"/>
                <w:lang w:val="fr-FR"/>
              </w:rPr>
            </w:pPr>
            <w:r w:rsidRPr="00AE72CB">
              <w:rPr>
                <w:rFonts w:asciiTheme="majorBidi" w:hAnsiTheme="majorBidi" w:cstheme="majorBidi"/>
                <w:lang w:val="fr-FR"/>
              </w:rPr>
              <w:t> </w:t>
            </w:r>
          </w:p>
          <w:p w14:paraId="5AE07C12" w14:textId="77777777" w:rsidR="00EB242E" w:rsidRPr="00AE72CB" w:rsidRDefault="00EB242E" w:rsidP="00CC515C">
            <w:pPr>
              <w:pStyle w:val="Tabletext"/>
              <w:rPr>
                <w:rFonts w:asciiTheme="majorBidi" w:hAnsiTheme="majorBidi" w:cstheme="majorBidi"/>
                <w:lang w:val="fr-FR"/>
              </w:rPr>
            </w:pPr>
            <w:r w:rsidRPr="00AE72CB">
              <w:rPr>
                <w:rFonts w:asciiTheme="majorBidi" w:hAnsiTheme="majorBidi" w:cstheme="majorBidi"/>
                <w:lang w:val="fr-FR"/>
              </w:rPr>
              <w:t>BEACONS EXCLUSIVE</w:t>
            </w:r>
          </w:p>
          <w:p w14:paraId="7104A018" w14:textId="77777777" w:rsidR="00EB242E" w:rsidRPr="00AE72CB" w:rsidRDefault="00EB242E" w:rsidP="00CC515C">
            <w:pPr>
              <w:pStyle w:val="Tabletext"/>
              <w:rPr>
                <w:rFonts w:asciiTheme="majorBidi" w:hAnsiTheme="majorBidi" w:cstheme="majorBidi"/>
                <w:lang w:val="fr-FR"/>
              </w:rPr>
            </w:pPr>
            <w:r w:rsidRPr="00AE72CB">
              <w:rPr>
                <w:rFonts w:asciiTheme="majorBidi" w:hAnsiTheme="majorBidi" w:cstheme="majorBidi"/>
                <w:lang w:val="fr-FR"/>
              </w:rPr>
              <w:t>50.401 MHz +/- 500Hz WSPR Beacons</w:t>
            </w:r>
          </w:p>
        </w:tc>
      </w:tr>
      <w:tr w:rsidR="00EB242E" w:rsidRPr="00AE72CB" w14:paraId="501F616B" w14:textId="77777777" w:rsidTr="00CC515C">
        <w:tc>
          <w:tcPr>
            <w:tcW w:w="0" w:type="auto"/>
            <w:hideMark/>
          </w:tcPr>
          <w:p w14:paraId="6AA368D8"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50.500</w:t>
            </w:r>
          </w:p>
          <w:p w14:paraId="19FA2241" w14:textId="7F9748AD" w:rsidR="00EB242E" w:rsidRPr="00AE72CB" w:rsidRDefault="00EB242E" w:rsidP="0003367A">
            <w:pPr>
              <w:pStyle w:val="Tabletext"/>
              <w:jc w:val="center"/>
              <w:rPr>
                <w:rFonts w:asciiTheme="majorBidi" w:hAnsiTheme="majorBidi" w:cstheme="majorBidi"/>
                <w:lang w:val="en-US"/>
              </w:rPr>
            </w:pPr>
          </w:p>
          <w:p w14:paraId="2C00CDCA" w14:textId="69CC2336" w:rsidR="00EB242E" w:rsidRPr="00AE72CB" w:rsidRDefault="00EB242E" w:rsidP="0003367A">
            <w:pPr>
              <w:pStyle w:val="Tabletext"/>
              <w:jc w:val="center"/>
              <w:rPr>
                <w:rFonts w:asciiTheme="majorBidi" w:hAnsiTheme="majorBidi" w:cstheme="majorBidi"/>
                <w:lang w:val="en-US"/>
              </w:rPr>
            </w:pPr>
          </w:p>
          <w:p w14:paraId="35E37E5F" w14:textId="576FACF3" w:rsidR="00EB242E" w:rsidRPr="00AE72CB" w:rsidRDefault="00EB242E" w:rsidP="0003367A">
            <w:pPr>
              <w:pStyle w:val="Tabletext"/>
              <w:jc w:val="center"/>
              <w:rPr>
                <w:rFonts w:asciiTheme="majorBidi" w:hAnsiTheme="majorBidi" w:cstheme="majorBidi"/>
                <w:lang w:val="en-US"/>
              </w:rPr>
            </w:pPr>
          </w:p>
          <w:p w14:paraId="7373E0FE" w14:textId="724ADA6A" w:rsidR="00EB242E" w:rsidRPr="00AE72CB" w:rsidRDefault="00EB242E" w:rsidP="0003367A">
            <w:pPr>
              <w:pStyle w:val="Tabletext"/>
              <w:jc w:val="center"/>
              <w:rPr>
                <w:rFonts w:asciiTheme="majorBidi" w:hAnsiTheme="majorBidi" w:cstheme="majorBidi"/>
                <w:lang w:val="en-US"/>
              </w:rPr>
            </w:pPr>
          </w:p>
          <w:p w14:paraId="3F8B7259" w14:textId="3CAA032D" w:rsidR="00EB242E" w:rsidRPr="00AE72CB" w:rsidRDefault="00EB242E" w:rsidP="0003367A">
            <w:pPr>
              <w:pStyle w:val="Tabletext"/>
              <w:jc w:val="center"/>
              <w:rPr>
                <w:rFonts w:asciiTheme="majorBidi" w:hAnsiTheme="majorBidi" w:cstheme="majorBidi"/>
                <w:lang w:val="en-US"/>
              </w:rPr>
            </w:pPr>
          </w:p>
          <w:p w14:paraId="63AEA6C2" w14:textId="6148BA20" w:rsidR="00EB242E" w:rsidRPr="00AE72CB" w:rsidRDefault="00EB242E" w:rsidP="0003367A">
            <w:pPr>
              <w:pStyle w:val="Tabletext"/>
              <w:jc w:val="center"/>
              <w:rPr>
                <w:rFonts w:asciiTheme="majorBidi" w:hAnsiTheme="majorBidi" w:cstheme="majorBidi"/>
                <w:lang w:val="en-US"/>
              </w:rPr>
            </w:pPr>
          </w:p>
          <w:p w14:paraId="3E4045EE" w14:textId="3E19433A" w:rsidR="00EB242E" w:rsidRPr="00AE72CB" w:rsidRDefault="00EB242E" w:rsidP="0003367A">
            <w:pPr>
              <w:pStyle w:val="Tabletext"/>
              <w:jc w:val="center"/>
              <w:rPr>
                <w:rFonts w:asciiTheme="majorBidi" w:hAnsiTheme="majorBidi" w:cstheme="majorBidi"/>
                <w:lang w:val="en-US"/>
              </w:rPr>
            </w:pPr>
          </w:p>
          <w:p w14:paraId="42C7930D"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52.000</w:t>
            </w:r>
          </w:p>
        </w:tc>
        <w:tc>
          <w:tcPr>
            <w:tcW w:w="0" w:type="auto"/>
            <w:hideMark/>
          </w:tcPr>
          <w:p w14:paraId="7D614085" w14:textId="6A34ED99" w:rsidR="00EB242E" w:rsidRPr="00AE72CB" w:rsidRDefault="00EB242E" w:rsidP="0003367A">
            <w:pPr>
              <w:pStyle w:val="Tabletext"/>
              <w:jc w:val="center"/>
              <w:rPr>
                <w:rFonts w:asciiTheme="majorBidi" w:hAnsiTheme="majorBidi" w:cstheme="majorBidi"/>
                <w:lang w:val="en-US"/>
              </w:rPr>
            </w:pPr>
          </w:p>
          <w:p w14:paraId="16F5369D" w14:textId="0B8BE525" w:rsidR="00EB242E" w:rsidRPr="00AE72CB" w:rsidRDefault="00EB242E" w:rsidP="0003367A">
            <w:pPr>
              <w:pStyle w:val="Tabletext"/>
              <w:jc w:val="center"/>
              <w:rPr>
                <w:rFonts w:asciiTheme="majorBidi" w:hAnsiTheme="majorBidi" w:cstheme="majorBidi"/>
                <w:lang w:val="en-US"/>
              </w:rPr>
            </w:pPr>
          </w:p>
          <w:p w14:paraId="583CE818" w14:textId="10E278C3" w:rsidR="00EB242E" w:rsidRPr="00AE72CB" w:rsidRDefault="00EB242E" w:rsidP="0003367A">
            <w:pPr>
              <w:pStyle w:val="Tabletext"/>
              <w:jc w:val="center"/>
              <w:rPr>
                <w:rFonts w:asciiTheme="majorBidi" w:hAnsiTheme="majorBidi" w:cstheme="majorBidi"/>
                <w:lang w:val="en-US"/>
              </w:rPr>
            </w:pPr>
          </w:p>
          <w:p w14:paraId="33A0D05D" w14:textId="5B3F8CC8" w:rsidR="00EB242E" w:rsidRPr="00AE72CB" w:rsidRDefault="00EB242E" w:rsidP="0003367A">
            <w:pPr>
              <w:pStyle w:val="Tabletext"/>
              <w:jc w:val="center"/>
              <w:rPr>
                <w:rFonts w:asciiTheme="majorBidi" w:hAnsiTheme="majorBidi" w:cstheme="majorBidi"/>
                <w:lang w:val="en-US"/>
              </w:rPr>
            </w:pPr>
          </w:p>
          <w:p w14:paraId="3B664BFD"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12 kHz</w:t>
            </w:r>
          </w:p>
        </w:tc>
        <w:tc>
          <w:tcPr>
            <w:tcW w:w="0" w:type="auto"/>
            <w:hideMark/>
          </w:tcPr>
          <w:p w14:paraId="5E7DF855" w14:textId="02A34B2D" w:rsidR="00EB242E" w:rsidRPr="00AE72CB" w:rsidRDefault="00EB242E" w:rsidP="0003367A">
            <w:pPr>
              <w:pStyle w:val="Tabletext"/>
              <w:jc w:val="center"/>
              <w:rPr>
                <w:rFonts w:asciiTheme="majorBidi" w:hAnsiTheme="majorBidi" w:cstheme="majorBidi"/>
                <w:lang w:val="en-US"/>
              </w:rPr>
            </w:pPr>
          </w:p>
          <w:p w14:paraId="21ACC366" w14:textId="4D87B83E" w:rsidR="00EB242E" w:rsidRPr="00AE72CB" w:rsidRDefault="00EB242E" w:rsidP="0003367A">
            <w:pPr>
              <w:pStyle w:val="Tabletext"/>
              <w:jc w:val="center"/>
              <w:rPr>
                <w:rFonts w:asciiTheme="majorBidi" w:hAnsiTheme="majorBidi" w:cstheme="majorBidi"/>
                <w:lang w:val="en-US"/>
              </w:rPr>
            </w:pPr>
          </w:p>
          <w:p w14:paraId="7BD0F6D1" w14:textId="6AB3F385" w:rsidR="00EB242E" w:rsidRPr="00AE72CB" w:rsidRDefault="00EB242E" w:rsidP="0003367A">
            <w:pPr>
              <w:pStyle w:val="Tabletext"/>
              <w:jc w:val="center"/>
              <w:rPr>
                <w:rFonts w:asciiTheme="majorBidi" w:hAnsiTheme="majorBidi" w:cstheme="majorBidi"/>
                <w:lang w:val="en-US"/>
              </w:rPr>
            </w:pPr>
          </w:p>
          <w:p w14:paraId="1A99BD2B" w14:textId="149233B9" w:rsidR="00EB242E" w:rsidRPr="00AE72CB" w:rsidRDefault="00EB242E" w:rsidP="0003367A">
            <w:pPr>
              <w:pStyle w:val="Tabletext"/>
              <w:jc w:val="center"/>
              <w:rPr>
                <w:rFonts w:asciiTheme="majorBidi" w:hAnsiTheme="majorBidi" w:cstheme="majorBidi"/>
                <w:lang w:val="en-US"/>
              </w:rPr>
            </w:pPr>
          </w:p>
          <w:p w14:paraId="16FADD3C" w14:textId="77777777" w:rsidR="00EB242E" w:rsidRPr="00AE72CB" w:rsidRDefault="00EB242E" w:rsidP="0003367A">
            <w:pPr>
              <w:pStyle w:val="Tabletext"/>
              <w:jc w:val="center"/>
              <w:rPr>
                <w:rFonts w:asciiTheme="majorBidi" w:hAnsiTheme="majorBidi" w:cstheme="majorBidi"/>
                <w:lang w:val="en-US"/>
              </w:rPr>
            </w:pPr>
            <w:r w:rsidRPr="00AE72CB">
              <w:rPr>
                <w:rStyle w:val="Strong"/>
                <w:rFonts w:asciiTheme="majorBidi" w:hAnsiTheme="majorBidi" w:cstheme="majorBidi"/>
                <w:lang w:val="en-US"/>
              </w:rPr>
              <w:t>all mode</w:t>
            </w:r>
          </w:p>
        </w:tc>
        <w:tc>
          <w:tcPr>
            <w:tcW w:w="4078" w:type="dxa"/>
            <w:hideMark/>
          </w:tcPr>
          <w:p w14:paraId="31060CA2" w14:textId="77777777" w:rsidR="00EB242E" w:rsidRPr="00AE72CB" w:rsidRDefault="00EB242E" w:rsidP="00CC515C">
            <w:pPr>
              <w:pStyle w:val="Tabletext"/>
              <w:rPr>
                <w:rFonts w:asciiTheme="majorBidi" w:hAnsiTheme="majorBidi" w:cstheme="majorBidi"/>
                <w:lang w:val="en-US"/>
              </w:rPr>
            </w:pPr>
            <w:r w:rsidRPr="00AE72CB">
              <w:rPr>
                <w:rFonts w:asciiTheme="majorBidi" w:hAnsiTheme="majorBidi" w:cstheme="majorBidi"/>
                <w:lang w:val="en-US"/>
              </w:rPr>
              <w:t xml:space="preserve">50.510    SSTV </w:t>
            </w:r>
            <w:r w:rsidRPr="00AE72CB">
              <w:rPr>
                <w:rFonts w:asciiTheme="majorBidi" w:hAnsiTheme="majorBidi" w:cstheme="majorBidi"/>
                <w:lang w:val="en-US"/>
              </w:rPr>
              <w:br/>
            </w:r>
            <w:r w:rsidRPr="00AE72CB">
              <w:rPr>
                <w:rFonts w:asciiTheme="majorBidi" w:hAnsiTheme="majorBidi" w:cstheme="majorBidi"/>
                <w:lang w:val="en-US"/>
              </w:rPr>
              <w:br/>
              <w:t>50.520 - 540  Fimplex FM Internet Voice Gatewas</w:t>
            </w:r>
            <w:r w:rsidRPr="00AE72CB">
              <w:rPr>
                <w:rFonts w:asciiTheme="majorBidi" w:hAnsiTheme="majorBidi" w:cstheme="majorBidi"/>
                <w:lang w:val="en-US"/>
              </w:rPr>
              <w:br/>
            </w:r>
            <w:r w:rsidRPr="00AE72CB">
              <w:rPr>
                <w:rFonts w:asciiTheme="majorBidi" w:hAnsiTheme="majorBidi" w:cstheme="majorBidi"/>
                <w:lang w:val="en-US"/>
              </w:rPr>
              <w:br/>
              <w:t>50.550   Image working frequency</w:t>
            </w:r>
            <w:r w:rsidRPr="00AE72CB">
              <w:rPr>
                <w:rFonts w:asciiTheme="majorBidi" w:hAnsiTheme="majorBidi" w:cstheme="majorBidi"/>
                <w:lang w:val="en-US"/>
              </w:rPr>
              <w:br/>
            </w:r>
            <w:r w:rsidRPr="00AE72CB">
              <w:rPr>
                <w:rFonts w:asciiTheme="majorBidi" w:hAnsiTheme="majorBidi" w:cstheme="majorBidi"/>
                <w:lang w:val="en-US"/>
              </w:rPr>
              <w:br/>
              <w:t>50.600   RTTY (FSK)</w:t>
            </w:r>
            <w:r w:rsidRPr="00AE72CB">
              <w:rPr>
                <w:rFonts w:asciiTheme="majorBidi" w:hAnsiTheme="majorBidi" w:cstheme="majorBidi"/>
                <w:lang w:val="en-US"/>
              </w:rPr>
              <w:br/>
            </w:r>
            <w:r w:rsidRPr="00AE72CB">
              <w:rPr>
                <w:rFonts w:asciiTheme="majorBidi" w:hAnsiTheme="majorBidi" w:cstheme="majorBidi"/>
                <w:lang w:val="en-US"/>
              </w:rPr>
              <w:br/>
              <w:t>50.620 - 750   Digital communications</w:t>
            </w:r>
            <w:r w:rsidRPr="00AE72CB">
              <w:rPr>
                <w:rFonts w:asciiTheme="majorBidi" w:hAnsiTheme="majorBidi" w:cstheme="majorBidi"/>
                <w:lang w:val="en-US"/>
              </w:rPr>
              <w:br/>
            </w:r>
            <w:r w:rsidRPr="00AE72CB">
              <w:rPr>
                <w:rFonts w:asciiTheme="majorBidi" w:hAnsiTheme="majorBidi" w:cstheme="majorBidi"/>
                <w:lang w:val="en-US"/>
              </w:rPr>
              <w:br/>
              <w:t>50.630    Digital Voice (DV) calling</w:t>
            </w:r>
            <w:r w:rsidRPr="00AE72CB">
              <w:rPr>
                <w:rFonts w:asciiTheme="majorBidi" w:hAnsiTheme="majorBidi" w:cstheme="majorBidi"/>
                <w:lang w:val="en-US"/>
              </w:rPr>
              <w:br/>
            </w:r>
            <w:r w:rsidRPr="00AE72CB">
              <w:rPr>
                <w:rFonts w:asciiTheme="majorBidi" w:hAnsiTheme="majorBidi" w:cstheme="majorBidi"/>
                <w:lang w:val="en-US"/>
              </w:rPr>
              <w:br/>
              <w:t>51.210 - 390  FM/DV Repeater Inputs</w:t>
            </w:r>
            <w:r w:rsidRPr="00AE72CB">
              <w:rPr>
                <w:rFonts w:asciiTheme="majorBidi" w:hAnsiTheme="majorBidi" w:cstheme="majorBidi"/>
                <w:lang w:val="en-US"/>
              </w:rPr>
              <w:br/>
            </w:r>
            <w:r w:rsidRPr="00AE72CB">
              <w:rPr>
                <w:rFonts w:asciiTheme="majorBidi" w:hAnsiTheme="majorBidi" w:cstheme="majorBidi"/>
                <w:lang w:val="en-US"/>
              </w:rPr>
              <w:br/>
              <w:t>51.410 - 590  FM/DV Simplex</w:t>
            </w:r>
            <w:r w:rsidRPr="00AE72CB">
              <w:rPr>
                <w:rFonts w:asciiTheme="majorBidi" w:hAnsiTheme="majorBidi" w:cstheme="majorBidi"/>
                <w:lang w:val="en-US"/>
              </w:rPr>
              <w:br/>
            </w:r>
            <w:r w:rsidRPr="00AE72CB">
              <w:rPr>
                <w:rFonts w:asciiTheme="majorBidi" w:hAnsiTheme="majorBidi" w:cstheme="majorBidi"/>
                <w:lang w:val="en-US"/>
              </w:rPr>
              <w:br/>
              <w:t>51.510    FM calling frequency</w:t>
            </w:r>
            <w:r w:rsidRPr="00AE72CB">
              <w:rPr>
                <w:rFonts w:asciiTheme="majorBidi" w:hAnsiTheme="majorBidi" w:cstheme="majorBidi"/>
                <w:lang w:val="en-US"/>
              </w:rPr>
              <w:br/>
            </w:r>
            <w:r w:rsidRPr="00AE72CB">
              <w:rPr>
                <w:rFonts w:asciiTheme="majorBidi" w:hAnsiTheme="majorBidi" w:cstheme="majorBidi"/>
                <w:lang w:val="en-US"/>
              </w:rPr>
              <w:br/>
              <w:t>51.810 - 51.990  FM repeaters output channels</w:t>
            </w:r>
          </w:p>
        </w:tc>
      </w:tr>
    </w:tbl>
    <w:p w14:paraId="63339981" w14:textId="77777777" w:rsidR="00853C9F" w:rsidRDefault="00853C9F" w:rsidP="00853C9F">
      <w:pPr>
        <w:pStyle w:val="Tablefin"/>
        <w:rPr>
          <w:shd w:val="clear" w:color="auto" w:fill="FFFFFF"/>
          <w:lang w:val="en-US"/>
        </w:rPr>
      </w:pPr>
    </w:p>
    <w:p w14:paraId="5EE9130C" w14:textId="74E81BFB" w:rsidR="00EB242E" w:rsidRPr="00853C9F" w:rsidRDefault="00EB242E" w:rsidP="00AE72CB">
      <w:pPr>
        <w:rPr>
          <w:lang w:val="en-US" w:eastAsia="zh-CN"/>
        </w:rPr>
      </w:pPr>
      <w:r w:rsidRPr="00853C9F">
        <w:rPr>
          <w:szCs w:val="24"/>
          <w:shd w:val="clear" w:color="auto" w:fill="FFFFFF"/>
          <w:lang w:val="en-US"/>
        </w:rPr>
        <w:t>In many countries in the African part of Region 1 (see footnotes accompanying the ITU frequency allocation table) the 50</w:t>
      </w:r>
      <w:r w:rsidR="00AE72CB">
        <w:rPr>
          <w:szCs w:val="24"/>
          <w:shd w:val="clear" w:color="auto" w:fill="FFFFFF"/>
          <w:lang w:val="en-US"/>
        </w:rPr>
        <w:t>-</w:t>
      </w:r>
      <w:r w:rsidRPr="00853C9F">
        <w:rPr>
          <w:szCs w:val="24"/>
          <w:shd w:val="clear" w:color="auto" w:fill="FFFFFF"/>
          <w:lang w:val="en-US"/>
        </w:rPr>
        <w:t>54 MHz band is allocated to the Amateur Service on a primary basis.</w:t>
      </w:r>
    </w:p>
    <w:p w14:paraId="2E8C90A6" w14:textId="646589C3" w:rsidR="00EB242E" w:rsidRPr="00853C9F" w:rsidRDefault="00EB242E" w:rsidP="001549CF">
      <w:pPr>
        <w:pStyle w:val="Heading1"/>
        <w:rPr>
          <w:lang w:val="en-US"/>
        </w:rPr>
      </w:pPr>
      <w:bookmarkStart w:id="15" w:name="_Toc449638999"/>
      <w:bookmarkStart w:id="16" w:name="_Toc451373075"/>
      <w:bookmarkStart w:id="17" w:name="_Toc451353754"/>
      <w:r w:rsidRPr="00853C9F">
        <w:rPr>
          <w:lang w:val="en-US"/>
        </w:rPr>
        <w:t>3</w:t>
      </w:r>
      <w:r w:rsidR="001549CF" w:rsidRPr="00853C9F">
        <w:rPr>
          <w:lang w:val="en-US"/>
        </w:rPr>
        <w:tab/>
      </w:r>
      <w:r w:rsidRPr="00853C9F">
        <w:rPr>
          <w:lang w:val="en-US"/>
        </w:rPr>
        <w:t>Spectrum needs for the amateur service in Region 1</w:t>
      </w:r>
      <w:bookmarkEnd w:id="15"/>
      <w:bookmarkEnd w:id="16"/>
      <w:bookmarkEnd w:id="17"/>
    </w:p>
    <w:p w14:paraId="6195E940" w14:textId="47DA2DD7" w:rsidR="00EB242E" w:rsidRPr="00853C9F" w:rsidRDefault="00EB242E" w:rsidP="00EB242E">
      <w:pPr>
        <w:rPr>
          <w:lang w:val="en-US" w:eastAsia="zh-CN"/>
        </w:rPr>
      </w:pPr>
      <w:r w:rsidRPr="00853C9F">
        <w:rPr>
          <w:lang w:val="en-US" w:eastAsia="zh-CN"/>
        </w:rPr>
        <w:t xml:space="preserve">In Regions 2 and 3, and in some countries in Region 1, there </w:t>
      </w:r>
      <w:r w:rsidR="00AE72CB">
        <w:rPr>
          <w:lang w:val="en-US" w:eastAsia="zh-CN"/>
        </w:rPr>
        <w:t>is an allocation of 4 MHz (from </w:t>
      </w:r>
      <w:r w:rsidRPr="00853C9F">
        <w:rPr>
          <w:lang w:val="en-US" w:eastAsia="zh-CN"/>
        </w:rPr>
        <w:t>50</w:t>
      </w:r>
      <w:r w:rsidRPr="00853C9F">
        <w:rPr>
          <w:lang w:val="en-US" w:eastAsia="zh-CN"/>
        </w:rPr>
        <w:noBreakHyphen/>
        <w:t xml:space="preserve">54 MHz) to the amateur service. </w:t>
      </w:r>
    </w:p>
    <w:p w14:paraId="69FB3EEC" w14:textId="77777777" w:rsidR="00EB242E" w:rsidRPr="00853C9F" w:rsidRDefault="00EB242E" w:rsidP="00EB242E">
      <w:pPr>
        <w:rPr>
          <w:iCs/>
          <w:lang w:val="en-US" w:eastAsia="ru-RU"/>
        </w:rPr>
      </w:pPr>
      <w:r w:rsidRPr="00853C9F">
        <w:rPr>
          <w:rFonts w:eastAsia="Calibri"/>
          <w:lang w:val="en-US"/>
        </w:rPr>
        <w:t xml:space="preserve">In accordance with Article </w:t>
      </w:r>
      <w:r w:rsidRPr="00853C9F">
        <w:rPr>
          <w:rFonts w:eastAsia="Calibri"/>
          <w:b/>
          <w:bCs/>
          <w:lang w:val="en-US"/>
        </w:rPr>
        <w:t>5</w:t>
      </w:r>
      <w:r w:rsidRPr="00853C9F">
        <w:rPr>
          <w:rFonts w:eastAsia="Calibri"/>
          <w:lang w:val="en-US"/>
        </w:rPr>
        <w:t xml:space="preserve"> of the Radio regulations, in Region 1 </w:t>
      </w:r>
      <w:r w:rsidRPr="00853C9F">
        <w:rPr>
          <w:lang w:val="en-US" w:eastAsia="zh-CN"/>
        </w:rPr>
        <w:t xml:space="preserve">the </w:t>
      </w:r>
      <w:r w:rsidRPr="00853C9F">
        <w:rPr>
          <w:lang w:val="en-US"/>
        </w:rPr>
        <w:t xml:space="preserve">frequency band 50-54 MHz </w:t>
      </w:r>
      <w:r w:rsidRPr="00853C9F">
        <w:rPr>
          <w:rFonts w:eastAsia="Calibri"/>
          <w:lang w:val="en-US"/>
        </w:rPr>
        <w:t>is allocated to the broadcasting service, however there are some Additional and Alternative allocations:</w:t>
      </w:r>
      <w:r w:rsidRPr="00853C9F">
        <w:rPr>
          <w:iCs/>
          <w:lang w:val="en-US" w:eastAsia="ru-RU"/>
        </w:rPr>
        <w:t xml:space="preserve"> </w:t>
      </w:r>
    </w:p>
    <w:p w14:paraId="66A9CD4E" w14:textId="63DBEBBE" w:rsidR="00EB242E" w:rsidRPr="00853C9F" w:rsidRDefault="00EB242E" w:rsidP="00853C9F">
      <w:pPr>
        <w:rPr>
          <w:lang w:val="en-US"/>
        </w:rPr>
      </w:pPr>
      <w:r w:rsidRPr="00853C9F">
        <w:rPr>
          <w:rStyle w:val="Artdef"/>
          <w:lang w:val="en-US"/>
        </w:rPr>
        <w:t>5.164</w:t>
      </w:r>
      <w:r w:rsidRPr="00853C9F">
        <w:rPr>
          <w:b/>
          <w:lang w:val="en-US"/>
        </w:rPr>
        <w:tab/>
      </w:r>
      <w:r w:rsidRPr="00853C9F">
        <w:rPr>
          <w:i/>
          <w:iCs/>
          <w:lang w:val="en-US"/>
        </w:rPr>
        <w:t>Additional allocation:</w:t>
      </w:r>
      <w:r w:rsidRPr="00853C9F">
        <w:rPr>
          <w:lang w:val="en-US"/>
        </w:rPr>
        <w:t>  in Albania, Algeria, Germany, Austria, Belgium, Bosnia and Herzegovina, Botswana, Bulgaria, Côte d'Ivoire, Denmark, Spain, Estonia, Finland, France, Gabon, Greece, Ireland, Israel, Italy, Jordan, Lebanon, Libya, Liechtenstein, Lithuania, Luxembourg, Madagascar, Mali, Malta, Morocco, Mauritania, Monaco, Montenegro, Nigeria, Norway, the Netherlands, Poland, Syrian Arab Republic, Slovakia, Czech Rep., Romania, the United Kingdom, Serbia, Slovenia, Sweden, Switzerland, Swaziland, Chad, Togo, Tunisia and Turkey, the band 47</w:t>
      </w:r>
      <w:r w:rsidRPr="00853C9F">
        <w:rPr>
          <w:lang w:val="en-US"/>
        </w:rPr>
        <w:noBreakHyphen/>
        <w:t>68 MHz, in South Africa the band 47-50 MHz, and in Latvia the band 48.5-56.5 MHz, are also allocated to the land mobile service on a primary basis. However, stations of the land mobile service in the countries mentioned in connection with each band referred to in this footnote shall not cause harmful interference to, or claim protection from, existing or planned broadcasting stations of countries other than those mentioned in connection with the band.</w:t>
      </w:r>
      <w:r w:rsidR="00853C9F" w:rsidRPr="00853C9F">
        <w:rPr>
          <w:sz w:val="16"/>
          <w:szCs w:val="16"/>
          <w:lang w:val="en-US"/>
        </w:rPr>
        <w:t>     </w:t>
      </w:r>
      <w:r w:rsidRPr="00853C9F">
        <w:rPr>
          <w:sz w:val="16"/>
          <w:szCs w:val="16"/>
          <w:lang w:val="en-US"/>
        </w:rPr>
        <w:t>(WRC</w:t>
      </w:r>
      <w:r w:rsidRPr="00853C9F">
        <w:rPr>
          <w:sz w:val="16"/>
          <w:szCs w:val="16"/>
          <w:lang w:val="en-US"/>
        </w:rPr>
        <w:noBreakHyphen/>
        <w:t>12)</w:t>
      </w:r>
    </w:p>
    <w:p w14:paraId="1B3626EB" w14:textId="6FEB1759" w:rsidR="00EB242E" w:rsidRPr="00853C9F" w:rsidRDefault="00EB242E" w:rsidP="00EB242E">
      <w:pPr>
        <w:rPr>
          <w:lang w:val="en-US"/>
        </w:rPr>
      </w:pPr>
      <w:r w:rsidRPr="00853C9F">
        <w:rPr>
          <w:rStyle w:val="Artdef"/>
          <w:lang w:val="en-US"/>
        </w:rPr>
        <w:t>5.165</w:t>
      </w:r>
      <w:r w:rsidRPr="00853C9F">
        <w:rPr>
          <w:rStyle w:val="Artdef"/>
          <w:sz w:val="28"/>
          <w:szCs w:val="28"/>
          <w:lang w:val="en-US"/>
        </w:rPr>
        <w:tab/>
      </w:r>
      <w:r w:rsidRPr="00853C9F">
        <w:rPr>
          <w:i/>
          <w:lang w:val="en-US"/>
        </w:rPr>
        <w:t>Additional allocation:  </w:t>
      </w:r>
      <w:r w:rsidRPr="00853C9F">
        <w:rPr>
          <w:lang w:val="en-US"/>
        </w:rPr>
        <w:t>in Angola, Cameroon, Congo (Rep. of the), Madagascar, Mozambique, Niger, Somalia, Sudan, South Sudan, Tanzania and Chad, the band 47-68 MHz is also allocated to the fixed and mobile, except aeronautical mobile, services on a primary basis. </w:t>
      </w:r>
      <w:r w:rsidR="00853C9F" w:rsidRPr="00853C9F">
        <w:rPr>
          <w:sz w:val="16"/>
          <w:szCs w:val="16"/>
          <w:lang w:val="en-US"/>
        </w:rPr>
        <w:t xml:space="preserve">      </w:t>
      </w:r>
      <w:r w:rsidRPr="00853C9F">
        <w:rPr>
          <w:sz w:val="16"/>
          <w:szCs w:val="16"/>
          <w:lang w:val="en-US"/>
        </w:rPr>
        <w:t>(WRC</w:t>
      </w:r>
      <w:r w:rsidRPr="00853C9F">
        <w:rPr>
          <w:sz w:val="16"/>
          <w:szCs w:val="16"/>
          <w:lang w:val="en-US"/>
        </w:rPr>
        <w:noBreakHyphen/>
        <w:t>12)</w:t>
      </w:r>
    </w:p>
    <w:p w14:paraId="077FC956" w14:textId="77777777" w:rsidR="00EB242E" w:rsidRPr="00853C9F" w:rsidRDefault="00EB242E" w:rsidP="00AE72CB">
      <w:pPr>
        <w:rPr>
          <w:lang w:val="en-US"/>
        </w:rPr>
      </w:pPr>
      <w:r w:rsidRPr="00853C9F">
        <w:rPr>
          <w:lang w:val="en-US"/>
        </w:rPr>
        <w:t>In addition, in some European countries, the frequency band 50-54 MHz is allocated to the radiolocation service on a secondary basis, and the use of the band is restricted to wind profilers.</w:t>
      </w:r>
    </w:p>
    <w:p w14:paraId="6FFEE432" w14:textId="77777777" w:rsidR="00EB242E" w:rsidRPr="00853C9F" w:rsidRDefault="00EB242E" w:rsidP="00AE72CB">
      <w:pPr>
        <w:rPr>
          <w:lang w:val="en-US" w:eastAsia="zh-CN"/>
        </w:rPr>
      </w:pPr>
      <w:r w:rsidRPr="00853C9F">
        <w:rPr>
          <w:lang w:val="en-US" w:eastAsia="zh-CN"/>
        </w:rPr>
        <w:t xml:space="preserve">A number of African countries have alternatively allocated 50–54 MHz to the amateur service on a primary basis by No. </w:t>
      </w:r>
      <w:r w:rsidRPr="00853C9F">
        <w:rPr>
          <w:b/>
          <w:lang w:val="en-US" w:eastAsia="zh-CN"/>
        </w:rPr>
        <w:t>5.169</w:t>
      </w:r>
      <w:r w:rsidRPr="00853C9F">
        <w:rPr>
          <w:lang w:val="en-US" w:eastAsia="zh-CN"/>
        </w:rPr>
        <w:t>:</w:t>
      </w:r>
    </w:p>
    <w:p w14:paraId="20854C73" w14:textId="505A8569" w:rsidR="00EB242E" w:rsidRPr="00853C9F" w:rsidRDefault="00EB242E" w:rsidP="00853C9F">
      <w:pPr>
        <w:ind w:right="549"/>
        <w:rPr>
          <w:lang w:val="en-US" w:eastAsia="zh-CN"/>
        </w:rPr>
      </w:pPr>
      <w:r w:rsidRPr="00853C9F">
        <w:rPr>
          <w:rStyle w:val="Artdef"/>
          <w:lang w:val="en-US"/>
        </w:rPr>
        <w:t>5.169</w:t>
      </w:r>
      <w:r w:rsidRPr="00853C9F">
        <w:rPr>
          <w:lang w:val="en-US" w:eastAsia="zh-CN"/>
        </w:rPr>
        <w:tab/>
        <w:t xml:space="preserve">Alternative allocation: in Botswana, Lesotho, Malawi, Namibia, the Dem. Rep. of Congo, Rwanda, South Africa, Swaziland, Zambia and Zimbabwe, the band 50-54 MHz is allocated to the amateur service on a primary basis. In Senegal, the band 50-51 MHz is allocated to the amateur service on a primary basis. </w:t>
      </w:r>
      <w:r w:rsidR="00853C9F" w:rsidRPr="00853C9F">
        <w:rPr>
          <w:lang w:val="en-US"/>
        </w:rPr>
        <w:t> </w:t>
      </w:r>
      <w:r w:rsidR="00853C9F" w:rsidRPr="00853C9F">
        <w:rPr>
          <w:sz w:val="16"/>
          <w:szCs w:val="16"/>
          <w:lang w:val="en-US"/>
        </w:rPr>
        <w:t>      (WRC</w:t>
      </w:r>
      <w:r w:rsidR="00853C9F" w:rsidRPr="00853C9F">
        <w:rPr>
          <w:sz w:val="16"/>
          <w:szCs w:val="16"/>
          <w:lang w:val="en-US"/>
        </w:rPr>
        <w:noBreakHyphen/>
        <w:t>12)</w:t>
      </w:r>
    </w:p>
    <w:p w14:paraId="34D29C0A" w14:textId="77777777" w:rsidR="00EB242E" w:rsidRPr="00853C9F" w:rsidRDefault="00EB242E" w:rsidP="00853C9F">
      <w:pPr>
        <w:rPr>
          <w:lang w:val="en-US"/>
        </w:rPr>
      </w:pPr>
      <w:r w:rsidRPr="00853C9F">
        <w:rPr>
          <w:lang w:val="en-US"/>
        </w:rPr>
        <w:t>Full or partial worldwide harmonization of the allocation to the amateur service in the frequency band 50-54 MHz would promote global efficiency and economies of scale in radio amateurs’ efforts to fulfil the purposes of the amateur service, which include self-training, technical investigation, and intercommunication for a variety of purposes, including communication needs in support of disaster relief.</w:t>
      </w:r>
    </w:p>
    <w:p w14:paraId="0EB8F152" w14:textId="77777777" w:rsidR="00EB242E" w:rsidRPr="00853C9F" w:rsidRDefault="00EB242E" w:rsidP="00EB242E">
      <w:pPr>
        <w:rPr>
          <w:lang w:val="en-US" w:eastAsia="zh-CN"/>
        </w:rPr>
      </w:pPr>
      <w:r w:rsidRPr="00853C9F">
        <w:rPr>
          <w:lang w:val="en-US" w:eastAsia="zh-CN"/>
        </w:rPr>
        <w:t xml:space="preserve">Where allocated to the amateur service, this band is used for local amateur communication on an around-the-clock basis, including point-to-point voice communications, repeater systems, and radio control of objects. Propagation is typically via groundwave, typically via line of sight or just beyond the horizon of the transmitter. While communication over longer distances is possible via tropospheric scatter, meteor scatter, auroral propagation, and sky-wave propagation (principally sporadic-E and occasional F-layer propagation at sunspot maxima), these communications are exceptional, and the field strengths of received signals are such that they cannot be detected in the presence of a strong signal in the vicinity of the receiver. </w:t>
      </w:r>
    </w:p>
    <w:p w14:paraId="1FD7BA83" w14:textId="78E3E547" w:rsidR="00EB242E" w:rsidRPr="00853C9F" w:rsidRDefault="00EB242E" w:rsidP="001549CF">
      <w:pPr>
        <w:pStyle w:val="Heading1"/>
        <w:rPr>
          <w:lang w:val="en-US"/>
        </w:rPr>
      </w:pPr>
      <w:bookmarkStart w:id="18" w:name="_Toc449638751"/>
      <w:bookmarkStart w:id="19" w:name="_Toc449639000"/>
      <w:bookmarkStart w:id="20" w:name="_Toc449638726"/>
      <w:bookmarkStart w:id="21" w:name="_Toc449638752"/>
      <w:bookmarkStart w:id="22" w:name="_Toc449639001"/>
      <w:bookmarkStart w:id="23" w:name="_Toc449639002"/>
      <w:bookmarkStart w:id="24" w:name="_Toc451373076"/>
      <w:bookmarkStart w:id="25" w:name="_Toc451353755"/>
      <w:bookmarkEnd w:id="18"/>
      <w:bookmarkEnd w:id="19"/>
      <w:bookmarkEnd w:id="20"/>
      <w:bookmarkEnd w:id="21"/>
      <w:bookmarkEnd w:id="22"/>
      <w:r w:rsidRPr="00853C9F">
        <w:rPr>
          <w:lang w:val="en-US"/>
        </w:rPr>
        <w:t>4</w:t>
      </w:r>
      <w:r w:rsidR="001549CF" w:rsidRPr="00853C9F">
        <w:rPr>
          <w:lang w:val="en-US"/>
        </w:rPr>
        <w:tab/>
      </w:r>
      <w:r w:rsidRPr="00853C9F">
        <w:rPr>
          <w:lang w:val="en-US"/>
        </w:rPr>
        <w:t>Characteristics of amateur stations for sharing studies</w:t>
      </w:r>
      <w:bookmarkEnd w:id="23"/>
      <w:bookmarkEnd w:id="24"/>
      <w:bookmarkEnd w:id="25"/>
    </w:p>
    <w:p w14:paraId="321AEB0A" w14:textId="30DE6D72" w:rsidR="00EB242E" w:rsidRPr="00853C9F" w:rsidRDefault="00EB242E" w:rsidP="00EB242E">
      <w:pPr>
        <w:rPr>
          <w:lang w:val="en-US" w:eastAsia="zh-CN"/>
        </w:rPr>
      </w:pPr>
      <w:r w:rsidRPr="00853C9F">
        <w:rPr>
          <w:lang w:val="en-US" w:eastAsia="zh-CN"/>
        </w:rPr>
        <w:t>There is an existing allocation to</w:t>
      </w:r>
      <w:r w:rsidR="00853C9F">
        <w:rPr>
          <w:lang w:val="en-US" w:eastAsia="zh-CN"/>
        </w:rPr>
        <w:t xml:space="preserve"> the amateur service between 50-</w:t>
      </w:r>
      <w:r w:rsidRPr="00853C9F">
        <w:rPr>
          <w:lang w:val="en-US" w:eastAsia="zh-CN"/>
        </w:rPr>
        <w:t xml:space="preserve">54 MHz in ITU Regions 2 and 3, therefore the most recent version of Recommendation ITU-R M.1732, “Characteristics of systems operating in the amateur and amateur-satellite services” for use in sharing studies, contains the current characteristics to be used for the sharing analyses that follow. [Recommendation </w:t>
      </w:r>
      <w:r w:rsidR="00853C9F">
        <w:rPr>
          <w:lang w:val="en-US" w:eastAsia="zh-CN"/>
        </w:rPr>
        <w:t xml:space="preserve">ITU-R </w:t>
      </w:r>
      <w:r w:rsidRPr="00853C9F">
        <w:rPr>
          <w:lang w:val="en-US" w:eastAsia="zh-CN"/>
        </w:rPr>
        <w:t>M.1732 is undergoing a revision, which is scheduled for co</w:t>
      </w:r>
      <w:r w:rsidR="00AE72CB">
        <w:rPr>
          <w:lang w:val="en-US" w:eastAsia="zh-CN"/>
        </w:rPr>
        <w:t>mpletion by the end of 2016.] A </w:t>
      </w:r>
      <w:r w:rsidRPr="00853C9F">
        <w:rPr>
          <w:lang w:val="en-US" w:eastAsia="zh-CN"/>
        </w:rPr>
        <w:t xml:space="preserve">summary of the current characteristics are given in </w:t>
      </w:r>
      <w:r w:rsidR="00AE72CB" w:rsidRPr="00853C9F">
        <w:rPr>
          <w:lang w:val="en-US" w:eastAsia="zh-CN"/>
        </w:rPr>
        <w:t xml:space="preserve">Table </w:t>
      </w:r>
      <w:r w:rsidRPr="00853C9F">
        <w:rPr>
          <w:lang w:val="en-US" w:eastAsia="zh-CN"/>
        </w:rPr>
        <w:t>3:</w:t>
      </w:r>
    </w:p>
    <w:p w14:paraId="18CE726E" w14:textId="77777777" w:rsidR="00EB242E" w:rsidRPr="00853C9F" w:rsidRDefault="00EB242E" w:rsidP="00EB242E">
      <w:pPr>
        <w:pStyle w:val="TableNo"/>
        <w:rPr>
          <w:lang w:val="en-US"/>
        </w:rPr>
      </w:pPr>
      <w:r w:rsidRPr="00853C9F">
        <w:rPr>
          <w:lang w:val="en-US"/>
        </w:rPr>
        <w:t>Table 3</w:t>
      </w:r>
    </w:p>
    <w:p w14:paraId="4308A1AE" w14:textId="77777777" w:rsidR="00EB242E" w:rsidRPr="00853C9F" w:rsidRDefault="00EB242E" w:rsidP="00EB242E">
      <w:pPr>
        <w:pStyle w:val="Tabletitle"/>
        <w:rPr>
          <w:lang w:val="en-US"/>
        </w:rPr>
      </w:pPr>
      <w:r w:rsidRPr="00853C9F">
        <w:rPr>
          <w:lang w:val="en-US"/>
        </w:rPr>
        <w:t>Characteristics of amateur systems</w:t>
      </w:r>
    </w:p>
    <w:tbl>
      <w:tblPr>
        <w:tblW w:w="924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1764"/>
        <w:gridCol w:w="1765"/>
        <w:gridCol w:w="1765"/>
        <w:gridCol w:w="1765"/>
      </w:tblGrid>
      <w:tr w:rsidR="00EB242E" w:rsidRPr="00853C9F" w14:paraId="0E72750C" w14:textId="77777777" w:rsidTr="004B1700">
        <w:trPr>
          <w:trHeight w:val="493"/>
        </w:trPr>
        <w:tc>
          <w:tcPr>
            <w:tcW w:w="2185" w:type="dxa"/>
          </w:tcPr>
          <w:p w14:paraId="3D2F6122" w14:textId="77777777" w:rsidR="00EB242E" w:rsidRPr="00853C9F" w:rsidRDefault="00EB242E" w:rsidP="00EB242E">
            <w:pPr>
              <w:pStyle w:val="Tablehead"/>
              <w:rPr>
                <w:snapToGrid w:val="0"/>
                <w:lang w:val="en-US"/>
              </w:rPr>
            </w:pPr>
            <w:r w:rsidRPr="00853C9F">
              <w:rPr>
                <w:snapToGrid w:val="0"/>
                <w:lang w:val="en-US"/>
              </w:rPr>
              <w:t>Mode of operation</w:t>
            </w:r>
          </w:p>
        </w:tc>
        <w:tc>
          <w:tcPr>
            <w:tcW w:w="1764" w:type="dxa"/>
          </w:tcPr>
          <w:p w14:paraId="5DAE35C8" w14:textId="77777777" w:rsidR="00EB242E" w:rsidRPr="00853C9F" w:rsidRDefault="00EB242E" w:rsidP="00EB242E">
            <w:pPr>
              <w:pStyle w:val="Tablehead"/>
              <w:rPr>
                <w:snapToGrid w:val="0"/>
                <w:lang w:val="en-US"/>
              </w:rPr>
            </w:pPr>
            <w:r w:rsidRPr="00853C9F">
              <w:rPr>
                <w:lang w:val="en-US"/>
              </w:rPr>
              <w:t>Morse on-off keying</w:t>
            </w:r>
          </w:p>
        </w:tc>
        <w:tc>
          <w:tcPr>
            <w:tcW w:w="1765" w:type="dxa"/>
            <w:shd w:val="clear" w:color="auto" w:fill="auto"/>
          </w:tcPr>
          <w:p w14:paraId="7F523117" w14:textId="77777777" w:rsidR="00EB242E" w:rsidRPr="00853C9F" w:rsidRDefault="00EB242E" w:rsidP="00EB242E">
            <w:pPr>
              <w:pStyle w:val="Tablehead"/>
              <w:rPr>
                <w:snapToGrid w:val="0"/>
                <w:lang w:val="en-US"/>
              </w:rPr>
            </w:pPr>
            <w:r w:rsidRPr="00853C9F">
              <w:rPr>
                <w:snapToGrid w:val="0"/>
                <w:lang w:val="en-US"/>
              </w:rPr>
              <w:t>Single side-band (SSB) voice</w:t>
            </w:r>
          </w:p>
        </w:tc>
        <w:tc>
          <w:tcPr>
            <w:tcW w:w="1765" w:type="dxa"/>
            <w:shd w:val="clear" w:color="auto" w:fill="auto"/>
          </w:tcPr>
          <w:p w14:paraId="0F322DBA" w14:textId="77777777" w:rsidR="00EB242E" w:rsidRPr="00853C9F" w:rsidRDefault="00EB242E" w:rsidP="00EB242E">
            <w:pPr>
              <w:pStyle w:val="Tablehead"/>
              <w:rPr>
                <w:snapToGrid w:val="0"/>
                <w:lang w:val="en-US"/>
              </w:rPr>
            </w:pPr>
            <w:r w:rsidRPr="00853C9F">
              <w:rPr>
                <w:snapToGrid w:val="0"/>
                <w:lang w:val="en-US"/>
              </w:rPr>
              <w:t>FM voice</w:t>
            </w:r>
          </w:p>
        </w:tc>
        <w:tc>
          <w:tcPr>
            <w:tcW w:w="1765" w:type="dxa"/>
            <w:shd w:val="clear" w:color="auto" w:fill="auto"/>
          </w:tcPr>
          <w:p w14:paraId="1311017B" w14:textId="77777777" w:rsidR="00EB242E" w:rsidRPr="00853C9F" w:rsidRDefault="00EB242E" w:rsidP="00EB242E">
            <w:pPr>
              <w:pStyle w:val="Tablehead"/>
              <w:rPr>
                <w:snapToGrid w:val="0"/>
                <w:lang w:val="en-US"/>
              </w:rPr>
            </w:pPr>
            <w:r w:rsidRPr="00853C9F">
              <w:rPr>
                <w:snapToGrid w:val="0"/>
                <w:lang w:val="en-US"/>
              </w:rPr>
              <w:t>Digital voice</w:t>
            </w:r>
          </w:p>
        </w:tc>
      </w:tr>
      <w:tr w:rsidR="00EB242E" w:rsidRPr="00853C9F" w14:paraId="70AE6E65" w14:textId="77777777" w:rsidTr="004B1700">
        <w:trPr>
          <w:trHeight w:val="204"/>
        </w:trPr>
        <w:tc>
          <w:tcPr>
            <w:tcW w:w="2185" w:type="dxa"/>
          </w:tcPr>
          <w:p w14:paraId="58010B06" w14:textId="77777777" w:rsidR="00EB242E" w:rsidRPr="00853C9F" w:rsidRDefault="00EB242E" w:rsidP="00EB242E">
            <w:pPr>
              <w:pStyle w:val="Tabletext"/>
              <w:rPr>
                <w:snapToGrid w:val="0"/>
                <w:vertAlign w:val="superscript"/>
                <w:lang w:val="en-US"/>
              </w:rPr>
            </w:pPr>
            <w:r w:rsidRPr="00853C9F">
              <w:rPr>
                <w:snapToGrid w:val="0"/>
                <w:lang w:val="en-US"/>
              </w:rPr>
              <w:t>Frequency band (MHz)</w:t>
            </w:r>
          </w:p>
        </w:tc>
        <w:tc>
          <w:tcPr>
            <w:tcW w:w="1764" w:type="dxa"/>
          </w:tcPr>
          <w:p w14:paraId="3B10D1D4" w14:textId="02C57471" w:rsidR="00EB242E" w:rsidRPr="00853C9F" w:rsidRDefault="00EB242E" w:rsidP="004B1700">
            <w:pPr>
              <w:pStyle w:val="Tabletext"/>
              <w:jc w:val="center"/>
              <w:rPr>
                <w:snapToGrid w:val="0"/>
                <w:sz w:val="18"/>
                <w:szCs w:val="18"/>
                <w:lang w:val="en-US"/>
              </w:rPr>
            </w:pPr>
            <w:r w:rsidRPr="00853C9F">
              <w:rPr>
                <w:snapToGrid w:val="0"/>
                <w:sz w:val="18"/>
                <w:szCs w:val="18"/>
                <w:lang w:val="en-US"/>
              </w:rPr>
              <w:t>50–450</w:t>
            </w:r>
          </w:p>
        </w:tc>
        <w:tc>
          <w:tcPr>
            <w:tcW w:w="1765" w:type="dxa"/>
            <w:shd w:val="clear" w:color="auto" w:fill="auto"/>
          </w:tcPr>
          <w:p w14:paraId="0F4E7408" w14:textId="6C10BCB5" w:rsidR="00EB242E" w:rsidRPr="00853C9F" w:rsidRDefault="00EB242E" w:rsidP="004B1700">
            <w:pPr>
              <w:pStyle w:val="Tabletext"/>
              <w:jc w:val="center"/>
              <w:rPr>
                <w:snapToGrid w:val="0"/>
                <w:sz w:val="18"/>
                <w:szCs w:val="18"/>
                <w:lang w:val="en-US"/>
              </w:rPr>
            </w:pPr>
            <w:r w:rsidRPr="00853C9F">
              <w:rPr>
                <w:snapToGrid w:val="0"/>
                <w:sz w:val="18"/>
                <w:szCs w:val="18"/>
                <w:lang w:val="en-US"/>
              </w:rPr>
              <w:t>50–450</w:t>
            </w:r>
          </w:p>
        </w:tc>
        <w:tc>
          <w:tcPr>
            <w:tcW w:w="1765" w:type="dxa"/>
            <w:shd w:val="clear" w:color="auto" w:fill="auto"/>
          </w:tcPr>
          <w:p w14:paraId="4FC60B5B" w14:textId="59246BA8" w:rsidR="00EB242E" w:rsidRPr="00853C9F" w:rsidRDefault="00EB242E" w:rsidP="004B1700">
            <w:pPr>
              <w:pStyle w:val="Tabletext"/>
              <w:jc w:val="center"/>
              <w:rPr>
                <w:snapToGrid w:val="0"/>
                <w:sz w:val="18"/>
                <w:szCs w:val="18"/>
                <w:lang w:val="en-US"/>
              </w:rPr>
            </w:pPr>
            <w:r w:rsidRPr="00853C9F">
              <w:rPr>
                <w:snapToGrid w:val="0"/>
                <w:sz w:val="18"/>
                <w:szCs w:val="18"/>
                <w:lang w:val="en-US"/>
              </w:rPr>
              <w:t>50–450</w:t>
            </w:r>
          </w:p>
        </w:tc>
        <w:tc>
          <w:tcPr>
            <w:tcW w:w="1765" w:type="dxa"/>
            <w:shd w:val="clear" w:color="auto" w:fill="auto"/>
          </w:tcPr>
          <w:p w14:paraId="7BAE8197"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50–450</w:t>
            </w:r>
          </w:p>
        </w:tc>
      </w:tr>
      <w:tr w:rsidR="00EB242E" w:rsidRPr="00853C9F" w14:paraId="6057E37E" w14:textId="77777777" w:rsidTr="004B1700">
        <w:trPr>
          <w:trHeight w:val="493"/>
        </w:trPr>
        <w:tc>
          <w:tcPr>
            <w:tcW w:w="2185" w:type="dxa"/>
          </w:tcPr>
          <w:p w14:paraId="6ECE124C" w14:textId="77777777" w:rsidR="00EB242E" w:rsidRPr="00853C9F" w:rsidRDefault="00EB242E" w:rsidP="00EB242E">
            <w:pPr>
              <w:pStyle w:val="Tabletext"/>
              <w:rPr>
                <w:snapToGrid w:val="0"/>
                <w:lang w:val="en-US"/>
              </w:rPr>
            </w:pPr>
            <w:r w:rsidRPr="00853C9F">
              <w:rPr>
                <w:snapToGrid w:val="0"/>
                <w:lang w:val="en-US"/>
              </w:rPr>
              <w:t>Necessary bandwidth and class of emission (emission designator)</w:t>
            </w:r>
          </w:p>
        </w:tc>
        <w:tc>
          <w:tcPr>
            <w:tcW w:w="1764" w:type="dxa"/>
          </w:tcPr>
          <w:p w14:paraId="72A0E651" w14:textId="6542FF32" w:rsidR="00EB242E" w:rsidRPr="00853C9F" w:rsidRDefault="00EB242E" w:rsidP="004B1700">
            <w:pPr>
              <w:pStyle w:val="Tabletext"/>
              <w:jc w:val="center"/>
              <w:rPr>
                <w:snapToGrid w:val="0"/>
                <w:sz w:val="18"/>
                <w:szCs w:val="18"/>
                <w:lang w:val="en-US"/>
              </w:rPr>
            </w:pPr>
            <w:r w:rsidRPr="00853C9F">
              <w:rPr>
                <w:snapToGrid w:val="0"/>
                <w:sz w:val="18"/>
                <w:szCs w:val="18"/>
                <w:lang w:val="en-US"/>
              </w:rPr>
              <w:t>150HA1A</w:t>
            </w:r>
          </w:p>
          <w:p w14:paraId="21B0A33E"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150HJ2A</w:t>
            </w:r>
          </w:p>
        </w:tc>
        <w:tc>
          <w:tcPr>
            <w:tcW w:w="1765" w:type="dxa"/>
            <w:shd w:val="clear" w:color="auto" w:fill="auto"/>
          </w:tcPr>
          <w:p w14:paraId="10735812"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2K70J3E</w:t>
            </w:r>
          </w:p>
        </w:tc>
        <w:tc>
          <w:tcPr>
            <w:tcW w:w="1765" w:type="dxa"/>
            <w:shd w:val="clear" w:color="auto" w:fill="auto"/>
          </w:tcPr>
          <w:p w14:paraId="34065626"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11K0F3E</w:t>
            </w:r>
            <w:r w:rsidRPr="00853C9F">
              <w:rPr>
                <w:snapToGrid w:val="0"/>
                <w:sz w:val="18"/>
                <w:szCs w:val="18"/>
                <w:lang w:val="en-US"/>
              </w:rPr>
              <w:br/>
              <w:t>16K0F3E</w:t>
            </w:r>
            <w:r w:rsidRPr="00853C9F">
              <w:rPr>
                <w:snapToGrid w:val="0"/>
                <w:sz w:val="18"/>
                <w:szCs w:val="18"/>
                <w:lang w:val="en-US"/>
              </w:rPr>
              <w:br/>
              <w:t>20K0F3E</w:t>
            </w:r>
          </w:p>
        </w:tc>
        <w:tc>
          <w:tcPr>
            <w:tcW w:w="1765" w:type="dxa"/>
            <w:shd w:val="clear" w:color="auto" w:fill="auto"/>
          </w:tcPr>
          <w:p w14:paraId="7223BEB4"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2K70J2E</w:t>
            </w:r>
            <w:r w:rsidRPr="00853C9F">
              <w:rPr>
                <w:snapToGrid w:val="0"/>
                <w:sz w:val="18"/>
                <w:szCs w:val="18"/>
                <w:lang w:val="en-US"/>
              </w:rPr>
              <w:br/>
              <w:t>5k76G1E</w:t>
            </w:r>
            <w:r w:rsidRPr="00853C9F">
              <w:rPr>
                <w:snapToGrid w:val="0"/>
                <w:sz w:val="18"/>
                <w:szCs w:val="18"/>
                <w:lang w:val="en-US"/>
              </w:rPr>
              <w:br/>
              <w:t>8K10F1E</w:t>
            </w:r>
          </w:p>
        </w:tc>
      </w:tr>
      <w:tr w:rsidR="00EB242E" w:rsidRPr="00853C9F" w14:paraId="32A9043E" w14:textId="77777777" w:rsidTr="004B1700">
        <w:trPr>
          <w:trHeight w:val="204"/>
        </w:trPr>
        <w:tc>
          <w:tcPr>
            <w:tcW w:w="2185" w:type="dxa"/>
          </w:tcPr>
          <w:p w14:paraId="26BF4C64" w14:textId="77777777" w:rsidR="00EB242E" w:rsidRPr="00853C9F" w:rsidRDefault="00EB242E" w:rsidP="00EB242E">
            <w:pPr>
              <w:pStyle w:val="Tabletext"/>
              <w:rPr>
                <w:snapToGrid w:val="0"/>
                <w:vertAlign w:val="superscript"/>
                <w:lang w:val="en-US"/>
              </w:rPr>
            </w:pPr>
            <w:r w:rsidRPr="00853C9F">
              <w:rPr>
                <w:snapToGrid w:val="0"/>
                <w:lang w:val="en-US"/>
              </w:rPr>
              <w:t>Transmitter power (dBW)</w:t>
            </w:r>
          </w:p>
        </w:tc>
        <w:tc>
          <w:tcPr>
            <w:tcW w:w="1764" w:type="dxa"/>
          </w:tcPr>
          <w:p w14:paraId="13E25639"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3–31.7</w:t>
            </w:r>
          </w:p>
        </w:tc>
        <w:tc>
          <w:tcPr>
            <w:tcW w:w="1765" w:type="dxa"/>
            <w:shd w:val="clear" w:color="auto" w:fill="auto"/>
          </w:tcPr>
          <w:p w14:paraId="6D127D87"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3–31.7</w:t>
            </w:r>
          </w:p>
        </w:tc>
        <w:tc>
          <w:tcPr>
            <w:tcW w:w="1765" w:type="dxa"/>
            <w:shd w:val="clear" w:color="auto" w:fill="auto"/>
          </w:tcPr>
          <w:p w14:paraId="7966A66A"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3–3.,7</w:t>
            </w:r>
          </w:p>
        </w:tc>
        <w:tc>
          <w:tcPr>
            <w:tcW w:w="1765" w:type="dxa"/>
            <w:shd w:val="clear" w:color="auto" w:fill="auto"/>
          </w:tcPr>
          <w:p w14:paraId="720B32CE"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3–31.7</w:t>
            </w:r>
          </w:p>
        </w:tc>
      </w:tr>
      <w:tr w:rsidR="00EB242E" w:rsidRPr="00853C9F" w14:paraId="23154352" w14:textId="77777777" w:rsidTr="004B1700">
        <w:trPr>
          <w:trHeight w:val="204"/>
        </w:trPr>
        <w:tc>
          <w:tcPr>
            <w:tcW w:w="2185" w:type="dxa"/>
          </w:tcPr>
          <w:p w14:paraId="19149EA9" w14:textId="77777777" w:rsidR="00EB242E" w:rsidRPr="00853C9F" w:rsidRDefault="00EB242E" w:rsidP="00EB242E">
            <w:pPr>
              <w:pStyle w:val="Tabletext"/>
              <w:rPr>
                <w:snapToGrid w:val="0"/>
                <w:lang w:val="en-US"/>
              </w:rPr>
            </w:pPr>
            <w:r w:rsidRPr="00853C9F">
              <w:rPr>
                <w:snapToGrid w:val="0"/>
                <w:lang w:val="en-US"/>
              </w:rPr>
              <w:t>Transmitter line loss (dB)</w:t>
            </w:r>
          </w:p>
        </w:tc>
        <w:tc>
          <w:tcPr>
            <w:tcW w:w="1764" w:type="dxa"/>
          </w:tcPr>
          <w:p w14:paraId="47176E98"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1–2</w:t>
            </w:r>
          </w:p>
        </w:tc>
        <w:tc>
          <w:tcPr>
            <w:tcW w:w="1765" w:type="dxa"/>
            <w:shd w:val="clear" w:color="auto" w:fill="auto"/>
            <w:vAlign w:val="bottom"/>
          </w:tcPr>
          <w:p w14:paraId="68FA95B5"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1–2</w:t>
            </w:r>
          </w:p>
        </w:tc>
        <w:tc>
          <w:tcPr>
            <w:tcW w:w="1765" w:type="dxa"/>
            <w:shd w:val="clear" w:color="auto" w:fill="auto"/>
            <w:vAlign w:val="bottom"/>
          </w:tcPr>
          <w:p w14:paraId="704E2E72"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1–2</w:t>
            </w:r>
          </w:p>
        </w:tc>
        <w:tc>
          <w:tcPr>
            <w:tcW w:w="1765" w:type="dxa"/>
            <w:shd w:val="clear" w:color="auto" w:fill="auto"/>
          </w:tcPr>
          <w:p w14:paraId="0258C8A0"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1–2</w:t>
            </w:r>
          </w:p>
        </w:tc>
      </w:tr>
      <w:tr w:rsidR="00EB242E" w:rsidRPr="00853C9F" w14:paraId="0103A151" w14:textId="77777777" w:rsidTr="004B1700">
        <w:trPr>
          <w:trHeight w:val="348"/>
        </w:trPr>
        <w:tc>
          <w:tcPr>
            <w:tcW w:w="2185" w:type="dxa"/>
          </w:tcPr>
          <w:p w14:paraId="01C4662E" w14:textId="77777777" w:rsidR="00EB242E" w:rsidRPr="00853C9F" w:rsidRDefault="00EB242E" w:rsidP="00EB242E">
            <w:pPr>
              <w:pStyle w:val="Tabletext"/>
              <w:rPr>
                <w:snapToGrid w:val="0"/>
                <w:lang w:val="en-US"/>
              </w:rPr>
            </w:pPr>
            <w:r w:rsidRPr="00853C9F">
              <w:rPr>
                <w:snapToGrid w:val="0"/>
                <w:lang w:val="en-US"/>
              </w:rPr>
              <w:t>Transmitting antenna gain (dBi)</w:t>
            </w:r>
          </w:p>
        </w:tc>
        <w:tc>
          <w:tcPr>
            <w:tcW w:w="1764" w:type="dxa"/>
          </w:tcPr>
          <w:p w14:paraId="66909E78"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0–26</w:t>
            </w:r>
          </w:p>
        </w:tc>
        <w:tc>
          <w:tcPr>
            <w:tcW w:w="1765" w:type="dxa"/>
            <w:shd w:val="clear" w:color="auto" w:fill="auto"/>
          </w:tcPr>
          <w:p w14:paraId="551C3E6E" w14:textId="77777777" w:rsidR="00EB242E" w:rsidRPr="00853C9F" w:rsidRDefault="00EB242E" w:rsidP="004B1700">
            <w:pPr>
              <w:pStyle w:val="Tabletext"/>
              <w:jc w:val="center"/>
              <w:rPr>
                <w:snapToGrid w:val="0"/>
                <w:sz w:val="18"/>
                <w:szCs w:val="18"/>
                <w:u w:val="single"/>
                <w:lang w:val="en-US"/>
              </w:rPr>
            </w:pPr>
            <w:r w:rsidRPr="00853C9F">
              <w:rPr>
                <w:snapToGrid w:val="0"/>
                <w:sz w:val="18"/>
                <w:szCs w:val="18"/>
                <w:lang w:val="en-US"/>
              </w:rPr>
              <w:t>0–23</w:t>
            </w:r>
          </w:p>
        </w:tc>
        <w:tc>
          <w:tcPr>
            <w:tcW w:w="1765" w:type="dxa"/>
            <w:shd w:val="clear" w:color="auto" w:fill="auto"/>
          </w:tcPr>
          <w:p w14:paraId="3793F4D4"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0–26</w:t>
            </w:r>
          </w:p>
        </w:tc>
        <w:tc>
          <w:tcPr>
            <w:tcW w:w="1765" w:type="dxa"/>
            <w:shd w:val="clear" w:color="auto" w:fill="auto"/>
          </w:tcPr>
          <w:p w14:paraId="42242DF3"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0–26</w:t>
            </w:r>
          </w:p>
        </w:tc>
      </w:tr>
      <w:tr w:rsidR="00EB242E" w:rsidRPr="00853C9F" w14:paraId="5CEA1876" w14:textId="77777777" w:rsidTr="004B1700">
        <w:trPr>
          <w:trHeight w:val="216"/>
        </w:trPr>
        <w:tc>
          <w:tcPr>
            <w:tcW w:w="2185" w:type="dxa"/>
          </w:tcPr>
          <w:p w14:paraId="03505255" w14:textId="77777777" w:rsidR="00EB242E" w:rsidRPr="00853C9F" w:rsidRDefault="00EB242E" w:rsidP="00EB242E">
            <w:pPr>
              <w:pStyle w:val="Tabletext"/>
              <w:rPr>
                <w:snapToGrid w:val="0"/>
                <w:lang w:val="en-US"/>
              </w:rPr>
            </w:pPr>
            <w:r w:rsidRPr="00853C9F">
              <w:rPr>
                <w:snapToGrid w:val="0"/>
                <w:lang w:val="en-US"/>
              </w:rPr>
              <w:t>Typical e.i.r.p. (dBW)</w:t>
            </w:r>
          </w:p>
        </w:tc>
        <w:tc>
          <w:tcPr>
            <w:tcW w:w="1764" w:type="dxa"/>
          </w:tcPr>
          <w:p w14:paraId="3B73394F"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2–55</w:t>
            </w:r>
          </w:p>
        </w:tc>
        <w:tc>
          <w:tcPr>
            <w:tcW w:w="1765" w:type="dxa"/>
            <w:shd w:val="clear" w:color="auto" w:fill="auto"/>
          </w:tcPr>
          <w:p w14:paraId="4E6A540A"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2–53.7</w:t>
            </w:r>
          </w:p>
        </w:tc>
        <w:tc>
          <w:tcPr>
            <w:tcW w:w="1765" w:type="dxa"/>
            <w:shd w:val="clear" w:color="auto" w:fill="auto"/>
          </w:tcPr>
          <w:p w14:paraId="6026E809"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2–55</w:t>
            </w:r>
          </w:p>
        </w:tc>
        <w:tc>
          <w:tcPr>
            <w:tcW w:w="1765" w:type="dxa"/>
            <w:shd w:val="clear" w:color="auto" w:fill="auto"/>
          </w:tcPr>
          <w:p w14:paraId="4FA08A65"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2–55</w:t>
            </w:r>
          </w:p>
        </w:tc>
      </w:tr>
      <w:tr w:rsidR="00EB242E" w:rsidRPr="00853C9F" w14:paraId="4295B704" w14:textId="77777777" w:rsidTr="004B1700">
        <w:trPr>
          <w:trHeight w:val="493"/>
        </w:trPr>
        <w:tc>
          <w:tcPr>
            <w:tcW w:w="2185" w:type="dxa"/>
          </w:tcPr>
          <w:p w14:paraId="1BB9438E" w14:textId="77777777" w:rsidR="00EB242E" w:rsidRPr="00853C9F" w:rsidRDefault="00EB242E" w:rsidP="00EB242E">
            <w:pPr>
              <w:pStyle w:val="Tabletext"/>
              <w:rPr>
                <w:snapToGrid w:val="0"/>
                <w:lang w:val="en-US"/>
              </w:rPr>
            </w:pPr>
            <w:r w:rsidRPr="00853C9F">
              <w:rPr>
                <w:snapToGrid w:val="0"/>
                <w:lang w:val="en-US"/>
              </w:rPr>
              <w:t>Antenna polarization</w:t>
            </w:r>
          </w:p>
        </w:tc>
        <w:tc>
          <w:tcPr>
            <w:tcW w:w="1764" w:type="dxa"/>
          </w:tcPr>
          <w:p w14:paraId="2D616C83" w14:textId="77777777" w:rsidR="00EB242E" w:rsidRPr="00853C9F" w:rsidRDefault="00EB242E" w:rsidP="004B1700">
            <w:pPr>
              <w:pStyle w:val="Tabletext"/>
              <w:jc w:val="center"/>
              <w:rPr>
                <w:snapToGrid w:val="0"/>
                <w:sz w:val="18"/>
                <w:szCs w:val="18"/>
                <w:lang w:val="en-US"/>
              </w:rPr>
            </w:pPr>
            <w:r w:rsidRPr="00853C9F">
              <w:rPr>
                <w:snapToGrid w:val="0"/>
                <w:lang w:val="en-US"/>
              </w:rPr>
              <w:t>Horizontal</w:t>
            </w:r>
          </w:p>
        </w:tc>
        <w:tc>
          <w:tcPr>
            <w:tcW w:w="1765" w:type="dxa"/>
            <w:shd w:val="clear" w:color="auto" w:fill="auto"/>
          </w:tcPr>
          <w:p w14:paraId="0D8CB3D6" w14:textId="77777777" w:rsidR="00EB242E" w:rsidRPr="00853C9F" w:rsidRDefault="00EB242E" w:rsidP="004B1700">
            <w:pPr>
              <w:pStyle w:val="Tabletext"/>
              <w:jc w:val="center"/>
              <w:rPr>
                <w:lang w:val="en-US"/>
              </w:rPr>
            </w:pPr>
            <w:r w:rsidRPr="00853C9F">
              <w:rPr>
                <w:snapToGrid w:val="0"/>
                <w:lang w:val="en-US"/>
              </w:rPr>
              <w:t>Horizontal, vertical</w:t>
            </w:r>
          </w:p>
        </w:tc>
        <w:tc>
          <w:tcPr>
            <w:tcW w:w="1765" w:type="dxa"/>
            <w:shd w:val="clear" w:color="auto" w:fill="auto"/>
          </w:tcPr>
          <w:p w14:paraId="69DBCED7" w14:textId="564501F8" w:rsidR="00EB242E" w:rsidRPr="00853C9F" w:rsidRDefault="00EB242E" w:rsidP="004B1700">
            <w:pPr>
              <w:pStyle w:val="Tabletext"/>
              <w:jc w:val="center"/>
              <w:rPr>
                <w:sz w:val="18"/>
                <w:szCs w:val="18"/>
                <w:lang w:val="en-US"/>
              </w:rPr>
            </w:pPr>
            <w:r w:rsidRPr="00853C9F">
              <w:rPr>
                <w:snapToGrid w:val="0"/>
                <w:lang w:val="en-US"/>
              </w:rPr>
              <w:t>Horizontal, vertical</w:t>
            </w:r>
          </w:p>
        </w:tc>
        <w:tc>
          <w:tcPr>
            <w:tcW w:w="1765" w:type="dxa"/>
            <w:shd w:val="clear" w:color="auto" w:fill="auto"/>
          </w:tcPr>
          <w:p w14:paraId="309AED7E" w14:textId="77777777" w:rsidR="00EB242E" w:rsidRPr="00853C9F" w:rsidRDefault="00EB242E" w:rsidP="004B1700">
            <w:pPr>
              <w:pStyle w:val="Tabletext"/>
              <w:jc w:val="center"/>
              <w:rPr>
                <w:snapToGrid w:val="0"/>
                <w:sz w:val="18"/>
                <w:szCs w:val="18"/>
                <w:lang w:val="en-US"/>
              </w:rPr>
            </w:pPr>
            <w:r w:rsidRPr="00853C9F">
              <w:rPr>
                <w:snapToGrid w:val="0"/>
                <w:lang w:val="en-US"/>
              </w:rPr>
              <w:t>Horizontal</w:t>
            </w:r>
          </w:p>
        </w:tc>
      </w:tr>
      <w:tr w:rsidR="00EB242E" w:rsidRPr="00853C9F" w14:paraId="11C0DE92" w14:textId="77777777" w:rsidTr="004B1700">
        <w:trPr>
          <w:trHeight w:val="204"/>
        </w:trPr>
        <w:tc>
          <w:tcPr>
            <w:tcW w:w="2185" w:type="dxa"/>
          </w:tcPr>
          <w:p w14:paraId="049AEFCB" w14:textId="77777777" w:rsidR="00EB242E" w:rsidRPr="00853C9F" w:rsidRDefault="00EB242E" w:rsidP="00EB242E">
            <w:pPr>
              <w:pStyle w:val="Tabletext"/>
              <w:rPr>
                <w:snapToGrid w:val="0"/>
                <w:lang w:val="en-US"/>
              </w:rPr>
            </w:pPr>
            <w:r w:rsidRPr="00853C9F">
              <w:rPr>
                <w:snapToGrid w:val="0"/>
                <w:lang w:val="en-US"/>
              </w:rPr>
              <w:t>Receiver IF bandwidth (kHz)</w:t>
            </w:r>
          </w:p>
        </w:tc>
        <w:tc>
          <w:tcPr>
            <w:tcW w:w="1764" w:type="dxa"/>
            <w:tcBorders>
              <w:top w:val="nil"/>
              <w:bottom w:val="nil"/>
            </w:tcBorders>
            <w:shd w:val="clear" w:color="auto" w:fill="auto"/>
          </w:tcPr>
          <w:p w14:paraId="46EE0255" w14:textId="77777777" w:rsidR="00EB242E" w:rsidRPr="00853C9F" w:rsidRDefault="00EB242E" w:rsidP="004B1700">
            <w:pPr>
              <w:pStyle w:val="Tabletext"/>
              <w:jc w:val="center"/>
              <w:rPr>
                <w:sz w:val="18"/>
                <w:szCs w:val="18"/>
                <w:lang w:val="en-US"/>
              </w:rPr>
            </w:pPr>
            <w:r w:rsidRPr="00853C9F">
              <w:rPr>
                <w:snapToGrid w:val="0"/>
                <w:sz w:val="18"/>
                <w:szCs w:val="18"/>
                <w:lang w:val="en-US"/>
              </w:rPr>
              <w:t>0.4</w:t>
            </w:r>
          </w:p>
        </w:tc>
        <w:tc>
          <w:tcPr>
            <w:tcW w:w="1765" w:type="dxa"/>
            <w:shd w:val="clear" w:color="auto" w:fill="auto"/>
          </w:tcPr>
          <w:p w14:paraId="33DC4A93"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2.7</w:t>
            </w:r>
          </w:p>
        </w:tc>
        <w:tc>
          <w:tcPr>
            <w:tcW w:w="1765" w:type="dxa"/>
            <w:shd w:val="clear" w:color="auto" w:fill="auto"/>
          </w:tcPr>
          <w:p w14:paraId="2525BF1F"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9</w:t>
            </w:r>
            <w:r w:rsidRPr="00853C9F">
              <w:rPr>
                <w:snapToGrid w:val="0"/>
                <w:sz w:val="18"/>
                <w:szCs w:val="18"/>
                <w:lang w:val="en-US"/>
              </w:rPr>
              <w:br/>
              <w:t>15</w:t>
            </w:r>
          </w:p>
        </w:tc>
        <w:tc>
          <w:tcPr>
            <w:tcW w:w="1765" w:type="dxa"/>
            <w:shd w:val="clear" w:color="auto" w:fill="auto"/>
          </w:tcPr>
          <w:p w14:paraId="3421DA4F"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.,7</w:t>
            </w:r>
            <w:r w:rsidRPr="00853C9F">
              <w:rPr>
                <w:snapToGrid w:val="0"/>
                <w:sz w:val="18"/>
                <w:szCs w:val="18"/>
                <w:lang w:val="en-US"/>
              </w:rPr>
              <w:br/>
              <w:t>5,76</w:t>
            </w:r>
            <w:r w:rsidRPr="00853C9F">
              <w:rPr>
                <w:snapToGrid w:val="0"/>
                <w:sz w:val="18"/>
                <w:szCs w:val="18"/>
                <w:lang w:val="en-US"/>
              </w:rPr>
              <w:br/>
              <w:t>8,1</w:t>
            </w:r>
          </w:p>
        </w:tc>
      </w:tr>
      <w:tr w:rsidR="00EB242E" w:rsidRPr="00853C9F" w14:paraId="4E1F7F89" w14:textId="77777777" w:rsidTr="004B1700">
        <w:trPr>
          <w:trHeight w:val="348"/>
        </w:trPr>
        <w:tc>
          <w:tcPr>
            <w:tcW w:w="2185" w:type="dxa"/>
            <w:tcBorders>
              <w:bottom w:val="single" w:sz="4" w:space="0" w:color="auto"/>
            </w:tcBorders>
          </w:tcPr>
          <w:p w14:paraId="2F2740A9" w14:textId="77777777" w:rsidR="00EB242E" w:rsidRPr="00853C9F" w:rsidRDefault="00EB242E" w:rsidP="00EB242E">
            <w:pPr>
              <w:pStyle w:val="Tabletext"/>
              <w:rPr>
                <w:snapToGrid w:val="0"/>
                <w:vertAlign w:val="superscript"/>
                <w:lang w:val="en-US"/>
              </w:rPr>
            </w:pPr>
            <w:r w:rsidRPr="00853C9F">
              <w:rPr>
                <w:snapToGrid w:val="0"/>
                <w:lang w:val="en-US"/>
              </w:rPr>
              <w:t>Receiver noise figure (dB)</w:t>
            </w:r>
          </w:p>
        </w:tc>
        <w:tc>
          <w:tcPr>
            <w:tcW w:w="1764" w:type="dxa"/>
            <w:shd w:val="clear" w:color="auto" w:fill="auto"/>
          </w:tcPr>
          <w:p w14:paraId="0FE86106"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0.5–2</w:t>
            </w:r>
          </w:p>
        </w:tc>
        <w:tc>
          <w:tcPr>
            <w:tcW w:w="1765" w:type="dxa"/>
            <w:shd w:val="clear" w:color="auto" w:fill="auto"/>
          </w:tcPr>
          <w:p w14:paraId="60DEDD8C"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0.5–2</w:t>
            </w:r>
          </w:p>
        </w:tc>
        <w:tc>
          <w:tcPr>
            <w:tcW w:w="1765" w:type="dxa"/>
            <w:shd w:val="clear" w:color="auto" w:fill="auto"/>
          </w:tcPr>
          <w:p w14:paraId="60E630CE"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0.5–2</w:t>
            </w:r>
          </w:p>
        </w:tc>
        <w:tc>
          <w:tcPr>
            <w:tcW w:w="1765" w:type="dxa"/>
            <w:shd w:val="clear" w:color="auto" w:fill="auto"/>
          </w:tcPr>
          <w:p w14:paraId="79EB2CB8" w14:textId="77777777" w:rsidR="00EB242E" w:rsidRPr="00853C9F" w:rsidRDefault="00EB242E" w:rsidP="004B1700">
            <w:pPr>
              <w:pStyle w:val="Tabletext"/>
              <w:jc w:val="center"/>
              <w:rPr>
                <w:snapToGrid w:val="0"/>
                <w:sz w:val="18"/>
                <w:szCs w:val="18"/>
                <w:lang w:val="en-US"/>
              </w:rPr>
            </w:pPr>
            <w:r w:rsidRPr="00853C9F">
              <w:rPr>
                <w:snapToGrid w:val="0"/>
                <w:sz w:val="18"/>
                <w:szCs w:val="18"/>
                <w:lang w:val="en-US"/>
              </w:rPr>
              <w:t>50–450</w:t>
            </w:r>
          </w:p>
        </w:tc>
      </w:tr>
    </w:tbl>
    <w:p w14:paraId="7878B764" w14:textId="77777777" w:rsidR="004B1700" w:rsidRDefault="004B1700" w:rsidP="004B1700">
      <w:pPr>
        <w:pStyle w:val="Tablefin"/>
        <w:rPr>
          <w:highlight w:val="yellow"/>
          <w:lang w:val="en-US" w:eastAsia="zh-CN"/>
        </w:rPr>
      </w:pPr>
    </w:p>
    <w:p w14:paraId="296C8BCE" w14:textId="4AD58217" w:rsidR="00EB242E" w:rsidRPr="00853C9F" w:rsidRDefault="00EB242E" w:rsidP="00EB242E">
      <w:pPr>
        <w:rPr>
          <w:i/>
          <w:lang w:val="en-US" w:eastAsia="zh-CN"/>
        </w:rPr>
      </w:pPr>
      <w:r w:rsidRPr="00853C9F">
        <w:rPr>
          <w:i/>
          <w:highlight w:val="yellow"/>
          <w:lang w:val="en-US" w:eastAsia="zh-CN"/>
        </w:rPr>
        <w:t xml:space="preserve">Editor’s note: </w:t>
      </w:r>
      <w:r w:rsidR="004B1700" w:rsidRPr="00853C9F">
        <w:rPr>
          <w:i/>
          <w:highlight w:val="yellow"/>
          <w:lang w:val="en-US" w:eastAsia="zh-CN"/>
        </w:rPr>
        <w:t xml:space="preserve">Table </w:t>
      </w:r>
      <w:r w:rsidRPr="00853C9F">
        <w:rPr>
          <w:i/>
          <w:highlight w:val="yellow"/>
          <w:lang w:val="en-US" w:eastAsia="zh-CN"/>
        </w:rPr>
        <w:t>3 will be updated when</w:t>
      </w:r>
      <w:r w:rsidR="00AE72CB">
        <w:rPr>
          <w:i/>
          <w:highlight w:val="yellow"/>
          <w:lang w:val="en-US" w:eastAsia="zh-CN"/>
        </w:rPr>
        <w:t xml:space="preserve"> Recommendation ITU-R</w:t>
      </w:r>
      <w:r w:rsidRPr="00853C9F">
        <w:rPr>
          <w:i/>
          <w:highlight w:val="yellow"/>
          <w:lang w:val="en-US" w:eastAsia="zh-CN"/>
        </w:rPr>
        <w:t xml:space="preserve"> M.1732 revision is complete &amp; column added for higher bandwidth modes</w:t>
      </w:r>
      <w:r w:rsidR="00AE72CB">
        <w:rPr>
          <w:i/>
          <w:lang w:val="en-US" w:eastAsia="zh-CN"/>
        </w:rPr>
        <w:t>.</w:t>
      </w:r>
    </w:p>
    <w:p w14:paraId="443C19EE" w14:textId="28888331" w:rsidR="00EB242E" w:rsidRPr="00853C9F" w:rsidRDefault="00EB242E" w:rsidP="001549CF">
      <w:pPr>
        <w:pStyle w:val="Heading1"/>
        <w:rPr>
          <w:lang w:val="en-US"/>
        </w:rPr>
      </w:pPr>
      <w:bookmarkStart w:id="26" w:name="_Toc449639003"/>
      <w:bookmarkStart w:id="27" w:name="_Toc451373077"/>
      <w:bookmarkStart w:id="28" w:name="_Toc451353756"/>
      <w:r w:rsidRPr="00853C9F">
        <w:rPr>
          <w:lang w:val="en-US"/>
        </w:rPr>
        <w:t>5</w:t>
      </w:r>
      <w:r w:rsidR="001549CF" w:rsidRPr="00853C9F">
        <w:rPr>
          <w:lang w:val="en-US"/>
        </w:rPr>
        <w:tab/>
      </w:r>
      <w:r w:rsidRPr="00853C9F">
        <w:rPr>
          <w:lang w:val="en-US"/>
        </w:rPr>
        <w:t>Sharing with other services</w:t>
      </w:r>
      <w:bookmarkEnd w:id="26"/>
      <w:bookmarkEnd w:id="27"/>
      <w:bookmarkEnd w:id="28"/>
    </w:p>
    <w:p w14:paraId="50BB8CDC" w14:textId="4770C6BA" w:rsidR="00EB242E" w:rsidRPr="00853C9F" w:rsidRDefault="00EB242E" w:rsidP="00EB242E">
      <w:pPr>
        <w:pStyle w:val="Heading2"/>
        <w:rPr>
          <w:lang w:val="en-US"/>
        </w:rPr>
      </w:pPr>
      <w:bookmarkStart w:id="29" w:name="_Toc449639004"/>
      <w:bookmarkStart w:id="30" w:name="_Toc451373078"/>
      <w:bookmarkStart w:id="31" w:name="_Toc451353757"/>
      <w:r w:rsidRPr="00853C9F">
        <w:rPr>
          <w:lang w:val="en-US"/>
        </w:rPr>
        <w:t>5.1</w:t>
      </w:r>
      <w:r w:rsidR="001549CF" w:rsidRPr="00853C9F">
        <w:rPr>
          <w:lang w:val="en-US"/>
        </w:rPr>
        <w:tab/>
      </w:r>
      <w:r w:rsidRPr="00853C9F">
        <w:rPr>
          <w:lang w:val="en-US"/>
        </w:rPr>
        <w:t>Mobile service</w:t>
      </w:r>
      <w:bookmarkEnd w:id="29"/>
      <w:bookmarkEnd w:id="30"/>
      <w:bookmarkEnd w:id="31"/>
    </w:p>
    <w:p w14:paraId="4617C61D" w14:textId="77777777" w:rsidR="00EB242E" w:rsidRPr="00853C9F" w:rsidRDefault="00EB242E" w:rsidP="00EB242E">
      <w:pPr>
        <w:rPr>
          <w:lang w:val="en-US" w:eastAsia="zh-CN"/>
        </w:rPr>
      </w:pPr>
      <w:r w:rsidRPr="00853C9F">
        <w:rPr>
          <w:lang w:val="en-US" w:eastAsia="zh-CN"/>
        </w:rPr>
        <w:t>[TBD]</w:t>
      </w:r>
    </w:p>
    <w:p w14:paraId="1918197C" w14:textId="77777777" w:rsidR="00EB242E" w:rsidRPr="00853C9F" w:rsidRDefault="00EB242E" w:rsidP="00EB242E">
      <w:pPr>
        <w:pStyle w:val="Headingb"/>
        <w:rPr>
          <w:lang w:val="en-US"/>
        </w:rPr>
      </w:pPr>
      <w:r w:rsidRPr="00853C9F">
        <w:rPr>
          <w:lang w:val="en-US" w:eastAsia="zh-CN"/>
        </w:rPr>
        <w:t>Use of</w:t>
      </w:r>
      <w:r w:rsidRPr="00853C9F">
        <w:rPr>
          <w:lang w:val="en-US"/>
        </w:rPr>
        <w:t xml:space="preserve"> the frequency band 50-54 MHz by stations in the land mobile service </w:t>
      </w:r>
    </w:p>
    <w:p w14:paraId="4C966072" w14:textId="77777777" w:rsidR="00EB242E" w:rsidRPr="00853C9F" w:rsidRDefault="00EB242E" w:rsidP="00EB242E">
      <w:pPr>
        <w:rPr>
          <w:lang w:val="en-US"/>
        </w:rPr>
      </w:pPr>
      <w:r w:rsidRPr="00853C9F">
        <w:rPr>
          <w:lang w:val="en-US"/>
        </w:rPr>
        <w:t xml:space="preserve">According to RR Article </w:t>
      </w:r>
      <w:r w:rsidRPr="00853C9F">
        <w:rPr>
          <w:b/>
          <w:bCs/>
          <w:lang w:val="en-US"/>
        </w:rPr>
        <w:t>5.164</w:t>
      </w:r>
      <w:r w:rsidRPr="00853C9F">
        <w:rPr>
          <w:lang w:val="en-US"/>
        </w:rPr>
        <w:t xml:space="preserve"> and the European Table of Frequency Allocations (ECA TABLE), the frequency band 50-52 MHz is allocated to the land mobile service on a primary basis.</w:t>
      </w:r>
    </w:p>
    <w:p w14:paraId="3FFECA4F" w14:textId="60E0C1C4" w:rsidR="00EB242E" w:rsidRPr="00853C9F" w:rsidRDefault="00EB242E" w:rsidP="00EB242E">
      <w:pPr>
        <w:rPr>
          <w:lang w:val="en-US"/>
        </w:rPr>
      </w:pPr>
      <w:r w:rsidRPr="00853C9F">
        <w:rPr>
          <w:lang w:val="en-US"/>
        </w:rPr>
        <w:t>However the MIFR contains information only 6 frequency assignments to land mobile stations in Region 1 and about 4 assignments to fixed service stations. The information is presented in Table 4 below.</w:t>
      </w:r>
    </w:p>
    <w:p w14:paraId="2C3FF720" w14:textId="77777777" w:rsidR="00EB242E" w:rsidRPr="00853C9F" w:rsidRDefault="00EB242E" w:rsidP="00EB242E">
      <w:pPr>
        <w:pStyle w:val="TableNo"/>
        <w:rPr>
          <w:lang w:val="en-US"/>
        </w:rPr>
      </w:pPr>
      <w:r w:rsidRPr="00853C9F">
        <w:rPr>
          <w:lang w:val="en-US"/>
        </w:rPr>
        <w:t xml:space="preserve">Table 4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1701"/>
        <w:gridCol w:w="1701"/>
        <w:gridCol w:w="1843"/>
      </w:tblGrid>
      <w:tr w:rsidR="00EB242E" w:rsidRPr="00853C9F" w14:paraId="50D29584" w14:textId="77777777" w:rsidTr="00AE72CB">
        <w:trPr>
          <w:trHeight w:val="732"/>
        </w:trPr>
        <w:tc>
          <w:tcPr>
            <w:tcW w:w="2127" w:type="dxa"/>
            <w:shd w:val="clear" w:color="auto" w:fill="FFFFFF" w:themeFill="background1"/>
            <w:vAlign w:val="center"/>
          </w:tcPr>
          <w:p w14:paraId="2CF8627D" w14:textId="77777777" w:rsidR="00EB242E" w:rsidRPr="004B1700" w:rsidRDefault="00EB242E" w:rsidP="00AE72CB">
            <w:pPr>
              <w:pStyle w:val="Tablehead"/>
            </w:pPr>
            <w:r w:rsidRPr="004B1700">
              <w:t>ADM</w:t>
            </w:r>
          </w:p>
        </w:tc>
        <w:tc>
          <w:tcPr>
            <w:tcW w:w="1842" w:type="dxa"/>
            <w:shd w:val="clear" w:color="auto" w:fill="FFFFFF" w:themeFill="background1"/>
            <w:vAlign w:val="center"/>
          </w:tcPr>
          <w:p w14:paraId="4FE72369" w14:textId="77777777" w:rsidR="00EB242E" w:rsidRPr="004B1700" w:rsidRDefault="00EB242E" w:rsidP="00AE72CB">
            <w:pPr>
              <w:pStyle w:val="Tablehead"/>
            </w:pPr>
            <w:r w:rsidRPr="004B1700">
              <w:t>Radio service</w:t>
            </w:r>
          </w:p>
        </w:tc>
        <w:tc>
          <w:tcPr>
            <w:tcW w:w="1701" w:type="dxa"/>
            <w:shd w:val="clear" w:color="auto" w:fill="FFFFFF" w:themeFill="background1"/>
            <w:vAlign w:val="center"/>
          </w:tcPr>
          <w:p w14:paraId="7146505A" w14:textId="77777777" w:rsidR="00EB242E" w:rsidRPr="004B1700" w:rsidRDefault="00EB242E" w:rsidP="00AE72CB">
            <w:pPr>
              <w:pStyle w:val="Tablehead"/>
            </w:pPr>
            <w:r w:rsidRPr="004B1700">
              <w:t>Frequency assignments number</w:t>
            </w:r>
          </w:p>
        </w:tc>
        <w:tc>
          <w:tcPr>
            <w:tcW w:w="1701" w:type="dxa"/>
            <w:shd w:val="clear" w:color="auto" w:fill="FFFFFF" w:themeFill="background1"/>
            <w:vAlign w:val="center"/>
          </w:tcPr>
          <w:p w14:paraId="31858B66" w14:textId="77777777" w:rsidR="00EB242E" w:rsidRPr="004B1700" w:rsidRDefault="00EB242E" w:rsidP="00AE72CB">
            <w:pPr>
              <w:pStyle w:val="Tablehead"/>
            </w:pPr>
            <w:r w:rsidRPr="004B1700">
              <w:t>Radio service</w:t>
            </w:r>
          </w:p>
        </w:tc>
        <w:tc>
          <w:tcPr>
            <w:tcW w:w="1843" w:type="dxa"/>
            <w:shd w:val="clear" w:color="auto" w:fill="FFFFFF" w:themeFill="background1"/>
            <w:vAlign w:val="center"/>
          </w:tcPr>
          <w:p w14:paraId="6B41A7E3" w14:textId="77777777" w:rsidR="00EB242E" w:rsidRPr="004B1700" w:rsidRDefault="00EB242E" w:rsidP="00AE72CB">
            <w:pPr>
              <w:pStyle w:val="Tablehead"/>
            </w:pPr>
            <w:r w:rsidRPr="004B1700">
              <w:t>Frequency assignments number</w:t>
            </w:r>
          </w:p>
        </w:tc>
      </w:tr>
      <w:tr w:rsidR="00EB242E" w:rsidRPr="00853C9F" w14:paraId="6810E827" w14:textId="77777777" w:rsidTr="004B1700">
        <w:tc>
          <w:tcPr>
            <w:tcW w:w="2127" w:type="dxa"/>
            <w:shd w:val="clear" w:color="auto" w:fill="FFFFFF" w:themeFill="background1"/>
          </w:tcPr>
          <w:p w14:paraId="59B91D94" w14:textId="77777777" w:rsidR="00EB242E" w:rsidRPr="004B1700" w:rsidRDefault="00EB242E" w:rsidP="004B1700">
            <w:pPr>
              <w:pStyle w:val="Tabletext"/>
              <w:jc w:val="center"/>
            </w:pPr>
            <w:r w:rsidRPr="004B1700">
              <w:t>D</w:t>
            </w:r>
          </w:p>
        </w:tc>
        <w:tc>
          <w:tcPr>
            <w:tcW w:w="1842" w:type="dxa"/>
            <w:shd w:val="clear" w:color="auto" w:fill="FFFFFF" w:themeFill="background1"/>
          </w:tcPr>
          <w:p w14:paraId="2DB0995F" w14:textId="77777777" w:rsidR="00EB242E" w:rsidRPr="004B1700" w:rsidRDefault="00EB242E" w:rsidP="004B1700">
            <w:pPr>
              <w:pStyle w:val="Tabletext"/>
              <w:jc w:val="center"/>
            </w:pPr>
            <w:r w:rsidRPr="004B1700">
              <w:t>FB/ML</w:t>
            </w:r>
          </w:p>
        </w:tc>
        <w:tc>
          <w:tcPr>
            <w:tcW w:w="1701" w:type="dxa"/>
            <w:shd w:val="clear" w:color="auto" w:fill="FFFFFF" w:themeFill="background1"/>
          </w:tcPr>
          <w:p w14:paraId="6AF8ACD9" w14:textId="77777777" w:rsidR="00EB242E" w:rsidRPr="004B1700" w:rsidRDefault="00EB242E" w:rsidP="004B1700">
            <w:pPr>
              <w:pStyle w:val="Tabletext"/>
              <w:jc w:val="center"/>
            </w:pPr>
            <w:r w:rsidRPr="004B1700">
              <w:t>3</w:t>
            </w:r>
          </w:p>
        </w:tc>
        <w:tc>
          <w:tcPr>
            <w:tcW w:w="1701" w:type="dxa"/>
            <w:shd w:val="clear" w:color="auto" w:fill="FFFFFF" w:themeFill="background1"/>
          </w:tcPr>
          <w:p w14:paraId="610BEAC7" w14:textId="77777777" w:rsidR="00EB242E" w:rsidRPr="004B1700" w:rsidRDefault="00EB242E" w:rsidP="004B1700">
            <w:pPr>
              <w:pStyle w:val="Tabletext"/>
              <w:jc w:val="center"/>
            </w:pPr>
          </w:p>
        </w:tc>
        <w:tc>
          <w:tcPr>
            <w:tcW w:w="1843" w:type="dxa"/>
            <w:shd w:val="clear" w:color="auto" w:fill="FFFFFF" w:themeFill="background1"/>
          </w:tcPr>
          <w:p w14:paraId="213ACE81" w14:textId="77777777" w:rsidR="00EB242E" w:rsidRPr="004B1700" w:rsidRDefault="00EB242E" w:rsidP="004B1700">
            <w:pPr>
              <w:pStyle w:val="Tabletext"/>
              <w:jc w:val="center"/>
            </w:pPr>
          </w:p>
        </w:tc>
      </w:tr>
      <w:tr w:rsidR="00EB242E" w:rsidRPr="00853C9F" w14:paraId="60633B45" w14:textId="77777777" w:rsidTr="004B1700">
        <w:tc>
          <w:tcPr>
            <w:tcW w:w="2127" w:type="dxa"/>
            <w:shd w:val="clear" w:color="auto" w:fill="FFFFFF" w:themeFill="background1"/>
          </w:tcPr>
          <w:p w14:paraId="6BA71055" w14:textId="77777777" w:rsidR="00EB242E" w:rsidRPr="004B1700" w:rsidRDefault="00EB242E" w:rsidP="004B1700">
            <w:pPr>
              <w:pStyle w:val="Tabletext"/>
              <w:jc w:val="center"/>
            </w:pPr>
            <w:r w:rsidRPr="004B1700">
              <w:t>I</w:t>
            </w:r>
          </w:p>
        </w:tc>
        <w:tc>
          <w:tcPr>
            <w:tcW w:w="1842" w:type="dxa"/>
            <w:shd w:val="clear" w:color="auto" w:fill="FFFFFF" w:themeFill="background1"/>
          </w:tcPr>
          <w:p w14:paraId="032A89DD" w14:textId="77777777" w:rsidR="00EB242E" w:rsidRPr="004B1700" w:rsidRDefault="00EB242E" w:rsidP="004B1700">
            <w:pPr>
              <w:pStyle w:val="Tabletext"/>
              <w:jc w:val="center"/>
            </w:pPr>
            <w:r w:rsidRPr="004B1700">
              <w:t>FB/ML</w:t>
            </w:r>
          </w:p>
        </w:tc>
        <w:tc>
          <w:tcPr>
            <w:tcW w:w="1701" w:type="dxa"/>
            <w:shd w:val="clear" w:color="auto" w:fill="FFFFFF" w:themeFill="background1"/>
          </w:tcPr>
          <w:p w14:paraId="11F795DD" w14:textId="77777777" w:rsidR="00EB242E" w:rsidRPr="004B1700" w:rsidRDefault="00EB242E" w:rsidP="004B1700">
            <w:pPr>
              <w:pStyle w:val="Tabletext"/>
              <w:jc w:val="center"/>
            </w:pPr>
            <w:r w:rsidRPr="004B1700">
              <w:t>3</w:t>
            </w:r>
          </w:p>
        </w:tc>
        <w:tc>
          <w:tcPr>
            <w:tcW w:w="1701" w:type="dxa"/>
            <w:shd w:val="clear" w:color="auto" w:fill="FFFFFF" w:themeFill="background1"/>
          </w:tcPr>
          <w:p w14:paraId="623D0A10" w14:textId="77777777" w:rsidR="00EB242E" w:rsidRPr="004B1700" w:rsidRDefault="00EB242E" w:rsidP="004B1700">
            <w:pPr>
              <w:pStyle w:val="Tabletext"/>
              <w:jc w:val="center"/>
            </w:pPr>
            <w:r w:rsidRPr="004B1700">
              <w:t>FX</w:t>
            </w:r>
          </w:p>
        </w:tc>
        <w:tc>
          <w:tcPr>
            <w:tcW w:w="1843" w:type="dxa"/>
            <w:shd w:val="clear" w:color="auto" w:fill="FFFFFF" w:themeFill="background1"/>
          </w:tcPr>
          <w:p w14:paraId="5AB8034B" w14:textId="77777777" w:rsidR="00EB242E" w:rsidRPr="004B1700" w:rsidRDefault="00EB242E" w:rsidP="004B1700">
            <w:pPr>
              <w:pStyle w:val="Tabletext"/>
              <w:jc w:val="center"/>
            </w:pPr>
            <w:r w:rsidRPr="004B1700">
              <w:t>4</w:t>
            </w:r>
          </w:p>
        </w:tc>
      </w:tr>
    </w:tbl>
    <w:p w14:paraId="59E5BCE7" w14:textId="77777777" w:rsidR="00EB242E" w:rsidRPr="00853C9F" w:rsidRDefault="00EB242E" w:rsidP="004B1700">
      <w:pPr>
        <w:pStyle w:val="Tablefin"/>
        <w:rPr>
          <w:lang w:val="en-US" w:eastAsia="zh-CN"/>
        </w:rPr>
      </w:pPr>
    </w:p>
    <w:p w14:paraId="5D8CC6E7" w14:textId="6FFD01E8" w:rsidR="00EB242E" w:rsidRPr="00853C9F" w:rsidRDefault="00EB242E" w:rsidP="001549CF">
      <w:pPr>
        <w:pStyle w:val="Heading2"/>
        <w:rPr>
          <w:lang w:val="en-US"/>
        </w:rPr>
      </w:pPr>
      <w:bookmarkStart w:id="32" w:name="_Toc449639005"/>
      <w:bookmarkStart w:id="33" w:name="_Toc451373079"/>
      <w:bookmarkStart w:id="34" w:name="_Toc451353758"/>
      <w:r w:rsidRPr="00853C9F">
        <w:rPr>
          <w:lang w:val="en-US"/>
        </w:rPr>
        <w:t>5.2</w:t>
      </w:r>
      <w:r w:rsidR="001549CF" w:rsidRPr="00853C9F">
        <w:rPr>
          <w:lang w:val="en-US"/>
        </w:rPr>
        <w:tab/>
      </w:r>
      <w:r w:rsidRPr="00853C9F">
        <w:rPr>
          <w:lang w:val="en-US"/>
        </w:rPr>
        <w:t>Fixed Service</w:t>
      </w:r>
      <w:bookmarkEnd w:id="32"/>
      <w:bookmarkEnd w:id="33"/>
      <w:bookmarkEnd w:id="34"/>
    </w:p>
    <w:p w14:paraId="7CB775B7" w14:textId="77777777" w:rsidR="00EB242E" w:rsidRPr="00853C9F" w:rsidRDefault="00EB242E" w:rsidP="00EB242E">
      <w:pPr>
        <w:rPr>
          <w:lang w:val="en-US" w:eastAsia="zh-CN"/>
        </w:rPr>
      </w:pPr>
      <w:r w:rsidRPr="00853C9F">
        <w:rPr>
          <w:lang w:val="en-US" w:eastAsia="zh-CN"/>
        </w:rPr>
        <w:t>[TBD]</w:t>
      </w:r>
    </w:p>
    <w:p w14:paraId="252BD99B" w14:textId="01102E76" w:rsidR="00EB242E" w:rsidRPr="00853C9F" w:rsidRDefault="00EB242E" w:rsidP="001549CF">
      <w:pPr>
        <w:pStyle w:val="Heading2"/>
        <w:rPr>
          <w:lang w:val="en-US"/>
        </w:rPr>
      </w:pPr>
      <w:bookmarkStart w:id="35" w:name="_Toc449639006"/>
      <w:bookmarkStart w:id="36" w:name="_Toc451373080"/>
      <w:bookmarkStart w:id="37" w:name="_Toc451353759"/>
      <w:r w:rsidRPr="00853C9F">
        <w:rPr>
          <w:lang w:val="en-US"/>
        </w:rPr>
        <w:t>5.3</w:t>
      </w:r>
      <w:r w:rsidR="001549CF" w:rsidRPr="00853C9F">
        <w:rPr>
          <w:lang w:val="en-US"/>
        </w:rPr>
        <w:tab/>
      </w:r>
      <w:r w:rsidRPr="00853C9F">
        <w:rPr>
          <w:lang w:val="en-US"/>
        </w:rPr>
        <w:t>Radiolocation Service</w:t>
      </w:r>
      <w:bookmarkEnd w:id="35"/>
      <w:bookmarkEnd w:id="36"/>
      <w:bookmarkEnd w:id="37"/>
    </w:p>
    <w:p w14:paraId="1E47C6FC" w14:textId="59E7161E" w:rsidR="00EB242E" w:rsidRPr="00853C9F" w:rsidRDefault="00EB242E" w:rsidP="00EB242E">
      <w:pPr>
        <w:rPr>
          <w:lang w:val="en-US"/>
        </w:rPr>
      </w:pPr>
      <w:r w:rsidRPr="00853C9F">
        <w:rPr>
          <w:lang w:val="en-US"/>
        </w:rPr>
        <w:t xml:space="preserve">In the frequency band 46-68 MHz, </w:t>
      </w:r>
      <w:r w:rsidR="004B1700">
        <w:rPr>
          <w:lang w:val="en-US"/>
        </w:rPr>
        <w:t xml:space="preserve">RR </w:t>
      </w:r>
      <w:r w:rsidRPr="00853C9F">
        <w:rPr>
          <w:lang w:val="en-US"/>
        </w:rPr>
        <w:t xml:space="preserve">No. </w:t>
      </w:r>
      <w:r w:rsidRPr="00853C9F">
        <w:rPr>
          <w:b/>
          <w:bCs/>
          <w:lang w:val="en-US"/>
        </w:rPr>
        <w:t>5.162A</w:t>
      </w:r>
      <w:r w:rsidRPr="00853C9F">
        <w:rPr>
          <w:lang w:val="en-US"/>
        </w:rPr>
        <w:t xml:space="preserve"> provides an additional allocation to the radiolocation service on a secondary basis in a number of countries, limited to the operation of wind profiler radars in accordance with Resolution </w:t>
      </w:r>
      <w:r w:rsidRPr="00853C9F">
        <w:rPr>
          <w:b/>
          <w:lang w:val="en-US"/>
        </w:rPr>
        <w:t>217 (WRC-97)</w:t>
      </w:r>
      <w:r w:rsidRPr="00853C9F">
        <w:rPr>
          <w:lang w:val="en-US"/>
        </w:rPr>
        <w:t>.</w:t>
      </w:r>
    </w:p>
    <w:p w14:paraId="41185076" w14:textId="77777777" w:rsidR="00EB242E" w:rsidRPr="00853C9F" w:rsidRDefault="00EB242E" w:rsidP="00EB242E">
      <w:pPr>
        <w:rPr>
          <w:lang w:val="en-US"/>
        </w:rPr>
      </w:pPr>
      <w:r w:rsidRPr="00853C9F">
        <w:rPr>
          <w:rFonts w:eastAsia="Calibri"/>
          <w:lang w:val="en-US"/>
        </w:rPr>
        <w:t>The MIFR has no information about frequency assignments to</w:t>
      </w:r>
      <w:r w:rsidRPr="00853C9F">
        <w:rPr>
          <w:lang w:val="en-US"/>
        </w:rPr>
        <w:t xml:space="preserve"> wind profilers in the frequency band 50-54 MHz. </w:t>
      </w:r>
    </w:p>
    <w:p w14:paraId="5CD387D9" w14:textId="64D32587" w:rsidR="00EB242E" w:rsidRPr="00853C9F" w:rsidRDefault="00EB242E" w:rsidP="00EB242E">
      <w:pPr>
        <w:pStyle w:val="Heading2"/>
        <w:rPr>
          <w:lang w:val="en-US"/>
        </w:rPr>
      </w:pPr>
      <w:bookmarkStart w:id="38" w:name="_Toc449639007"/>
      <w:bookmarkStart w:id="39" w:name="_Toc451373081"/>
      <w:bookmarkStart w:id="40" w:name="_Toc451353760"/>
      <w:r w:rsidRPr="00853C9F">
        <w:rPr>
          <w:lang w:val="en-US"/>
        </w:rPr>
        <w:t xml:space="preserve">5.4 </w:t>
      </w:r>
      <w:r w:rsidR="001549CF" w:rsidRPr="00853C9F">
        <w:rPr>
          <w:lang w:val="en-US"/>
        </w:rPr>
        <w:tab/>
      </w:r>
      <w:r w:rsidRPr="00853C9F">
        <w:rPr>
          <w:lang w:val="en-US"/>
        </w:rPr>
        <w:t>Broadcasting Service</w:t>
      </w:r>
      <w:bookmarkEnd w:id="38"/>
      <w:bookmarkEnd w:id="39"/>
      <w:bookmarkEnd w:id="40"/>
    </w:p>
    <w:p w14:paraId="3A0F6686" w14:textId="77777777" w:rsidR="00EB242E" w:rsidRPr="00853C9F" w:rsidRDefault="00EB242E" w:rsidP="00EB242E">
      <w:pPr>
        <w:pStyle w:val="Headingb"/>
        <w:rPr>
          <w:lang w:val="en-US"/>
        </w:rPr>
      </w:pPr>
      <w:r w:rsidRPr="00853C9F">
        <w:rPr>
          <w:lang w:val="en-US" w:eastAsia="zh-CN"/>
        </w:rPr>
        <w:t>Occupancy of</w:t>
      </w:r>
      <w:r w:rsidRPr="00853C9F">
        <w:rPr>
          <w:lang w:val="en-US"/>
        </w:rPr>
        <w:t xml:space="preserve"> the frequency band 50-54 MHz by broadcasting service stations</w:t>
      </w:r>
    </w:p>
    <w:p w14:paraId="7BDD0296" w14:textId="4B2DDFAB" w:rsidR="00EB242E" w:rsidRPr="00853C9F" w:rsidRDefault="00EB242E" w:rsidP="00EB242E">
      <w:pPr>
        <w:rPr>
          <w:lang w:val="en-US"/>
        </w:rPr>
      </w:pPr>
      <w:r w:rsidRPr="00853C9F">
        <w:rPr>
          <w:lang w:val="en-US"/>
        </w:rPr>
        <w:t>The frequency band 47</w:t>
      </w:r>
      <w:r w:rsidRPr="00853C9F">
        <w:rPr>
          <w:lang w:val="en-US"/>
        </w:rPr>
        <w:noBreakHyphen/>
        <w:t>68 MHz is allocated to the broadcasting service on a primary basis in Region 1.</w:t>
      </w:r>
    </w:p>
    <w:p w14:paraId="68B92183" w14:textId="77777777" w:rsidR="00EB242E" w:rsidRPr="00853C9F" w:rsidRDefault="00EB242E" w:rsidP="00EB242E">
      <w:pPr>
        <w:rPr>
          <w:lang w:val="en-US"/>
        </w:rPr>
      </w:pPr>
      <w:r w:rsidRPr="00853C9F">
        <w:rPr>
          <w:lang w:val="en-US"/>
        </w:rPr>
        <w:t>According to the ITU-R eQry database, there are 353 broadcasting transmitters recorded in the ST61 and GE89 plans are using the frequency band 50-54 MHz.</w:t>
      </w:r>
    </w:p>
    <w:p w14:paraId="21478385" w14:textId="77777777" w:rsidR="00EB242E" w:rsidRPr="00853C9F" w:rsidRDefault="00EB242E" w:rsidP="00EB242E">
      <w:pPr>
        <w:rPr>
          <w:lang w:val="en-US"/>
        </w:rPr>
      </w:pPr>
      <w:r w:rsidRPr="00853C9F">
        <w:rPr>
          <w:lang w:val="en-US"/>
        </w:rPr>
        <w:t>The MIFR contains 515 broadcasting transmitters in the frequency band 50-54 MHz in Region 1.</w:t>
      </w:r>
    </w:p>
    <w:p w14:paraId="4F8D527E" w14:textId="77777777" w:rsidR="00EB242E" w:rsidRPr="00853C9F" w:rsidRDefault="00EB242E" w:rsidP="00EB242E">
      <w:pPr>
        <w:rPr>
          <w:lang w:val="en-US"/>
        </w:rPr>
      </w:pPr>
      <w:r w:rsidRPr="00853C9F">
        <w:rPr>
          <w:lang w:val="en-US"/>
        </w:rPr>
        <w:t>It should be noted, however, that the actual occupancy of the frequency band 50-54 MHz in Region 1 by broadcasting service stations may differ from the MIFR data.</w:t>
      </w:r>
    </w:p>
    <w:p w14:paraId="2570E3C3" w14:textId="11485312" w:rsidR="00EB242E" w:rsidRPr="00853C9F" w:rsidRDefault="00EB242E" w:rsidP="00EB242E">
      <w:pPr>
        <w:rPr>
          <w:lang w:val="en-US" w:eastAsia="zh-CN"/>
        </w:rPr>
      </w:pPr>
      <w:r w:rsidRPr="00853C9F">
        <w:rPr>
          <w:lang w:val="en-US" w:eastAsia="zh-CN"/>
        </w:rPr>
        <w:t>WP</w:t>
      </w:r>
      <w:r w:rsidR="004B1700">
        <w:rPr>
          <w:lang w:val="en-US" w:eastAsia="zh-CN"/>
        </w:rPr>
        <w:t> </w:t>
      </w:r>
      <w:r w:rsidRPr="00853C9F">
        <w:rPr>
          <w:lang w:val="en-US" w:eastAsia="zh-CN"/>
        </w:rPr>
        <w:t xml:space="preserve">6A advised that </w:t>
      </w:r>
      <w:commentRangeStart w:id="41"/>
      <w:r w:rsidRPr="00853C9F">
        <w:rPr>
          <w:lang w:val="en-US" w:eastAsia="zh-CN"/>
        </w:rPr>
        <w:t>the</w:t>
      </w:r>
      <w:commentRangeEnd w:id="41"/>
      <w:r w:rsidRPr="00853C9F">
        <w:rPr>
          <w:rStyle w:val="CommentReference"/>
          <w:lang w:val="en-US"/>
        </w:rPr>
        <w:commentReference w:id="41"/>
      </w:r>
      <w:r w:rsidRPr="00853C9F">
        <w:rPr>
          <w:lang w:val="en-US" w:eastAsia="zh-CN"/>
        </w:rPr>
        <w:t xml:space="preserve"> following ITU texts are relevant to the sharing analysis:</w:t>
      </w:r>
    </w:p>
    <w:p w14:paraId="76DE651C" w14:textId="009FF0EC" w:rsidR="00EB242E" w:rsidRPr="00853C9F" w:rsidRDefault="00A86133" w:rsidP="004B1700">
      <w:pPr>
        <w:pStyle w:val="enumlev1"/>
        <w:rPr>
          <w:lang w:val="en-US"/>
        </w:rPr>
      </w:pPr>
      <w:r w:rsidRPr="00853C9F">
        <w:rPr>
          <w:lang w:val="en-US"/>
        </w:rPr>
        <w:t>–</w:t>
      </w:r>
      <w:r w:rsidRPr="00853C9F">
        <w:rPr>
          <w:lang w:val="en-US"/>
        </w:rPr>
        <w:tab/>
      </w:r>
      <w:r w:rsidR="00EB242E" w:rsidRPr="00853C9F">
        <w:rPr>
          <w:lang w:val="en-US"/>
        </w:rPr>
        <w:t>Report ITU-R BT. 2387-0 (07/2015) contains information on responses from administrations on use of various frequency bands, including 50-54 MHz</w:t>
      </w:r>
      <w:r w:rsidR="004B1700">
        <w:rPr>
          <w:lang w:val="en-US"/>
        </w:rPr>
        <w:t xml:space="preserve"> </w:t>
      </w:r>
      <w:r w:rsidR="00EB242E" w:rsidRPr="00853C9F">
        <w:rPr>
          <w:lang w:val="en-US"/>
        </w:rPr>
        <w:t>for</w:t>
      </w:r>
      <w:r w:rsidR="004B1700">
        <w:rPr>
          <w:lang w:val="en-US"/>
        </w:rPr>
        <w:t> </w:t>
      </w:r>
      <w:r w:rsidR="00EB242E" w:rsidRPr="00853C9F">
        <w:rPr>
          <w:lang w:val="en-US"/>
        </w:rPr>
        <w:t>broadcasting.</w:t>
      </w:r>
    </w:p>
    <w:p w14:paraId="4CD9E8FE" w14:textId="385F0961" w:rsidR="00EB242E" w:rsidRPr="00853C9F" w:rsidRDefault="00A86133" w:rsidP="004B1700">
      <w:pPr>
        <w:pStyle w:val="enumlev1"/>
        <w:rPr>
          <w:lang w:val="en-US"/>
        </w:rPr>
      </w:pPr>
      <w:r w:rsidRPr="00853C9F">
        <w:rPr>
          <w:lang w:val="en-US"/>
        </w:rPr>
        <w:t>–</w:t>
      </w:r>
      <w:r w:rsidRPr="00853C9F">
        <w:rPr>
          <w:lang w:val="en-US"/>
        </w:rPr>
        <w:tab/>
      </w:r>
      <w:r w:rsidR="00EB242E" w:rsidRPr="00853C9F">
        <w:rPr>
          <w:lang w:val="en-US"/>
        </w:rPr>
        <w:t>Recommendation ITU-R BT.1368 Planning criteria, including protection ratios,</w:t>
      </w:r>
      <w:r w:rsidR="004B1700">
        <w:rPr>
          <w:lang w:val="en-US"/>
        </w:rPr>
        <w:t xml:space="preserve"> </w:t>
      </w:r>
      <w:r w:rsidR="00EB242E" w:rsidRPr="00853C9F">
        <w:rPr>
          <w:lang w:val="en-US"/>
        </w:rPr>
        <w:t>for</w:t>
      </w:r>
      <w:r w:rsidR="004B1700">
        <w:rPr>
          <w:lang w:val="en-US"/>
        </w:rPr>
        <w:t> </w:t>
      </w:r>
      <w:r w:rsidR="00EB242E" w:rsidRPr="00853C9F">
        <w:rPr>
          <w:lang w:val="en-US"/>
        </w:rPr>
        <w:t>digital terrestrial television services in the VHF/UHF bands.</w:t>
      </w:r>
    </w:p>
    <w:p w14:paraId="5ECC41FF" w14:textId="76B172A6" w:rsidR="00EB242E" w:rsidRPr="00853C9F" w:rsidRDefault="00A86133" w:rsidP="00A20F98">
      <w:pPr>
        <w:pStyle w:val="enumlev1"/>
        <w:rPr>
          <w:lang w:val="en-US"/>
        </w:rPr>
      </w:pPr>
      <w:r w:rsidRPr="00853C9F">
        <w:rPr>
          <w:lang w:val="en-US"/>
        </w:rPr>
        <w:t>–</w:t>
      </w:r>
      <w:r w:rsidRPr="00853C9F">
        <w:rPr>
          <w:lang w:val="en-US"/>
        </w:rPr>
        <w:tab/>
      </w:r>
      <w:r w:rsidR="00EB242E" w:rsidRPr="00853C9F">
        <w:rPr>
          <w:lang w:val="en-US"/>
        </w:rPr>
        <w:t>Recommendation ITU-R BT.2033 Planning criteria, including protection ratios,</w:t>
      </w:r>
      <w:r w:rsidR="00A20F98">
        <w:rPr>
          <w:lang w:val="en-US"/>
        </w:rPr>
        <w:t xml:space="preserve"> </w:t>
      </w:r>
      <w:r w:rsidR="00EB242E" w:rsidRPr="00853C9F">
        <w:rPr>
          <w:lang w:val="en-US"/>
        </w:rPr>
        <w:t>for</w:t>
      </w:r>
      <w:r w:rsidR="00A20F98">
        <w:rPr>
          <w:lang w:val="en-US"/>
        </w:rPr>
        <w:t> </w:t>
      </w:r>
      <w:r w:rsidR="00EB242E" w:rsidRPr="00853C9F">
        <w:rPr>
          <w:lang w:val="en-US"/>
        </w:rPr>
        <w:t>second generation of digital terrestrial television broadcasting systems in the VHF/UHF bands.</w:t>
      </w:r>
    </w:p>
    <w:p w14:paraId="5D0CB8CA" w14:textId="27AAE8B5" w:rsidR="00EB242E" w:rsidRPr="00853C9F" w:rsidRDefault="00A86133" w:rsidP="00A86133">
      <w:pPr>
        <w:pStyle w:val="enumlev1"/>
        <w:rPr>
          <w:lang w:val="en-US"/>
        </w:rPr>
      </w:pPr>
      <w:r w:rsidRPr="00853C9F">
        <w:rPr>
          <w:lang w:val="en-US"/>
        </w:rPr>
        <w:t>–</w:t>
      </w:r>
      <w:r w:rsidRPr="00853C9F">
        <w:rPr>
          <w:lang w:val="en-US"/>
        </w:rPr>
        <w:tab/>
      </w:r>
      <w:r w:rsidR="00EB242E" w:rsidRPr="00853C9F">
        <w:rPr>
          <w:lang w:val="en-US"/>
        </w:rPr>
        <w:t>Recommendation ITU-R SM.851 Sharing between the broadcasting service and the fixed and/or mobile services in the VHF and UHF bands.</w:t>
      </w:r>
    </w:p>
    <w:p w14:paraId="4C19FF77" w14:textId="4D90CA02" w:rsidR="00EB242E" w:rsidRPr="00853C9F" w:rsidRDefault="00A86133" w:rsidP="00A86133">
      <w:pPr>
        <w:pStyle w:val="enumlev1"/>
        <w:rPr>
          <w:lang w:val="en-US"/>
        </w:rPr>
      </w:pPr>
      <w:r w:rsidRPr="00853C9F">
        <w:rPr>
          <w:lang w:val="en-US"/>
        </w:rPr>
        <w:t>–</w:t>
      </w:r>
      <w:r w:rsidRPr="00853C9F">
        <w:rPr>
          <w:lang w:val="en-US"/>
        </w:rPr>
        <w:tab/>
      </w:r>
      <w:r w:rsidR="00EB242E" w:rsidRPr="00853C9F">
        <w:rPr>
          <w:lang w:val="en-US"/>
        </w:rPr>
        <w:t>Final Acts of the European Broadcasting Conference (Stockholm, 1961 as revised in Geneva, 2006) (“ST61”) in the European Broadcasting Area</w:t>
      </w:r>
    </w:p>
    <w:p w14:paraId="34853D9A" w14:textId="65F901DA" w:rsidR="00EB242E" w:rsidRPr="00853C9F" w:rsidRDefault="00A86133" w:rsidP="00A86133">
      <w:pPr>
        <w:pStyle w:val="enumlev1"/>
        <w:rPr>
          <w:lang w:val="en-US"/>
        </w:rPr>
      </w:pPr>
      <w:r w:rsidRPr="00853C9F">
        <w:rPr>
          <w:lang w:val="en-US"/>
        </w:rPr>
        <w:t>–</w:t>
      </w:r>
      <w:r w:rsidRPr="00853C9F">
        <w:rPr>
          <w:lang w:val="en-US"/>
        </w:rPr>
        <w:tab/>
      </w:r>
      <w:r w:rsidR="00EB242E" w:rsidRPr="00853C9F">
        <w:rPr>
          <w:lang w:val="en-US"/>
        </w:rPr>
        <w:t xml:space="preserve">Final Acts of the African Broadcasting Conference (Geneva, 1989 as revised in Geneva, 2006) (“GE89”) in the African Broadcasting Area </w:t>
      </w:r>
      <w:r w:rsidR="00EB242E" w:rsidRPr="00C02C60">
        <w:rPr>
          <w:lang w:val="en-CA"/>
        </w:rPr>
        <w:t>and neighbouring</w:t>
      </w:r>
      <w:r w:rsidR="00EB242E" w:rsidRPr="00853C9F">
        <w:rPr>
          <w:lang w:val="en-US"/>
        </w:rPr>
        <w:t xml:space="preserve"> countries.</w:t>
      </w:r>
      <w:r w:rsidR="00EB242E" w:rsidRPr="00853C9F" w:rsidDel="00A07780">
        <w:rPr>
          <w:lang w:val="en-US"/>
        </w:rPr>
        <w:t xml:space="preserve"> </w:t>
      </w:r>
    </w:p>
    <w:p w14:paraId="76990E04" w14:textId="77777777" w:rsidR="00EB242E" w:rsidRPr="00853C9F" w:rsidRDefault="00EB242E" w:rsidP="00A20F98">
      <w:pPr>
        <w:rPr>
          <w:lang w:val="en-US" w:eastAsia="zh-CN"/>
        </w:rPr>
      </w:pPr>
      <w:r w:rsidRPr="00853C9F">
        <w:rPr>
          <w:lang w:val="en-US" w:eastAsia="zh-CN"/>
        </w:rPr>
        <w:t>[Further work TBD]</w:t>
      </w:r>
    </w:p>
    <w:p w14:paraId="68BB9DD2" w14:textId="6094847E" w:rsidR="00EB242E" w:rsidRPr="00853C9F" w:rsidRDefault="00EB242E" w:rsidP="00A86133">
      <w:pPr>
        <w:pStyle w:val="Heading1"/>
        <w:rPr>
          <w:lang w:val="en-US"/>
        </w:rPr>
      </w:pPr>
      <w:bookmarkStart w:id="42" w:name="_Toc449639008"/>
      <w:bookmarkStart w:id="43" w:name="_Toc451373082"/>
      <w:bookmarkStart w:id="44" w:name="_Toc451353761"/>
      <w:r w:rsidRPr="00853C9F">
        <w:rPr>
          <w:lang w:val="en-US"/>
        </w:rPr>
        <w:t>6</w:t>
      </w:r>
      <w:r w:rsidR="00A86133" w:rsidRPr="00853C9F">
        <w:rPr>
          <w:lang w:val="en-US"/>
        </w:rPr>
        <w:tab/>
      </w:r>
      <w:r w:rsidRPr="00853C9F">
        <w:rPr>
          <w:lang w:val="en-US"/>
        </w:rPr>
        <w:t>Summary</w:t>
      </w:r>
      <w:bookmarkEnd w:id="42"/>
      <w:bookmarkEnd w:id="43"/>
      <w:bookmarkEnd w:id="44"/>
    </w:p>
    <w:p w14:paraId="00A27090" w14:textId="77777777" w:rsidR="00EB242E" w:rsidRPr="00853C9F" w:rsidRDefault="00EB242E" w:rsidP="00EB242E">
      <w:pPr>
        <w:rPr>
          <w:lang w:val="en-US" w:eastAsia="zh-CN"/>
        </w:rPr>
      </w:pPr>
      <w:r w:rsidRPr="00853C9F">
        <w:rPr>
          <w:lang w:val="en-US" w:eastAsia="zh-CN"/>
        </w:rPr>
        <w:t>[TBD]</w:t>
      </w:r>
    </w:p>
    <w:p w14:paraId="07DEC385" w14:textId="77777777" w:rsidR="00EB242E" w:rsidRPr="00853C9F" w:rsidRDefault="00EB242E" w:rsidP="00A86133">
      <w:pPr>
        <w:rPr>
          <w:szCs w:val="24"/>
          <w:lang w:val="en-US"/>
        </w:rPr>
      </w:pPr>
      <w:r w:rsidRPr="00853C9F">
        <w:rPr>
          <w:lang w:val="en-US"/>
        </w:rPr>
        <w:t>In view of the above and for better realization on WRC-19 agenda item 1.1 work, it is appropriate to encourage Administrations to provide information on the current occupancy and use of the frequency band 50-54 MHz, the technical characteristics of existing/planned applications of mobile, fixed, radiolocation and broadcasting service stations to ensure protection of those services, as well as other details of the use of stations of various radio services in the frequency band 50-54 MHz and Administrations’ requirements for additional spectrum for the amateur service in the frequency band 50-54 MHz.</w:t>
      </w:r>
      <w:r w:rsidRPr="00853C9F">
        <w:rPr>
          <w:szCs w:val="24"/>
          <w:lang w:val="en-US"/>
        </w:rPr>
        <w:t xml:space="preserve"> </w:t>
      </w:r>
    </w:p>
    <w:p w14:paraId="4A40FA25" w14:textId="77777777" w:rsidR="000069D4" w:rsidRPr="00853C9F" w:rsidRDefault="000069D4" w:rsidP="00DD4BED">
      <w:pPr>
        <w:rPr>
          <w:lang w:val="en-US" w:eastAsia="zh-CN"/>
        </w:rPr>
      </w:pPr>
    </w:p>
    <w:p w14:paraId="22CA5CB5" w14:textId="77777777" w:rsidR="00A86133" w:rsidRPr="00853C9F" w:rsidRDefault="00A86133" w:rsidP="001D3240">
      <w:pPr>
        <w:pStyle w:val="Reasons"/>
        <w:rPr>
          <w:lang w:val="en-US"/>
        </w:rPr>
      </w:pPr>
    </w:p>
    <w:p w14:paraId="3CABB84E" w14:textId="3FB5A930" w:rsidR="00A86133" w:rsidRPr="00853C9F" w:rsidRDefault="00A86133" w:rsidP="00A86133">
      <w:pPr>
        <w:jc w:val="center"/>
        <w:rPr>
          <w:lang w:val="en-US"/>
        </w:rPr>
      </w:pPr>
      <w:r w:rsidRPr="00853C9F">
        <w:rPr>
          <w:lang w:val="en-US"/>
        </w:rPr>
        <w:t>______________</w:t>
      </w:r>
    </w:p>
    <w:sectPr w:rsidR="00A86133" w:rsidRPr="00853C9F"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Dale Hughes" w:date="2016-05-16T18:13:00Z" w:initials="D">
    <w:p w14:paraId="3C1D8519" w14:textId="77777777" w:rsidR="001D3240" w:rsidRDefault="001D3240">
      <w:pPr>
        <w:pStyle w:val="CommentText"/>
      </w:pPr>
      <w:r>
        <w:rPr>
          <w:rStyle w:val="CommentReference"/>
        </w:rPr>
        <w:annotationRef/>
      </w:r>
      <w:r>
        <w:t>Ended here 10:16 May 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1D85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37A5B" w14:textId="77777777" w:rsidR="001D3240" w:rsidRDefault="001D3240">
      <w:r>
        <w:separator/>
      </w:r>
    </w:p>
  </w:endnote>
  <w:endnote w:type="continuationSeparator" w:id="0">
    <w:p w14:paraId="514B46B6" w14:textId="77777777" w:rsidR="001D3240" w:rsidRDefault="001D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2C3F" w14:textId="1EE3FFA4" w:rsidR="001D3240" w:rsidRPr="001D3240" w:rsidRDefault="001D3240" w:rsidP="001D3240">
    <w:pPr>
      <w:pStyle w:val="Footer"/>
    </w:pPr>
    <w:fldSimple w:instr=" FILENAME \p  \* MERGEFORMAT ">
      <w:r w:rsidR="00A81607">
        <w:t>M:\BRSGD\TEXT2016\SG05\WP5A\100\114\114N15e.docx</w:t>
      </w:r>
    </w:fldSimple>
    <w:r>
      <w:tab/>
    </w:r>
    <w:r>
      <w:fldChar w:fldCharType="begin"/>
    </w:r>
    <w:r>
      <w:instrText xml:space="preserve"> SAVEDATE \@ DD.MM.YY </w:instrText>
    </w:r>
    <w:r>
      <w:fldChar w:fldCharType="separate"/>
    </w:r>
    <w:r w:rsidR="00A81607">
      <w:t>23.05.16</w:t>
    </w:r>
    <w:r>
      <w:fldChar w:fldCharType="end"/>
    </w:r>
    <w:r>
      <w:tab/>
    </w:r>
    <w:r>
      <w:fldChar w:fldCharType="begin"/>
    </w:r>
    <w:r>
      <w:instrText xml:space="preserve"> PRINTDATE \@ DD.MM.YY </w:instrText>
    </w:r>
    <w:r>
      <w:fldChar w:fldCharType="separate"/>
    </w:r>
    <w:r w:rsidR="00A81607">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D959F" w14:textId="2608B6BE" w:rsidR="001D3240" w:rsidRPr="001D3240" w:rsidRDefault="001D3240" w:rsidP="001D3240">
    <w:pPr>
      <w:pStyle w:val="Footer"/>
    </w:pPr>
    <w:fldSimple w:instr=" FILENAME \p  \* MERGEFORMAT ">
      <w:r w:rsidR="00A81607">
        <w:t>M:\BRSGD\TEXT2016\SG05\WP5A\100\114\114N15e.docx</w:t>
      </w:r>
    </w:fldSimple>
    <w:r>
      <w:tab/>
    </w:r>
    <w:r>
      <w:fldChar w:fldCharType="begin"/>
    </w:r>
    <w:r>
      <w:instrText xml:space="preserve"> SAVEDATE \@ DD.MM.YY </w:instrText>
    </w:r>
    <w:r>
      <w:fldChar w:fldCharType="separate"/>
    </w:r>
    <w:r w:rsidR="00A81607">
      <w:t>23.05.16</w:t>
    </w:r>
    <w:r>
      <w:fldChar w:fldCharType="end"/>
    </w:r>
    <w:r>
      <w:tab/>
    </w:r>
    <w:r>
      <w:fldChar w:fldCharType="begin"/>
    </w:r>
    <w:r>
      <w:instrText xml:space="preserve"> PRINTDATE \@ DD.MM.YY </w:instrText>
    </w:r>
    <w:r>
      <w:fldChar w:fldCharType="separate"/>
    </w:r>
    <w:r w:rsidR="00A81607">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A8ACA" w14:textId="77777777" w:rsidR="001D3240" w:rsidRDefault="001D3240">
      <w:r>
        <w:t>____________________</w:t>
      </w:r>
    </w:p>
  </w:footnote>
  <w:footnote w:type="continuationSeparator" w:id="0">
    <w:p w14:paraId="1730C48F" w14:textId="77777777" w:rsidR="001D3240" w:rsidRDefault="001D3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D7954" w14:textId="77777777" w:rsidR="001D3240" w:rsidRDefault="001D324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81607">
      <w:rPr>
        <w:rStyle w:val="PageNumber"/>
        <w:noProof/>
      </w:rPr>
      <w:t>2</w:t>
    </w:r>
    <w:r>
      <w:rPr>
        <w:rStyle w:val="PageNumber"/>
      </w:rPr>
      <w:fldChar w:fldCharType="end"/>
    </w:r>
    <w:r>
      <w:rPr>
        <w:rStyle w:val="PageNumber"/>
      </w:rPr>
      <w:t xml:space="preserve"> -</w:t>
    </w:r>
  </w:p>
  <w:p w14:paraId="061466C8" w14:textId="1115052B" w:rsidR="001D3240" w:rsidRDefault="001D3240">
    <w:pPr>
      <w:pStyle w:val="Header"/>
      <w:rPr>
        <w:lang w:val="en-US"/>
      </w:rPr>
    </w:pPr>
    <w:r>
      <w:rPr>
        <w:lang w:val="en-US"/>
      </w:rPr>
      <w:t>5A/114 (Annex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26E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76D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01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8C6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A85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4CB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764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1A5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A08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38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7D17"/>
    <w:multiLevelType w:val="hybridMultilevel"/>
    <w:tmpl w:val="6ECE6478"/>
    <w:lvl w:ilvl="0" w:tplc="4D1EF9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06F1D"/>
    <w:multiLevelType w:val="hybridMultilevel"/>
    <w:tmpl w:val="1A662FB2"/>
    <w:lvl w:ilvl="0" w:tplc="4D1EF9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425D3"/>
    <w:multiLevelType w:val="multilevel"/>
    <w:tmpl w:val="E3608736"/>
    <w:lvl w:ilvl="0">
      <w:start w:val="1"/>
      <w:numFmt w:val="decimal"/>
      <w:lvlText w:val="%1"/>
      <w:lvlJc w:val="left"/>
      <w:pPr>
        <w:ind w:left="1500" w:hanging="1140"/>
      </w:pPr>
      <w:rPr>
        <w:rFonts w:hint="default"/>
      </w:rPr>
    </w:lvl>
    <w:lvl w:ilvl="1">
      <w:start w:val="2"/>
      <w:numFmt w:val="decimal"/>
      <w:isLgl/>
      <w:lvlText w:val="%1.%2"/>
      <w:lvlJc w:val="left"/>
      <w:pPr>
        <w:ind w:left="1875" w:hanging="735"/>
      </w:pPr>
      <w:rPr>
        <w:rFonts w:hint="default"/>
      </w:rPr>
    </w:lvl>
    <w:lvl w:ilvl="2">
      <w:start w:val="1"/>
      <w:numFmt w:val="decimal"/>
      <w:isLgl/>
      <w:lvlText w:val="%1.%2.%3"/>
      <w:lvlJc w:val="left"/>
      <w:pPr>
        <w:ind w:left="2655" w:hanging="735"/>
      </w:pPr>
      <w:rPr>
        <w:rFonts w:hint="default"/>
      </w:rPr>
    </w:lvl>
    <w:lvl w:ilvl="3">
      <w:start w:val="1"/>
      <w:numFmt w:val="decimal"/>
      <w:isLgl/>
      <w:lvlText w:val="%1.%2.%3.%4"/>
      <w:lvlJc w:val="left"/>
      <w:pPr>
        <w:ind w:left="3435" w:hanging="735"/>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3" w15:restartNumberingAfterBreak="0">
    <w:nsid w:val="345F6C8C"/>
    <w:multiLevelType w:val="multilevel"/>
    <w:tmpl w:val="E3608736"/>
    <w:lvl w:ilvl="0">
      <w:start w:val="1"/>
      <w:numFmt w:val="decimal"/>
      <w:lvlText w:val="%1"/>
      <w:lvlJc w:val="left"/>
      <w:pPr>
        <w:ind w:left="1500" w:hanging="1140"/>
      </w:pPr>
      <w:rPr>
        <w:rFonts w:hint="default"/>
      </w:rPr>
    </w:lvl>
    <w:lvl w:ilvl="1">
      <w:start w:val="2"/>
      <w:numFmt w:val="decimal"/>
      <w:isLgl/>
      <w:lvlText w:val="%1.%2"/>
      <w:lvlJc w:val="left"/>
      <w:pPr>
        <w:ind w:left="1875" w:hanging="735"/>
      </w:pPr>
      <w:rPr>
        <w:rFonts w:hint="default"/>
      </w:rPr>
    </w:lvl>
    <w:lvl w:ilvl="2">
      <w:start w:val="1"/>
      <w:numFmt w:val="decimal"/>
      <w:isLgl/>
      <w:lvlText w:val="%1.%2.%3"/>
      <w:lvlJc w:val="left"/>
      <w:pPr>
        <w:ind w:left="2655" w:hanging="735"/>
      </w:pPr>
      <w:rPr>
        <w:rFonts w:hint="default"/>
      </w:rPr>
    </w:lvl>
    <w:lvl w:ilvl="3">
      <w:start w:val="1"/>
      <w:numFmt w:val="decimal"/>
      <w:isLgl/>
      <w:lvlText w:val="%1.%2.%3.%4"/>
      <w:lvlJc w:val="left"/>
      <w:pPr>
        <w:ind w:left="3435" w:hanging="735"/>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4" w15:restartNumberingAfterBreak="0">
    <w:nsid w:val="6C0837E8"/>
    <w:multiLevelType w:val="hybridMultilevel"/>
    <w:tmpl w:val="3500B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2E"/>
    <w:rsid w:val="000069D4"/>
    <w:rsid w:val="000174AD"/>
    <w:rsid w:val="0003367A"/>
    <w:rsid w:val="00047A1D"/>
    <w:rsid w:val="000604B9"/>
    <w:rsid w:val="000A7D55"/>
    <w:rsid w:val="000C2E8E"/>
    <w:rsid w:val="000E0E7C"/>
    <w:rsid w:val="000F1B4B"/>
    <w:rsid w:val="0012744F"/>
    <w:rsid w:val="00131178"/>
    <w:rsid w:val="001549CF"/>
    <w:rsid w:val="00156F66"/>
    <w:rsid w:val="00163271"/>
    <w:rsid w:val="00182528"/>
    <w:rsid w:val="0018500B"/>
    <w:rsid w:val="00196A19"/>
    <w:rsid w:val="001D3240"/>
    <w:rsid w:val="001D46CF"/>
    <w:rsid w:val="001E2E92"/>
    <w:rsid w:val="00202DC1"/>
    <w:rsid w:val="002116EE"/>
    <w:rsid w:val="002309D8"/>
    <w:rsid w:val="00295860"/>
    <w:rsid w:val="002A7FE2"/>
    <w:rsid w:val="002E1B4F"/>
    <w:rsid w:val="002F2E67"/>
    <w:rsid w:val="002F7CB3"/>
    <w:rsid w:val="00315546"/>
    <w:rsid w:val="00330567"/>
    <w:rsid w:val="00386A9D"/>
    <w:rsid w:val="00391081"/>
    <w:rsid w:val="003B2789"/>
    <w:rsid w:val="003C13CE"/>
    <w:rsid w:val="003E2518"/>
    <w:rsid w:val="003E45D0"/>
    <w:rsid w:val="003E7CEF"/>
    <w:rsid w:val="004B1700"/>
    <w:rsid w:val="004B1EF7"/>
    <w:rsid w:val="004B3FAD"/>
    <w:rsid w:val="00501DCA"/>
    <w:rsid w:val="00513A47"/>
    <w:rsid w:val="005408DF"/>
    <w:rsid w:val="00573344"/>
    <w:rsid w:val="00583F9B"/>
    <w:rsid w:val="005E5C10"/>
    <w:rsid w:val="005F2C78"/>
    <w:rsid w:val="006144E4"/>
    <w:rsid w:val="00650299"/>
    <w:rsid w:val="00655FC5"/>
    <w:rsid w:val="00814E0A"/>
    <w:rsid w:val="00822581"/>
    <w:rsid w:val="008309DD"/>
    <w:rsid w:val="0083227A"/>
    <w:rsid w:val="00853C9F"/>
    <w:rsid w:val="00866900"/>
    <w:rsid w:val="00881BA1"/>
    <w:rsid w:val="008C26B8"/>
    <w:rsid w:val="008F208F"/>
    <w:rsid w:val="00982084"/>
    <w:rsid w:val="00995963"/>
    <w:rsid w:val="009B61EB"/>
    <w:rsid w:val="009C2064"/>
    <w:rsid w:val="009D1697"/>
    <w:rsid w:val="009F3A46"/>
    <w:rsid w:val="00A014F8"/>
    <w:rsid w:val="00A20F98"/>
    <w:rsid w:val="00A5173C"/>
    <w:rsid w:val="00A61AEF"/>
    <w:rsid w:val="00A81607"/>
    <w:rsid w:val="00A86133"/>
    <w:rsid w:val="00AD2345"/>
    <w:rsid w:val="00AE72CB"/>
    <w:rsid w:val="00AF173A"/>
    <w:rsid w:val="00B066A4"/>
    <w:rsid w:val="00B07A13"/>
    <w:rsid w:val="00B1239A"/>
    <w:rsid w:val="00B4279B"/>
    <w:rsid w:val="00B45FC9"/>
    <w:rsid w:val="00B81138"/>
    <w:rsid w:val="00BC7CCF"/>
    <w:rsid w:val="00BE470B"/>
    <w:rsid w:val="00C02C60"/>
    <w:rsid w:val="00C45CE0"/>
    <w:rsid w:val="00C57A91"/>
    <w:rsid w:val="00C66D09"/>
    <w:rsid w:val="00CB7422"/>
    <w:rsid w:val="00CC01C2"/>
    <w:rsid w:val="00CC515C"/>
    <w:rsid w:val="00CF21F2"/>
    <w:rsid w:val="00D02712"/>
    <w:rsid w:val="00D046A7"/>
    <w:rsid w:val="00D214D0"/>
    <w:rsid w:val="00D6546B"/>
    <w:rsid w:val="00DB178B"/>
    <w:rsid w:val="00DC17D3"/>
    <w:rsid w:val="00DD4BED"/>
    <w:rsid w:val="00DE39F0"/>
    <w:rsid w:val="00DF0AF3"/>
    <w:rsid w:val="00DF7E9F"/>
    <w:rsid w:val="00E22BB5"/>
    <w:rsid w:val="00E27D7E"/>
    <w:rsid w:val="00E34289"/>
    <w:rsid w:val="00E42E13"/>
    <w:rsid w:val="00E56922"/>
    <w:rsid w:val="00E56D5C"/>
    <w:rsid w:val="00E6257C"/>
    <w:rsid w:val="00E63C59"/>
    <w:rsid w:val="00EB242E"/>
    <w:rsid w:val="00F25662"/>
    <w:rsid w:val="00F456B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CB5E2"/>
  <w15:docId w15:val="{BDBC7792-28A9-4EA8-A37F-9BD29774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549CF"/>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unhideWhenUsed/>
    <w:rsid w:val="00EB242E"/>
    <w:rPr>
      <w:color w:val="0000FF" w:themeColor="hyperlink"/>
      <w:u w:val="single"/>
    </w:rPr>
  </w:style>
  <w:style w:type="paragraph" w:styleId="ListParagraph">
    <w:name w:val="List Paragraph"/>
    <w:basedOn w:val="Normal"/>
    <w:uiPriority w:val="34"/>
    <w:qFormat/>
    <w:rsid w:val="00EB242E"/>
    <w:pPr>
      <w:ind w:left="720"/>
      <w:contextualSpacing/>
    </w:pPr>
  </w:style>
  <w:style w:type="paragraph" w:styleId="BalloonText">
    <w:name w:val="Balloon Text"/>
    <w:basedOn w:val="Normal"/>
    <w:link w:val="BalloonTextChar"/>
    <w:semiHidden/>
    <w:unhideWhenUsed/>
    <w:rsid w:val="00EB242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B242E"/>
    <w:rPr>
      <w:rFonts w:ascii="Tahoma" w:hAnsi="Tahoma" w:cs="Tahoma"/>
      <w:sz w:val="16"/>
      <w:szCs w:val="16"/>
      <w:lang w:val="en-GB" w:eastAsia="en-US"/>
    </w:rPr>
  </w:style>
  <w:style w:type="character" w:styleId="CommentReference">
    <w:name w:val="annotation reference"/>
    <w:basedOn w:val="DefaultParagraphFont"/>
    <w:semiHidden/>
    <w:unhideWhenUsed/>
    <w:rsid w:val="00EB242E"/>
    <w:rPr>
      <w:sz w:val="16"/>
      <w:szCs w:val="16"/>
    </w:rPr>
  </w:style>
  <w:style w:type="paragraph" w:styleId="CommentText">
    <w:name w:val="annotation text"/>
    <w:basedOn w:val="Normal"/>
    <w:link w:val="CommentTextChar"/>
    <w:semiHidden/>
    <w:unhideWhenUsed/>
    <w:rsid w:val="00EB242E"/>
    <w:rPr>
      <w:sz w:val="20"/>
    </w:rPr>
  </w:style>
  <w:style w:type="character" w:customStyle="1" w:styleId="CommentTextChar">
    <w:name w:val="Comment Text Char"/>
    <w:basedOn w:val="DefaultParagraphFont"/>
    <w:link w:val="CommentText"/>
    <w:semiHidden/>
    <w:rsid w:val="00EB24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B242E"/>
    <w:rPr>
      <w:b/>
      <w:bCs/>
    </w:rPr>
  </w:style>
  <w:style w:type="character" w:customStyle="1" w:styleId="CommentSubjectChar">
    <w:name w:val="Comment Subject Char"/>
    <w:basedOn w:val="CommentTextChar"/>
    <w:link w:val="CommentSubject"/>
    <w:semiHidden/>
    <w:rsid w:val="00EB242E"/>
    <w:rPr>
      <w:rFonts w:ascii="Times New Roman" w:hAnsi="Times New Roman"/>
      <w:b/>
      <w:bCs/>
      <w:lang w:val="en-GB" w:eastAsia="en-US"/>
    </w:rPr>
  </w:style>
  <w:style w:type="character" w:customStyle="1" w:styleId="apple-converted-space">
    <w:name w:val="apple-converted-space"/>
    <w:basedOn w:val="DefaultParagraphFont"/>
    <w:rsid w:val="00EB242E"/>
  </w:style>
  <w:style w:type="character" w:customStyle="1" w:styleId="TabletextChar">
    <w:name w:val="Table_text Char"/>
    <w:basedOn w:val="DefaultParagraphFont"/>
    <w:link w:val="Tabletext"/>
    <w:uiPriority w:val="99"/>
    <w:locked/>
    <w:rsid w:val="00EB242E"/>
    <w:rPr>
      <w:rFonts w:ascii="Times New Roman" w:hAnsi="Times New Roman"/>
      <w:lang w:val="en-GB" w:eastAsia="en-US"/>
    </w:rPr>
  </w:style>
  <w:style w:type="paragraph" w:styleId="NormalWeb">
    <w:name w:val="Normal (Web)"/>
    <w:basedOn w:val="Normal"/>
    <w:uiPriority w:val="99"/>
    <w:unhideWhenUsed/>
    <w:rsid w:val="00EB242E"/>
    <w:pPr>
      <w:tabs>
        <w:tab w:val="clear" w:pos="1134"/>
        <w:tab w:val="clear" w:pos="1871"/>
        <w:tab w:val="clear" w:pos="2268"/>
      </w:tabs>
      <w:overflowPunct/>
      <w:autoSpaceDE/>
      <w:autoSpaceDN/>
      <w:adjustRightInd/>
      <w:spacing w:before="100" w:beforeAutospacing="1" w:after="138" w:line="249" w:lineRule="atLeast"/>
      <w:textAlignment w:val="auto"/>
    </w:pPr>
    <w:rPr>
      <w:rFonts w:ascii="Arial" w:hAnsi="Arial" w:cs="Arial"/>
      <w:sz w:val="17"/>
      <w:szCs w:val="17"/>
      <w:lang w:val="ru-RU" w:eastAsia="ru-RU"/>
    </w:rPr>
  </w:style>
  <w:style w:type="character" w:styleId="Strong">
    <w:name w:val="Strong"/>
    <w:basedOn w:val="DefaultParagraphFont"/>
    <w:uiPriority w:val="22"/>
    <w:qFormat/>
    <w:rsid w:val="00EB242E"/>
    <w:rPr>
      <w:b/>
      <w:bCs/>
    </w:rPr>
  </w:style>
  <w:style w:type="paragraph" w:styleId="TOCHeading">
    <w:name w:val="TOC Heading"/>
    <w:basedOn w:val="Heading1"/>
    <w:next w:val="Normal"/>
    <w:uiPriority w:val="39"/>
    <w:semiHidden/>
    <w:unhideWhenUsed/>
    <w:qFormat/>
    <w:rsid w:val="00EB242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Tablefin">
    <w:name w:val="Table_fin"/>
    <w:basedOn w:val="Normal"/>
    <w:rsid w:val="00C66D09"/>
    <w:pPr>
      <w:tabs>
        <w:tab w:val="clear" w:pos="1134"/>
        <w:tab w:val="clear" w:pos="1871"/>
        <w:tab w:val="clear" w:pos="2268"/>
      </w:tabs>
      <w:overflowPunct/>
      <w:autoSpaceDE/>
      <w:autoSpaceDN/>
      <w:adjustRightInd/>
      <w:spacing w:before="0"/>
      <w:textAlignment w:val="auto"/>
    </w:pPr>
    <w:rPr>
      <w:iCs/>
      <w:sz w:val="20"/>
    </w:rPr>
  </w:style>
  <w:style w:type="table" w:styleId="TableGrid">
    <w:name w:val="Table Grid"/>
    <w:basedOn w:val="TableNormal"/>
    <w:rsid w:val="00CC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8DEC-2209-4489-8DBD-056D0F839423}">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4c6a61cb-1973-4fc6-92ae-f4d7a4471404"/>
    <ds:schemaRef ds:uri="http://purl.org/dc/dcmitype/"/>
  </ds:schemaRefs>
</ds:datastoreItem>
</file>

<file path=customXml/itemProps2.xml><?xml version="1.0" encoding="utf-8"?>
<ds:datastoreItem xmlns:ds="http://schemas.openxmlformats.org/officeDocument/2006/customXml" ds:itemID="{BF750777-8452-473E-8C03-B5E6F304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07872-0688-4CAE-BB03-B0C42237A671}">
  <ds:schemaRefs>
    <ds:schemaRef ds:uri="http://schemas.microsoft.com/sharepoint/v3/contenttype/forms"/>
  </ds:schemaRefs>
</ds:datastoreItem>
</file>

<file path=customXml/itemProps4.xml><?xml version="1.0" encoding="utf-8"?>
<ds:datastoreItem xmlns:ds="http://schemas.openxmlformats.org/officeDocument/2006/customXml" ds:itemID="{0D2B7339-0018-4279-97B9-69BB2992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PE_BR110.dotm</Template>
  <TotalTime>81</TotalTime>
  <Pages>9</Pages>
  <Words>2533</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Fernandez Jimenez, Virginia</cp:lastModifiedBy>
  <cp:revision>4</cp:revision>
  <cp:lastPrinted>2008-02-21T14:04:00Z</cp:lastPrinted>
  <dcterms:created xsi:type="dcterms:W3CDTF">2016-05-23T09:39:00Z</dcterms:created>
  <dcterms:modified xsi:type="dcterms:W3CDTF">2016-05-23T10:59:00Z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