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3A62FD" w:rsidP="003A62FD">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3A62FD" w:rsidRPr="00DC1ED9" w:rsidRDefault="001D7ABF" w:rsidP="003A62FD">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DC1ED9">
              <w:rPr>
                <w:rFonts w:ascii="Verdana" w:hAnsi="Verdana"/>
                <w:sz w:val="20"/>
                <w:lang w:val="fr-CH"/>
              </w:rPr>
              <w:t>Source:</w:t>
            </w:r>
            <w:r w:rsidRPr="00DC1ED9">
              <w:rPr>
                <w:rFonts w:ascii="Verdana" w:hAnsi="Verdana"/>
                <w:sz w:val="20"/>
                <w:lang w:val="fr-CH"/>
              </w:rPr>
              <w:tab/>
              <w:t xml:space="preserve">Document </w:t>
            </w:r>
            <w:r w:rsidR="00DC1ED9" w:rsidRPr="00DC1ED9">
              <w:rPr>
                <w:rFonts w:ascii="Verdana" w:hAnsi="Verdana"/>
                <w:sz w:val="20"/>
                <w:lang w:val="fr-CH"/>
              </w:rPr>
              <w:t>5D/TEMP/300(Rev.1)</w:t>
            </w:r>
          </w:p>
        </w:tc>
        <w:tc>
          <w:tcPr>
            <w:tcW w:w="3402" w:type="dxa"/>
          </w:tcPr>
          <w:p w:rsidR="000069D4" w:rsidRPr="003A62FD" w:rsidRDefault="003A62FD" w:rsidP="00AF2025">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AF2025">
              <w:rPr>
                <w:rFonts w:ascii="Verdana" w:hAnsi="Verdana"/>
                <w:b/>
                <w:sz w:val="20"/>
                <w:lang w:eastAsia="zh-CN"/>
              </w:rPr>
              <w:t>40</w:t>
            </w:r>
            <w:r>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3A62FD" w:rsidRDefault="00BD275A" w:rsidP="00A5173C">
            <w:pPr>
              <w:shd w:val="solid" w:color="FFFFFF" w:fill="FFFFFF"/>
              <w:spacing w:before="0" w:line="240" w:lineRule="atLeast"/>
              <w:rPr>
                <w:rFonts w:ascii="Verdana" w:hAnsi="Verdana"/>
                <w:sz w:val="20"/>
                <w:lang w:eastAsia="zh-CN"/>
              </w:rPr>
            </w:pPr>
            <w:r>
              <w:rPr>
                <w:rFonts w:ascii="Verdana" w:hAnsi="Verdana"/>
                <w:b/>
                <w:sz w:val="20"/>
                <w:lang w:eastAsia="zh-CN"/>
              </w:rPr>
              <w:t>22</w:t>
            </w:r>
            <w:r w:rsidR="003A62FD">
              <w:rPr>
                <w:rFonts w:ascii="Verdana" w:hAnsi="Verdana"/>
                <w:b/>
                <w:sz w:val="20"/>
                <w:lang w:eastAsia="zh-CN"/>
              </w:rPr>
              <w:t xml:space="preserve"> February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3A62FD" w:rsidRDefault="003A62F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DC1ED9" w:rsidP="003A62FD">
            <w:pPr>
              <w:pStyle w:val="Source"/>
              <w:rPr>
                <w:lang w:eastAsia="zh-CN"/>
              </w:rPr>
            </w:pPr>
            <w:bookmarkStart w:id="5" w:name="dsource" w:colFirst="0" w:colLast="0"/>
            <w:bookmarkEnd w:id="4"/>
            <w:r>
              <w:rPr>
                <w:lang w:eastAsia="zh-CN"/>
              </w:rPr>
              <w:t>Working Party 5D</w:t>
            </w:r>
          </w:p>
        </w:tc>
      </w:tr>
      <w:tr w:rsidR="000069D4" w:rsidTr="00D046A7">
        <w:trPr>
          <w:cantSplit/>
        </w:trPr>
        <w:tc>
          <w:tcPr>
            <w:tcW w:w="9889" w:type="dxa"/>
            <w:gridSpan w:val="2"/>
          </w:tcPr>
          <w:p w:rsidR="000069D4" w:rsidRDefault="008408D0" w:rsidP="008408D0">
            <w:pPr>
              <w:pStyle w:val="RepNo"/>
              <w:rPr>
                <w:lang w:eastAsia="zh-CN"/>
              </w:rPr>
            </w:pPr>
            <w:bookmarkStart w:id="6" w:name="drec" w:colFirst="0" w:colLast="0"/>
            <w:bookmarkEnd w:id="5"/>
            <w:r w:rsidRPr="005A47AE">
              <w:t>DRAFT NEW REPORT ITU-R M.[IMT-2020.TECH PERF REQ]</w:t>
            </w:r>
          </w:p>
        </w:tc>
      </w:tr>
      <w:tr w:rsidR="000069D4" w:rsidTr="00D046A7">
        <w:trPr>
          <w:cantSplit/>
        </w:trPr>
        <w:tc>
          <w:tcPr>
            <w:tcW w:w="9889" w:type="dxa"/>
            <w:gridSpan w:val="2"/>
          </w:tcPr>
          <w:p w:rsidR="000069D4" w:rsidRPr="008408D0" w:rsidRDefault="008408D0" w:rsidP="008408D0">
            <w:pPr>
              <w:pStyle w:val="Reptitle"/>
              <w:rPr>
                <w:lang w:val="en-US" w:eastAsia="zh-CN"/>
              </w:rPr>
            </w:pPr>
            <w:bookmarkStart w:id="7" w:name="dtitle1" w:colFirst="0" w:colLast="0"/>
            <w:bookmarkEnd w:id="6"/>
            <w:r w:rsidRPr="005A47AE">
              <w:rPr>
                <w:lang w:val="en-US" w:eastAsia="zh-CN"/>
              </w:rPr>
              <w:t>Minimum requirements related to technical performance</w:t>
            </w:r>
            <w:r w:rsidRPr="005A47AE">
              <w:rPr>
                <w:lang w:val="en-US" w:eastAsia="zh-CN"/>
              </w:rPr>
              <w:br/>
              <w:t>for IMT-2020 radio interface(s)</w:t>
            </w:r>
          </w:p>
        </w:tc>
      </w:tr>
    </w:tbl>
    <w:p w:rsidR="003A62FD" w:rsidRPr="005A47AE" w:rsidRDefault="003A62FD" w:rsidP="00CC4E64">
      <w:pPr>
        <w:pStyle w:val="Heading1"/>
        <w:spacing w:before="240"/>
        <w:rPr>
          <w:lang w:val="en-CA"/>
        </w:rPr>
      </w:pPr>
      <w:bookmarkStart w:id="8" w:name="dbreak"/>
      <w:bookmarkEnd w:id="7"/>
      <w:bookmarkEnd w:id="8"/>
      <w:r w:rsidRPr="005A47AE">
        <w:rPr>
          <w:lang w:val="en-CA"/>
        </w:rPr>
        <w:t>1</w:t>
      </w:r>
      <w:r w:rsidRPr="005A47AE">
        <w:rPr>
          <w:lang w:val="en-CA"/>
        </w:rPr>
        <w:tab/>
        <w:t>Introduction</w:t>
      </w:r>
    </w:p>
    <w:p w:rsidR="003A62FD" w:rsidRPr="005A47AE" w:rsidRDefault="003A62FD" w:rsidP="008408D0">
      <w:r w:rsidRPr="005A47AE">
        <w:t xml:space="preserve">As defined in </w:t>
      </w:r>
      <w:hyperlink r:id="rId9" w:history="1">
        <w:r w:rsidRPr="005A47AE">
          <w:t>Resolution ITU-R 56-2</w:t>
        </w:r>
      </w:hyperlink>
      <w:r w:rsidRPr="005A47AE">
        <w:t xml:space="preserve">, International Mobile Telecommunications-2020 (IMT-2020) systems are mobile systems that include new radio interface(s) which support the new capabilities of systems beyond IMT-2000 and IMT-Advanced. </w:t>
      </w:r>
      <w:r w:rsidRPr="005A47AE">
        <w:rPr>
          <w:rFonts w:eastAsia="SimSun"/>
        </w:rPr>
        <w:t>I</w:t>
      </w:r>
      <w:r w:rsidRPr="005A47AE">
        <w:t xml:space="preserve">n </w:t>
      </w:r>
      <w:hyperlink r:id="rId10" w:history="1">
        <w:r w:rsidRPr="005A47AE">
          <w:t>Recommendation ITU-R M.2083</w:t>
        </w:r>
      </w:hyperlink>
      <w:r w:rsidRPr="005A47AE">
        <w:t xml:space="preserve"> “IMT Vision – Framework and overall objectives of the future development of IMT for 2020 and beyond”, </w:t>
      </w:r>
      <w:r w:rsidRPr="005A47AE">
        <w:rPr>
          <w:rFonts w:eastAsia="SimSun"/>
        </w:rPr>
        <w:t>the</w:t>
      </w:r>
      <w:r w:rsidRPr="005A47AE">
        <w:t xml:space="preserve"> capabilities of IMT-2020 are identified</w:t>
      </w:r>
      <w:r w:rsidRPr="005A47AE">
        <w:rPr>
          <w:rFonts w:eastAsia="SimSun"/>
        </w:rPr>
        <w:t>, which aim to</w:t>
      </w:r>
      <w:r w:rsidRPr="005A47AE">
        <w:t xml:space="preserve"> make IMT-2020 more flexible, reliable and secure than previous IMT when providing diverse services in the intended three usage scenarios</w:t>
      </w:r>
      <w:r w:rsidRPr="005A47AE">
        <w:rPr>
          <w:rFonts w:eastAsia="SimSun"/>
        </w:rPr>
        <w:t xml:space="preserve">, including </w:t>
      </w:r>
      <w:r w:rsidRPr="005A47AE">
        <w:t>enhanced mobile broadband</w:t>
      </w:r>
      <w:r w:rsidRPr="005A47AE">
        <w:rPr>
          <w:rFonts w:eastAsia="SimSun"/>
        </w:rPr>
        <w:t xml:space="preserve"> (</w:t>
      </w:r>
      <w:proofErr w:type="spellStart"/>
      <w:r w:rsidRPr="005A47AE">
        <w:rPr>
          <w:rFonts w:eastAsia="SimSun"/>
        </w:rPr>
        <w:t>eMBB</w:t>
      </w:r>
      <w:proofErr w:type="spellEnd"/>
      <w:r w:rsidRPr="005A47AE">
        <w:rPr>
          <w:rFonts w:eastAsia="SimSun"/>
        </w:rPr>
        <w:t>)</w:t>
      </w:r>
      <w:r w:rsidRPr="005A47AE">
        <w:t>, ultra-reliable and low-latency communications</w:t>
      </w:r>
      <w:r w:rsidRPr="005A47AE">
        <w:rPr>
          <w:rFonts w:eastAsia="SimSun"/>
        </w:rPr>
        <w:t xml:space="preserve"> (</w:t>
      </w:r>
      <w:r w:rsidRPr="005A47AE">
        <w:rPr>
          <w:rFonts w:eastAsia="MS Mincho" w:hint="eastAsia"/>
        </w:rPr>
        <w:t>UR</w:t>
      </w:r>
      <w:r w:rsidRPr="005A47AE">
        <w:rPr>
          <w:rFonts w:eastAsia="SimSun"/>
        </w:rPr>
        <w:t>LLC)</w:t>
      </w:r>
      <w:r w:rsidRPr="005A47AE">
        <w:t>, and massive machine type communications</w:t>
      </w:r>
      <w:r w:rsidRPr="005A47AE">
        <w:rPr>
          <w:rFonts w:eastAsia="SimSun"/>
        </w:rPr>
        <w:t xml:space="preserve"> (</w:t>
      </w:r>
      <w:proofErr w:type="spellStart"/>
      <w:r w:rsidRPr="005A47AE">
        <w:rPr>
          <w:rFonts w:eastAsia="SimSun"/>
        </w:rPr>
        <w:t>mMTC</w:t>
      </w:r>
      <w:proofErr w:type="spellEnd"/>
      <w:r w:rsidRPr="005A47AE">
        <w:t>).</w:t>
      </w:r>
    </w:p>
    <w:p w:rsidR="003A62FD" w:rsidRPr="005A47AE" w:rsidRDefault="003A62FD" w:rsidP="00CC4E64">
      <w:pPr>
        <w:pStyle w:val="Heading1"/>
        <w:spacing w:before="240"/>
        <w:rPr>
          <w:lang w:val="en-US"/>
        </w:rPr>
      </w:pPr>
      <w:r w:rsidRPr="005A47AE">
        <w:rPr>
          <w:lang w:val="en-US"/>
        </w:rPr>
        <w:t>2</w:t>
      </w:r>
      <w:r w:rsidRPr="005A47AE">
        <w:rPr>
          <w:lang w:val="en-US"/>
        </w:rPr>
        <w:tab/>
        <w:t>Scope and purpose</w:t>
      </w:r>
    </w:p>
    <w:p w:rsidR="003A62FD" w:rsidRPr="005A47AE" w:rsidRDefault="003A62FD" w:rsidP="008408D0">
      <w:pPr>
        <w:rPr>
          <w:lang w:eastAsia="ko-KR"/>
        </w:rPr>
      </w:pPr>
      <w:r w:rsidRPr="005A47AE">
        <w:rPr>
          <w:lang w:eastAsia="ko-KR"/>
        </w:rPr>
        <w:t xml:space="preserve">This Report describes key requirements related to the minimum technical performance of IMT-2020 candidate radio interface technologies. It also provides the necessary background information about the individual requirements and the justification for the items and values chosen. Provision of such background information is needed for a broader understanding of the requirements. </w:t>
      </w:r>
    </w:p>
    <w:p w:rsidR="003A62FD" w:rsidRPr="005A47AE" w:rsidRDefault="003A62FD" w:rsidP="005A3BB4">
      <w:pPr>
        <w:rPr>
          <w:lang w:eastAsia="ko-KR"/>
        </w:rPr>
      </w:pPr>
      <w:r w:rsidRPr="005A47AE">
        <w:rPr>
          <w:lang w:eastAsia="ko-KR"/>
        </w:rPr>
        <w:t>These key technical performance requirements are used in the development of Report</w:t>
      </w:r>
      <w:r w:rsidR="005A3BB4">
        <w:rPr>
          <w:lang w:eastAsia="ko-KR"/>
        </w:rPr>
        <w:t xml:space="preserve"> </w:t>
      </w:r>
      <w:r w:rsidRPr="005A47AE">
        <w:rPr>
          <w:lang w:eastAsia="ko-KR"/>
        </w:rPr>
        <w:t>ITU-R M.[IMT</w:t>
      </w:r>
      <w:r w:rsidRPr="005A47AE">
        <w:rPr>
          <w:lang w:eastAsia="ko-KR"/>
        </w:rPr>
        <w:noBreakHyphen/>
        <w:t>2020.EVAL]</w:t>
      </w:r>
      <w:r w:rsidR="00656ACD">
        <w:rPr>
          <w:rStyle w:val="FootnoteReference"/>
          <w:lang w:eastAsia="ko-KR"/>
        </w:rPr>
        <w:footnoteReference w:id="1"/>
      </w:r>
      <w:r w:rsidRPr="005A47AE">
        <w:rPr>
          <w:lang w:eastAsia="ko-KR"/>
        </w:rPr>
        <w:t>.</w:t>
      </w:r>
    </w:p>
    <w:p w:rsidR="003A62FD" w:rsidRPr="005A47AE" w:rsidRDefault="003A62FD" w:rsidP="008408D0">
      <w:pPr>
        <w:rPr>
          <w:lang w:eastAsia="ko-KR"/>
        </w:rPr>
      </w:pPr>
      <w:r w:rsidRPr="005A47AE">
        <w:rPr>
          <w:lang w:eastAsia="ko-KR"/>
        </w:rPr>
        <w:t>This Report is based on the ongoing development activities of external research and technology organizations.</w:t>
      </w:r>
    </w:p>
    <w:p w:rsidR="003A62FD" w:rsidRPr="005A47AE" w:rsidRDefault="003A62FD" w:rsidP="00CC4E64">
      <w:pPr>
        <w:pStyle w:val="Heading1"/>
        <w:spacing w:before="240"/>
        <w:rPr>
          <w:lang w:val="en-US"/>
        </w:rPr>
      </w:pPr>
      <w:r w:rsidRPr="005A47AE">
        <w:rPr>
          <w:lang w:val="en-US"/>
        </w:rPr>
        <w:t>3</w:t>
      </w:r>
      <w:r w:rsidRPr="005A47AE">
        <w:rPr>
          <w:lang w:val="en-US"/>
        </w:rPr>
        <w:tab/>
        <w:t>Related ITU-R documents</w:t>
      </w:r>
    </w:p>
    <w:p w:rsidR="003A62FD" w:rsidRPr="005A47AE" w:rsidRDefault="003A62FD" w:rsidP="008408D0">
      <w:pPr>
        <w:pStyle w:val="enumlev1"/>
        <w:rPr>
          <w:lang w:eastAsia="ko-KR"/>
        </w:rPr>
      </w:pPr>
      <w:r w:rsidRPr="005A47AE">
        <w:rPr>
          <w:lang w:eastAsia="ko-KR"/>
        </w:rPr>
        <w:t>Resolution ITU-R 56-2</w:t>
      </w:r>
    </w:p>
    <w:p w:rsidR="003A62FD" w:rsidRPr="005A47AE" w:rsidRDefault="003A62FD" w:rsidP="008408D0">
      <w:pPr>
        <w:pStyle w:val="enumlev1"/>
        <w:rPr>
          <w:lang w:eastAsia="ko-KR"/>
        </w:rPr>
      </w:pPr>
      <w:r w:rsidRPr="005A47AE">
        <w:rPr>
          <w:lang w:eastAsia="ko-KR"/>
        </w:rPr>
        <w:t>Resolution ITU-R 65</w:t>
      </w:r>
    </w:p>
    <w:p w:rsidR="003A62FD" w:rsidRPr="005A47AE" w:rsidRDefault="003A62FD" w:rsidP="008408D0">
      <w:pPr>
        <w:pStyle w:val="enumlev1"/>
        <w:rPr>
          <w:lang w:eastAsia="ko-KR"/>
        </w:rPr>
      </w:pPr>
      <w:r w:rsidRPr="005A47AE">
        <w:rPr>
          <w:lang w:eastAsia="ko-KR"/>
        </w:rPr>
        <w:t>Recommendation ITU-R M.2083</w:t>
      </w:r>
    </w:p>
    <w:p w:rsidR="003A62FD" w:rsidRPr="005A47AE" w:rsidRDefault="003A62FD" w:rsidP="008408D0">
      <w:pPr>
        <w:pStyle w:val="enumlev1"/>
        <w:rPr>
          <w:lang w:eastAsia="ko-KR"/>
        </w:rPr>
      </w:pPr>
      <w:r w:rsidRPr="005A47AE">
        <w:rPr>
          <w:lang w:eastAsia="ko-KR"/>
        </w:rPr>
        <w:t>Report ITU-R M.2320</w:t>
      </w:r>
    </w:p>
    <w:p w:rsidR="003A62FD" w:rsidRPr="005A47AE" w:rsidRDefault="003A62FD" w:rsidP="008408D0">
      <w:pPr>
        <w:pStyle w:val="enumlev1"/>
        <w:rPr>
          <w:lang w:eastAsia="ko-KR"/>
        </w:rPr>
      </w:pPr>
      <w:r w:rsidRPr="005A47AE">
        <w:rPr>
          <w:lang w:eastAsia="ko-KR"/>
        </w:rPr>
        <w:lastRenderedPageBreak/>
        <w:t>Report ITU-R M.2376</w:t>
      </w:r>
    </w:p>
    <w:p w:rsidR="003A62FD" w:rsidRPr="005A47AE" w:rsidRDefault="003A62FD" w:rsidP="008408D0">
      <w:pPr>
        <w:pStyle w:val="enumlev1"/>
        <w:rPr>
          <w:lang w:eastAsia="ko-KR"/>
        </w:rPr>
      </w:pPr>
      <w:r w:rsidRPr="005A47AE">
        <w:rPr>
          <w:lang w:eastAsia="ko-KR"/>
        </w:rPr>
        <w:t>Report ITU-R M.[IMT-2020.SUBMISSION]</w:t>
      </w:r>
    </w:p>
    <w:p w:rsidR="003A62FD" w:rsidRPr="008408D0" w:rsidRDefault="003A62FD" w:rsidP="008408D0">
      <w:pPr>
        <w:pStyle w:val="enumlev1"/>
        <w:rPr>
          <w:lang w:eastAsia="ko-KR"/>
        </w:rPr>
      </w:pPr>
      <w:r w:rsidRPr="005A47AE">
        <w:rPr>
          <w:lang w:eastAsia="ko-KR"/>
        </w:rPr>
        <w:t>Report ITU-R M.[IMT-2020.EVAL]</w:t>
      </w:r>
    </w:p>
    <w:p w:rsidR="003A62FD" w:rsidRPr="008408D0" w:rsidRDefault="003A62FD" w:rsidP="008408D0">
      <w:pPr>
        <w:pStyle w:val="Heading1"/>
      </w:pPr>
      <w:r w:rsidRPr="008408D0">
        <w:t>4</w:t>
      </w:r>
      <w:r w:rsidRPr="008408D0">
        <w:tab/>
        <w:t>Minimum Technical Performance Requirements</w:t>
      </w:r>
    </w:p>
    <w:p w:rsidR="003A62FD" w:rsidRPr="005A47AE" w:rsidRDefault="003A62FD" w:rsidP="00FD39A9">
      <w:pPr>
        <w:textAlignment w:val="auto"/>
        <w:rPr>
          <w:lang w:val="en-US"/>
        </w:rPr>
      </w:pPr>
      <w:r w:rsidRPr="005A47AE">
        <w:rPr>
          <w:lang w:val="en-US"/>
        </w:rPr>
        <w:t xml:space="preserve">As noted in </w:t>
      </w:r>
      <w:r w:rsidRPr="00E86F14">
        <w:rPr>
          <w:lang w:val="en-US"/>
        </w:rPr>
        <w:t xml:space="preserve">Recommendation </w:t>
      </w:r>
      <w:hyperlink r:id="rId11" w:history="1">
        <w:r w:rsidRPr="00E86F14">
          <w:rPr>
            <w:rStyle w:val="Hyperlink"/>
            <w:lang w:val="en-US"/>
          </w:rPr>
          <w:t>ITU-R M.2083</w:t>
        </w:r>
      </w:hyperlink>
      <w:r w:rsidRPr="005A47AE">
        <w:rPr>
          <w:lang w:val="en-US"/>
        </w:rPr>
        <w:t xml:space="preserve">, IMT-2020 is expected to provide far more enhanced capabilities than those described in </w:t>
      </w:r>
      <w:r w:rsidRPr="00E86F14">
        <w:rPr>
          <w:lang w:val="en-US"/>
        </w:rPr>
        <w:t xml:space="preserve">Recommendation </w:t>
      </w:r>
      <w:hyperlink r:id="rId12" w:history="1">
        <w:r w:rsidRPr="00E86F14">
          <w:rPr>
            <w:rStyle w:val="Hyperlink"/>
            <w:lang w:val="en-US"/>
          </w:rPr>
          <w:t>ITU-R M.1645</w:t>
        </w:r>
      </w:hyperlink>
      <w:r w:rsidRPr="005A47AE">
        <w:rPr>
          <w:lang w:val="en-US"/>
        </w:rPr>
        <w:t>, and these enhanced capabilities could be regarded as new capabilities of future IMT. In addition, IMT-2020 can be considered from multiple perspectives, including the users, manufacturers, application developers, network operators, and service and content providers. Therefore, it is recognized that technologies for IMT-2020 can be applied in a variety of deployment scenarios and can support a range of environments, service capabilities, and technology options.</w:t>
      </w:r>
    </w:p>
    <w:p w:rsidR="003A62FD" w:rsidRPr="005A47AE" w:rsidRDefault="003A62FD" w:rsidP="00B94709">
      <w:pPr>
        <w:rPr>
          <w:lang w:eastAsia="ko-KR"/>
        </w:rPr>
      </w:pPr>
      <w:r w:rsidRPr="005A47AE">
        <w:rPr>
          <w:lang w:eastAsia="ko-KR"/>
        </w:rPr>
        <w:t>The key minimum technical performance requirements defined in this document are for the purpose of consistent definition, specification, and evaluation of the candidate IMT-2020 radio interface technologies (RITs)</w:t>
      </w:r>
      <w:r w:rsidRPr="005A47AE">
        <w:rPr>
          <w:rFonts w:hint="eastAsia"/>
          <w:lang w:eastAsia="ja-JP"/>
        </w:rPr>
        <w:t xml:space="preserve">/Set of </w:t>
      </w:r>
      <w:r w:rsidRPr="005A47AE">
        <w:rPr>
          <w:lang w:eastAsia="ja-JP"/>
        </w:rPr>
        <w:t>radio interface technologies</w:t>
      </w:r>
      <w:r w:rsidRPr="005A47AE">
        <w:rPr>
          <w:rFonts w:hint="eastAsia"/>
          <w:lang w:eastAsia="ja-JP"/>
        </w:rPr>
        <w:t xml:space="preserve"> (SRIT)</w:t>
      </w:r>
      <w:r w:rsidRPr="005A47AE">
        <w:rPr>
          <w:lang w:eastAsia="ko-KR"/>
        </w:rPr>
        <w:t xml:space="preserve"> in conjunction with the development of ITU-R Recommendations and Reports, such as the detailed specifications of IMT-2020. The intent of these requirements is to ensure that IMT-2020 technologies are able to fulfil the objectives of IMT-2020 and to set a specific level of performance that each proposed RIT</w:t>
      </w:r>
      <w:r w:rsidRPr="005A47AE">
        <w:rPr>
          <w:rFonts w:hint="eastAsia"/>
          <w:lang w:eastAsia="ja-JP"/>
        </w:rPr>
        <w:t>/SRIT</w:t>
      </w:r>
      <w:r w:rsidRPr="005A47AE">
        <w:rPr>
          <w:lang w:eastAsia="ko-KR"/>
        </w:rPr>
        <w:t xml:space="preserve"> needs to achieve in order to be considered by ITU-R for IMT-2020.</w:t>
      </w:r>
    </w:p>
    <w:p w:rsidR="003A62FD" w:rsidRPr="005A47AE" w:rsidRDefault="003A62FD" w:rsidP="00B94709">
      <w:pPr>
        <w:rPr>
          <w:lang w:eastAsia="ko-KR"/>
        </w:rPr>
      </w:pPr>
      <w:r w:rsidRPr="005A47AE">
        <w:rPr>
          <w:lang w:eastAsia="ko-KR"/>
        </w:rPr>
        <w:t>These requirements are not intended to restrict the full range of capabilities or performance that candidate RITs</w:t>
      </w:r>
      <w:r w:rsidRPr="005A47AE">
        <w:rPr>
          <w:rFonts w:hint="eastAsia"/>
          <w:lang w:eastAsia="ja-JP"/>
        </w:rPr>
        <w:t>/SRITs</w:t>
      </w:r>
      <w:r w:rsidRPr="005A47AE">
        <w:rPr>
          <w:lang w:eastAsia="ko-KR"/>
        </w:rPr>
        <w:t xml:space="preserve"> for IMT-2020 might achieve, nor </w:t>
      </w:r>
      <w:r>
        <w:rPr>
          <w:lang w:eastAsia="ko-KR"/>
        </w:rPr>
        <w:t>are they</w:t>
      </w:r>
      <w:r w:rsidRPr="005A47AE">
        <w:rPr>
          <w:lang w:eastAsia="ko-KR"/>
        </w:rPr>
        <w:t xml:space="preserve"> intended to describe how the RITs</w:t>
      </w:r>
      <w:r w:rsidRPr="005A47AE">
        <w:rPr>
          <w:rFonts w:hint="eastAsia"/>
          <w:lang w:eastAsia="ja-JP"/>
        </w:rPr>
        <w:t>/SRITs</w:t>
      </w:r>
      <w:r w:rsidRPr="005A47AE">
        <w:rPr>
          <w:lang w:eastAsia="ko-KR"/>
        </w:rPr>
        <w:t xml:space="preserve"> might perform in actual deployments under operating conditions that could be different from those presented in other ITU-R Recommendations and Reports on IMT-2020.</w:t>
      </w:r>
    </w:p>
    <w:p w:rsidR="003A62FD" w:rsidRPr="005A47AE" w:rsidRDefault="003A62FD" w:rsidP="00B94709">
      <w:pPr>
        <w:rPr>
          <w:lang w:eastAsia="ko-KR"/>
        </w:rPr>
      </w:pPr>
      <w:r w:rsidRPr="005A47AE">
        <w:rPr>
          <w:lang w:eastAsia="ko-KR"/>
        </w:rPr>
        <w:t xml:space="preserve">Further information on specific industry needs using the terrestrial component of IMT-2020 may be found in other ITU-R </w:t>
      </w:r>
      <w:r w:rsidR="005A3BB4" w:rsidRPr="005A47AE">
        <w:rPr>
          <w:lang w:eastAsia="ko-KR"/>
        </w:rPr>
        <w:t xml:space="preserve">Reports </w:t>
      </w:r>
      <w:r w:rsidRPr="005A47AE">
        <w:rPr>
          <w:lang w:eastAsia="ko-KR"/>
        </w:rPr>
        <w:t xml:space="preserve">on IMT-2020. </w:t>
      </w:r>
    </w:p>
    <w:p w:rsidR="003A62FD" w:rsidRPr="005A47AE" w:rsidRDefault="003A62FD" w:rsidP="00B94709">
      <w:pPr>
        <w:rPr>
          <w:lang w:eastAsia="ko-KR"/>
        </w:rPr>
      </w:pPr>
      <w:r w:rsidRPr="005A47AE">
        <w:rPr>
          <w:lang w:eastAsia="ko-KR"/>
        </w:rPr>
        <w:t>Requirements are to be evaluated according to the criteria defined in Report ITU-R M.[IMT</w:t>
      </w:r>
      <w:r w:rsidRPr="005A47AE">
        <w:rPr>
          <w:lang w:eastAsia="ko-KR"/>
        </w:rPr>
        <w:noBreakHyphen/>
        <w:t>2020.EVAL] and Report ITU-R M.[IMT-2020.SUBMISSION] for the development of IMT-2020.</w:t>
      </w:r>
    </w:p>
    <w:p w:rsidR="003A62FD" w:rsidRPr="005A47AE" w:rsidRDefault="003A62FD" w:rsidP="00DC652E">
      <w:pPr>
        <w:rPr>
          <w:lang w:val="en-US" w:eastAsia="ko-KR"/>
        </w:rPr>
      </w:pPr>
      <w:r w:rsidRPr="005A47AE">
        <w:rPr>
          <w:lang w:val="en-US" w:eastAsia="ko-KR"/>
        </w:rPr>
        <w:t>Recommendation ITU-R M.2083 defines eight key “Capabilities for IMT-2020”, which form a basis for the 13 technical performance requirement</w:t>
      </w:r>
      <w:r w:rsidRPr="005A47AE">
        <w:rPr>
          <w:rFonts w:hint="eastAsia"/>
          <w:lang w:val="en-US" w:eastAsia="ja-JP"/>
        </w:rPr>
        <w:t>s</w:t>
      </w:r>
      <w:r w:rsidRPr="005A47AE">
        <w:rPr>
          <w:lang w:val="en-US" w:eastAsia="ko-KR"/>
        </w:rPr>
        <w:t xml:space="preserve"> presented here. </w:t>
      </w:r>
      <w:r w:rsidRPr="005A47AE">
        <w:rPr>
          <w:lang w:val="en-US" w:eastAsia="zh-CN"/>
        </w:rPr>
        <w:t>Recommendation ITU</w:t>
      </w:r>
      <w:r w:rsidRPr="005A47AE">
        <w:rPr>
          <w:lang w:val="en-US" w:eastAsia="zh-CN"/>
        </w:rPr>
        <w:noBreakHyphen/>
        <w:t>R M.2083 also recognizes that the key capabilities will have different relevance and applicability for the different usage scenarios addressed by IMT-2020.</w:t>
      </w:r>
    </w:p>
    <w:p w:rsidR="003A62FD" w:rsidRPr="005A47AE" w:rsidRDefault="003A62FD" w:rsidP="00A021EE">
      <w:pPr>
        <w:pStyle w:val="Heading2"/>
      </w:pPr>
      <w:r w:rsidRPr="005A47AE">
        <w:t>4.1</w:t>
      </w:r>
      <w:r w:rsidRPr="005A47AE">
        <w:tab/>
        <w:t>Peak data rate</w:t>
      </w:r>
    </w:p>
    <w:p w:rsidR="003A62FD" w:rsidRPr="005A47AE" w:rsidRDefault="003A62FD" w:rsidP="00A021EE">
      <w:pPr>
        <w:rPr>
          <w:rFonts w:ascii="SimSun" w:hAnsi="SimSun" w:cs="SimSun"/>
          <w:color w:val="000000"/>
          <w:sz w:val="22"/>
          <w:szCs w:val="22"/>
          <w:lang w:eastAsia="zh-CN"/>
        </w:rPr>
      </w:pPr>
      <w:r w:rsidRPr="005A47AE">
        <w:rPr>
          <w:rFonts w:hint="eastAsia"/>
        </w:rPr>
        <w:t xml:space="preserve">Peak </w:t>
      </w:r>
      <w:r w:rsidRPr="005A47AE">
        <w:rPr>
          <w:rFonts w:hint="eastAsia"/>
          <w:lang w:eastAsia="zh-CN"/>
        </w:rPr>
        <w:t>d</w:t>
      </w:r>
      <w:r w:rsidRPr="005A47AE">
        <w:rPr>
          <w:rFonts w:hint="eastAsia"/>
        </w:rPr>
        <w:t xml:space="preserve">ata </w:t>
      </w:r>
      <w:r w:rsidRPr="005A47AE">
        <w:rPr>
          <w:rFonts w:hint="eastAsia"/>
          <w:lang w:eastAsia="zh-CN"/>
        </w:rPr>
        <w:t>r</w:t>
      </w:r>
      <w:r w:rsidRPr="005A47AE">
        <w:rPr>
          <w:rFonts w:hint="eastAsia"/>
        </w:rPr>
        <w:t xml:space="preserve">ate is the maximum </w:t>
      </w:r>
      <w:r w:rsidRPr="005A47AE">
        <w:t xml:space="preserve">achievable </w:t>
      </w:r>
      <w:r w:rsidRPr="005A47AE">
        <w:rPr>
          <w:rFonts w:hint="eastAsia"/>
        </w:rPr>
        <w:t>data rate under ideal conditions (in bit/s), which is the received data bits assuming error-free conditions assignable to a single mobile station, when all assignable radio resources for the corresponding link direction are utilized (i.e., excluding radio resources that are used for physical layer synchronization, reference signals or pilots, guard bands and guard times)</w:t>
      </w:r>
      <w:r>
        <w:t>.</w:t>
      </w:r>
      <w:r w:rsidRPr="005A47AE">
        <w:t xml:space="preserve"> </w:t>
      </w:r>
    </w:p>
    <w:p w:rsidR="003A62FD" w:rsidRPr="005A47AE" w:rsidRDefault="003A62FD" w:rsidP="00A021EE">
      <w:pPr>
        <w:rPr>
          <w:szCs w:val="24"/>
          <w:lang w:eastAsia="zh-CN"/>
        </w:rPr>
      </w:pPr>
      <w:r w:rsidRPr="005A47AE">
        <w:t xml:space="preserve">Peak data rate is defined for a single mobile station. </w:t>
      </w:r>
      <w:r w:rsidRPr="005A47AE">
        <w:rPr>
          <w:lang w:val="en-US"/>
        </w:rPr>
        <w:t xml:space="preserve">In a single band, </w:t>
      </w:r>
      <w:r w:rsidRPr="005A47AE">
        <w:t xml:space="preserve">it is related to the peak spectral efficiency in </w:t>
      </w:r>
      <w:r>
        <w:t>that</w:t>
      </w:r>
      <w:r w:rsidRPr="005A47AE">
        <w:t xml:space="preserve"> band. </w:t>
      </w:r>
      <w:r w:rsidRPr="005A47AE">
        <w:rPr>
          <w:rFonts w:hint="eastAsia"/>
          <w:color w:val="000000" w:themeColor="text1"/>
          <w:lang w:eastAsia="zh-CN"/>
        </w:rPr>
        <w:t>L</w:t>
      </w:r>
      <w:r w:rsidRPr="005A47AE">
        <w:rPr>
          <w:color w:val="000000" w:themeColor="text1"/>
        </w:rPr>
        <w:t>et W denote the</w:t>
      </w:r>
      <w:r w:rsidRPr="005A47AE">
        <w:rPr>
          <w:rFonts w:hint="eastAsia"/>
          <w:color w:val="000000" w:themeColor="text1"/>
          <w:lang w:eastAsia="zh-CN"/>
        </w:rPr>
        <w:t xml:space="preserve"> </w:t>
      </w:r>
      <w:r w:rsidRPr="005A47AE">
        <w:rPr>
          <w:color w:val="000000" w:themeColor="text1"/>
        </w:rPr>
        <w:t>channel bandwidth and</w:t>
      </w:r>
      <w:r w:rsidRPr="005A47AE">
        <w:rPr>
          <w:rFonts w:hint="eastAsia"/>
          <w:color w:val="000000" w:themeColor="text1"/>
          <w:lang w:eastAsia="zh-CN"/>
        </w:rPr>
        <w:t xml:space="preserve"> </w:t>
      </w:r>
      <w:r w:rsidRPr="005A47AE">
        <w:fldChar w:fldCharType="begin"/>
      </w:r>
      <w:r w:rsidRPr="005A47AE">
        <w:fldChar w:fldCharType="end"/>
      </w:r>
      <w:proofErr w:type="spellStart"/>
      <w:r w:rsidRPr="005A47AE">
        <w:t>SE</w:t>
      </w:r>
      <w:r w:rsidRPr="005A47AE">
        <w:rPr>
          <w:vertAlign w:val="subscript"/>
        </w:rPr>
        <w:t>p</w:t>
      </w:r>
      <w:proofErr w:type="spellEnd"/>
      <w:r w:rsidRPr="005A47AE">
        <w:rPr>
          <w:rFonts w:hint="eastAsia"/>
          <w:color w:val="000000" w:themeColor="text1"/>
          <w:lang w:eastAsia="zh-CN"/>
        </w:rPr>
        <w:t xml:space="preserve"> denote the </w:t>
      </w:r>
      <w:r w:rsidRPr="005A47AE">
        <w:rPr>
          <w:rFonts w:hint="eastAsia"/>
          <w:lang w:eastAsia="zh-CN"/>
        </w:rPr>
        <w:t>p</w:t>
      </w:r>
      <w:r w:rsidRPr="005A47AE">
        <w:t>eak spectral efficiency</w:t>
      </w:r>
      <w:r w:rsidRPr="005A47AE">
        <w:rPr>
          <w:lang w:val="en-US"/>
        </w:rPr>
        <w:t xml:space="preserve"> in th</w:t>
      </w:r>
      <w:r>
        <w:rPr>
          <w:lang w:val="en-US"/>
        </w:rPr>
        <w:t>at</w:t>
      </w:r>
      <w:r w:rsidRPr="005A47AE">
        <w:rPr>
          <w:lang w:val="en-US"/>
        </w:rPr>
        <w:t xml:space="preserve"> band</w:t>
      </w:r>
      <w:r w:rsidRPr="005A47AE">
        <w:rPr>
          <w:rFonts w:hint="eastAsia"/>
          <w:lang w:eastAsia="zh-CN"/>
        </w:rPr>
        <w:t xml:space="preserve">. </w:t>
      </w:r>
      <w:r w:rsidRPr="005A47AE">
        <w:rPr>
          <w:lang w:eastAsia="zh-CN"/>
        </w:rPr>
        <w:t>T</w:t>
      </w:r>
      <w:r w:rsidRPr="005A47AE">
        <w:rPr>
          <w:rFonts w:hint="eastAsia"/>
          <w:lang w:eastAsia="zh-CN"/>
        </w:rPr>
        <w:t>hen the u</w:t>
      </w:r>
      <w:r w:rsidRPr="005A47AE">
        <w:rPr>
          <w:lang w:eastAsia="zh-CN"/>
        </w:rPr>
        <w:t xml:space="preserve">ser </w:t>
      </w:r>
      <w:r w:rsidRPr="005A47AE">
        <w:rPr>
          <w:rFonts w:hint="eastAsia"/>
          <w:lang w:eastAsia="zh-CN"/>
        </w:rPr>
        <w:t>p</w:t>
      </w:r>
      <w:r w:rsidRPr="005A47AE">
        <w:t>eak data rate</w:t>
      </w:r>
      <w:r w:rsidRPr="005A47AE">
        <w:rPr>
          <w:rFonts w:hint="eastAsia"/>
          <w:lang w:eastAsia="zh-CN"/>
        </w:rPr>
        <w:t xml:space="preserve"> </w:t>
      </w:r>
      <w:proofErr w:type="spellStart"/>
      <w:r w:rsidRPr="005A47AE">
        <w:t>R</w:t>
      </w:r>
      <w:r w:rsidRPr="005A47AE">
        <w:rPr>
          <w:vertAlign w:val="subscript"/>
        </w:rPr>
        <w:t>p</w:t>
      </w:r>
      <w:proofErr w:type="spellEnd"/>
      <w:r w:rsidRPr="005A47AE">
        <w:t xml:space="preserve"> </w:t>
      </w:r>
      <w:r w:rsidRPr="005A47AE">
        <w:rPr>
          <w:rFonts w:hint="eastAsia"/>
          <w:lang w:eastAsia="zh-CN"/>
        </w:rPr>
        <w:t>is given by</w:t>
      </w:r>
      <w:r w:rsidRPr="005A47AE">
        <w:rPr>
          <w:lang w:eastAsia="zh-CN"/>
        </w:rPr>
        <w:t>:</w:t>
      </w:r>
    </w:p>
    <w:p w:rsidR="003A62FD" w:rsidRPr="005A47AE" w:rsidRDefault="003A62FD" w:rsidP="00A021EE">
      <w:pPr>
        <w:pStyle w:val="Equation"/>
        <w:rPr>
          <w:lang w:eastAsia="zh-CN"/>
        </w:rPr>
      </w:pPr>
      <w:r w:rsidRPr="005A47AE">
        <w:tab/>
      </w:r>
      <w:r w:rsidRPr="005A47AE">
        <w:tab/>
      </w:r>
      <w:proofErr w:type="spellStart"/>
      <w:r w:rsidRPr="005A47AE">
        <w:t>R</w:t>
      </w:r>
      <w:r w:rsidRPr="005A47AE">
        <w:rPr>
          <w:vertAlign w:val="subscript"/>
        </w:rPr>
        <w:t>p</w:t>
      </w:r>
      <w:proofErr w:type="spellEnd"/>
      <w:r w:rsidRPr="005A47AE">
        <w:t xml:space="preserve"> = W × </w:t>
      </w:r>
      <w:proofErr w:type="spellStart"/>
      <w:r w:rsidRPr="005A47AE">
        <w:t>SE</w:t>
      </w:r>
      <w:r w:rsidRPr="005A47AE">
        <w:rPr>
          <w:vertAlign w:val="subscript"/>
        </w:rPr>
        <w:t>p</w:t>
      </w:r>
      <w:proofErr w:type="spellEnd"/>
      <w:r w:rsidRPr="005A47AE">
        <w:tab/>
      </w:r>
      <w:r w:rsidRPr="005A47AE">
        <w:rPr>
          <w:rFonts w:hint="eastAsia"/>
          <w:lang w:eastAsia="zh-CN"/>
        </w:rPr>
        <w:t>(1)</w:t>
      </w:r>
    </w:p>
    <w:p w:rsidR="003A62FD" w:rsidRPr="005A47AE" w:rsidRDefault="003A62FD" w:rsidP="00A021EE">
      <w:pPr>
        <w:rPr>
          <w:lang w:val="en-US"/>
        </w:rPr>
      </w:pPr>
      <w:r w:rsidRPr="005A47AE">
        <w:lastRenderedPageBreak/>
        <w:t>Peak spectral efficiency and available bandwidth may have different values in different frequency ranges. In case</w:t>
      </w:r>
      <w:r w:rsidRPr="005A47AE" w:rsidDel="002360CE">
        <w:t xml:space="preserve"> </w:t>
      </w:r>
      <w:r w:rsidRPr="005A47AE">
        <w:t xml:space="preserve">bandwidth is aggregated across multiple bands, the peak data rate will be summed over the bands. </w:t>
      </w:r>
      <w:r w:rsidRPr="005A47AE">
        <w:rPr>
          <w:lang w:val="en-US"/>
        </w:rPr>
        <w:t xml:space="preserve">Therefore, if bandwidth is aggregated across </w:t>
      </w:r>
      <w:r w:rsidRPr="005A47AE">
        <w:rPr>
          <w:i/>
          <w:lang w:val="en-US"/>
        </w:rPr>
        <w:t>Q</w:t>
      </w:r>
      <w:r w:rsidRPr="005A47AE">
        <w:rPr>
          <w:lang w:val="en-US"/>
        </w:rPr>
        <w:t xml:space="preserve"> bands then the total peak data rate is</w:t>
      </w:r>
    </w:p>
    <w:p w:rsidR="003A62FD" w:rsidRPr="005A47AE" w:rsidRDefault="003A62FD" w:rsidP="00A021EE">
      <w:pPr>
        <w:pStyle w:val="Equation"/>
        <w:rPr>
          <w:vertAlign w:val="subscript"/>
          <w:lang w:val="en-US"/>
        </w:rPr>
      </w:pPr>
      <w:r w:rsidRPr="005A47AE">
        <w:rPr>
          <w:lang w:val="en-US"/>
        </w:rPr>
        <w:tab/>
      </w:r>
      <w:r w:rsidRPr="005A47AE">
        <w:rPr>
          <w:lang w:val="en-US"/>
        </w:rPr>
        <w:tab/>
      </w:r>
      <m:oMath>
        <m:r>
          <w:rPr>
            <w:rFonts w:ascii="Cambria Math" w:hAnsi="Cambria Math" w:hint="eastAsia"/>
            <w:lang w:val="en-US"/>
          </w:rPr>
          <m:t>R</m:t>
        </m:r>
        <m:r>
          <m:rPr>
            <m:sty m:val="p"/>
          </m:rPr>
          <w:rPr>
            <w:rFonts w:ascii="Cambria Math" w:hAnsi="Cambria Math" w:hint="eastAsia"/>
            <w:lang w:val="en-US"/>
          </w:rPr>
          <m:t>=</m:t>
        </m:r>
        <m:nary>
          <m:naryPr>
            <m:chr m:val="∑"/>
            <m:limLoc m:val="undOvr"/>
            <m:ctrlPr>
              <w:rPr>
                <w:rFonts w:ascii="Cambria Math" w:hAnsi="Cambria Math"/>
                <w:lang w:val="en-US"/>
              </w:rPr>
            </m:ctrlPr>
          </m:naryPr>
          <m:sub>
            <m:r>
              <w:rPr>
                <w:rFonts w:ascii="Cambria Math" w:hAnsi="Cambria Math" w:hint="eastAsia"/>
                <w:lang w:val="en-US"/>
              </w:rPr>
              <m:t>i</m:t>
            </m:r>
            <m:r>
              <m:rPr>
                <m:sty m:val="p"/>
              </m:rPr>
              <w:rPr>
                <w:rFonts w:ascii="Cambria Math" w:hAnsi="Cambria Math" w:hint="eastAsia"/>
                <w:lang w:val="en-US"/>
              </w:rPr>
              <m:t>=1</m:t>
            </m:r>
          </m:sub>
          <m:sup>
            <m:r>
              <w:rPr>
                <w:rFonts w:ascii="Cambria Math" w:hAnsi="Cambria Math" w:hint="eastAsia"/>
                <w:lang w:val="en-US"/>
              </w:rPr>
              <m:t>Q</m:t>
            </m:r>
          </m:sup>
          <m:e>
            <m:r>
              <m:rPr>
                <m:sty m:val="p"/>
              </m:rPr>
              <w:rPr>
                <w:rFonts w:ascii="Cambria Math" w:hAnsi="Cambria Math" w:hint="eastAsia"/>
                <w:lang w:val="en-US"/>
              </w:rPr>
              <m:t xml:space="preserve">  </m:t>
            </m:r>
          </m:e>
        </m:nary>
      </m:oMath>
      <w:r w:rsidRPr="005A47AE">
        <w:rPr>
          <w:lang w:val="en-US"/>
        </w:rPr>
        <w:t>W</w:t>
      </w:r>
      <w:proofErr w:type="spellStart"/>
      <w:r w:rsidRPr="005A47AE">
        <w:rPr>
          <w:sz w:val="32"/>
          <w:vertAlign w:val="subscript"/>
          <w:lang w:val="en-US"/>
        </w:rPr>
        <w:t>i</w:t>
      </w:r>
      <w:proofErr w:type="spellEnd"/>
      <w:r w:rsidRPr="005A47AE">
        <w:rPr>
          <w:lang w:val="en-US"/>
        </w:rPr>
        <w:t xml:space="preserve"> </w:t>
      </w:r>
      <w:r w:rsidRPr="005A47AE">
        <w:t>×</w:t>
      </w:r>
      <w:r w:rsidRPr="005A47AE">
        <w:rPr>
          <w:lang w:val="en-US"/>
        </w:rPr>
        <w:t xml:space="preserve"> </w:t>
      </w:r>
      <w:proofErr w:type="spellStart"/>
      <w:r w:rsidRPr="005A47AE">
        <w:rPr>
          <w:lang w:val="en-US"/>
        </w:rPr>
        <w:t>SE</w:t>
      </w:r>
      <w:r w:rsidRPr="005A47AE">
        <w:rPr>
          <w:sz w:val="22"/>
          <w:lang w:val="en-US"/>
        </w:rPr>
        <w:t>p</w:t>
      </w:r>
      <w:r w:rsidRPr="005A47AE">
        <w:rPr>
          <w:sz w:val="32"/>
          <w:vertAlign w:val="subscript"/>
          <w:lang w:val="en-US"/>
        </w:rPr>
        <w:t>i</w:t>
      </w:r>
      <w:proofErr w:type="spellEnd"/>
      <w:r w:rsidRPr="005A47AE">
        <w:rPr>
          <w:sz w:val="20"/>
          <w:lang w:val="en-US"/>
        </w:rPr>
        <w:t xml:space="preserve"> </w:t>
      </w:r>
      <w:r w:rsidRPr="005A47AE">
        <w:rPr>
          <w:szCs w:val="24"/>
          <w:lang w:val="en-US"/>
        </w:rPr>
        <w:tab/>
        <w:t>(2)</w:t>
      </w:r>
    </w:p>
    <w:p w:rsidR="003A62FD" w:rsidRPr="005A47AE" w:rsidRDefault="003A62FD" w:rsidP="00A021EE">
      <w:pPr>
        <w:rPr>
          <w:lang w:val="en-US"/>
        </w:rPr>
      </w:pPr>
      <w:r w:rsidRPr="005A47AE">
        <w:rPr>
          <w:lang w:val="en-US"/>
        </w:rPr>
        <w:t>Where W</w:t>
      </w:r>
      <w:r w:rsidRPr="005A47AE">
        <w:rPr>
          <w:vertAlign w:val="subscript"/>
          <w:lang w:val="en-US"/>
        </w:rPr>
        <w:t>i</w:t>
      </w:r>
      <w:r w:rsidRPr="005A47AE">
        <w:rPr>
          <w:lang w:val="en-US"/>
        </w:rPr>
        <w:t xml:space="preserve"> and </w:t>
      </w:r>
      <w:proofErr w:type="spellStart"/>
      <w:r w:rsidRPr="005A47AE">
        <w:rPr>
          <w:lang w:val="en-US"/>
        </w:rPr>
        <w:t>SEp</w:t>
      </w:r>
      <w:r w:rsidRPr="005A47AE">
        <w:rPr>
          <w:vertAlign w:val="subscript"/>
          <w:lang w:val="en-US"/>
        </w:rPr>
        <w:t>i</w:t>
      </w:r>
      <w:proofErr w:type="spellEnd"/>
      <w:r w:rsidRPr="005A47AE">
        <w:rPr>
          <w:lang w:val="en-US"/>
        </w:rPr>
        <w:t xml:space="preserve"> (</w:t>
      </w:r>
      <w:proofErr w:type="spellStart"/>
      <w:r w:rsidRPr="005A47AE">
        <w:rPr>
          <w:lang w:val="en-US"/>
        </w:rPr>
        <w:t>i</w:t>
      </w:r>
      <w:proofErr w:type="spellEnd"/>
      <w:r w:rsidRPr="005A47AE">
        <w:rPr>
          <w:lang w:val="en-US"/>
        </w:rPr>
        <w:t xml:space="preserve"> = 1,…Q) are the component bandwidths and spectral efficiencies respectively.</w:t>
      </w:r>
    </w:p>
    <w:p w:rsidR="003A62FD" w:rsidRPr="005A47AE" w:rsidRDefault="003A62FD" w:rsidP="00A17A65">
      <w:r w:rsidRPr="005A47AE">
        <w:t xml:space="preserve">This requirement is defined for the purpose of evaluation in the </w:t>
      </w:r>
      <w:proofErr w:type="spellStart"/>
      <w:r w:rsidRPr="005A47AE">
        <w:t>eMBB</w:t>
      </w:r>
      <w:proofErr w:type="spellEnd"/>
      <w:r w:rsidRPr="005A47AE">
        <w:t xml:space="preserve"> usage scenario. </w:t>
      </w:r>
    </w:p>
    <w:p w:rsidR="003A62FD" w:rsidRPr="005A47AE" w:rsidRDefault="003A62FD" w:rsidP="00A021EE">
      <w:r w:rsidRPr="005A47AE">
        <w:t>The minimum requirements for peak data rate are as follows:</w:t>
      </w:r>
    </w:p>
    <w:p w:rsidR="003A62FD" w:rsidRPr="005A47AE" w:rsidRDefault="003A62FD" w:rsidP="00E86F14">
      <w:pPr>
        <w:pStyle w:val="enumlev1"/>
      </w:pPr>
      <w:r w:rsidRPr="005A47AE">
        <w:t>–</w:t>
      </w:r>
      <w:r w:rsidRPr="005A47AE">
        <w:tab/>
        <w:t xml:space="preserve">Downlink peak data rate is 20 </w:t>
      </w:r>
      <w:proofErr w:type="spellStart"/>
      <w:r w:rsidRPr="005A47AE">
        <w:t>Gbit</w:t>
      </w:r>
      <w:proofErr w:type="spellEnd"/>
      <w:r w:rsidRPr="005A47AE">
        <w:t>/s.</w:t>
      </w:r>
    </w:p>
    <w:p w:rsidR="003A62FD" w:rsidRPr="005A47AE" w:rsidRDefault="003A62FD" w:rsidP="00E86F14">
      <w:pPr>
        <w:pStyle w:val="enumlev1"/>
        <w:rPr>
          <w:b/>
        </w:rPr>
      </w:pPr>
      <w:r w:rsidRPr="005A47AE">
        <w:t>–</w:t>
      </w:r>
      <w:r w:rsidRPr="005A47AE">
        <w:tab/>
        <w:t xml:space="preserve">Uplink peak data rate is 10 </w:t>
      </w:r>
      <w:proofErr w:type="spellStart"/>
      <w:r w:rsidRPr="005A47AE">
        <w:t>Gbit</w:t>
      </w:r>
      <w:proofErr w:type="spellEnd"/>
      <w:r w:rsidRPr="005A47AE">
        <w:t>/s.</w:t>
      </w:r>
    </w:p>
    <w:p w:rsidR="003A62FD" w:rsidRPr="005A47AE" w:rsidRDefault="003A62FD" w:rsidP="00A021EE">
      <w:pPr>
        <w:pStyle w:val="Heading2"/>
      </w:pPr>
      <w:r w:rsidRPr="005A47AE">
        <w:t>4.2</w:t>
      </w:r>
      <w:r w:rsidRPr="005A47AE">
        <w:tab/>
        <w:t>Peak spectral efficiency</w:t>
      </w:r>
    </w:p>
    <w:p w:rsidR="003A62FD" w:rsidRPr="005A47AE" w:rsidRDefault="003A62FD" w:rsidP="00A021EE">
      <w:pPr>
        <w:rPr>
          <w:lang w:eastAsia="de-DE"/>
        </w:rPr>
      </w:pPr>
      <w:r w:rsidRPr="005A47AE">
        <w:t>Peak spectral efficiency is the maximum data rate under ideal conditions normalised by channel bandwidth (in bit/s/Hz), where the maximum data rate</w:t>
      </w:r>
      <w:r w:rsidRPr="005A47AE">
        <w:rPr>
          <w:rFonts w:hint="eastAsia"/>
        </w:rPr>
        <w:t xml:space="preserve"> is the received data bits assuming error-free conditions assignable to a single mobile station, when all assignable radio resources for the corresponding li</w:t>
      </w:r>
      <w:r w:rsidR="00195EB1">
        <w:rPr>
          <w:rFonts w:hint="eastAsia"/>
        </w:rPr>
        <w:t>nk direction are utilized (i.e.</w:t>
      </w:r>
      <w:r w:rsidRPr="005A47AE">
        <w:rPr>
          <w:rFonts w:hint="eastAsia"/>
        </w:rPr>
        <w:t xml:space="preserve"> excluding radio resources that are used for physical layer synchronization, reference signals or pilots, guard bands and guard times)</w:t>
      </w:r>
      <w:r w:rsidRPr="005A47AE">
        <w:t xml:space="preserve">. </w:t>
      </w:r>
    </w:p>
    <w:p w:rsidR="003A62FD" w:rsidRPr="005A47AE" w:rsidRDefault="003A62FD" w:rsidP="00A021EE">
      <w:r w:rsidRPr="005A47AE">
        <w:t xml:space="preserve">This requirement is defined for the purpose of evaluation in the </w:t>
      </w:r>
      <w:proofErr w:type="spellStart"/>
      <w:r w:rsidRPr="005A47AE">
        <w:t>eMBB</w:t>
      </w:r>
      <w:proofErr w:type="spellEnd"/>
      <w:r w:rsidRPr="005A47AE">
        <w:t xml:space="preserve"> usage scenario.</w:t>
      </w:r>
    </w:p>
    <w:p w:rsidR="003A62FD" w:rsidRPr="005A47AE" w:rsidRDefault="003A62FD" w:rsidP="00A021EE">
      <w:pPr>
        <w:rPr>
          <w:lang w:val="en-US" w:eastAsia="zh-CN"/>
        </w:rPr>
      </w:pPr>
      <w:r w:rsidRPr="005A47AE">
        <w:rPr>
          <w:lang w:val="en-US" w:eastAsia="zh-CN"/>
        </w:rPr>
        <w:t xml:space="preserve">The minimum requirements for peak spectral efficiencies are as follows: </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Downlink peak spectral efficiency is 30 bit/s/Hz.</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Uplink peak spectral efficiency is 15 bit/s/Hz.</w:t>
      </w:r>
    </w:p>
    <w:p w:rsidR="003A62FD" w:rsidRPr="005A47AE" w:rsidRDefault="003A62FD" w:rsidP="00DC652E">
      <w:pPr>
        <w:rPr>
          <w:b/>
        </w:rPr>
      </w:pPr>
      <w:r w:rsidRPr="005A47AE">
        <w:rPr>
          <w:lang w:val="en-US" w:eastAsia="zh-CN"/>
        </w:rPr>
        <w:t xml:space="preserve">These values were defined assuming an antenna configuration </w:t>
      </w:r>
      <w:r w:rsidRPr="005A47AE">
        <w:rPr>
          <w:rFonts w:eastAsia="MS Mincho"/>
          <w:lang w:val="en-US" w:eastAsia="ja-JP"/>
        </w:rPr>
        <w:t xml:space="preserve">to </w:t>
      </w:r>
      <w:r w:rsidRPr="005A47AE">
        <w:rPr>
          <w:lang w:val="en-US" w:eastAsia="zh-CN"/>
        </w:rPr>
        <w:t>enable</w:t>
      </w:r>
      <w:r w:rsidRPr="005A47AE">
        <w:rPr>
          <w:rFonts w:eastAsia="MS Mincho"/>
          <w:lang w:val="en-US" w:eastAsia="ja-JP"/>
        </w:rPr>
        <w:t xml:space="preserve"> 8 spatial layers (streams) in the downlink and 4 </w:t>
      </w:r>
      <w:r>
        <w:rPr>
          <w:rFonts w:eastAsia="MS Mincho"/>
          <w:lang w:val="en-US" w:eastAsia="ja-JP"/>
        </w:rPr>
        <w:t xml:space="preserve">spatial layers (streams) </w:t>
      </w:r>
      <w:r w:rsidRPr="005A47AE">
        <w:rPr>
          <w:rFonts w:eastAsia="MS Mincho"/>
          <w:lang w:val="en-US" w:eastAsia="ja-JP"/>
        </w:rPr>
        <w:t>in the uplink.</w:t>
      </w:r>
      <w:r w:rsidRPr="005A47AE">
        <w:t>However, this does not form part of the requirement and the conditions for evaluation are described in Report ITU-R M.[IMT-2020.EVAL]</w:t>
      </w:r>
      <w:r w:rsidRPr="005A47AE">
        <w:rPr>
          <w:rFonts w:eastAsia="MS Mincho"/>
          <w:lang w:eastAsia="ja-JP"/>
        </w:rPr>
        <w:t>.</w:t>
      </w:r>
    </w:p>
    <w:p w:rsidR="003A62FD" w:rsidRPr="005A47AE" w:rsidRDefault="003A62FD" w:rsidP="00A021EE">
      <w:pPr>
        <w:pStyle w:val="Heading2"/>
      </w:pPr>
      <w:r w:rsidRPr="005A47AE">
        <w:t>4.3</w:t>
      </w:r>
      <w:r w:rsidRPr="005A47AE">
        <w:tab/>
        <w:t>User experienced data rate</w:t>
      </w:r>
    </w:p>
    <w:p w:rsidR="003A62FD" w:rsidRPr="005A47AE" w:rsidRDefault="003A62FD" w:rsidP="00A021EE">
      <w:r w:rsidRPr="005A47AE">
        <w:rPr>
          <w:rFonts w:eastAsia="+mn-ea"/>
        </w:rPr>
        <w:t>User experienced data rate</w:t>
      </w:r>
      <w:r w:rsidRPr="005A47AE">
        <w:rPr>
          <w:lang w:eastAsia="zh-CN"/>
        </w:rPr>
        <w:t xml:space="preserve"> is the 5% point of the </w:t>
      </w:r>
      <w:r w:rsidRPr="005A47AE">
        <w:rPr>
          <w:lang w:val="en-US" w:eastAsia="ko-KR"/>
        </w:rPr>
        <w:t>cumulative distribution function (CDF) of the user throughput</w:t>
      </w:r>
      <w:r w:rsidRPr="005A47AE">
        <w:rPr>
          <w:lang w:eastAsia="zh-CN"/>
        </w:rPr>
        <w:t xml:space="preserve">. User throughput (during active time) is defined as </w:t>
      </w:r>
      <w:r w:rsidRPr="005A47AE">
        <w:t xml:space="preserve">the number of correctly received bits, i.e. the number of bits contained in the service data units (SDUs) delivered to Layer 3, over a certain period of time. </w:t>
      </w:r>
    </w:p>
    <w:p w:rsidR="003A62FD" w:rsidRPr="005A47AE" w:rsidRDefault="003A62FD" w:rsidP="00A021EE">
      <w:pPr>
        <w:rPr>
          <w:szCs w:val="24"/>
          <w:lang w:eastAsia="zh-CN"/>
        </w:rPr>
      </w:pPr>
      <w:r w:rsidRPr="005A47AE">
        <w:rPr>
          <w:rFonts w:hint="eastAsia"/>
          <w:lang w:eastAsia="zh-CN"/>
        </w:rPr>
        <w:t xml:space="preserve">In </w:t>
      </w:r>
      <w:r w:rsidRPr="005A47AE">
        <w:t xml:space="preserve">case </w:t>
      </w:r>
      <w:r w:rsidRPr="005A47AE">
        <w:rPr>
          <w:rFonts w:hint="eastAsia"/>
          <w:szCs w:val="24"/>
          <w:lang w:eastAsia="zh-CN"/>
        </w:rPr>
        <w:t xml:space="preserve">of </w:t>
      </w:r>
      <w:r w:rsidRPr="005A47AE">
        <w:t xml:space="preserve">one </w:t>
      </w:r>
      <w:r w:rsidRPr="005A47AE">
        <w:rPr>
          <w:rFonts w:hint="eastAsia"/>
          <w:lang w:eastAsia="zh-CN"/>
        </w:rPr>
        <w:t xml:space="preserve">frequency </w:t>
      </w:r>
      <w:r w:rsidRPr="005A47AE">
        <w:t xml:space="preserve">band and one layer of </w:t>
      </w:r>
      <w:r w:rsidRPr="005A47AE">
        <w:rPr>
          <w:rFonts w:hint="eastAsia"/>
          <w:lang w:eastAsia="zh-CN"/>
        </w:rPr>
        <w:t>transmission reception point</w:t>
      </w:r>
      <w:r w:rsidRPr="005A47AE">
        <w:rPr>
          <w:lang w:eastAsia="zh-CN"/>
        </w:rPr>
        <w:t>s</w:t>
      </w:r>
      <w:r w:rsidRPr="005A47AE">
        <w:rPr>
          <w:rFonts w:hint="eastAsia"/>
          <w:lang w:eastAsia="zh-CN"/>
        </w:rPr>
        <w:t xml:space="preserve"> (</w:t>
      </w:r>
      <w:proofErr w:type="spellStart"/>
      <w:r w:rsidRPr="005A47AE">
        <w:t>TRxP</w:t>
      </w:r>
      <w:proofErr w:type="spellEnd"/>
      <w:r w:rsidRPr="005A47AE">
        <w:t>)</w:t>
      </w:r>
      <w:r w:rsidRPr="005A47AE">
        <w:rPr>
          <w:rFonts w:hint="eastAsia"/>
          <w:lang w:eastAsia="zh-CN"/>
        </w:rPr>
        <w:t xml:space="preserve">, </w:t>
      </w:r>
      <w:r w:rsidRPr="005A47AE">
        <w:rPr>
          <w:rFonts w:hint="eastAsia"/>
          <w:lang w:eastAsia="ja-JP"/>
        </w:rPr>
        <w:t xml:space="preserve">the </w:t>
      </w:r>
      <w:r w:rsidRPr="005A47AE">
        <w:rPr>
          <w:rFonts w:hint="eastAsia"/>
          <w:lang w:eastAsia="zh-CN"/>
        </w:rPr>
        <w:t xml:space="preserve">user experienced data rate could be derived </w:t>
      </w:r>
      <w:r w:rsidRPr="005A47AE">
        <w:rPr>
          <w:lang w:eastAsia="zh-CN"/>
        </w:rPr>
        <w:t>from</w:t>
      </w:r>
      <w:r w:rsidRPr="005A47AE">
        <w:rPr>
          <w:rFonts w:hint="eastAsia"/>
          <w:lang w:eastAsia="zh-CN"/>
        </w:rPr>
        <w:t xml:space="preserve"> </w:t>
      </w:r>
      <w:r w:rsidRPr="005A47AE">
        <w:rPr>
          <w:rFonts w:hint="eastAsia"/>
          <w:lang w:eastAsia="ja-JP"/>
        </w:rPr>
        <w:t xml:space="preserve">the </w:t>
      </w:r>
      <w:r w:rsidRPr="005A47AE">
        <w:rPr>
          <w:rFonts w:hint="eastAsia"/>
          <w:lang w:eastAsia="zh-CN"/>
        </w:rPr>
        <w:t>5</w:t>
      </w:r>
      <w:r w:rsidRPr="005A47AE">
        <w:rPr>
          <w:rFonts w:hint="eastAsia"/>
          <w:vertAlign w:val="superscript"/>
          <w:lang w:eastAsia="zh-CN"/>
        </w:rPr>
        <w:t>th</w:t>
      </w:r>
      <w:r w:rsidRPr="005A47AE">
        <w:rPr>
          <w:rFonts w:hint="eastAsia"/>
          <w:lang w:eastAsia="zh-CN"/>
        </w:rPr>
        <w:t xml:space="preserve"> percentile user spectr</w:t>
      </w:r>
      <w:r w:rsidRPr="005A47AE">
        <w:rPr>
          <w:lang w:eastAsia="zh-CN"/>
        </w:rPr>
        <w:t>al</w:t>
      </w:r>
      <w:r w:rsidRPr="005A47AE">
        <w:rPr>
          <w:rFonts w:hint="eastAsia"/>
          <w:lang w:eastAsia="zh-CN"/>
        </w:rPr>
        <w:t xml:space="preserve"> efficiency through equation (</w:t>
      </w:r>
      <w:r w:rsidRPr="005A47AE">
        <w:rPr>
          <w:lang w:eastAsia="zh-CN"/>
        </w:rPr>
        <w:t>3</w:t>
      </w:r>
      <w:r w:rsidRPr="005A47AE">
        <w:rPr>
          <w:rFonts w:hint="eastAsia"/>
          <w:lang w:eastAsia="zh-CN"/>
        </w:rPr>
        <w:t xml:space="preserve">). </w:t>
      </w:r>
      <w:r w:rsidRPr="005A47AE">
        <w:rPr>
          <w:rFonts w:hint="eastAsia"/>
          <w:color w:val="000000" w:themeColor="text1"/>
          <w:lang w:eastAsia="zh-CN"/>
        </w:rPr>
        <w:t>L</w:t>
      </w:r>
      <w:r w:rsidRPr="005A47AE">
        <w:rPr>
          <w:color w:val="000000" w:themeColor="text1"/>
        </w:rPr>
        <w:t>et W denote the</w:t>
      </w:r>
      <w:r w:rsidRPr="005A47AE">
        <w:rPr>
          <w:rFonts w:hint="eastAsia"/>
          <w:color w:val="000000" w:themeColor="text1"/>
          <w:lang w:eastAsia="zh-CN"/>
        </w:rPr>
        <w:t xml:space="preserve"> </w:t>
      </w:r>
      <w:r w:rsidRPr="005A47AE">
        <w:rPr>
          <w:color w:val="000000" w:themeColor="text1"/>
        </w:rPr>
        <w:t>channel bandwidth and</w:t>
      </w:r>
      <w:r w:rsidRPr="005A47AE">
        <w:fldChar w:fldCharType="begin"/>
      </w:r>
      <w:r w:rsidRPr="005A47AE">
        <w:fldChar w:fldCharType="end"/>
      </w:r>
      <w:r w:rsidRPr="005A47AE">
        <w:rPr>
          <w:rFonts w:hint="eastAsia"/>
          <w:color w:val="000000" w:themeColor="text1"/>
          <w:lang w:eastAsia="zh-CN"/>
        </w:rPr>
        <w:t xml:space="preserve"> </w:t>
      </w:r>
      <w:proofErr w:type="spellStart"/>
      <w:r w:rsidRPr="005A47AE">
        <w:rPr>
          <w:color w:val="000000" w:themeColor="text1"/>
          <w:lang w:eastAsia="zh-CN"/>
        </w:rPr>
        <w:t>SE</w:t>
      </w:r>
      <w:r w:rsidRPr="005A47AE">
        <w:rPr>
          <w:color w:val="000000" w:themeColor="text1"/>
          <w:vertAlign w:val="subscript"/>
          <w:lang w:eastAsia="zh-CN"/>
        </w:rPr>
        <w:t>user</w:t>
      </w:r>
      <w:proofErr w:type="spellEnd"/>
      <w:r w:rsidRPr="005A47AE">
        <w:rPr>
          <w:color w:val="000000" w:themeColor="text1"/>
          <w:lang w:eastAsia="zh-CN"/>
        </w:rPr>
        <w:t xml:space="preserve"> </w:t>
      </w:r>
      <w:r w:rsidRPr="005A47AE">
        <w:rPr>
          <w:rFonts w:hint="eastAsia"/>
          <w:color w:val="000000" w:themeColor="text1"/>
          <w:lang w:eastAsia="zh-CN"/>
        </w:rPr>
        <w:t>denote the 5</w:t>
      </w:r>
      <w:r w:rsidRPr="005A47AE">
        <w:rPr>
          <w:rFonts w:hint="eastAsia"/>
          <w:color w:val="000000" w:themeColor="text1"/>
          <w:vertAlign w:val="superscript"/>
          <w:lang w:eastAsia="zh-CN"/>
        </w:rPr>
        <w:t>th</w:t>
      </w:r>
      <w:r w:rsidRPr="005A47AE">
        <w:rPr>
          <w:rFonts w:hint="eastAsia"/>
          <w:color w:val="000000" w:themeColor="text1"/>
          <w:lang w:eastAsia="zh-CN"/>
        </w:rPr>
        <w:t xml:space="preserve"> percentile </w:t>
      </w:r>
      <w:r w:rsidRPr="005A47AE">
        <w:rPr>
          <w:lang w:eastAsia="zh-CN"/>
        </w:rPr>
        <w:t>user</w:t>
      </w:r>
      <w:r w:rsidRPr="005A47AE">
        <w:t xml:space="preserve"> spectral efficiency</w:t>
      </w:r>
      <w:r w:rsidRPr="005A47AE">
        <w:rPr>
          <w:rFonts w:hint="eastAsia"/>
          <w:lang w:eastAsia="zh-CN"/>
        </w:rPr>
        <w:t xml:space="preserve">. </w:t>
      </w:r>
      <w:r w:rsidRPr="005A47AE">
        <w:rPr>
          <w:lang w:eastAsia="zh-CN"/>
        </w:rPr>
        <w:t>T</w:t>
      </w:r>
      <w:r w:rsidRPr="005A47AE">
        <w:rPr>
          <w:rFonts w:hint="eastAsia"/>
          <w:lang w:eastAsia="zh-CN"/>
        </w:rPr>
        <w:t>hen the u</w:t>
      </w:r>
      <w:r w:rsidRPr="005A47AE">
        <w:rPr>
          <w:lang w:eastAsia="zh-CN"/>
        </w:rPr>
        <w:t>ser experienced data rate</w:t>
      </w:r>
      <w:r w:rsidRPr="005A47AE">
        <w:rPr>
          <w:rFonts w:hint="eastAsia"/>
          <w:lang w:eastAsia="zh-CN"/>
        </w:rPr>
        <w:t xml:space="preserve">, </w:t>
      </w:r>
      <w:proofErr w:type="spellStart"/>
      <w:r w:rsidRPr="005A47AE">
        <w:t>R</w:t>
      </w:r>
      <w:r w:rsidRPr="005A47AE">
        <w:rPr>
          <w:vertAlign w:val="subscript"/>
        </w:rPr>
        <w:t>user</w:t>
      </w:r>
      <w:proofErr w:type="spellEnd"/>
      <w:r w:rsidRPr="005A47AE">
        <w:t xml:space="preserve"> </w:t>
      </w:r>
      <w:r w:rsidRPr="005A47AE">
        <w:rPr>
          <w:rFonts w:hint="eastAsia"/>
          <w:lang w:eastAsia="zh-CN"/>
        </w:rPr>
        <w:t>is given by</w:t>
      </w:r>
      <w:r w:rsidRPr="005A47AE">
        <w:rPr>
          <w:lang w:eastAsia="zh-CN"/>
        </w:rPr>
        <w:t>:</w:t>
      </w:r>
    </w:p>
    <w:p w:rsidR="003A62FD" w:rsidRPr="005A47AE" w:rsidRDefault="003A62FD" w:rsidP="00A021EE">
      <w:pPr>
        <w:pStyle w:val="Equation"/>
        <w:rPr>
          <w:color w:val="000000" w:themeColor="text1"/>
          <w:lang w:eastAsia="zh-CN"/>
        </w:rPr>
      </w:pPr>
      <w:r w:rsidRPr="005A47AE">
        <w:tab/>
      </w:r>
      <w:r w:rsidRPr="005A47AE">
        <w:tab/>
      </w:r>
      <w:r w:rsidRPr="005A47AE">
        <w:fldChar w:fldCharType="begin"/>
      </w:r>
      <w:r w:rsidRPr="005A47AE">
        <w:fldChar w:fldCharType="end"/>
      </w:r>
      <w:proofErr w:type="spellStart"/>
      <w:r w:rsidRPr="005A47AE">
        <w:t>R</w:t>
      </w:r>
      <w:r w:rsidRPr="005A47AE">
        <w:rPr>
          <w:vertAlign w:val="subscript"/>
        </w:rPr>
        <w:t>user</w:t>
      </w:r>
      <w:proofErr w:type="spellEnd"/>
      <w:r w:rsidRPr="005A47AE">
        <w:t xml:space="preserve"> = W × </w:t>
      </w:r>
      <w:proofErr w:type="spellStart"/>
      <w:r w:rsidRPr="005A47AE">
        <w:t>SE</w:t>
      </w:r>
      <w:r w:rsidRPr="005A47AE">
        <w:rPr>
          <w:vertAlign w:val="subscript"/>
        </w:rPr>
        <w:t>user</w:t>
      </w:r>
      <w:proofErr w:type="spellEnd"/>
      <w:r w:rsidRPr="005A47AE">
        <w:rPr>
          <w:color w:val="000000" w:themeColor="text1"/>
          <w:lang w:eastAsia="zh-CN"/>
        </w:rPr>
        <w:t xml:space="preserve"> </w:t>
      </w:r>
      <w:r w:rsidRPr="005A47AE">
        <w:rPr>
          <w:rFonts w:hint="eastAsia"/>
          <w:color w:val="000000" w:themeColor="text1"/>
          <w:lang w:eastAsia="zh-CN"/>
        </w:rPr>
        <w:tab/>
        <w:t>(</w:t>
      </w:r>
      <w:r w:rsidRPr="005A47AE">
        <w:rPr>
          <w:color w:val="000000" w:themeColor="text1"/>
          <w:lang w:eastAsia="zh-CN"/>
        </w:rPr>
        <w:t>3</w:t>
      </w:r>
      <w:r w:rsidRPr="005A47AE">
        <w:rPr>
          <w:rFonts w:hint="eastAsia"/>
          <w:color w:val="000000" w:themeColor="text1"/>
          <w:lang w:eastAsia="zh-CN"/>
        </w:rPr>
        <w:t>)</w:t>
      </w:r>
    </w:p>
    <w:p w:rsidR="003A62FD" w:rsidRPr="005A47AE" w:rsidRDefault="003A62FD" w:rsidP="00A021EE">
      <w:pPr>
        <w:pStyle w:val="Equation"/>
        <w:rPr>
          <w:color w:val="000000" w:themeColor="text1"/>
          <w:lang w:eastAsia="zh-CN"/>
        </w:rPr>
      </w:pPr>
      <w:r w:rsidRPr="005A47AE">
        <w:t xml:space="preserve">In case bandwidth is aggregated across multiple bands (one or more </w:t>
      </w:r>
      <w:proofErr w:type="spellStart"/>
      <w:r w:rsidRPr="005A47AE">
        <w:t>TRxP</w:t>
      </w:r>
      <w:proofErr w:type="spellEnd"/>
      <w:r w:rsidRPr="005A47AE">
        <w:t xml:space="preserve"> layers), the user experienced data rate will be summed over the bands.</w:t>
      </w:r>
    </w:p>
    <w:p w:rsidR="003A62FD" w:rsidRPr="005A47AE" w:rsidRDefault="003A62FD" w:rsidP="00A021EE">
      <w:r w:rsidRPr="005A47AE">
        <w:t xml:space="preserve">This requirement is defined for the purpose of evaluation in the related </w:t>
      </w:r>
      <w:proofErr w:type="spellStart"/>
      <w:r w:rsidRPr="005A47AE">
        <w:t>eMBB</w:t>
      </w:r>
      <w:proofErr w:type="spellEnd"/>
      <w:r w:rsidRPr="005A47AE">
        <w:t xml:space="preserve"> test environment.</w:t>
      </w:r>
    </w:p>
    <w:p w:rsidR="003A62FD" w:rsidRPr="005A47AE" w:rsidRDefault="003A62FD" w:rsidP="00A021EE">
      <w:pPr>
        <w:rPr>
          <w:lang w:val="en-US" w:eastAsia="zh-CN"/>
        </w:rPr>
      </w:pPr>
      <w:r w:rsidRPr="005A47AE">
        <w:t>The target values</w:t>
      </w:r>
      <w:r w:rsidRPr="005A47AE">
        <w:rPr>
          <w:rFonts w:hint="eastAsia"/>
        </w:rPr>
        <w:t xml:space="preserve"> </w:t>
      </w:r>
      <w:r w:rsidRPr="005A47AE">
        <w:t xml:space="preserve">for </w:t>
      </w:r>
      <w:r w:rsidRPr="005A47AE">
        <w:rPr>
          <w:rFonts w:hint="eastAsia"/>
        </w:rPr>
        <w:t xml:space="preserve">the </w:t>
      </w:r>
      <w:r w:rsidRPr="005A47AE">
        <w:rPr>
          <w:rFonts w:eastAsia="MS Mincho" w:hint="eastAsia"/>
        </w:rPr>
        <w:t>user experienced data rate</w:t>
      </w:r>
      <w:r w:rsidRPr="005A47AE">
        <w:t xml:space="preserve"> </w:t>
      </w:r>
      <w:r w:rsidRPr="005A47AE">
        <w:rPr>
          <w:lang w:val="en-US" w:eastAsia="zh-CN"/>
        </w:rPr>
        <w:t xml:space="preserve">are as follows in the </w:t>
      </w:r>
      <w:r w:rsidRPr="005A47AE">
        <w:rPr>
          <w:rFonts w:eastAsia="MS Mincho"/>
        </w:rPr>
        <w:t xml:space="preserve">Dense Urban – </w:t>
      </w:r>
      <w:proofErr w:type="spellStart"/>
      <w:r w:rsidRPr="005A47AE">
        <w:rPr>
          <w:rFonts w:eastAsia="MS Mincho"/>
        </w:rPr>
        <w:t>eMBB</w:t>
      </w:r>
      <w:proofErr w:type="spellEnd"/>
      <w:r w:rsidRPr="005A47AE">
        <w:rPr>
          <w:rFonts w:eastAsia="MS Mincho"/>
        </w:rPr>
        <w:t xml:space="preserve"> test environment</w:t>
      </w:r>
      <w:r w:rsidRPr="005A47AE">
        <w:rPr>
          <w:lang w:val="en-US" w:eastAsia="zh-CN"/>
        </w:rPr>
        <w:t xml:space="preserve">: </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 xml:space="preserve">Downlink </w:t>
      </w:r>
      <w:r w:rsidRPr="005A47AE">
        <w:rPr>
          <w:rFonts w:eastAsia="MS Mincho" w:hint="eastAsia"/>
        </w:rPr>
        <w:t>user experienced data rate</w:t>
      </w:r>
      <w:r w:rsidRPr="005A47AE">
        <w:t xml:space="preserve"> </w:t>
      </w:r>
      <w:r w:rsidRPr="005A47AE">
        <w:rPr>
          <w:lang w:val="en-US" w:eastAsia="zh-CN"/>
        </w:rPr>
        <w:t xml:space="preserve">is 100 Mbit/s. </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 xml:space="preserve">Uplink </w:t>
      </w:r>
      <w:r w:rsidRPr="005A47AE">
        <w:rPr>
          <w:rFonts w:eastAsia="MS Mincho" w:hint="eastAsia"/>
        </w:rPr>
        <w:t>user experienced data rate</w:t>
      </w:r>
      <w:r w:rsidRPr="005A47AE">
        <w:t xml:space="preserve"> </w:t>
      </w:r>
      <w:r w:rsidRPr="005A47AE">
        <w:rPr>
          <w:lang w:val="en-US" w:eastAsia="zh-CN"/>
        </w:rPr>
        <w:t xml:space="preserve">is 50 Mbit/s. </w:t>
      </w:r>
    </w:p>
    <w:p w:rsidR="003A62FD" w:rsidRPr="005A47AE" w:rsidRDefault="003A62FD" w:rsidP="00DC652E">
      <w:pPr>
        <w:rPr>
          <w:b/>
        </w:rPr>
      </w:pPr>
      <w:r w:rsidRPr="005A47AE">
        <w:rPr>
          <w:lang w:eastAsia="zh-CN"/>
        </w:rPr>
        <w:lastRenderedPageBreak/>
        <w:t xml:space="preserve">These values are defined </w:t>
      </w:r>
      <w:r w:rsidRPr="005A47AE">
        <w:rPr>
          <w:rFonts w:hint="eastAsia"/>
          <w:lang w:eastAsia="zh-CN"/>
        </w:rPr>
        <w:t xml:space="preserve">assuming supportable bandwidth </w:t>
      </w:r>
      <w:r w:rsidRPr="005A47AE">
        <w:rPr>
          <w:rFonts w:eastAsia="Malgun Gothic" w:hint="eastAsia"/>
          <w:lang w:eastAsia="ko-KR"/>
        </w:rPr>
        <w:t xml:space="preserve">as </w:t>
      </w:r>
      <w:r w:rsidRPr="005A47AE">
        <w:rPr>
          <w:lang w:eastAsia="ko-KR"/>
        </w:rPr>
        <w:t xml:space="preserve">described in </w:t>
      </w:r>
      <w:r w:rsidR="005A3BB4" w:rsidRPr="005A47AE">
        <w:rPr>
          <w:lang w:eastAsia="ko-KR"/>
        </w:rPr>
        <w:t xml:space="preserve">Report </w:t>
      </w:r>
      <w:r w:rsidRPr="005A47AE">
        <w:rPr>
          <w:lang w:eastAsia="ko-KR"/>
        </w:rPr>
        <w:t>ITU-R M.[IMT-2020.EVAL] for each test environment</w:t>
      </w:r>
      <w:r w:rsidRPr="005A47AE">
        <w:rPr>
          <w:rFonts w:eastAsia="Malgun Gothic" w:hint="eastAsia"/>
          <w:lang w:val="en-US" w:eastAsia="ko-KR"/>
        </w:rPr>
        <w:t>.</w:t>
      </w:r>
      <w:r w:rsidRPr="005A47AE">
        <w:rPr>
          <w:rFonts w:eastAsia="Malgun Gothic"/>
          <w:lang w:val="en-US" w:eastAsia="ko-KR"/>
        </w:rPr>
        <w:t xml:space="preserve"> </w:t>
      </w:r>
      <w:r w:rsidRPr="005A47AE">
        <w:rPr>
          <w:rFonts w:eastAsia="Malgun Gothic"/>
          <w:lang w:eastAsia="ko-KR"/>
        </w:rPr>
        <w:t>However, the bandwidth assumption does not form part of the requirement.</w:t>
      </w:r>
      <w:r w:rsidRPr="005A47AE">
        <w:t xml:space="preserve"> The conditions for evaluation are described in Report ITU-R M.[IMT-2020.EVAL].</w:t>
      </w:r>
    </w:p>
    <w:p w:rsidR="003A62FD" w:rsidRPr="005A47AE" w:rsidRDefault="003A62FD" w:rsidP="00A021EE">
      <w:pPr>
        <w:pStyle w:val="Heading2"/>
      </w:pPr>
      <w:r w:rsidRPr="005A47AE">
        <w:t>4.4</w:t>
      </w:r>
      <w:r w:rsidRPr="005A47AE">
        <w:tab/>
        <w:t>5</w:t>
      </w:r>
      <w:r w:rsidRPr="005A47AE">
        <w:rPr>
          <w:vertAlign w:val="superscript"/>
        </w:rPr>
        <w:t>th</w:t>
      </w:r>
      <w:r w:rsidRPr="005A47AE">
        <w:t xml:space="preserve"> percentile user spectral efficiency </w:t>
      </w:r>
    </w:p>
    <w:p w:rsidR="003A62FD" w:rsidRPr="005A47AE" w:rsidRDefault="003A62FD" w:rsidP="00A021EE">
      <w:r w:rsidRPr="005A47AE">
        <w:t>The 5</w:t>
      </w:r>
      <w:r w:rsidRPr="005A47AE">
        <w:rPr>
          <w:vertAlign w:val="superscript"/>
        </w:rPr>
        <w:t>th</w:t>
      </w:r>
      <w:r w:rsidRPr="005A47AE">
        <w:t xml:space="preserve"> percentile user spectral efficiency is the 5% point of the CDF of the normalized user throughput. The normalized user throughput is defined as the number of correctly received bits,</w:t>
      </w:r>
      <w:r w:rsidRPr="005A47AE">
        <w:br/>
        <w:t xml:space="preserve">i.e., the number of bits contained in the SDUs delivered to Layer 3, over a certain period of time, divided by the channel bandwidth and is measured in bit/s/Hz. </w:t>
      </w:r>
    </w:p>
    <w:p w:rsidR="003A62FD" w:rsidRPr="005A47AE" w:rsidRDefault="003A62FD" w:rsidP="00A021EE">
      <w:r w:rsidRPr="005A47AE">
        <w:t>The channel bandwidth for this purpose is defined as the effective bandwidth times the frequency reuse factor, where the effective bandwidth is the operating bandwidth normalized appropriately considering the uplink/downlink ratio.</w:t>
      </w:r>
    </w:p>
    <w:p w:rsidR="003A62FD" w:rsidRPr="005A47AE" w:rsidRDefault="003A62FD" w:rsidP="00290899">
      <w:r w:rsidRPr="005A47AE">
        <w:t xml:space="preserve">With </w:t>
      </w:r>
      <w:proofErr w:type="spellStart"/>
      <w:r w:rsidRPr="005A47AE">
        <w:t>R</w:t>
      </w:r>
      <w:r w:rsidRPr="005A47AE">
        <w:rPr>
          <w:i/>
          <w:vertAlign w:val="subscript"/>
        </w:rPr>
        <w:t>i</w:t>
      </w:r>
      <w:proofErr w:type="spellEnd"/>
      <w:r w:rsidRPr="005A47AE">
        <w:rPr>
          <w:rFonts w:hint="eastAsia"/>
          <w:i/>
          <w:vertAlign w:val="subscript"/>
          <w:lang w:eastAsia="ja-JP"/>
        </w:rPr>
        <w:t xml:space="preserve"> </w:t>
      </w:r>
      <w:r w:rsidRPr="005A47AE">
        <w:t>(</w:t>
      </w:r>
      <w:proofErr w:type="spellStart"/>
      <w:r w:rsidRPr="005A47AE">
        <w:rPr>
          <w:i/>
        </w:rPr>
        <w:t>T</w:t>
      </w:r>
      <w:r w:rsidRPr="005A47AE" w:rsidDel="008B536D">
        <w:rPr>
          <w:i/>
          <w:vertAlign w:val="subscript"/>
        </w:rPr>
        <w:t>i</w:t>
      </w:r>
      <w:proofErr w:type="spellEnd"/>
      <w:r w:rsidRPr="005A47AE">
        <w:t xml:space="preserve">) denoting the number of correctly received bits of </w:t>
      </w:r>
      <w:r w:rsidRPr="005A47AE" w:rsidDel="008B536D">
        <w:rPr>
          <w:lang w:val="en-US"/>
        </w:rPr>
        <w:t xml:space="preserve">user </w:t>
      </w:r>
      <w:proofErr w:type="spellStart"/>
      <w:r w:rsidRPr="005A47AE" w:rsidDel="008B536D">
        <w:rPr>
          <w:i/>
        </w:rPr>
        <w:t>i</w:t>
      </w:r>
      <w:proofErr w:type="spellEnd"/>
      <w:r w:rsidRPr="005A47AE" w:rsidDel="008B536D">
        <w:t xml:space="preserve">, </w:t>
      </w:r>
      <w:proofErr w:type="spellStart"/>
      <w:r w:rsidRPr="005A47AE" w:rsidDel="008B536D">
        <w:rPr>
          <w:i/>
        </w:rPr>
        <w:t>T</w:t>
      </w:r>
      <w:r w:rsidRPr="005A47AE" w:rsidDel="008B536D">
        <w:rPr>
          <w:i/>
          <w:vertAlign w:val="subscript"/>
        </w:rPr>
        <w:t>i</w:t>
      </w:r>
      <w:proofErr w:type="spellEnd"/>
      <w:r w:rsidRPr="005A47AE" w:rsidDel="008B536D">
        <w:t xml:space="preserve"> </w:t>
      </w:r>
      <w:r w:rsidRPr="005A47AE">
        <w:t xml:space="preserve">the active session time for </w:t>
      </w:r>
      <w:r w:rsidRPr="005A47AE" w:rsidDel="008B536D">
        <w:rPr>
          <w:lang w:val="en-US"/>
        </w:rPr>
        <w:t xml:space="preserve">user </w:t>
      </w:r>
      <w:proofErr w:type="spellStart"/>
      <w:r w:rsidRPr="005A47AE">
        <w:rPr>
          <w:i/>
        </w:rPr>
        <w:t>i</w:t>
      </w:r>
      <w:proofErr w:type="spellEnd"/>
      <w:r w:rsidRPr="005A47AE">
        <w:t xml:space="preserve"> and W the channel bandwidth, the (normalized) user throughput of </w:t>
      </w:r>
      <w:r w:rsidRPr="005A47AE" w:rsidDel="008B536D">
        <w:rPr>
          <w:lang w:val="en-US"/>
        </w:rPr>
        <w:t xml:space="preserve">user </w:t>
      </w:r>
      <w:proofErr w:type="spellStart"/>
      <w:r w:rsidRPr="005A47AE">
        <w:rPr>
          <w:i/>
        </w:rPr>
        <w:t>i</w:t>
      </w:r>
      <w:proofErr w:type="spellEnd"/>
      <w:r w:rsidRPr="005A47AE">
        <w:t xml:space="preserve">, </w:t>
      </w:r>
      <w:proofErr w:type="spellStart"/>
      <w:r w:rsidRPr="005A47AE">
        <w:rPr>
          <w:i/>
          <w:lang w:eastAsia="ja-JP"/>
        </w:rPr>
        <w:t>r</w:t>
      </w:r>
      <w:r w:rsidRPr="005A47AE" w:rsidDel="008B536D">
        <w:rPr>
          <w:i/>
          <w:vertAlign w:val="subscript"/>
        </w:rPr>
        <w:t>i</w:t>
      </w:r>
      <w:proofErr w:type="spellEnd"/>
      <w:r w:rsidRPr="005A47AE">
        <w:t>, is defined according to equation (</w:t>
      </w:r>
      <w:r w:rsidRPr="005A47AE">
        <w:rPr>
          <w:lang w:eastAsia="ja-JP"/>
        </w:rPr>
        <w:t>4</w:t>
      </w:r>
      <w:r w:rsidRPr="005A47AE">
        <w:t>).</w:t>
      </w:r>
    </w:p>
    <w:p w:rsidR="003A62FD" w:rsidRPr="005A47AE" w:rsidRDefault="003A62FD" w:rsidP="00A021EE">
      <w:pPr>
        <w:pStyle w:val="Equation"/>
        <w:spacing w:before="0"/>
        <w:rPr>
          <w:lang w:val="en-US" w:eastAsia="ja-JP"/>
        </w:rPr>
      </w:pPr>
      <w:r w:rsidRPr="005A47AE">
        <w:tab/>
      </w:r>
      <w:r w:rsidRPr="005A47AE">
        <w:tab/>
      </w:r>
      <w:r w:rsidRPr="005A47AE">
        <w:rPr>
          <w:position w:val="-30"/>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3pt" o:ole="">
            <v:imagedata r:id="rId13" o:title=""/>
          </v:shape>
          <o:OLEObject Type="Embed" ProgID="Equation.3" ShapeID="_x0000_i1025" DrawAspect="Content" ObjectID="_1549345925" r:id="rId14"/>
        </w:object>
      </w:r>
      <w:r w:rsidRPr="005A47AE">
        <w:tab/>
      </w:r>
      <w:r w:rsidRPr="005A47AE">
        <w:rPr>
          <w:lang w:val="en-US"/>
        </w:rPr>
        <w:t>(</w:t>
      </w:r>
      <w:r w:rsidRPr="005A47AE">
        <w:rPr>
          <w:lang w:eastAsia="ja-JP"/>
        </w:rPr>
        <w:t>4</w:t>
      </w:r>
      <w:r w:rsidRPr="005A47AE">
        <w:rPr>
          <w:lang w:val="en-US"/>
        </w:rPr>
        <w:t>)</w:t>
      </w:r>
    </w:p>
    <w:p w:rsidR="003A62FD" w:rsidRPr="005A47AE" w:rsidRDefault="003A62FD" w:rsidP="00A021EE">
      <w:r w:rsidRPr="005A47AE">
        <w:t xml:space="preserve">This requirement is defined for the purpose of evaluation in the </w:t>
      </w:r>
      <w:proofErr w:type="spellStart"/>
      <w:r w:rsidRPr="005A47AE">
        <w:t>eMBB</w:t>
      </w:r>
      <w:proofErr w:type="spellEnd"/>
      <w:r w:rsidRPr="005A47AE">
        <w:t xml:space="preserve"> usage scenario. </w:t>
      </w:r>
    </w:p>
    <w:p w:rsidR="003A62FD" w:rsidRPr="005A47AE" w:rsidRDefault="003A62FD" w:rsidP="00A021EE">
      <w:r w:rsidRPr="005A47AE">
        <w:t>The minimum requirements for 5</w:t>
      </w:r>
      <w:r w:rsidRPr="005A47AE">
        <w:rPr>
          <w:vertAlign w:val="superscript"/>
        </w:rPr>
        <w:t>th</w:t>
      </w:r>
      <w:r w:rsidRPr="005A47AE">
        <w:t xml:space="preserve"> percentile user spectral efficiency for various test environments are summarized in Table </w:t>
      </w:r>
      <w:r w:rsidRPr="005A47AE">
        <w:rPr>
          <w:lang w:eastAsia="ja-JP"/>
        </w:rPr>
        <w:t>1</w:t>
      </w:r>
      <w:r w:rsidRPr="005A47AE">
        <w:t>.</w:t>
      </w:r>
    </w:p>
    <w:p w:rsidR="003A62FD" w:rsidRPr="005A47AE" w:rsidRDefault="003A62FD" w:rsidP="00A021EE">
      <w:pPr>
        <w:keepNext/>
        <w:spacing w:before="560" w:after="120"/>
        <w:jc w:val="center"/>
        <w:rPr>
          <w:caps/>
          <w:sz w:val="20"/>
        </w:rPr>
      </w:pPr>
      <w:r w:rsidRPr="005A47AE">
        <w:rPr>
          <w:caps/>
          <w:sz w:val="20"/>
        </w:rPr>
        <w:t xml:space="preserve">TABLE </w:t>
      </w:r>
      <w:r w:rsidRPr="005A47AE">
        <w:rPr>
          <w:caps/>
          <w:sz w:val="20"/>
          <w:lang w:eastAsia="ja-JP"/>
        </w:rPr>
        <w:t>1</w:t>
      </w:r>
    </w:p>
    <w:p w:rsidR="003A62FD" w:rsidRPr="005A47AE" w:rsidRDefault="003A62FD" w:rsidP="00A021EE">
      <w:pPr>
        <w:keepNext/>
        <w:keepLines/>
        <w:spacing w:before="0" w:after="120"/>
        <w:jc w:val="center"/>
        <w:rPr>
          <w:rFonts w:ascii="Times New Roman Bold" w:hAnsi="Times New Roman Bold"/>
          <w:b/>
          <w:sz w:val="20"/>
        </w:rPr>
      </w:pPr>
      <w:r w:rsidRPr="005A47AE">
        <w:rPr>
          <w:rFonts w:ascii="Times New Roman Bold" w:hAnsi="Times New Roman Bold"/>
          <w:b/>
          <w:sz w:val="20"/>
        </w:rPr>
        <w:t>5</w:t>
      </w:r>
      <w:r w:rsidRPr="005A47AE">
        <w:rPr>
          <w:rFonts w:ascii="Times New Roman Bold" w:hAnsi="Times New Roman Bold"/>
          <w:b/>
          <w:sz w:val="20"/>
          <w:vertAlign w:val="superscript"/>
        </w:rPr>
        <w:t>th</w:t>
      </w:r>
      <w:r w:rsidRPr="005A47AE">
        <w:rPr>
          <w:rFonts w:ascii="Times New Roman Bold" w:hAnsi="Times New Roman Bold"/>
          <w:b/>
          <w:sz w:val="20"/>
        </w:rPr>
        <w:t xml:space="preserve"> percentile user spectral efficiency</w:t>
      </w:r>
    </w:p>
    <w:tbl>
      <w:tblPr>
        <w:tblStyle w:val="TableGrid"/>
        <w:tblW w:w="0" w:type="auto"/>
        <w:jc w:val="center"/>
        <w:tblLook w:val="01E0" w:firstRow="1" w:lastRow="1" w:firstColumn="1" w:lastColumn="1" w:noHBand="0" w:noVBand="0"/>
      </w:tblPr>
      <w:tblGrid>
        <w:gridCol w:w="2972"/>
        <w:gridCol w:w="2835"/>
        <w:gridCol w:w="2835"/>
      </w:tblGrid>
      <w:tr w:rsidR="003A62FD" w:rsidRPr="005A47AE" w:rsidTr="004B4A43">
        <w:trPr>
          <w:trHeight w:val="42"/>
          <w:jc w:val="center"/>
        </w:trPr>
        <w:tc>
          <w:tcPr>
            <w:tcW w:w="2972" w:type="dxa"/>
          </w:tcPr>
          <w:p w:rsidR="003A62FD" w:rsidRPr="005A47AE" w:rsidRDefault="003A62FD" w:rsidP="003A654F">
            <w:pPr>
              <w:pStyle w:val="Tablehead"/>
              <w:rPr>
                <w:rFonts w:eastAsiaTheme="minorEastAsia"/>
                <w:lang w:eastAsia="ja-JP"/>
              </w:rPr>
            </w:pPr>
            <w:r w:rsidRPr="005A47AE">
              <w:t>Test environment</w:t>
            </w:r>
          </w:p>
        </w:tc>
        <w:tc>
          <w:tcPr>
            <w:tcW w:w="2835" w:type="dxa"/>
          </w:tcPr>
          <w:p w:rsidR="003A62FD" w:rsidRPr="005A47AE" w:rsidRDefault="003A62FD" w:rsidP="003A654F">
            <w:pPr>
              <w:pStyle w:val="Tablehead"/>
              <w:rPr>
                <w:lang w:val="en-US"/>
              </w:rPr>
            </w:pPr>
            <w:r w:rsidRPr="005A47AE">
              <w:rPr>
                <w:lang w:val="en-US"/>
              </w:rPr>
              <w:t>Downlink</w:t>
            </w:r>
            <w:r w:rsidRPr="005A47AE">
              <w:rPr>
                <w:lang w:val="en-US" w:eastAsia="ja-JP"/>
              </w:rPr>
              <w:t xml:space="preserve"> </w:t>
            </w:r>
            <w:r w:rsidRPr="005A47AE">
              <w:rPr>
                <w:rFonts w:eastAsiaTheme="minorEastAsia" w:hint="eastAsia"/>
                <w:lang w:val="en-US" w:eastAsia="zh-CN"/>
              </w:rPr>
              <w:br/>
            </w:r>
            <w:r w:rsidRPr="005A47AE">
              <w:rPr>
                <w:lang w:val="en-US"/>
              </w:rPr>
              <w:t>(bit/s/Hz)</w:t>
            </w:r>
          </w:p>
        </w:tc>
        <w:tc>
          <w:tcPr>
            <w:tcW w:w="2835" w:type="dxa"/>
          </w:tcPr>
          <w:p w:rsidR="003A62FD" w:rsidRPr="005A47AE" w:rsidRDefault="003A62FD" w:rsidP="003A654F">
            <w:pPr>
              <w:pStyle w:val="Tablehead"/>
              <w:rPr>
                <w:lang w:val="en-US"/>
              </w:rPr>
            </w:pPr>
            <w:r w:rsidRPr="005A47AE">
              <w:rPr>
                <w:lang w:val="en-US"/>
              </w:rPr>
              <w:t>Uplink</w:t>
            </w:r>
            <w:r w:rsidRPr="005A47AE">
              <w:rPr>
                <w:lang w:val="en-US" w:eastAsia="ja-JP"/>
              </w:rPr>
              <w:t xml:space="preserve"> </w:t>
            </w:r>
            <w:r w:rsidRPr="005A47AE">
              <w:rPr>
                <w:rFonts w:eastAsiaTheme="minorEastAsia" w:hint="eastAsia"/>
                <w:lang w:val="en-US" w:eastAsia="zh-CN"/>
              </w:rPr>
              <w:br/>
            </w:r>
            <w:r w:rsidRPr="005A47AE">
              <w:rPr>
                <w:lang w:val="en-US"/>
              </w:rPr>
              <w:t>(bit/s/Hz)</w:t>
            </w:r>
          </w:p>
        </w:tc>
      </w:tr>
      <w:tr w:rsidR="003A62FD" w:rsidRPr="005A47AE" w:rsidTr="004B4A43">
        <w:trPr>
          <w:jc w:val="center"/>
        </w:trPr>
        <w:tc>
          <w:tcPr>
            <w:tcW w:w="2972" w:type="dxa"/>
          </w:tcPr>
          <w:p w:rsidR="003A62FD" w:rsidRPr="005A47AE" w:rsidRDefault="003A62FD" w:rsidP="003A654F">
            <w:pPr>
              <w:pStyle w:val="Tabletext"/>
              <w:rPr>
                <w:lang w:eastAsia="ja-JP"/>
              </w:rPr>
            </w:pPr>
            <w:r w:rsidRPr="005A47AE">
              <w:rPr>
                <w:lang w:eastAsia="ja-JP"/>
              </w:rPr>
              <w:t xml:space="preserve">Indoor Hotspot – </w:t>
            </w:r>
            <w:proofErr w:type="spellStart"/>
            <w:r w:rsidRPr="005A47AE">
              <w:rPr>
                <w:lang w:eastAsia="ja-JP"/>
              </w:rPr>
              <w:t>eMBB</w:t>
            </w:r>
            <w:proofErr w:type="spellEnd"/>
          </w:p>
        </w:tc>
        <w:tc>
          <w:tcPr>
            <w:tcW w:w="2835" w:type="dxa"/>
          </w:tcPr>
          <w:p w:rsidR="003A62FD" w:rsidRPr="005A47AE" w:rsidRDefault="003A62FD" w:rsidP="003A654F">
            <w:pPr>
              <w:pStyle w:val="Tabletext"/>
              <w:jc w:val="center"/>
              <w:rPr>
                <w:rFonts w:eastAsia="Malgun Gothic"/>
                <w:lang w:eastAsia="ko-KR"/>
              </w:rPr>
            </w:pPr>
            <w:r w:rsidRPr="005A47AE">
              <w:rPr>
                <w:lang w:val="en-US" w:eastAsia="zh-CN"/>
              </w:rPr>
              <w:t>0.3</w:t>
            </w:r>
          </w:p>
        </w:tc>
        <w:tc>
          <w:tcPr>
            <w:tcW w:w="2835" w:type="dxa"/>
          </w:tcPr>
          <w:p w:rsidR="003A62FD" w:rsidRPr="005A47AE" w:rsidRDefault="003A62FD" w:rsidP="003A654F">
            <w:pPr>
              <w:pStyle w:val="Tabletext"/>
              <w:jc w:val="center"/>
              <w:rPr>
                <w:rFonts w:eastAsia="Malgun Gothic"/>
                <w:lang w:eastAsia="ko-KR"/>
              </w:rPr>
            </w:pPr>
            <w:r w:rsidRPr="005A47AE">
              <w:rPr>
                <w:lang w:val="en-US" w:eastAsia="zh-CN"/>
              </w:rPr>
              <w:t>0.21</w:t>
            </w:r>
          </w:p>
        </w:tc>
      </w:tr>
      <w:tr w:rsidR="003A62FD" w:rsidRPr="005A47AE" w:rsidTr="004B4A43">
        <w:trPr>
          <w:jc w:val="center"/>
        </w:trPr>
        <w:tc>
          <w:tcPr>
            <w:tcW w:w="2972" w:type="dxa"/>
          </w:tcPr>
          <w:p w:rsidR="003A62FD" w:rsidRPr="005A47AE" w:rsidRDefault="003A62FD" w:rsidP="003A654F">
            <w:pPr>
              <w:pStyle w:val="Tabletext"/>
              <w:rPr>
                <w:lang w:eastAsia="ja-JP"/>
              </w:rPr>
            </w:pPr>
            <w:r w:rsidRPr="005A47AE">
              <w:rPr>
                <w:lang w:eastAsia="ja-JP"/>
              </w:rPr>
              <w:t xml:space="preserve">Dense Urban – </w:t>
            </w:r>
            <w:proofErr w:type="spellStart"/>
            <w:r w:rsidRPr="005A47AE">
              <w:rPr>
                <w:lang w:eastAsia="ja-JP"/>
              </w:rPr>
              <w:t>eMBB</w:t>
            </w:r>
            <w:proofErr w:type="spellEnd"/>
            <w:r w:rsidRPr="005A47AE">
              <w:rPr>
                <w:lang w:eastAsia="ja-JP"/>
              </w:rPr>
              <w:t xml:space="preserve"> (NOTE 1)</w:t>
            </w:r>
          </w:p>
        </w:tc>
        <w:tc>
          <w:tcPr>
            <w:tcW w:w="2835" w:type="dxa"/>
          </w:tcPr>
          <w:p w:rsidR="003A62FD" w:rsidRPr="005A47AE" w:rsidRDefault="003A62FD" w:rsidP="003A654F">
            <w:pPr>
              <w:pStyle w:val="Tabletext"/>
              <w:jc w:val="center"/>
              <w:rPr>
                <w:rFonts w:eastAsia="Malgun Gothic"/>
                <w:lang w:eastAsia="ko-KR"/>
              </w:rPr>
            </w:pPr>
            <w:r w:rsidRPr="005A47AE">
              <w:rPr>
                <w:lang w:val="en-US" w:eastAsia="zh-CN"/>
              </w:rPr>
              <w:t>0.225</w:t>
            </w:r>
          </w:p>
        </w:tc>
        <w:tc>
          <w:tcPr>
            <w:tcW w:w="2835" w:type="dxa"/>
          </w:tcPr>
          <w:p w:rsidR="003A62FD" w:rsidRPr="005A47AE" w:rsidRDefault="003A62FD" w:rsidP="003A654F">
            <w:pPr>
              <w:pStyle w:val="Tabletext"/>
              <w:jc w:val="center"/>
              <w:rPr>
                <w:rFonts w:eastAsia="Malgun Gothic"/>
                <w:lang w:eastAsia="ko-KR"/>
              </w:rPr>
            </w:pPr>
            <w:r w:rsidRPr="005A47AE">
              <w:rPr>
                <w:lang w:val="en-US" w:eastAsia="zh-CN"/>
              </w:rPr>
              <w:t>0.15</w:t>
            </w:r>
          </w:p>
        </w:tc>
      </w:tr>
      <w:tr w:rsidR="003A62FD" w:rsidRPr="005A47AE" w:rsidTr="00E86F14">
        <w:trPr>
          <w:jc w:val="center"/>
        </w:trPr>
        <w:tc>
          <w:tcPr>
            <w:tcW w:w="2972" w:type="dxa"/>
            <w:tcBorders>
              <w:bottom w:val="single" w:sz="4" w:space="0" w:color="auto"/>
            </w:tcBorders>
          </w:tcPr>
          <w:p w:rsidR="003A62FD" w:rsidRPr="005A47AE" w:rsidRDefault="003A62FD" w:rsidP="003A654F">
            <w:pPr>
              <w:pStyle w:val="Tabletext"/>
              <w:rPr>
                <w:lang w:eastAsia="ja-JP"/>
              </w:rPr>
            </w:pPr>
            <w:r w:rsidRPr="005A47AE">
              <w:rPr>
                <w:lang w:eastAsia="ja-JP"/>
              </w:rPr>
              <w:t xml:space="preserve">Rural – </w:t>
            </w:r>
            <w:proofErr w:type="spellStart"/>
            <w:r w:rsidRPr="005A47AE">
              <w:rPr>
                <w:lang w:eastAsia="ja-JP"/>
              </w:rPr>
              <w:t>eMBB</w:t>
            </w:r>
            <w:proofErr w:type="spellEnd"/>
          </w:p>
        </w:tc>
        <w:tc>
          <w:tcPr>
            <w:tcW w:w="2835" w:type="dxa"/>
            <w:tcBorders>
              <w:bottom w:val="single" w:sz="4" w:space="0" w:color="auto"/>
            </w:tcBorders>
          </w:tcPr>
          <w:p w:rsidR="003A62FD" w:rsidRPr="005A47AE" w:rsidRDefault="003A62FD" w:rsidP="003A654F">
            <w:pPr>
              <w:pStyle w:val="Tabletext"/>
              <w:jc w:val="center"/>
              <w:rPr>
                <w:rFonts w:eastAsia="Malgun Gothic"/>
                <w:lang w:eastAsia="ko-KR"/>
              </w:rPr>
            </w:pPr>
            <w:r w:rsidRPr="005A47AE">
              <w:rPr>
                <w:lang w:val="en-US" w:eastAsia="zh-CN"/>
              </w:rPr>
              <w:t>0.12</w:t>
            </w:r>
          </w:p>
        </w:tc>
        <w:tc>
          <w:tcPr>
            <w:tcW w:w="2835" w:type="dxa"/>
            <w:tcBorders>
              <w:bottom w:val="single" w:sz="4" w:space="0" w:color="auto"/>
            </w:tcBorders>
          </w:tcPr>
          <w:p w:rsidR="003A62FD" w:rsidRPr="005A47AE" w:rsidRDefault="003A62FD" w:rsidP="003A654F">
            <w:pPr>
              <w:pStyle w:val="Tabletext"/>
              <w:jc w:val="center"/>
              <w:rPr>
                <w:rFonts w:eastAsia="Malgun Gothic"/>
                <w:lang w:eastAsia="ko-KR"/>
              </w:rPr>
            </w:pPr>
            <w:r w:rsidRPr="005A47AE">
              <w:rPr>
                <w:lang w:val="en-US" w:eastAsia="zh-CN"/>
              </w:rPr>
              <w:t>0.045</w:t>
            </w:r>
          </w:p>
        </w:tc>
      </w:tr>
      <w:tr w:rsidR="00E86F14" w:rsidRPr="005A47AE" w:rsidTr="00E86F14">
        <w:trPr>
          <w:jc w:val="center"/>
        </w:trPr>
        <w:tc>
          <w:tcPr>
            <w:tcW w:w="8642" w:type="dxa"/>
            <w:gridSpan w:val="3"/>
            <w:tcBorders>
              <w:top w:val="single" w:sz="4" w:space="0" w:color="auto"/>
              <w:left w:val="nil"/>
              <w:bottom w:val="nil"/>
              <w:right w:val="nil"/>
            </w:tcBorders>
          </w:tcPr>
          <w:p w:rsidR="00E86F14" w:rsidRPr="005A47AE" w:rsidRDefault="00E86F14" w:rsidP="00E86F14">
            <w:pPr>
              <w:pStyle w:val="Tablelegend"/>
              <w:rPr>
                <w:lang w:val="en-US" w:eastAsia="zh-CN"/>
              </w:rPr>
            </w:pPr>
            <w:r w:rsidRPr="005A47AE">
              <w:rPr>
                <w:lang w:val="en-US" w:eastAsia="ja-JP"/>
              </w:rPr>
              <w:t xml:space="preserve">NOTE 1: This requirement </w:t>
            </w:r>
            <w:r w:rsidRPr="005A47AE">
              <w:rPr>
                <w:rFonts w:hint="eastAsia"/>
                <w:lang w:val="en-US" w:eastAsia="zh-CN"/>
              </w:rPr>
              <w:t>will be evaluated under</w:t>
            </w:r>
            <w:r w:rsidRPr="005A47AE">
              <w:rPr>
                <w:lang w:val="en-US" w:eastAsia="ja-JP"/>
              </w:rPr>
              <w:t xml:space="preserve"> Macro </w:t>
            </w:r>
            <w:proofErr w:type="spellStart"/>
            <w:r w:rsidRPr="005A47AE">
              <w:rPr>
                <w:lang w:val="en-US" w:eastAsia="ja-JP"/>
              </w:rPr>
              <w:t>TRxP</w:t>
            </w:r>
            <w:proofErr w:type="spellEnd"/>
            <w:r w:rsidRPr="005A47AE">
              <w:rPr>
                <w:lang w:val="en-US" w:eastAsia="ja-JP"/>
              </w:rPr>
              <w:t xml:space="preserve"> </w:t>
            </w:r>
            <w:r w:rsidRPr="005A47AE">
              <w:rPr>
                <w:rFonts w:hint="eastAsia"/>
                <w:lang w:val="en-US" w:eastAsia="zh-CN"/>
              </w:rPr>
              <w:t>layer</w:t>
            </w:r>
            <w:r w:rsidRPr="005A47AE">
              <w:rPr>
                <w:lang w:val="en-US" w:eastAsia="ja-JP"/>
              </w:rPr>
              <w:t xml:space="preserve"> of Dense Urban – </w:t>
            </w:r>
            <w:proofErr w:type="spellStart"/>
            <w:r w:rsidRPr="005A47AE">
              <w:rPr>
                <w:lang w:val="en-US" w:eastAsia="ja-JP"/>
              </w:rPr>
              <w:t>eMBB</w:t>
            </w:r>
            <w:proofErr w:type="spellEnd"/>
            <w:r w:rsidRPr="005A47AE">
              <w:rPr>
                <w:lang w:val="en-US" w:eastAsia="ja-JP"/>
              </w:rPr>
              <w:t xml:space="preserve"> </w:t>
            </w:r>
            <w:r w:rsidRPr="005A47AE">
              <w:rPr>
                <w:rFonts w:hint="eastAsia"/>
                <w:lang w:val="en-US" w:eastAsia="zh-CN"/>
              </w:rPr>
              <w:t xml:space="preserve">test </w:t>
            </w:r>
            <w:r w:rsidRPr="005A47AE">
              <w:rPr>
                <w:lang w:val="en-US" w:eastAsia="ja-JP"/>
              </w:rPr>
              <w:t xml:space="preserve">environment as described in </w:t>
            </w:r>
            <w:r>
              <w:rPr>
                <w:lang w:val="en-US" w:eastAsia="ja-JP"/>
              </w:rPr>
              <w:t xml:space="preserve">Report </w:t>
            </w:r>
            <w:r w:rsidRPr="005A47AE">
              <w:rPr>
                <w:lang w:eastAsia="ko-KR"/>
              </w:rPr>
              <w:t>ITU-R M.[IMT-2020.EVAL]</w:t>
            </w:r>
            <w:r w:rsidRPr="005A47AE">
              <w:rPr>
                <w:lang w:val="en-US" w:eastAsia="ja-JP"/>
              </w:rPr>
              <w:t>.</w:t>
            </w:r>
          </w:p>
        </w:tc>
      </w:tr>
    </w:tbl>
    <w:p w:rsidR="003A62FD" w:rsidRPr="00C51F27" w:rsidRDefault="003A62FD" w:rsidP="00C51F27">
      <w:pPr>
        <w:pStyle w:val="Tablefin"/>
      </w:pPr>
    </w:p>
    <w:p w:rsidR="003A62FD" w:rsidRPr="005A47AE" w:rsidRDefault="003A62FD" w:rsidP="005351AF">
      <w:pPr>
        <w:rPr>
          <w:lang w:eastAsia="zh-CN"/>
        </w:rPr>
      </w:pPr>
      <w:r w:rsidRPr="005A47AE">
        <w:rPr>
          <w:lang w:eastAsia="zh-CN"/>
        </w:rPr>
        <w:t>The performance requirement for Rural-</w:t>
      </w:r>
      <w:proofErr w:type="spellStart"/>
      <w:r w:rsidRPr="005A47AE">
        <w:rPr>
          <w:lang w:eastAsia="zh-CN"/>
        </w:rPr>
        <w:t>eMBB</w:t>
      </w:r>
      <w:proofErr w:type="spellEnd"/>
      <w:r w:rsidRPr="005A47AE">
        <w:rPr>
          <w:lang w:eastAsia="zh-CN"/>
        </w:rPr>
        <w:t xml:space="preserve"> is not applicable to Rural-</w:t>
      </w:r>
      <w:proofErr w:type="spellStart"/>
      <w:r w:rsidRPr="005A47AE">
        <w:rPr>
          <w:lang w:eastAsia="zh-CN"/>
        </w:rPr>
        <w:t>eMBB</w:t>
      </w:r>
      <w:proofErr w:type="spellEnd"/>
      <w:r w:rsidRPr="005A47AE">
        <w:rPr>
          <w:lang w:eastAsia="zh-CN"/>
        </w:rPr>
        <w:t xml:space="preserve"> LMLC (</w:t>
      </w:r>
      <w:r>
        <w:rPr>
          <w:lang w:eastAsia="zh-CN"/>
        </w:rPr>
        <w:t>l</w:t>
      </w:r>
      <w:r w:rsidRPr="005A47AE">
        <w:rPr>
          <w:lang w:eastAsia="zh-CN"/>
        </w:rPr>
        <w:t xml:space="preserve">ow </w:t>
      </w:r>
      <w:r>
        <w:rPr>
          <w:lang w:eastAsia="zh-CN"/>
        </w:rPr>
        <w:t>m</w:t>
      </w:r>
      <w:r w:rsidRPr="005A47AE">
        <w:rPr>
          <w:lang w:eastAsia="zh-CN"/>
        </w:rPr>
        <w:t xml:space="preserve">obility </w:t>
      </w:r>
      <w:r>
        <w:rPr>
          <w:lang w:eastAsia="zh-CN"/>
        </w:rPr>
        <w:t>l</w:t>
      </w:r>
      <w:r w:rsidRPr="005A47AE">
        <w:rPr>
          <w:lang w:eastAsia="zh-CN"/>
        </w:rPr>
        <w:t xml:space="preserve">arge </w:t>
      </w:r>
      <w:r>
        <w:rPr>
          <w:lang w:eastAsia="zh-CN"/>
        </w:rPr>
        <w:t>c</w:t>
      </w:r>
      <w:r w:rsidRPr="005A47AE">
        <w:rPr>
          <w:lang w:eastAsia="zh-CN"/>
        </w:rPr>
        <w:t xml:space="preserve">ell) which is one of the evaluation configurations under the Rural- </w:t>
      </w:r>
      <w:proofErr w:type="spellStart"/>
      <w:r w:rsidRPr="005A47AE">
        <w:rPr>
          <w:lang w:eastAsia="zh-CN"/>
        </w:rPr>
        <w:t>eMBB</w:t>
      </w:r>
      <w:proofErr w:type="spellEnd"/>
      <w:r w:rsidRPr="005A47AE">
        <w:rPr>
          <w:lang w:eastAsia="zh-CN"/>
        </w:rPr>
        <w:t xml:space="preserve"> test environment. </w:t>
      </w:r>
    </w:p>
    <w:p w:rsidR="003A62FD" w:rsidRPr="005A47AE" w:rsidRDefault="003A62FD" w:rsidP="005351AF">
      <w:pPr>
        <w:rPr>
          <w:b/>
        </w:rPr>
      </w:pPr>
      <w:r w:rsidRPr="005A47AE">
        <w:rPr>
          <w:rFonts w:hint="eastAsia"/>
          <w:lang w:eastAsia="zh-CN"/>
        </w:rPr>
        <w:t>T</w:t>
      </w:r>
      <w:r w:rsidRPr="005A47AE">
        <w:t xml:space="preserve">he conditions for evaluation </w:t>
      </w:r>
      <w:r w:rsidRPr="005A47AE">
        <w:rPr>
          <w:rFonts w:hint="eastAsia"/>
          <w:lang w:eastAsia="zh-CN"/>
        </w:rPr>
        <w:t>including</w:t>
      </w:r>
      <w:r w:rsidRPr="005A47AE">
        <w:rPr>
          <w:lang w:eastAsia="zh-CN"/>
        </w:rPr>
        <w:t xml:space="preserve"> </w:t>
      </w:r>
      <w:r w:rsidRPr="005A47AE">
        <w:rPr>
          <w:lang w:eastAsia="ko-KR"/>
        </w:rPr>
        <w:t>carrier frequency and antenna configuration are described in Report ITU-R M.[IMT-2020.EVAL] for each test environment.</w:t>
      </w:r>
    </w:p>
    <w:p w:rsidR="003A62FD" w:rsidRPr="005A47AE" w:rsidRDefault="003A62FD" w:rsidP="00A021EE">
      <w:pPr>
        <w:pStyle w:val="Heading2"/>
        <w:tabs>
          <w:tab w:val="left" w:pos="7769"/>
        </w:tabs>
      </w:pPr>
      <w:r w:rsidRPr="005A47AE">
        <w:t>4.5</w:t>
      </w:r>
      <w:r w:rsidRPr="005A47AE">
        <w:tab/>
        <w:t>Average spectral efficiency</w:t>
      </w:r>
    </w:p>
    <w:p w:rsidR="003A62FD" w:rsidRPr="005A47AE" w:rsidRDefault="003A62FD" w:rsidP="00A021EE">
      <w:pPr>
        <w:rPr>
          <w:lang w:eastAsia="zh-CN"/>
        </w:rPr>
      </w:pPr>
      <w:r w:rsidRPr="005A47AE">
        <w:t>Average</w:t>
      </w:r>
      <w:r w:rsidRPr="005A47AE">
        <w:rPr>
          <w:lang w:eastAsia="ko-KR"/>
        </w:rPr>
        <w:t xml:space="preserve"> spectral efficiency</w:t>
      </w:r>
      <w:r w:rsidRPr="00C51F27">
        <w:rPr>
          <w:rStyle w:val="FootnoteReference"/>
        </w:rPr>
        <w:footnoteReference w:id="2"/>
      </w:r>
      <w:r w:rsidRPr="005A47AE">
        <w:rPr>
          <w:b/>
        </w:rPr>
        <w:t xml:space="preserve"> </w:t>
      </w:r>
      <w:r w:rsidRPr="005A47AE">
        <w:rPr>
          <w:lang w:eastAsia="ko-KR"/>
        </w:rPr>
        <w:t>is t</w:t>
      </w:r>
      <w:r w:rsidRPr="005A47AE">
        <w:rPr>
          <w:lang w:val="en-US"/>
        </w:rPr>
        <w:t xml:space="preserve">he aggregate throughput of all users (the number of correctly received bits, i.e. the number of bits contained in the SDUs delivered to Layer 3, over a certain </w:t>
      </w:r>
      <w:r w:rsidRPr="005A47AE">
        <w:rPr>
          <w:lang w:val="en-US"/>
        </w:rPr>
        <w:lastRenderedPageBreak/>
        <w:t xml:space="preserve">period of time) </w:t>
      </w:r>
      <w:r w:rsidRPr="005A47AE">
        <w:t xml:space="preserve">divided by the channel bandwidth </w:t>
      </w:r>
      <w:r w:rsidRPr="005A47AE">
        <w:rPr>
          <w:rFonts w:hint="eastAsia"/>
          <w:lang w:eastAsia="zh-CN"/>
        </w:rPr>
        <w:t xml:space="preserve">of a specific band </w:t>
      </w:r>
      <w:r w:rsidRPr="005A47AE">
        <w:t xml:space="preserve">divided by the number of </w:t>
      </w:r>
      <w:proofErr w:type="spellStart"/>
      <w:r w:rsidRPr="005A47AE">
        <w:rPr>
          <w:szCs w:val="24"/>
        </w:rPr>
        <w:t>TRxPs</w:t>
      </w:r>
      <w:proofErr w:type="spellEnd"/>
      <w:r w:rsidRPr="005A47AE">
        <w:rPr>
          <w:szCs w:val="24"/>
        </w:rPr>
        <w:t xml:space="preserve"> and is measured in bit/s/Hz/</w:t>
      </w:r>
      <w:proofErr w:type="spellStart"/>
      <w:r w:rsidRPr="005A47AE">
        <w:rPr>
          <w:szCs w:val="24"/>
        </w:rPr>
        <w:t>TRxP</w:t>
      </w:r>
      <w:proofErr w:type="spellEnd"/>
      <w:r w:rsidRPr="005A47AE">
        <w:t>.</w:t>
      </w:r>
      <w:r w:rsidRPr="005A47AE">
        <w:rPr>
          <w:rFonts w:hint="eastAsia"/>
          <w:lang w:eastAsia="zh-CN"/>
        </w:rPr>
        <w:t xml:space="preserve"> </w:t>
      </w:r>
    </w:p>
    <w:p w:rsidR="003A62FD" w:rsidRPr="005A47AE" w:rsidRDefault="003A62FD" w:rsidP="00A021EE">
      <w:pPr>
        <w:rPr>
          <w:szCs w:val="24"/>
        </w:rPr>
      </w:pPr>
      <w:r w:rsidRPr="005A47AE">
        <w:rPr>
          <w:szCs w:val="24"/>
        </w:rPr>
        <w:t xml:space="preserve">The channel bandwidth for this purpose is defined as the effective bandwidth times the frequency reuse factor, where the effective bandwidth is the operating bandwidth normalized appropriately considering the uplink/downlink ratio. </w:t>
      </w:r>
    </w:p>
    <w:p w:rsidR="003A62FD" w:rsidRPr="005A47AE" w:rsidRDefault="003A62FD" w:rsidP="00A021EE">
      <w:pPr>
        <w:rPr>
          <w:color w:val="000000" w:themeColor="text1"/>
          <w:lang w:eastAsia="zh-CN"/>
        </w:rPr>
      </w:pPr>
      <w:r w:rsidRPr="005A47AE">
        <w:rPr>
          <w:color w:val="000000" w:themeColor="text1"/>
        </w:rPr>
        <w:t xml:space="preserve">Let </w:t>
      </w:r>
      <w:proofErr w:type="spellStart"/>
      <w:r w:rsidRPr="005A47AE">
        <w:rPr>
          <w:color w:val="000000" w:themeColor="text1"/>
        </w:rPr>
        <w:t>R</w:t>
      </w:r>
      <w:r w:rsidRPr="005A47AE">
        <w:rPr>
          <w:color w:val="000000" w:themeColor="text1"/>
          <w:vertAlign w:val="subscript"/>
        </w:rPr>
        <w:t>i</w:t>
      </w:r>
      <w:proofErr w:type="spellEnd"/>
      <w:r>
        <w:rPr>
          <w:color w:val="000000" w:themeColor="text1"/>
          <w:vertAlign w:val="subscript"/>
        </w:rPr>
        <w:t xml:space="preserve"> </w:t>
      </w:r>
      <w:r w:rsidRPr="005A47AE">
        <w:rPr>
          <w:color w:val="000000" w:themeColor="text1"/>
        </w:rPr>
        <w:t>(</w:t>
      </w:r>
      <w:r w:rsidRPr="005A47AE">
        <w:rPr>
          <w:i/>
          <w:color w:val="000000" w:themeColor="text1"/>
        </w:rPr>
        <w:t>T</w:t>
      </w:r>
      <w:r w:rsidRPr="005A47AE">
        <w:rPr>
          <w:color w:val="000000" w:themeColor="text1"/>
        </w:rPr>
        <w:t xml:space="preserve">) denote the number of correctly received bits by user </w:t>
      </w:r>
      <w:proofErr w:type="spellStart"/>
      <w:r w:rsidRPr="005A47AE">
        <w:rPr>
          <w:i/>
          <w:color w:val="000000" w:themeColor="text1"/>
        </w:rPr>
        <w:t>i</w:t>
      </w:r>
      <w:proofErr w:type="spellEnd"/>
      <w:r w:rsidRPr="005A47AE">
        <w:rPr>
          <w:color w:val="000000" w:themeColor="text1"/>
        </w:rPr>
        <w:t xml:space="preserve"> (downlink) or from user </w:t>
      </w:r>
      <w:proofErr w:type="spellStart"/>
      <w:r w:rsidRPr="005A47AE">
        <w:rPr>
          <w:i/>
          <w:color w:val="000000" w:themeColor="text1"/>
        </w:rPr>
        <w:t>i</w:t>
      </w:r>
      <w:proofErr w:type="spellEnd"/>
      <w:r w:rsidRPr="005A47AE">
        <w:rPr>
          <w:color w:val="000000" w:themeColor="text1"/>
        </w:rPr>
        <w:t xml:space="preserve"> (uplink) in</w:t>
      </w:r>
      <w:r w:rsidRPr="005A47AE">
        <w:rPr>
          <w:rFonts w:hint="eastAsia"/>
          <w:color w:val="000000" w:themeColor="text1"/>
          <w:lang w:eastAsia="zh-CN"/>
        </w:rPr>
        <w:t xml:space="preserve"> </w:t>
      </w:r>
      <w:r w:rsidRPr="005A47AE">
        <w:rPr>
          <w:color w:val="000000" w:themeColor="text1"/>
        </w:rPr>
        <w:t xml:space="preserve">a system comprising a user population of </w:t>
      </w:r>
      <w:r w:rsidRPr="005A47AE">
        <w:rPr>
          <w:i/>
          <w:color w:val="000000" w:themeColor="text1"/>
        </w:rPr>
        <w:t>N</w:t>
      </w:r>
      <w:r w:rsidRPr="005A47AE">
        <w:rPr>
          <w:color w:val="000000" w:themeColor="text1"/>
        </w:rPr>
        <w:t xml:space="preserve"> users and </w:t>
      </w:r>
      <w:r w:rsidRPr="005A47AE">
        <w:rPr>
          <w:i/>
          <w:color w:val="000000" w:themeColor="text1"/>
        </w:rPr>
        <w:t>M</w:t>
      </w:r>
      <w:r w:rsidRPr="005A47AE">
        <w:rPr>
          <w:color w:val="000000" w:themeColor="text1"/>
        </w:rPr>
        <w:t xml:space="preserve"> </w:t>
      </w:r>
      <w:proofErr w:type="spellStart"/>
      <w:r w:rsidRPr="005A47AE">
        <w:rPr>
          <w:rFonts w:hint="eastAsia"/>
          <w:color w:val="000000" w:themeColor="text1"/>
        </w:rPr>
        <w:t>TRxP</w:t>
      </w:r>
      <w:r w:rsidRPr="005A47AE">
        <w:rPr>
          <w:color w:val="000000" w:themeColor="text1"/>
        </w:rPr>
        <w:t>s</w:t>
      </w:r>
      <w:proofErr w:type="spellEnd"/>
      <w:r w:rsidRPr="005A47AE">
        <w:rPr>
          <w:color w:val="000000" w:themeColor="text1"/>
        </w:rPr>
        <w:t>. Furthermore, let W denote the</w:t>
      </w:r>
      <w:r w:rsidRPr="005A47AE">
        <w:rPr>
          <w:rFonts w:hint="eastAsia"/>
          <w:color w:val="000000" w:themeColor="text1"/>
          <w:lang w:eastAsia="zh-CN"/>
        </w:rPr>
        <w:t xml:space="preserve"> </w:t>
      </w:r>
      <w:r w:rsidRPr="005A47AE">
        <w:rPr>
          <w:color w:val="000000" w:themeColor="text1"/>
        </w:rPr>
        <w:t xml:space="preserve">channel bandwidth and </w:t>
      </w:r>
      <w:r w:rsidRPr="005A47AE">
        <w:rPr>
          <w:i/>
          <w:color w:val="000000" w:themeColor="text1"/>
        </w:rPr>
        <w:t>T</w:t>
      </w:r>
      <w:r w:rsidRPr="005A47AE">
        <w:rPr>
          <w:color w:val="000000" w:themeColor="text1"/>
        </w:rPr>
        <w:t xml:space="preserve"> the time over which the data bits are received. The average spectral</w:t>
      </w:r>
      <w:r w:rsidRPr="005A47AE">
        <w:rPr>
          <w:rFonts w:eastAsia="Malgun Gothic" w:hint="eastAsia"/>
          <w:color w:val="000000" w:themeColor="text1"/>
          <w:lang w:eastAsia="ko-KR"/>
        </w:rPr>
        <w:t xml:space="preserve"> </w:t>
      </w:r>
      <w:r w:rsidRPr="005A47AE">
        <w:rPr>
          <w:rFonts w:eastAsia="Malgun Gothic"/>
          <w:color w:val="000000" w:themeColor="text1"/>
          <w:lang w:eastAsia="ko-KR"/>
        </w:rPr>
        <w:t>efficiency</w:t>
      </w:r>
      <w:r w:rsidRPr="005A47AE">
        <w:rPr>
          <w:rFonts w:hint="eastAsia"/>
          <w:color w:val="000000" w:themeColor="text1"/>
          <w:lang w:eastAsia="zh-CN"/>
        </w:rPr>
        <w:t>,</w:t>
      </w:r>
      <w:r w:rsidRPr="005A47AE">
        <w:rPr>
          <w:color w:val="000000" w:themeColor="text1"/>
        </w:rPr>
        <w:t xml:space="preserve"> </w:t>
      </w:r>
      <w:proofErr w:type="spellStart"/>
      <w:r w:rsidRPr="005A47AE">
        <w:rPr>
          <w:color w:val="000000" w:themeColor="text1"/>
        </w:rPr>
        <w:t>SE</w:t>
      </w:r>
      <w:r w:rsidRPr="005A47AE">
        <w:rPr>
          <w:color w:val="000000" w:themeColor="text1"/>
          <w:vertAlign w:val="subscript"/>
        </w:rPr>
        <w:t>avg</w:t>
      </w:r>
      <w:proofErr w:type="spellEnd"/>
      <w:r w:rsidRPr="005A47AE">
        <w:rPr>
          <w:color w:val="000000" w:themeColor="text1"/>
        </w:rPr>
        <w:t xml:space="preserve"> is then defined </w:t>
      </w:r>
      <w:r w:rsidRPr="005A47AE">
        <w:rPr>
          <w:rFonts w:hint="eastAsia"/>
          <w:color w:val="000000" w:themeColor="text1"/>
          <w:lang w:eastAsia="zh-CN"/>
        </w:rPr>
        <w:t>according to</w:t>
      </w:r>
      <w:r w:rsidRPr="005A47AE">
        <w:rPr>
          <w:color w:val="000000" w:themeColor="text1"/>
        </w:rPr>
        <w:t xml:space="preserve"> </w:t>
      </w:r>
      <w:r w:rsidRPr="005A47AE">
        <w:rPr>
          <w:rFonts w:hint="eastAsia"/>
          <w:color w:val="000000" w:themeColor="text1"/>
          <w:lang w:eastAsia="zh-CN"/>
        </w:rPr>
        <w:t xml:space="preserve">equation </w:t>
      </w:r>
      <w:r w:rsidRPr="005A47AE">
        <w:rPr>
          <w:color w:val="000000" w:themeColor="text1"/>
        </w:rPr>
        <w:t>(</w:t>
      </w:r>
      <w:r w:rsidRPr="005A47AE">
        <w:rPr>
          <w:color w:val="000000" w:themeColor="text1"/>
          <w:lang w:eastAsia="zh-CN"/>
        </w:rPr>
        <w:t>5</w:t>
      </w:r>
      <w:r w:rsidRPr="005A47AE">
        <w:rPr>
          <w:color w:val="000000" w:themeColor="text1"/>
        </w:rPr>
        <w:t>)</w:t>
      </w:r>
      <w:r>
        <w:rPr>
          <w:color w:val="000000" w:themeColor="text1"/>
        </w:rPr>
        <w:t>.</w:t>
      </w:r>
    </w:p>
    <w:p w:rsidR="003A62FD" w:rsidRPr="005A47AE" w:rsidRDefault="003A62FD" w:rsidP="00A021EE">
      <w:pPr>
        <w:pStyle w:val="Equation"/>
        <w:rPr>
          <w:b/>
          <w:color w:val="000000" w:themeColor="text1"/>
          <w:lang w:eastAsia="zh-CN"/>
        </w:rPr>
      </w:pPr>
      <w:r w:rsidRPr="005A47AE">
        <w:tab/>
      </w:r>
      <w:r w:rsidRPr="005A47AE">
        <w:tab/>
      </w:r>
      <w:r w:rsidRPr="005A47AE">
        <w:rPr>
          <w:position w:val="-30"/>
        </w:rPr>
        <w:object w:dxaOrig="1840" w:dyaOrig="1060">
          <v:shape id="_x0000_i1026" type="#_x0000_t75" style="width:88pt;height:52pt" o:ole="">
            <v:imagedata r:id="rId15" o:title=""/>
          </v:shape>
          <o:OLEObject Type="Embed" ProgID="Equation.3" ShapeID="_x0000_i1026" DrawAspect="Content" ObjectID="_1549345926" r:id="rId16"/>
        </w:object>
      </w:r>
      <w:r w:rsidRPr="005A47AE">
        <w:tab/>
        <w:t>(5)</w:t>
      </w:r>
    </w:p>
    <w:p w:rsidR="003A62FD" w:rsidRPr="005A47AE" w:rsidRDefault="003A62FD" w:rsidP="00A021EE">
      <w:r w:rsidRPr="005A47AE">
        <w:t xml:space="preserve">This requirement is defined for the purpose of evaluation in the </w:t>
      </w:r>
      <w:proofErr w:type="spellStart"/>
      <w:r w:rsidRPr="005A47AE">
        <w:t>eMBB</w:t>
      </w:r>
      <w:proofErr w:type="spellEnd"/>
      <w:r w:rsidRPr="005A47AE">
        <w:t xml:space="preserve"> usage scenario.</w:t>
      </w:r>
    </w:p>
    <w:p w:rsidR="003A62FD" w:rsidRPr="005A47AE" w:rsidRDefault="003A62FD" w:rsidP="00A021EE">
      <w:r w:rsidRPr="005A47AE">
        <w:t xml:space="preserve">The minimum requirements for average spectral efficiency for various test environments are summarized in Table </w:t>
      </w:r>
      <w:r w:rsidRPr="005A47AE">
        <w:rPr>
          <w:lang w:eastAsia="ja-JP"/>
        </w:rPr>
        <w:t>2</w:t>
      </w:r>
      <w:r w:rsidRPr="005A47AE">
        <w:t>.</w:t>
      </w:r>
    </w:p>
    <w:p w:rsidR="003A62FD" w:rsidRPr="005A47AE" w:rsidRDefault="003A62FD" w:rsidP="00A021EE">
      <w:pPr>
        <w:pStyle w:val="TableNo"/>
      </w:pPr>
      <w:r w:rsidRPr="005A47AE">
        <w:t xml:space="preserve">TABLE </w:t>
      </w:r>
      <w:r w:rsidRPr="005A47AE">
        <w:rPr>
          <w:lang w:eastAsia="ja-JP"/>
        </w:rPr>
        <w:t>2</w:t>
      </w:r>
    </w:p>
    <w:p w:rsidR="003A62FD" w:rsidRPr="005A47AE" w:rsidRDefault="003A62FD" w:rsidP="00A021EE">
      <w:pPr>
        <w:pStyle w:val="Tabletitle"/>
      </w:pPr>
      <w:r w:rsidRPr="005A47AE">
        <w:rPr>
          <w:lang w:eastAsia="ja-JP"/>
        </w:rPr>
        <w:t xml:space="preserve">Average </w:t>
      </w:r>
      <w:r w:rsidRPr="005A47AE">
        <w:t>spectral efficiency</w:t>
      </w:r>
    </w:p>
    <w:tbl>
      <w:tblPr>
        <w:tblStyle w:val="TableGrid"/>
        <w:tblW w:w="0" w:type="auto"/>
        <w:jc w:val="center"/>
        <w:tblLook w:val="01E0" w:firstRow="1" w:lastRow="1" w:firstColumn="1" w:lastColumn="1" w:noHBand="0" w:noVBand="0"/>
      </w:tblPr>
      <w:tblGrid>
        <w:gridCol w:w="2972"/>
        <w:gridCol w:w="2835"/>
        <w:gridCol w:w="2835"/>
      </w:tblGrid>
      <w:tr w:rsidR="003A62FD" w:rsidRPr="005A47AE" w:rsidTr="004B4A43">
        <w:trPr>
          <w:trHeight w:val="42"/>
          <w:jc w:val="center"/>
        </w:trPr>
        <w:tc>
          <w:tcPr>
            <w:tcW w:w="2972" w:type="dxa"/>
          </w:tcPr>
          <w:p w:rsidR="003A62FD" w:rsidRPr="005A47AE" w:rsidRDefault="003A62FD" w:rsidP="003A654F">
            <w:pPr>
              <w:pStyle w:val="Tablehead"/>
              <w:rPr>
                <w:rFonts w:eastAsiaTheme="minorEastAsia"/>
                <w:lang w:eastAsia="ja-JP"/>
              </w:rPr>
            </w:pPr>
            <w:r w:rsidRPr="005A47AE">
              <w:t>Test environment</w:t>
            </w:r>
          </w:p>
        </w:tc>
        <w:tc>
          <w:tcPr>
            <w:tcW w:w="2835" w:type="dxa"/>
          </w:tcPr>
          <w:p w:rsidR="003A62FD" w:rsidRPr="005A47AE" w:rsidRDefault="003A62FD" w:rsidP="003A654F">
            <w:pPr>
              <w:pStyle w:val="Tablehead"/>
              <w:rPr>
                <w:lang w:val="en-US"/>
              </w:rPr>
            </w:pPr>
            <w:r w:rsidRPr="005A47AE">
              <w:rPr>
                <w:lang w:val="en-US"/>
              </w:rPr>
              <w:t>Downlink</w:t>
            </w:r>
            <w:r w:rsidRPr="005A47AE">
              <w:rPr>
                <w:lang w:val="en-US" w:eastAsia="ja-JP"/>
              </w:rPr>
              <w:t xml:space="preserve"> </w:t>
            </w:r>
            <w:r w:rsidRPr="005A47AE">
              <w:rPr>
                <w:lang w:val="en-US"/>
              </w:rPr>
              <w:t>(bit/s/Hz/</w:t>
            </w:r>
            <w:proofErr w:type="spellStart"/>
            <w:r w:rsidRPr="005A47AE">
              <w:rPr>
                <w:rFonts w:eastAsiaTheme="minorEastAsia"/>
                <w:lang w:val="en-US" w:eastAsia="ja-JP"/>
              </w:rPr>
              <w:t>TRxP</w:t>
            </w:r>
            <w:proofErr w:type="spellEnd"/>
            <w:r w:rsidRPr="005A47AE">
              <w:rPr>
                <w:lang w:val="en-US"/>
              </w:rPr>
              <w:t>)</w:t>
            </w:r>
          </w:p>
        </w:tc>
        <w:tc>
          <w:tcPr>
            <w:tcW w:w="2835" w:type="dxa"/>
          </w:tcPr>
          <w:p w:rsidR="003A62FD" w:rsidRPr="005A47AE" w:rsidRDefault="003A62FD" w:rsidP="003A654F">
            <w:pPr>
              <w:pStyle w:val="Tablehead"/>
              <w:rPr>
                <w:lang w:val="en-US"/>
              </w:rPr>
            </w:pPr>
            <w:r w:rsidRPr="005A47AE">
              <w:rPr>
                <w:lang w:val="en-US"/>
              </w:rPr>
              <w:t>Uplink</w:t>
            </w:r>
            <w:r w:rsidRPr="005A47AE">
              <w:rPr>
                <w:lang w:val="en-US" w:eastAsia="ja-JP"/>
              </w:rPr>
              <w:t xml:space="preserve"> </w:t>
            </w:r>
            <w:r w:rsidRPr="005A47AE">
              <w:rPr>
                <w:lang w:val="en-US"/>
              </w:rPr>
              <w:t>(bit/s/Hz/</w:t>
            </w:r>
            <w:proofErr w:type="spellStart"/>
            <w:r w:rsidRPr="005A47AE">
              <w:rPr>
                <w:rFonts w:eastAsiaTheme="minorEastAsia"/>
                <w:lang w:val="en-US" w:eastAsia="ja-JP"/>
              </w:rPr>
              <w:t>TRxP</w:t>
            </w:r>
            <w:proofErr w:type="spellEnd"/>
            <w:r w:rsidRPr="005A47AE">
              <w:rPr>
                <w:lang w:val="en-US"/>
              </w:rPr>
              <w:t>)</w:t>
            </w:r>
          </w:p>
        </w:tc>
      </w:tr>
      <w:tr w:rsidR="003A62FD" w:rsidRPr="005A47AE" w:rsidTr="004B4A43">
        <w:trPr>
          <w:jc w:val="center"/>
        </w:trPr>
        <w:tc>
          <w:tcPr>
            <w:tcW w:w="2972" w:type="dxa"/>
          </w:tcPr>
          <w:p w:rsidR="003A62FD" w:rsidRPr="005A47AE" w:rsidRDefault="003A62FD" w:rsidP="003A654F">
            <w:pPr>
              <w:pStyle w:val="Tabletext"/>
              <w:rPr>
                <w:lang w:eastAsia="ja-JP"/>
              </w:rPr>
            </w:pPr>
            <w:r w:rsidRPr="005A47AE">
              <w:rPr>
                <w:lang w:eastAsia="ja-JP"/>
              </w:rPr>
              <w:t xml:space="preserve">Indoor Hotspot – </w:t>
            </w:r>
            <w:proofErr w:type="spellStart"/>
            <w:r w:rsidRPr="005A47AE">
              <w:rPr>
                <w:lang w:eastAsia="ja-JP"/>
              </w:rPr>
              <w:t>eMBB</w:t>
            </w:r>
            <w:proofErr w:type="spellEnd"/>
          </w:p>
        </w:tc>
        <w:tc>
          <w:tcPr>
            <w:tcW w:w="2835" w:type="dxa"/>
          </w:tcPr>
          <w:p w:rsidR="003A62FD" w:rsidRPr="005A47AE" w:rsidRDefault="003A62FD" w:rsidP="003A654F">
            <w:pPr>
              <w:pStyle w:val="Tabletext"/>
              <w:jc w:val="center"/>
              <w:rPr>
                <w:lang w:eastAsia="ja-JP"/>
              </w:rPr>
            </w:pPr>
            <w:r w:rsidRPr="005A47AE">
              <w:rPr>
                <w:lang w:eastAsia="ja-JP"/>
              </w:rPr>
              <w:t>9</w:t>
            </w:r>
          </w:p>
        </w:tc>
        <w:tc>
          <w:tcPr>
            <w:tcW w:w="2835" w:type="dxa"/>
          </w:tcPr>
          <w:p w:rsidR="003A62FD" w:rsidRPr="005A47AE" w:rsidRDefault="003A62FD" w:rsidP="003A654F">
            <w:pPr>
              <w:pStyle w:val="Tabletext"/>
              <w:jc w:val="center"/>
              <w:rPr>
                <w:lang w:eastAsia="ja-JP"/>
              </w:rPr>
            </w:pPr>
            <w:r w:rsidRPr="005A47AE">
              <w:rPr>
                <w:lang w:eastAsia="ja-JP"/>
              </w:rPr>
              <w:t>6.75</w:t>
            </w:r>
          </w:p>
        </w:tc>
      </w:tr>
      <w:tr w:rsidR="003A62FD" w:rsidRPr="005A47AE" w:rsidTr="004B4A43">
        <w:trPr>
          <w:jc w:val="center"/>
        </w:trPr>
        <w:tc>
          <w:tcPr>
            <w:tcW w:w="2972" w:type="dxa"/>
          </w:tcPr>
          <w:p w:rsidR="003A62FD" w:rsidRPr="005A47AE" w:rsidRDefault="003A62FD" w:rsidP="003A654F">
            <w:pPr>
              <w:pStyle w:val="Tabletext"/>
              <w:rPr>
                <w:lang w:eastAsia="ja-JP"/>
              </w:rPr>
            </w:pPr>
            <w:r w:rsidRPr="005A47AE">
              <w:rPr>
                <w:lang w:eastAsia="ja-JP"/>
              </w:rPr>
              <w:t xml:space="preserve">Dense Urban – </w:t>
            </w:r>
            <w:proofErr w:type="spellStart"/>
            <w:r w:rsidRPr="005A47AE">
              <w:rPr>
                <w:lang w:eastAsia="ja-JP"/>
              </w:rPr>
              <w:t>eMBB</w:t>
            </w:r>
            <w:proofErr w:type="spellEnd"/>
            <w:r w:rsidRPr="005A47AE">
              <w:rPr>
                <w:lang w:eastAsia="ja-JP"/>
              </w:rPr>
              <w:t xml:space="preserve"> (NOTE 1)</w:t>
            </w:r>
          </w:p>
        </w:tc>
        <w:tc>
          <w:tcPr>
            <w:tcW w:w="2835" w:type="dxa"/>
          </w:tcPr>
          <w:p w:rsidR="003A62FD" w:rsidRPr="005A47AE" w:rsidRDefault="003A62FD" w:rsidP="003A654F">
            <w:pPr>
              <w:pStyle w:val="Tabletext"/>
              <w:jc w:val="center"/>
              <w:rPr>
                <w:lang w:eastAsia="ja-JP"/>
              </w:rPr>
            </w:pPr>
            <w:r w:rsidRPr="005A47AE">
              <w:rPr>
                <w:lang w:eastAsia="ja-JP"/>
              </w:rPr>
              <w:t>7.8</w:t>
            </w:r>
          </w:p>
        </w:tc>
        <w:tc>
          <w:tcPr>
            <w:tcW w:w="2835" w:type="dxa"/>
          </w:tcPr>
          <w:p w:rsidR="003A62FD" w:rsidRPr="005A47AE" w:rsidRDefault="003A62FD" w:rsidP="003A654F">
            <w:pPr>
              <w:pStyle w:val="Tabletext"/>
              <w:jc w:val="center"/>
              <w:rPr>
                <w:lang w:eastAsia="ja-JP"/>
              </w:rPr>
            </w:pPr>
            <w:r w:rsidRPr="005A47AE">
              <w:rPr>
                <w:lang w:eastAsia="ja-JP"/>
              </w:rPr>
              <w:t>5.4</w:t>
            </w:r>
          </w:p>
        </w:tc>
      </w:tr>
      <w:tr w:rsidR="003A62FD" w:rsidRPr="005A47AE" w:rsidTr="00C51F27">
        <w:trPr>
          <w:jc w:val="center"/>
        </w:trPr>
        <w:tc>
          <w:tcPr>
            <w:tcW w:w="2972" w:type="dxa"/>
            <w:tcBorders>
              <w:bottom w:val="single" w:sz="4" w:space="0" w:color="auto"/>
            </w:tcBorders>
          </w:tcPr>
          <w:p w:rsidR="003A62FD" w:rsidRPr="005A47AE" w:rsidRDefault="003A62FD" w:rsidP="003A654F">
            <w:pPr>
              <w:pStyle w:val="Tabletext"/>
              <w:rPr>
                <w:lang w:eastAsia="ja-JP"/>
              </w:rPr>
            </w:pPr>
            <w:r w:rsidRPr="005A47AE">
              <w:rPr>
                <w:lang w:eastAsia="ja-JP"/>
              </w:rPr>
              <w:t xml:space="preserve">Rural – </w:t>
            </w:r>
            <w:proofErr w:type="spellStart"/>
            <w:r w:rsidRPr="005A47AE">
              <w:rPr>
                <w:lang w:eastAsia="ja-JP"/>
              </w:rPr>
              <w:t>eMBB</w:t>
            </w:r>
            <w:proofErr w:type="spellEnd"/>
          </w:p>
        </w:tc>
        <w:tc>
          <w:tcPr>
            <w:tcW w:w="2835" w:type="dxa"/>
            <w:tcBorders>
              <w:bottom w:val="single" w:sz="4" w:space="0" w:color="auto"/>
            </w:tcBorders>
          </w:tcPr>
          <w:p w:rsidR="003A62FD" w:rsidRPr="005A47AE" w:rsidRDefault="003A62FD" w:rsidP="003A654F">
            <w:pPr>
              <w:pStyle w:val="Tabletext"/>
              <w:jc w:val="center"/>
              <w:rPr>
                <w:lang w:eastAsia="ja-JP"/>
              </w:rPr>
            </w:pPr>
            <w:r w:rsidRPr="005A47AE">
              <w:rPr>
                <w:lang w:eastAsia="ja-JP"/>
              </w:rPr>
              <w:t>3.3</w:t>
            </w:r>
          </w:p>
        </w:tc>
        <w:tc>
          <w:tcPr>
            <w:tcW w:w="2835" w:type="dxa"/>
            <w:tcBorders>
              <w:bottom w:val="single" w:sz="4" w:space="0" w:color="auto"/>
            </w:tcBorders>
          </w:tcPr>
          <w:p w:rsidR="003A62FD" w:rsidRPr="005A47AE" w:rsidRDefault="003A62FD" w:rsidP="003A654F">
            <w:pPr>
              <w:pStyle w:val="Tabletext"/>
              <w:jc w:val="center"/>
              <w:rPr>
                <w:lang w:eastAsia="ja-JP"/>
              </w:rPr>
            </w:pPr>
            <w:r w:rsidRPr="005A47AE">
              <w:rPr>
                <w:lang w:eastAsia="ja-JP"/>
              </w:rPr>
              <w:t>1.6</w:t>
            </w:r>
          </w:p>
        </w:tc>
      </w:tr>
      <w:tr w:rsidR="00C51F27" w:rsidRPr="005A47AE" w:rsidTr="00C51F27">
        <w:trPr>
          <w:jc w:val="center"/>
        </w:trPr>
        <w:tc>
          <w:tcPr>
            <w:tcW w:w="8642" w:type="dxa"/>
            <w:gridSpan w:val="3"/>
            <w:tcBorders>
              <w:top w:val="single" w:sz="4" w:space="0" w:color="auto"/>
              <w:left w:val="nil"/>
              <w:bottom w:val="nil"/>
              <w:right w:val="nil"/>
            </w:tcBorders>
          </w:tcPr>
          <w:p w:rsidR="00C51F27" w:rsidRPr="005A47AE" w:rsidRDefault="00C51F27" w:rsidP="00C51F27">
            <w:pPr>
              <w:pStyle w:val="Tablelegend"/>
              <w:rPr>
                <w:lang w:eastAsia="ja-JP"/>
              </w:rPr>
            </w:pPr>
            <w:r w:rsidRPr="005A47AE">
              <w:rPr>
                <w:lang w:val="en-US" w:eastAsia="ja-JP"/>
              </w:rPr>
              <w:t xml:space="preserve">NOTE 1: This requirement applies to Macro </w:t>
            </w:r>
            <w:proofErr w:type="spellStart"/>
            <w:r w:rsidRPr="005A47AE">
              <w:rPr>
                <w:lang w:val="en-US" w:eastAsia="ja-JP"/>
              </w:rPr>
              <w:t>TRxP</w:t>
            </w:r>
            <w:proofErr w:type="spellEnd"/>
            <w:r w:rsidRPr="005A47AE">
              <w:rPr>
                <w:lang w:val="en-US" w:eastAsia="ja-JP"/>
              </w:rPr>
              <w:t xml:space="preserve"> layer of the Dense Urban – </w:t>
            </w:r>
            <w:proofErr w:type="spellStart"/>
            <w:r w:rsidRPr="005A47AE">
              <w:rPr>
                <w:lang w:val="en-US" w:eastAsia="ja-JP"/>
              </w:rPr>
              <w:t>eMBB</w:t>
            </w:r>
            <w:proofErr w:type="spellEnd"/>
            <w:r w:rsidRPr="005A47AE">
              <w:rPr>
                <w:lang w:val="en-US" w:eastAsia="ja-JP"/>
              </w:rPr>
              <w:t xml:space="preserve"> </w:t>
            </w:r>
            <w:r>
              <w:rPr>
                <w:lang w:val="en-US" w:eastAsia="ja-JP"/>
              </w:rPr>
              <w:t xml:space="preserve">test </w:t>
            </w:r>
            <w:r w:rsidRPr="005A47AE">
              <w:rPr>
                <w:lang w:val="en-US" w:eastAsia="ja-JP"/>
              </w:rPr>
              <w:t xml:space="preserve">environment as described in </w:t>
            </w:r>
            <w:r>
              <w:rPr>
                <w:lang w:val="en-US" w:eastAsia="ja-JP"/>
              </w:rPr>
              <w:t xml:space="preserve">Report </w:t>
            </w:r>
            <w:r w:rsidRPr="005A47AE">
              <w:rPr>
                <w:lang w:eastAsia="ko-KR"/>
              </w:rPr>
              <w:t>ITU-R M.[IMT-2020.EVAL]</w:t>
            </w:r>
            <w:r w:rsidRPr="005A47AE">
              <w:rPr>
                <w:lang w:val="en-US" w:eastAsia="ja-JP"/>
              </w:rPr>
              <w:t>.</w:t>
            </w:r>
          </w:p>
        </w:tc>
      </w:tr>
    </w:tbl>
    <w:p w:rsidR="003A62FD" w:rsidRPr="005A47AE" w:rsidRDefault="003A62FD" w:rsidP="00C51F27">
      <w:pPr>
        <w:pStyle w:val="Tablefin"/>
      </w:pPr>
    </w:p>
    <w:p w:rsidR="003A62FD" w:rsidRPr="005A47AE" w:rsidRDefault="003A62FD" w:rsidP="005351AF">
      <w:pPr>
        <w:rPr>
          <w:lang w:eastAsia="zh-CN"/>
        </w:rPr>
      </w:pPr>
      <w:r w:rsidRPr="005A47AE">
        <w:rPr>
          <w:lang w:eastAsia="zh-CN"/>
        </w:rPr>
        <w:t>The performance requirement for Rural-</w:t>
      </w:r>
      <w:proofErr w:type="spellStart"/>
      <w:r w:rsidRPr="005A47AE">
        <w:rPr>
          <w:lang w:eastAsia="zh-CN"/>
        </w:rPr>
        <w:t>eMBB</w:t>
      </w:r>
      <w:proofErr w:type="spellEnd"/>
      <w:r w:rsidRPr="005A47AE">
        <w:rPr>
          <w:lang w:eastAsia="zh-CN"/>
        </w:rPr>
        <w:t xml:space="preserve"> is also applicable to Rural-</w:t>
      </w:r>
      <w:proofErr w:type="spellStart"/>
      <w:r w:rsidRPr="005A47AE">
        <w:rPr>
          <w:lang w:eastAsia="zh-CN"/>
        </w:rPr>
        <w:t>eMBB</w:t>
      </w:r>
      <w:proofErr w:type="spellEnd"/>
      <w:r w:rsidRPr="005A47AE">
        <w:rPr>
          <w:lang w:eastAsia="zh-CN"/>
        </w:rPr>
        <w:t xml:space="preserve"> LMLC which is one of the evaluation configurations under the Rural- </w:t>
      </w:r>
      <w:proofErr w:type="spellStart"/>
      <w:r w:rsidRPr="005A47AE">
        <w:rPr>
          <w:lang w:eastAsia="zh-CN"/>
        </w:rPr>
        <w:t>eMBB</w:t>
      </w:r>
      <w:proofErr w:type="spellEnd"/>
      <w:r w:rsidRPr="005A47AE">
        <w:rPr>
          <w:lang w:eastAsia="zh-CN"/>
        </w:rPr>
        <w:t xml:space="preserve"> test environment. The details (e.g. 8 km inter-site distance) can be found in Report ITU</w:t>
      </w:r>
      <w:r w:rsidRPr="005A47AE">
        <w:rPr>
          <w:lang w:eastAsia="zh-CN"/>
        </w:rPr>
        <w:noBreakHyphen/>
        <w:t>R M.[IMT</w:t>
      </w:r>
      <w:r>
        <w:rPr>
          <w:lang w:eastAsia="zh-CN"/>
        </w:rPr>
        <w:t>-</w:t>
      </w:r>
      <w:r w:rsidRPr="005A47AE">
        <w:rPr>
          <w:lang w:eastAsia="zh-CN"/>
        </w:rPr>
        <w:t xml:space="preserve">2020.EVAL]. </w:t>
      </w:r>
    </w:p>
    <w:p w:rsidR="003A62FD" w:rsidRPr="005A47AE" w:rsidRDefault="003A62FD" w:rsidP="005351AF">
      <w:pPr>
        <w:rPr>
          <w:b/>
        </w:rPr>
      </w:pPr>
      <w:r w:rsidRPr="005A47AE">
        <w:rPr>
          <w:rFonts w:hint="eastAsia"/>
          <w:lang w:eastAsia="zh-CN"/>
        </w:rPr>
        <w:t>T</w:t>
      </w:r>
      <w:r w:rsidRPr="005A47AE">
        <w:t xml:space="preserve">he conditions for evaluation </w:t>
      </w:r>
      <w:r w:rsidRPr="005A47AE">
        <w:rPr>
          <w:rFonts w:hint="eastAsia"/>
          <w:lang w:eastAsia="zh-CN"/>
        </w:rPr>
        <w:t>including</w:t>
      </w:r>
      <w:r w:rsidRPr="005A47AE">
        <w:rPr>
          <w:lang w:eastAsia="zh-CN"/>
        </w:rPr>
        <w:t xml:space="preserve"> </w:t>
      </w:r>
      <w:r w:rsidRPr="005A47AE">
        <w:rPr>
          <w:lang w:eastAsia="ko-KR"/>
        </w:rPr>
        <w:t>carrier frequency and antenna configuration are described in Report ITU-R M.[IMT-2020.EVAL] for each test environment.</w:t>
      </w:r>
    </w:p>
    <w:p w:rsidR="003A62FD" w:rsidRPr="005A47AE" w:rsidRDefault="003A62FD" w:rsidP="00A021EE">
      <w:pPr>
        <w:pStyle w:val="Heading2"/>
      </w:pPr>
      <w:r w:rsidRPr="005A47AE">
        <w:t>4.6</w:t>
      </w:r>
      <w:r w:rsidRPr="005A47AE">
        <w:tab/>
        <w:t>Area traffic capacity</w:t>
      </w:r>
    </w:p>
    <w:p w:rsidR="003A62FD" w:rsidRPr="005A47AE" w:rsidRDefault="003A62FD" w:rsidP="00A021EE">
      <w:pPr>
        <w:rPr>
          <w:szCs w:val="24"/>
        </w:rPr>
      </w:pPr>
      <w:r w:rsidRPr="005A47AE">
        <w:rPr>
          <w:rFonts w:eastAsia="+mn-ea"/>
          <w:lang w:val="en-US"/>
        </w:rPr>
        <w:t>Area traffic capacity</w:t>
      </w:r>
      <w:r w:rsidRPr="005A47AE">
        <w:rPr>
          <w:lang w:val="en-US"/>
        </w:rPr>
        <w:t xml:space="preserve"> </w:t>
      </w:r>
      <w:r w:rsidRPr="005A47AE">
        <w:t>is t</w:t>
      </w:r>
      <w:r w:rsidRPr="005A47AE">
        <w:rPr>
          <w:szCs w:val="24"/>
        </w:rPr>
        <w:t xml:space="preserve">he </w:t>
      </w:r>
      <w:r w:rsidRPr="005A47AE">
        <w:rPr>
          <w:rFonts w:hint="eastAsia"/>
          <w:lang w:val="en-US"/>
        </w:rPr>
        <w:t>t</w:t>
      </w:r>
      <w:r w:rsidRPr="005A47AE">
        <w:rPr>
          <w:lang w:val="en-US"/>
        </w:rPr>
        <w:t>otal traffic throughput served per geographic area (in Mbit/s/</w:t>
      </w:r>
      <w:r w:rsidRPr="005A47AE">
        <w:t>m</w:t>
      </w:r>
      <w:r w:rsidRPr="005A47AE">
        <w:rPr>
          <w:vertAlign w:val="superscript"/>
        </w:rPr>
        <w:t>2</w:t>
      </w:r>
      <w:r w:rsidRPr="005A47AE">
        <w:rPr>
          <w:lang w:val="en-US"/>
        </w:rPr>
        <w:t>)</w:t>
      </w:r>
      <w:r w:rsidRPr="005A47AE">
        <w:t>.</w:t>
      </w:r>
      <w:r w:rsidRPr="005A47AE">
        <w:rPr>
          <w:rFonts w:hint="eastAsia"/>
          <w:lang w:eastAsia="ko-KR"/>
        </w:rPr>
        <w:t xml:space="preserve"> </w:t>
      </w:r>
      <w:r w:rsidRPr="005A47AE">
        <w:rPr>
          <w:lang w:eastAsia="ko-KR"/>
        </w:rPr>
        <w:br/>
      </w:r>
      <w:r w:rsidRPr="005A47AE">
        <w:rPr>
          <w:szCs w:val="24"/>
        </w:rPr>
        <w:t>The throughput is the number of correctly received bits, i.e. the number of bits contained in the SDUs delivered to Layer 3, over a certain period of time.</w:t>
      </w:r>
    </w:p>
    <w:p w:rsidR="003A62FD" w:rsidRPr="005A47AE" w:rsidRDefault="003A62FD" w:rsidP="00A021EE">
      <w:pPr>
        <w:rPr>
          <w:lang w:eastAsia="zh-CN"/>
        </w:rPr>
      </w:pPr>
      <w:r w:rsidRPr="005A47AE">
        <w:rPr>
          <w:szCs w:val="24"/>
        </w:rPr>
        <w:t xml:space="preserve">This can be derived for a particular use case (or deployment scenario) </w:t>
      </w:r>
      <w:r w:rsidRPr="005A47AE">
        <w:rPr>
          <w:rFonts w:hint="eastAsia"/>
          <w:szCs w:val="24"/>
          <w:lang w:eastAsia="zh-CN"/>
        </w:rPr>
        <w:t xml:space="preserve">of </w:t>
      </w:r>
      <w:r w:rsidRPr="005A47AE">
        <w:t xml:space="preserve">one </w:t>
      </w:r>
      <w:r w:rsidRPr="005A47AE">
        <w:rPr>
          <w:rFonts w:hint="eastAsia"/>
          <w:lang w:eastAsia="zh-CN"/>
        </w:rPr>
        <w:t xml:space="preserve">frequency </w:t>
      </w:r>
      <w:r w:rsidRPr="005A47AE">
        <w:t xml:space="preserve">band and one </w:t>
      </w:r>
      <w:proofErr w:type="spellStart"/>
      <w:r w:rsidRPr="005A47AE">
        <w:t>TRxP</w:t>
      </w:r>
      <w:proofErr w:type="spellEnd"/>
      <w:r w:rsidRPr="005A47AE">
        <w:t xml:space="preserve"> layer</w:t>
      </w:r>
      <w:r w:rsidRPr="005A47AE">
        <w:rPr>
          <w:rFonts w:hint="eastAsia"/>
          <w:lang w:eastAsia="zh-CN"/>
        </w:rPr>
        <w:t>,</w:t>
      </w:r>
      <w:r w:rsidRPr="005A47AE">
        <w:rPr>
          <w:szCs w:val="24"/>
        </w:rPr>
        <w:t xml:space="preserve"> based on the achievable </w:t>
      </w:r>
      <w:r w:rsidRPr="005A47AE">
        <w:rPr>
          <w:szCs w:val="24"/>
          <w:lang w:eastAsia="zh-CN"/>
        </w:rPr>
        <w:t>average</w:t>
      </w:r>
      <w:r w:rsidRPr="005A47AE">
        <w:rPr>
          <w:szCs w:val="24"/>
        </w:rPr>
        <w:t xml:space="preserve"> spectral efficiency, network deployment (e.g., </w:t>
      </w:r>
      <w:proofErr w:type="spellStart"/>
      <w:r w:rsidRPr="005A47AE">
        <w:t>TRxP</w:t>
      </w:r>
      <w:proofErr w:type="spellEnd"/>
      <w:r w:rsidRPr="005A47AE">
        <w:t xml:space="preserve"> (site) density) and bandwidth.</w:t>
      </w:r>
      <w:r w:rsidRPr="005A47AE">
        <w:rPr>
          <w:rFonts w:hint="eastAsia"/>
          <w:lang w:eastAsia="zh-CN"/>
        </w:rPr>
        <w:t xml:space="preserve"> </w:t>
      </w:r>
    </w:p>
    <w:p w:rsidR="003A62FD" w:rsidRPr="005A47AE" w:rsidRDefault="003A62FD" w:rsidP="00A021EE">
      <w:pPr>
        <w:rPr>
          <w:szCs w:val="24"/>
        </w:rPr>
      </w:pPr>
      <w:r w:rsidRPr="005A47AE">
        <w:rPr>
          <w:lang w:eastAsia="zh-CN"/>
        </w:rPr>
        <w:t>L</w:t>
      </w:r>
      <w:r w:rsidRPr="005A47AE">
        <w:rPr>
          <w:rFonts w:hint="eastAsia"/>
          <w:lang w:eastAsia="zh-CN"/>
        </w:rPr>
        <w:t xml:space="preserve">et </w:t>
      </w:r>
      <w:r w:rsidRPr="005A47AE">
        <w:rPr>
          <w:color w:val="000000" w:themeColor="text1"/>
        </w:rPr>
        <w:t>W denote the</w:t>
      </w:r>
      <w:r w:rsidRPr="005A47AE">
        <w:rPr>
          <w:rFonts w:hint="eastAsia"/>
          <w:color w:val="000000" w:themeColor="text1"/>
          <w:lang w:eastAsia="zh-CN"/>
        </w:rPr>
        <w:t xml:space="preserve"> </w:t>
      </w:r>
      <w:r w:rsidRPr="005A47AE">
        <w:rPr>
          <w:color w:val="000000" w:themeColor="text1"/>
        </w:rPr>
        <w:t>channel bandwidth and</w:t>
      </w:r>
      <w:r w:rsidRPr="005A47AE">
        <w:rPr>
          <w:color w:val="000000" w:themeColor="text1"/>
          <w:lang w:eastAsia="zh-CN"/>
        </w:rPr>
        <w:t xml:space="preserve"> </w:t>
      </w:r>
      <m:oMath>
        <m:r>
          <m:rPr>
            <m:sty m:val="p"/>
          </m:rPr>
          <w:rPr>
            <w:rFonts w:ascii="Cambria Math" w:hAnsi="Cambria Math" w:hint="eastAsia"/>
            <w:color w:val="000000" w:themeColor="text1"/>
          </w:rPr>
          <m:t>ρ</m:t>
        </m:r>
      </m:oMath>
      <w:r w:rsidRPr="005A47AE">
        <w:rPr>
          <w:color w:val="000000" w:themeColor="text1"/>
          <w:lang w:eastAsia="zh-CN"/>
        </w:rPr>
        <w:t xml:space="preserve"> t</w:t>
      </w:r>
      <w:r w:rsidRPr="005A47AE">
        <w:rPr>
          <w:color w:val="000000" w:themeColor="text1"/>
        </w:rPr>
        <w:t xml:space="preserve">he </w:t>
      </w:r>
      <w:proofErr w:type="spellStart"/>
      <w:r w:rsidRPr="005A47AE">
        <w:rPr>
          <w:szCs w:val="24"/>
        </w:rPr>
        <w:t>TRxP</w:t>
      </w:r>
      <w:proofErr w:type="spellEnd"/>
      <w:r w:rsidRPr="005A47AE">
        <w:rPr>
          <w:szCs w:val="24"/>
        </w:rPr>
        <w:t xml:space="preserve"> density (</w:t>
      </w:r>
      <w:proofErr w:type="spellStart"/>
      <w:r w:rsidRPr="005A47AE">
        <w:rPr>
          <w:szCs w:val="24"/>
        </w:rPr>
        <w:t>TRxP</w:t>
      </w:r>
      <w:proofErr w:type="spellEnd"/>
      <w:r w:rsidRPr="005A47AE">
        <w:rPr>
          <w:szCs w:val="24"/>
        </w:rPr>
        <w:t>/m</w:t>
      </w:r>
      <w:r w:rsidRPr="005A47AE">
        <w:rPr>
          <w:szCs w:val="24"/>
          <w:vertAlign w:val="superscript"/>
        </w:rPr>
        <w:t>2</w:t>
      </w:r>
      <w:r w:rsidRPr="005A47AE">
        <w:rPr>
          <w:szCs w:val="24"/>
        </w:rPr>
        <w:t>)</w:t>
      </w:r>
      <w:r w:rsidRPr="005A47AE">
        <w:rPr>
          <w:szCs w:val="24"/>
          <w:lang w:eastAsia="zh-CN"/>
        </w:rPr>
        <w:t>.</w:t>
      </w:r>
      <w:r w:rsidRPr="005A47AE">
        <w:rPr>
          <w:color w:val="000000" w:themeColor="text1"/>
        </w:rPr>
        <w:t xml:space="preserve"> T</w:t>
      </w:r>
      <w:r w:rsidRPr="005A47AE">
        <w:rPr>
          <w:szCs w:val="24"/>
        </w:rPr>
        <w:t xml:space="preserve">he </w:t>
      </w:r>
      <w:r w:rsidRPr="005A47AE">
        <w:rPr>
          <w:rFonts w:hint="eastAsia"/>
          <w:szCs w:val="24"/>
          <w:lang w:eastAsia="zh-CN"/>
        </w:rPr>
        <w:t>a</w:t>
      </w:r>
      <w:r w:rsidRPr="005A47AE">
        <w:rPr>
          <w:szCs w:val="24"/>
        </w:rPr>
        <w:t xml:space="preserve">rea traffic capacity </w:t>
      </w:r>
      <w:proofErr w:type="spellStart"/>
      <w:r w:rsidRPr="005A47AE">
        <w:rPr>
          <w:szCs w:val="24"/>
          <w:lang w:eastAsia="zh-CN"/>
        </w:rPr>
        <w:t>C</w:t>
      </w:r>
      <w:r w:rsidRPr="005A47AE">
        <w:rPr>
          <w:rFonts w:hint="eastAsia"/>
          <w:szCs w:val="24"/>
          <w:vertAlign w:val="subscript"/>
          <w:lang w:eastAsia="zh-CN"/>
        </w:rPr>
        <w:t>area</w:t>
      </w:r>
      <w:proofErr w:type="spellEnd"/>
      <w:r w:rsidRPr="005A47AE">
        <w:rPr>
          <w:rFonts w:hint="eastAsia"/>
          <w:szCs w:val="24"/>
          <w:lang w:eastAsia="zh-CN"/>
        </w:rPr>
        <w:t xml:space="preserve"> </w:t>
      </w:r>
      <w:r w:rsidRPr="005A47AE">
        <w:rPr>
          <w:szCs w:val="24"/>
        </w:rPr>
        <w:t xml:space="preserve">is related to </w:t>
      </w:r>
      <w:r w:rsidRPr="005A47AE">
        <w:rPr>
          <w:szCs w:val="24"/>
          <w:lang w:eastAsia="zh-CN"/>
        </w:rPr>
        <w:t>average</w:t>
      </w:r>
      <w:r w:rsidRPr="005A47AE">
        <w:rPr>
          <w:szCs w:val="24"/>
        </w:rPr>
        <w:t xml:space="preserve"> spectral efficiency </w:t>
      </w:r>
      <w:proofErr w:type="spellStart"/>
      <w:r w:rsidRPr="005A47AE">
        <w:t>SE</w:t>
      </w:r>
      <w:r w:rsidRPr="005A47AE">
        <w:rPr>
          <w:vertAlign w:val="subscript"/>
        </w:rPr>
        <w:t>avg</w:t>
      </w:r>
      <w:proofErr w:type="spellEnd"/>
      <w:r w:rsidRPr="005A47AE">
        <w:rPr>
          <w:szCs w:val="24"/>
        </w:rPr>
        <w:t xml:space="preserve"> through</w:t>
      </w:r>
      <w:r w:rsidRPr="005A47AE">
        <w:rPr>
          <w:rFonts w:hint="eastAsia"/>
          <w:szCs w:val="24"/>
          <w:lang w:eastAsia="zh-CN"/>
        </w:rPr>
        <w:t xml:space="preserve"> </w:t>
      </w:r>
      <w:r w:rsidRPr="005A47AE">
        <w:rPr>
          <w:szCs w:val="24"/>
        </w:rPr>
        <w:t>equation</w:t>
      </w:r>
      <w:r w:rsidRPr="005A47AE">
        <w:rPr>
          <w:rFonts w:hint="eastAsia"/>
          <w:szCs w:val="24"/>
          <w:lang w:eastAsia="zh-CN"/>
        </w:rPr>
        <w:t xml:space="preserve"> (</w:t>
      </w:r>
      <w:r w:rsidRPr="005A47AE">
        <w:rPr>
          <w:szCs w:val="24"/>
          <w:lang w:eastAsia="zh-CN"/>
        </w:rPr>
        <w:t>6</w:t>
      </w:r>
      <w:r w:rsidRPr="005A47AE">
        <w:rPr>
          <w:rFonts w:hint="eastAsia"/>
          <w:szCs w:val="24"/>
          <w:lang w:eastAsia="zh-CN"/>
        </w:rPr>
        <w:t>)</w:t>
      </w:r>
      <w:r>
        <w:rPr>
          <w:szCs w:val="24"/>
          <w:lang w:eastAsia="zh-CN"/>
        </w:rPr>
        <w:t>.</w:t>
      </w:r>
    </w:p>
    <w:p w:rsidR="003A62FD" w:rsidRPr="005A47AE" w:rsidRDefault="003A62FD" w:rsidP="00A021EE">
      <w:pPr>
        <w:pStyle w:val="Equation"/>
        <w:rPr>
          <w:szCs w:val="24"/>
          <w:lang w:eastAsia="zh-CN"/>
        </w:rPr>
      </w:pPr>
      <w:r w:rsidRPr="005A47AE">
        <w:tab/>
      </w:r>
      <w:r w:rsidRPr="005A47AE">
        <w:tab/>
      </w:r>
      <w:proofErr w:type="spellStart"/>
      <w:r w:rsidRPr="005A47AE">
        <w:t>C</w:t>
      </w:r>
      <w:r w:rsidRPr="005A47AE">
        <w:rPr>
          <w:vertAlign w:val="subscript"/>
        </w:rPr>
        <w:t>area</w:t>
      </w:r>
      <w:proofErr w:type="spellEnd"/>
      <w:r w:rsidRPr="005A47AE">
        <w:t xml:space="preserve"> = ρ × W × </w:t>
      </w:r>
      <w:proofErr w:type="spellStart"/>
      <w:r w:rsidRPr="005A47AE">
        <w:t>SE</w:t>
      </w:r>
      <w:r w:rsidRPr="005A47AE">
        <w:rPr>
          <w:vertAlign w:val="subscript"/>
        </w:rPr>
        <w:t>avg</w:t>
      </w:r>
      <w:proofErr w:type="spellEnd"/>
      <w:r w:rsidRPr="005A47AE">
        <w:rPr>
          <w:rFonts w:hint="eastAsia"/>
          <w:lang w:eastAsia="zh-CN"/>
        </w:rPr>
        <w:tab/>
      </w:r>
      <w:r w:rsidRPr="005A47AE">
        <w:rPr>
          <w:rFonts w:hint="eastAsia"/>
          <w:color w:val="000000" w:themeColor="text1"/>
          <w:lang w:eastAsia="zh-CN"/>
        </w:rPr>
        <w:t>(</w:t>
      </w:r>
      <w:r w:rsidRPr="005A47AE">
        <w:rPr>
          <w:color w:val="000000" w:themeColor="text1"/>
          <w:lang w:eastAsia="zh-CN"/>
        </w:rPr>
        <w:t>6</w:t>
      </w:r>
      <w:r w:rsidRPr="005A47AE">
        <w:rPr>
          <w:rFonts w:hint="eastAsia"/>
          <w:color w:val="000000" w:themeColor="text1"/>
          <w:lang w:eastAsia="zh-CN"/>
        </w:rPr>
        <w:t>)</w:t>
      </w:r>
    </w:p>
    <w:p w:rsidR="003A62FD" w:rsidRPr="005A47AE" w:rsidRDefault="003A62FD" w:rsidP="00A021EE">
      <w:pPr>
        <w:pStyle w:val="Equation"/>
        <w:rPr>
          <w:color w:val="000000" w:themeColor="text1"/>
          <w:lang w:eastAsia="zh-CN"/>
        </w:rPr>
      </w:pPr>
      <w:r w:rsidRPr="005A47AE">
        <w:lastRenderedPageBreak/>
        <w:t>In case bandwidth is aggregated across multiple bands, the area traffic capacity will be summed over the bands.</w:t>
      </w:r>
    </w:p>
    <w:p w:rsidR="003A62FD" w:rsidRPr="005A47AE" w:rsidRDefault="003A62FD" w:rsidP="00A021EE">
      <w:r w:rsidRPr="005A47AE">
        <w:t xml:space="preserve">This requirement is defined for the purpose of evaluation in the related </w:t>
      </w:r>
      <w:proofErr w:type="spellStart"/>
      <w:r w:rsidRPr="005A47AE">
        <w:t>eMBB</w:t>
      </w:r>
      <w:proofErr w:type="spellEnd"/>
      <w:r w:rsidRPr="005A47AE">
        <w:t xml:space="preserve"> test environment.</w:t>
      </w:r>
    </w:p>
    <w:p w:rsidR="003A62FD" w:rsidRPr="005A47AE" w:rsidRDefault="003A62FD" w:rsidP="00A021EE">
      <w:pPr>
        <w:rPr>
          <w:lang w:val="en-US" w:eastAsia="zh-CN"/>
        </w:rPr>
      </w:pPr>
      <w:r w:rsidRPr="005A47AE">
        <w:t xml:space="preserve">The target value for </w:t>
      </w:r>
      <w:r w:rsidRPr="005A47AE">
        <w:rPr>
          <w:rFonts w:eastAsia="MS Mincho"/>
        </w:rPr>
        <w:t>Area traffic capacity</w:t>
      </w:r>
      <w:r w:rsidRPr="005A47AE">
        <w:rPr>
          <w:lang w:val="en-US" w:eastAsia="zh-CN"/>
        </w:rPr>
        <w:t xml:space="preserve"> in downlink is 10 Mbit/s/m</w:t>
      </w:r>
      <w:r w:rsidRPr="005A47AE">
        <w:rPr>
          <w:vertAlign w:val="superscript"/>
          <w:lang w:val="en-US" w:eastAsia="zh-CN"/>
        </w:rPr>
        <w:t>2</w:t>
      </w:r>
      <w:r w:rsidRPr="005A47AE">
        <w:rPr>
          <w:lang w:val="en-US" w:eastAsia="zh-CN"/>
        </w:rPr>
        <w:t xml:space="preserve"> in the </w:t>
      </w:r>
      <w:r w:rsidRPr="005A47AE">
        <w:t>Indoor</w:t>
      </w:r>
      <w:r w:rsidRPr="005A47AE">
        <w:rPr>
          <w:rFonts w:eastAsia="MS Mincho"/>
        </w:rPr>
        <w:t xml:space="preserve"> Hotspot – </w:t>
      </w:r>
      <w:proofErr w:type="spellStart"/>
      <w:r w:rsidRPr="005A47AE">
        <w:rPr>
          <w:rFonts w:eastAsia="MS Mincho"/>
        </w:rPr>
        <w:t>eMBB</w:t>
      </w:r>
      <w:proofErr w:type="spellEnd"/>
      <w:r w:rsidRPr="005A47AE">
        <w:rPr>
          <w:rFonts w:eastAsia="MS Mincho"/>
        </w:rPr>
        <w:t xml:space="preserve"> test environment</w:t>
      </w:r>
      <w:r w:rsidRPr="005A47AE">
        <w:rPr>
          <w:lang w:val="en-US" w:eastAsia="zh-CN"/>
        </w:rPr>
        <w:t>.</w:t>
      </w:r>
    </w:p>
    <w:p w:rsidR="003A62FD" w:rsidRPr="005A47AE" w:rsidRDefault="003A62FD" w:rsidP="005351AF">
      <w:pPr>
        <w:rPr>
          <w:b/>
        </w:rPr>
      </w:pPr>
      <w:r w:rsidRPr="005A47AE">
        <w:rPr>
          <w:rFonts w:eastAsia="Malgun Gothic"/>
          <w:lang w:eastAsia="ko-KR"/>
        </w:rPr>
        <w:t xml:space="preserve">The </w:t>
      </w:r>
      <w:r w:rsidRPr="005A47AE">
        <w:t xml:space="preserve">conditions for evaluation </w:t>
      </w:r>
      <w:r w:rsidRPr="005A47AE">
        <w:rPr>
          <w:rFonts w:eastAsia="Malgun Gothic"/>
          <w:lang w:eastAsia="ko-KR"/>
        </w:rPr>
        <w:t xml:space="preserve">including </w:t>
      </w:r>
      <w:r w:rsidRPr="005A47AE">
        <w:rPr>
          <w:lang w:eastAsia="zh-CN"/>
        </w:rPr>
        <w:t xml:space="preserve">supportable bandwidth </w:t>
      </w:r>
      <w:r w:rsidRPr="005A47AE">
        <w:rPr>
          <w:rFonts w:eastAsia="Malgun Gothic"/>
          <w:lang w:eastAsia="ko-KR"/>
        </w:rPr>
        <w:t xml:space="preserve">are </w:t>
      </w:r>
      <w:r w:rsidRPr="005A47AE">
        <w:rPr>
          <w:lang w:eastAsia="ko-KR"/>
        </w:rPr>
        <w:t xml:space="preserve">described in </w:t>
      </w:r>
      <w:r w:rsidR="00656ACD">
        <w:rPr>
          <w:lang w:eastAsia="ko-KR"/>
        </w:rPr>
        <w:t>R</w:t>
      </w:r>
      <w:r w:rsidRPr="005A47AE">
        <w:rPr>
          <w:lang w:eastAsia="ko-KR"/>
        </w:rPr>
        <w:t>eport ITU-R M.[IMT-2020.EVAL] for the test environment</w:t>
      </w:r>
      <w:r w:rsidRPr="005A47AE">
        <w:rPr>
          <w:rFonts w:eastAsia="Malgun Gothic"/>
          <w:lang w:val="en-US" w:eastAsia="ko-KR"/>
        </w:rPr>
        <w:t>.</w:t>
      </w:r>
    </w:p>
    <w:p w:rsidR="003A62FD" w:rsidRPr="005A47AE" w:rsidRDefault="003A62FD" w:rsidP="00A021EE">
      <w:pPr>
        <w:pStyle w:val="Heading2"/>
      </w:pPr>
      <w:r w:rsidRPr="005A47AE">
        <w:t>4.7</w:t>
      </w:r>
      <w:r w:rsidRPr="005A47AE">
        <w:tab/>
        <w:t>Latency</w:t>
      </w:r>
    </w:p>
    <w:p w:rsidR="003A62FD" w:rsidRPr="005A47AE" w:rsidRDefault="003A62FD" w:rsidP="00A021EE">
      <w:pPr>
        <w:pStyle w:val="Heading3"/>
      </w:pPr>
      <w:r w:rsidRPr="005A47AE">
        <w:t>4.7.1</w:t>
      </w:r>
      <w:r w:rsidRPr="005A47AE">
        <w:tab/>
        <w:t>User plane latency</w:t>
      </w:r>
    </w:p>
    <w:p w:rsidR="003A62FD" w:rsidRPr="005A47AE" w:rsidRDefault="003A62FD" w:rsidP="00A021EE">
      <w:pPr>
        <w:rPr>
          <w:szCs w:val="24"/>
        </w:rPr>
      </w:pPr>
      <w:r w:rsidRPr="005A47AE">
        <w:rPr>
          <w:rFonts w:hint="eastAsia"/>
        </w:rPr>
        <w:t xml:space="preserve">User plane latency is </w:t>
      </w:r>
      <w:r w:rsidRPr="005A47AE">
        <w:t>t</w:t>
      </w:r>
      <w:r w:rsidRPr="005A47AE">
        <w:rPr>
          <w:rFonts w:cs="Arial"/>
          <w:szCs w:val="22"/>
        </w:rPr>
        <w:t xml:space="preserve">he contribution of the radio network to the time from when the source sends a packet to when the destination receives it (in </w:t>
      </w:r>
      <w:proofErr w:type="spellStart"/>
      <w:r w:rsidRPr="005A47AE">
        <w:rPr>
          <w:rFonts w:cs="Arial"/>
          <w:szCs w:val="22"/>
        </w:rPr>
        <w:t>ms</w:t>
      </w:r>
      <w:proofErr w:type="spellEnd"/>
      <w:r w:rsidRPr="005A47AE">
        <w:rPr>
          <w:rFonts w:cs="Arial"/>
          <w:szCs w:val="22"/>
        </w:rPr>
        <w:t xml:space="preserve">). It is defined as </w:t>
      </w:r>
      <w:r w:rsidRPr="005A47AE">
        <w:rPr>
          <w:rFonts w:hint="eastAsia"/>
        </w:rPr>
        <w:t xml:space="preserve">the </w:t>
      </w:r>
      <w:r w:rsidRPr="005A47AE">
        <w:t xml:space="preserve">one-way </w:t>
      </w:r>
      <w:r w:rsidRPr="005A47AE">
        <w:rPr>
          <w:rFonts w:hint="eastAsia"/>
        </w:rPr>
        <w:t xml:space="preserve">time it takes to successfully deliver an application layer packet/message from </w:t>
      </w:r>
      <w:r w:rsidRPr="005A47AE">
        <w:t xml:space="preserve">the radio protocol layer 2/3 SDU ingress point to the radio protocol layer 2/3 SDU egress point of the radio interface </w:t>
      </w:r>
      <w:r w:rsidRPr="005A47AE">
        <w:rPr>
          <w:lang w:eastAsia="ko-KR"/>
        </w:rPr>
        <w:t xml:space="preserve">in either uplink or downlink </w:t>
      </w:r>
      <w:r w:rsidRPr="005A47AE">
        <w:rPr>
          <w:rFonts w:hint="eastAsia"/>
        </w:rPr>
        <w:t>in the network for a given service in unloaded conditions</w:t>
      </w:r>
      <w:r w:rsidRPr="005A47AE">
        <w:t xml:space="preserve">, </w:t>
      </w:r>
      <w:r w:rsidRPr="005A47AE">
        <w:rPr>
          <w:szCs w:val="24"/>
        </w:rPr>
        <w:t xml:space="preserve">assuming the </w:t>
      </w:r>
      <w:r w:rsidRPr="005A47AE">
        <w:rPr>
          <w:rFonts w:hint="eastAsia"/>
          <w:lang w:eastAsia="ja-JP"/>
        </w:rPr>
        <w:t>mobile station</w:t>
      </w:r>
      <w:r w:rsidRPr="005A47AE">
        <w:rPr>
          <w:szCs w:val="24"/>
        </w:rPr>
        <w:t xml:space="preserve"> is in the active state. </w:t>
      </w:r>
    </w:p>
    <w:p w:rsidR="003A62FD" w:rsidRPr="005A47AE" w:rsidRDefault="003A62FD" w:rsidP="00A021EE">
      <w:r w:rsidRPr="005A47AE">
        <w:t xml:space="preserve">This requirement is defined for the purpose of evaluation in the </w:t>
      </w:r>
      <w:proofErr w:type="spellStart"/>
      <w:r w:rsidRPr="005A47AE">
        <w:t>eMBB</w:t>
      </w:r>
      <w:proofErr w:type="spellEnd"/>
      <w:r w:rsidRPr="005A47AE">
        <w:t xml:space="preserve"> and URLLC usage scenarios.</w:t>
      </w:r>
    </w:p>
    <w:p w:rsidR="003A62FD" w:rsidRPr="005A47AE" w:rsidRDefault="003A62FD" w:rsidP="00A021EE">
      <w:pPr>
        <w:rPr>
          <w:szCs w:val="24"/>
          <w:lang w:eastAsia="zh-CN"/>
        </w:rPr>
      </w:pPr>
      <w:r w:rsidRPr="005A47AE">
        <w:rPr>
          <w:szCs w:val="24"/>
          <w:lang w:eastAsia="zh-CN"/>
        </w:rPr>
        <w:t>The minimum requirements for user plane latency are</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 xml:space="preserve">4 </w:t>
      </w:r>
      <w:proofErr w:type="spellStart"/>
      <w:r w:rsidRPr="005A47AE">
        <w:rPr>
          <w:lang w:val="en-US" w:eastAsia="zh-CN"/>
        </w:rPr>
        <w:t>ms</w:t>
      </w:r>
      <w:proofErr w:type="spellEnd"/>
      <w:r w:rsidRPr="005A47AE">
        <w:rPr>
          <w:lang w:val="en-US" w:eastAsia="zh-CN"/>
        </w:rPr>
        <w:t xml:space="preserve"> for </w:t>
      </w:r>
      <w:proofErr w:type="spellStart"/>
      <w:r w:rsidRPr="005A47AE">
        <w:rPr>
          <w:lang w:val="en-US" w:eastAsia="zh-CN"/>
        </w:rPr>
        <w:t>eMBB</w:t>
      </w:r>
      <w:proofErr w:type="spellEnd"/>
    </w:p>
    <w:p w:rsidR="003A62FD" w:rsidRPr="005A47AE" w:rsidRDefault="003A62FD" w:rsidP="00A021EE">
      <w:pPr>
        <w:pStyle w:val="enumlev1"/>
        <w:rPr>
          <w:lang w:val="en-US" w:eastAsia="zh-CN"/>
        </w:rPr>
      </w:pPr>
      <w:r w:rsidRPr="005A47AE">
        <w:rPr>
          <w:lang w:val="en-US" w:eastAsia="zh-CN"/>
        </w:rPr>
        <w:t>–</w:t>
      </w:r>
      <w:r w:rsidRPr="005A47AE">
        <w:rPr>
          <w:lang w:val="en-US" w:eastAsia="zh-CN"/>
        </w:rPr>
        <w:tab/>
        <w:t xml:space="preserve">1 </w:t>
      </w:r>
      <w:proofErr w:type="spellStart"/>
      <w:r w:rsidRPr="005A47AE">
        <w:rPr>
          <w:lang w:val="en-US" w:eastAsia="zh-CN"/>
        </w:rPr>
        <w:t>ms</w:t>
      </w:r>
      <w:proofErr w:type="spellEnd"/>
      <w:r w:rsidRPr="005A47AE">
        <w:rPr>
          <w:lang w:val="en-US" w:eastAsia="zh-CN"/>
        </w:rPr>
        <w:t xml:space="preserve"> for URLLC </w:t>
      </w:r>
    </w:p>
    <w:p w:rsidR="003A62FD" w:rsidRPr="005A47AE" w:rsidRDefault="003A62FD" w:rsidP="005351AF">
      <w:pPr>
        <w:rPr>
          <w:b/>
        </w:rPr>
      </w:pPr>
      <w:r w:rsidRPr="005A47AE">
        <w:rPr>
          <w:szCs w:val="24"/>
          <w:lang w:eastAsia="zh-CN"/>
        </w:rPr>
        <w:t>assuming unloaded conditions (i.e., a single user) for small IP packets (e.g., 0 byte payload + IP header), for both downlink and uplink.</w:t>
      </w:r>
    </w:p>
    <w:p w:rsidR="003A62FD" w:rsidRPr="005A47AE" w:rsidRDefault="003A62FD" w:rsidP="00A021EE">
      <w:pPr>
        <w:pStyle w:val="Heading3"/>
      </w:pPr>
      <w:r w:rsidRPr="005A47AE">
        <w:t>4.7.2</w:t>
      </w:r>
      <w:r w:rsidRPr="005A47AE">
        <w:tab/>
        <w:t>Control plane latency</w:t>
      </w:r>
    </w:p>
    <w:p w:rsidR="003A62FD" w:rsidRPr="005A47AE" w:rsidRDefault="003A62FD" w:rsidP="00A021EE">
      <w:r w:rsidRPr="005A47AE">
        <w:rPr>
          <w:lang w:val="en-US" w:eastAsia="ko-KR"/>
        </w:rPr>
        <w:t xml:space="preserve">Control plane </w:t>
      </w:r>
      <w:r w:rsidRPr="005A47AE">
        <w:rPr>
          <w:rFonts w:hint="eastAsia"/>
        </w:rPr>
        <w:t xml:space="preserve">latency refers to the transition time from a most </w:t>
      </w:r>
      <w:r w:rsidRPr="005A47AE">
        <w:rPr>
          <w:lang w:eastAsia="zh-CN"/>
        </w:rPr>
        <w:t>“</w:t>
      </w:r>
      <w:r w:rsidRPr="005A47AE">
        <w:rPr>
          <w:rFonts w:hint="eastAsia"/>
        </w:rPr>
        <w:t>battery efficient</w:t>
      </w:r>
      <w:r w:rsidRPr="005A47AE">
        <w:rPr>
          <w:lang w:eastAsia="zh-CN"/>
        </w:rPr>
        <w:t>”</w:t>
      </w:r>
      <w:r w:rsidRPr="005A47AE">
        <w:rPr>
          <w:rFonts w:hint="eastAsia"/>
        </w:rPr>
        <w:t xml:space="preserve"> state (</w:t>
      </w:r>
      <w:proofErr w:type="spellStart"/>
      <w:r w:rsidRPr="005A47AE">
        <w:rPr>
          <w:rFonts w:hint="eastAsia"/>
        </w:rPr>
        <w:t>e.g</w:t>
      </w:r>
      <w:proofErr w:type="spellEnd"/>
      <w:r w:rsidRPr="005A47AE">
        <w:rPr>
          <w:lang w:val="en-US" w:eastAsia="ko-KR"/>
        </w:rPr>
        <w:t>.</w:t>
      </w:r>
      <w:r w:rsidRPr="005A47AE">
        <w:rPr>
          <w:rFonts w:hint="eastAsia"/>
        </w:rPr>
        <w:t xml:space="preserve"> Idle</w:t>
      </w:r>
      <w:r w:rsidRPr="005A47AE">
        <w:t xml:space="preserve"> state</w:t>
      </w:r>
      <w:r w:rsidRPr="005A47AE">
        <w:rPr>
          <w:rFonts w:hint="eastAsia"/>
        </w:rPr>
        <w:t xml:space="preserve">) to the start of continuous data transfer (e.g. </w:t>
      </w:r>
      <w:r w:rsidRPr="005A47AE">
        <w:t>Active</w:t>
      </w:r>
      <w:r w:rsidRPr="005A47AE">
        <w:rPr>
          <w:lang w:eastAsia="ja-JP"/>
        </w:rPr>
        <w:t xml:space="preserve"> </w:t>
      </w:r>
      <w:r w:rsidRPr="005A47AE">
        <w:rPr>
          <w:rFonts w:hint="eastAsia"/>
          <w:lang w:eastAsia="ja-JP"/>
        </w:rPr>
        <w:t>state</w:t>
      </w:r>
      <w:r w:rsidRPr="005A47AE">
        <w:rPr>
          <w:rFonts w:hint="eastAsia"/>
        </w:rPr>
        <w:t>).</w:t>
      </w:r>
    </w:p>
    <w:p w:rsidR="003A62FD" w:rsidRPr="005A47AE" w:rsidRDefault="003A62FD" w:rsidP="00A021EE">
      <w:r w:rsidRPr="005A47AE">
        <w:t xml:space="preserve">This requirement is defined for the purpose of evaluation in the </w:t>
      </w:r>
      <w:proofErr w:type="spellStart"/>
      <w:r w:rsidRPr="005A47AE">
        <w:t>eMBB</w:t>
      </w:r>
      <w:proofErr w:type="spellEnd"/>
      <w:r w:rsidRPr="005A47AE">
        <w:t xml:space="preserve"> and URLLC usage scenarios.</w:t>
      </w:r>
    </w:p>
    <w:p w:rsidR="003A62FD" w:rsidRPr="005A47AE" w:rsidRDefault="003A62FD" w:rsidP="0025453C">
      <w:pPr>
        <w:rPr>
          <w:lang w:eastAsia="zh-CN"/>
        </w:rPr>
      </w:pPr>
      <w:r w:rsidRPr="005A47AE">
        <w:rPr>
          <w:szCs w:val="24"/>
          <w:lang w:eastAsia="zh-CN"/>
        </w:rPr>
        <w:t xml:space="preserve">The minimum requirement for control plane latency </w:t>
      </w:r>
      <w:r>
        <w:rPr>
          <w:szCs w:val="24"/>
          <w:lang w:eastAsia="zh-CN"/>
        </w:rPr>
        <w:t>is</w:t>
      </w:r>
      <w:r w:rsidRPr="005A47AE">
        <w:rPr>
          <w:szCs w:val="24"/>
          <w:lang w:eastAsia="zh-CN"/>
        </w:rPr>
        <w:t xml:space="preserve"> 20 </w:t>
      </w:r>
      <w:proofErr w:type="spellStart"/>
      <w:r w:rsidRPr="005A47AE">
        <w:rPr>
          <w:szCs w:val="24"/>
          <w:lang w:eastAsia="zh-CN"/>
        </w:rPr>
        <w:t>ms</w:t>
      </w:r>
      <w:proofErr w:type="spellEnd"/>
      <w:r w:rsidRPr="005A47AE">
        <w:rPr>
          <w:szCs w:val="24"/>
          <w:lang w:eastAsia="zh-CN"/>
        </w:rPr>
        <w:t xml:space="preserve">. </w:t>
      </w:r>
      <w:r w:rsidRPr="005A47AE">
        <w:rPr>
          <w:lang w:eastAsia="zh-CN"/>
        </w:rPr>
        <w:t xml:space="preserve">Proponents are encouraged to consider lower control plane latency, e.g. 10 </w:t>
      </w:r>
      <w:proofErr w:type="spellStart"/>
      <w:r w:rsidRPr="005A47AE">
        <w:rPr>
          <w:lang w:eastAsia="zh-CN"/>
        </w:rPr>
        <w:t>ms</w:t>
      </w:r>
      <w:proofErr w:type="spellEnd"/>
      <w:r w:rsidRPr="005A47AE">
        <w:rPr>
          <w:lang w:eastAsia="zh-CN"/>
        </w:rPr>
        <w:t xml:space="preserve">. </w:t>
      </w:r>
    </w:p>
    <w:p w:rsidR="003A62FD" w:rsidRPr="005A47AE" w:rsidRDefault="003A62FD" w:rsidP="00A021EE">
      <w:pPr>
        <w:pStyle w:val="Heading2"/>
      </w:pPr>
      <w:r w:rsidRPr="005A47AE">
        <w:t>4.8</w:t>
      </w:r>
      <w:r w:rsidRPr="005A47AE">
        <w:tab/>
        <w:t>Connection density</w:t>
      </w:r>
    </w:p>
    <w:p w:rsidR="003A62FD" w:rsidRPr="005A47AE" w:rsidRDefault="003A62FD" w:rsidP="00A021EE">
      <w:r w:rsidRPr="005A47AE">
        <w:t xml:space="preserve">Connection density is the total number of devices </w:t>
      </w:r>
      <w:r w:rsidRPr="005A47AE">
        <w:rPr>
          <w:szCs w:val="24"/>
        </w:rPr>
        <w:t xml:space="preserve">fulfilling a specific </w:t>
      </w:r>
      <w:r w:rsidRPr="005A47AE">
        <w:rPr>
          <w:rFonts w:hint="eastAsia"/>
          <w:lang w:eastAsia="ja-JP"/>
        </w:rPr>
        <w:t>quality of service</w:t>
      </w:r>
      <w:r w:rsidRPr="005A47AE">
        <w:rPr>
          <w:rFonts w:hAnsi="MS Mincho"/>
          <w:szCs w:val="21"/>
          <w:lang w:eastAsia="ja-JP"/>
        </w:rPr>
        <w:t xml:space="preserve"> </w:t>
      </w:r>
      <w:r w:rsidRPr="005A47AE">
        <w:rPr>
          <w:rFonts w:hAnsi="MS Mincho" w:hint="eastAsia"/>
          <w:szCs w:val="21"/>
          <w:lang w:eastAsia="ja-JP"/>
        </w:rPr>
        <w:t>(</w:t>
      </w:r>
      <w:proofErr w:type="spellStart"/>
      <w:r w:rsidRPr="005A47AE">
        <w:rPr>
          <w:szCs w:val="24"/>
        </w:rPr>
        <w:t>QoS</w:t>
      </w:r>
      <w:proofErr w:type="spellEnd"/>
      <w:r w:rsidRPr="005A47AE">
        <w:rPr>
          <w:rFonts w:hAnsi="MS Mincho" w:hint="eastAsia"/>
          <w:szCs w:val="21"/>
          <w:lang w:eastAsia="ja-JP"/>
        </w:rPr>
        <w:t>)</w:t>
      </w:r>
      <w:r w:rsidRPr="005A47AE">
        <w:rPr>
          <w:szCs w:val="24"/>
        </w:rPr>
        <w:t xml:space="preserve"> </w:t>
      </w:r>
      <w:r w:rsidRPr="005A47AE">
        <w:t>per unit area (per km</w:t>
      </w:r>
      <w:r w:rsidRPr="005A47AE">
        <w:rPr>
          <w:vertAlign w:val="superscript"/>
        </w:rPr>
        <w:t>2</w:t>
      </w:r>
      <w:r w:rsidRPr="005A47AE">
        <w:t>).</w:t>
      </w:r>
    </w:p>
    <w:p w:rsidR="003A62FD" w:rsidRPr="005A47AE" w:rsidRDefault="003A62FD" w:rsidP="00A021EE">
      <w:r w:rsidRPr="005A47AE">
        <w:rPr>
          <w:szCs w:val="24"/>
          <w:lang w:val="en-US" w:eastAsia="zh-CN"/>
        </w:rPr>
        <w:t xml:space="preserve">Connection </w:t>
      </w:r>
      <w:r w:rsidRPr="005A47AE">
        <w:t xml:space="preserve">density </w:t>
      </w:r>
      <w:r w:rsidRPr="005A47AE">
        <w:rPr>
          <w:szCs w:val="24"/>
          <w:lang w:val="en-US" w:eastAsia="zh-CN"/>
        </w:rPr>
        <w:t xml:space="preserve">should be achieved </w:t>
      </w:r>
      <w:r w:rsidRPr="005A47AE">
        <w:t xml:space="preserve">for a limited bandwidth and number of </w:t>
      </w:r>
      <w:proofErr w:type="spellStart"/>
      <w:r w:rsidRPr="005A47AE">
        <w:t>TRxPs</w:t>
      </w:r>
      <w:proofErr w:type="spellEnd"/>
      <w:r w:rsidRPr="005A47AE">
        <w:t xml:space="preserve">. The target </w:t>
      </w:r>
      <w:proofErr w:type="spellStart"/>
      <w:r w:rsidRPr="005A47AE">
        <w:t>QoS</w:t>
      </w:r>
      <w:proofErr w:type="spellEnd"/>
      <w:r w:rsidRPr="005A47AE">
        <w:t xml:space="preserve"> is to support delivery of a message of a certain size within a certain time and with a certain success probability, as specified in </w:t>
      </w:r>
      <w:r w:rsidR="00656ACD">
        <w:t xml:space="preserve">Report ITU-R </w:t>
      </w:r>
      <w:r w:rsidRPr="005A47AE">
        <w:t>M.[IMT-2020.EVAL].</w:t>
      </w:r>
    </w:p>
    <w:p w:rsidR="003A62FD" w:rsidRPr="005A47AE" w:rsidRDefault="003A62FD" w:rsidP="00A021EE">
      <w:r w:rsidRPr="005A47AE">
        <w:t xml:space="preserve">This requirement is defined for the purpose of evaluation in the </w:t>
      </w:r>
      <w:proofErr w:type="spellStart"/>
      <w:r w:rsidRPr="005A47AE">
        <w:t>mMTC</w:t>
      </w:r>
      <w:proofErr w:type="spellEnd"/>
      <w:r w:rsidRPr="005A47AE">
        <w:t xml:space="preserve"> usage scenario.</w:t>
      </w:r>
    </w:p>
    <w:p w:rsidR="003A62FD" w:rsidRPr="005A47AE" w:rsidRDefault="003A62FD" w:rsidP="00C51F27">
      <w:pPr>
        <w:rPr>
          <w:b/>
          <w:lang w:eastAsia="ko-KR"/>
        </w:rPr>
      </w:pPr>
      <w:r w:rsidRPr="005A47AE">
        <w:t>The minimum requirement for connection density is 1</w:t>
      </w:r>
      <w:r w:rsidR="00C51F27">
        <w:t> </w:t>
      </w:r>
      <w:r w:rsidRPr="005A47AE">
        <w:t>000</w:t>
      </w:r>
      <w:r w:rsidR="00C51F27">
        <w:t> </w:t>
      </w:r>
      <w:r w:rsidRPr="005A47AE">
        <w:t>000 devices per km</w:t>
      </w:r>
      <w:r w:rsidRPr="005A47AE">
        <w:rPr>
          <w:vertAlign w:val="superscript"/>
        </w:rPr>
        <w:t>2</w:t>
      </w:r>
      <w:r w:rsidRPr="005A47AE">
        <w:t>.</w:t>
      </w:r>
    </w:p>
    <w:p w:rsidR="003A62FD" w:rsidRPr="005A47AE" w:rsidRDefault="003A62FD" w:rsidP="00A021EE">
      <w:pPr>
        <w:pStyle w:val="Heading2"/>
        <w:ind w:left="0" w:firstLine="0"/>
        <w:rPr>
          <w:lang w:eastAsia="ko-KR"/>
        </w:rPr>
      </w:pPr>
      <w:r w:rsidRPr="005A47AE">
        <w:rPr>
          <w:lang w:eastAsia="ko-KR"/>
        </w:rPr>
        <w:lastRenderedPageBreak/>
        <w:t>4.9</w:t>
      </w:r>
      <w:r w:rsidRPr="005A47AE">
        <w:rPr>
          <w:lang w:eastAsia="ko-KR"/>
        </w:rPr>
        <w:tab/>
        <w:t>Energy efficiency</w:t>
      </w:r>
    </w:p>
    <w:p w:rsidR="003A62FD" w:rsidRPr="005A47AE" w:rsidRDefault="003A62FD" w:rsidP="007E3CC6">
      <w:r w:rsidRPr="005A47AE">
        <w:t xml:space="preserve">Network energy efficiency is the capability of a RIT/SRIT to minimize the radio access network energy consumption in relation to the traffic capacity provided. Device energy efficiency is the capability of the RIT/SRIT to minimize the power consumed by the device modem in relation to the traffic characteristics. </w:t>
      </w:r>
    </w:p>
    <w:p w:rsidR="003A62FD" w:rsidRPr="005A47AE" w:rsidRDefault="003A62FD" w:rsidP="008408D0">
      <w:pPr>
        <w:keepNext/>
        <w:keepLines/>
        <w:rPr>
          <w:szCs w:val="18"/>
        </w:rPr>
      </w:pPr>
      <w:r w:rsidRPr="005A47AE">
        <w:rPr>
          <w:szCs w:val="18"/>
        </w:rPr>
        <w:t xml:space="preserve">Energy efficiency </w:t>
      </w:r>
      <w:r w:rsidRPr="005A47AE">
        <w:rPr>
          <w:rFonts w:hint="eastAsia"/>
        </w:rPr>
        <w:t xml:space="preserve">of the network and the device </w:t>
      </w:r>
      <w:r w:rsidRPr="005A47AE">
        <w:t xml:space="preserve">can </w:t>
      </w:r>
      <w:r w:rsidRPr="005A47AE">
        <w:rPr>
          <w:szCs w:val="18"/>
        </w:rPr>
        <w:t>relate to the support for</w:t>
      </w:r>
      <w:r w:rsidRPr="005A47AE">
        <w:rPr>
          <w:rFonts w:hint="eastAsia"/>
        </w:rPr>
        <w:t xml:space="preserve"> the following two </w:t>
      </w:r>
      <w:r w:rsidRPr="005A47AE">
        <w:t>aspects</w:t>
      </w:r>
      <w:r w:rsidRPr="005A47AE">
        <w:rPr>
          <w:szCs w:val="18"/>
        </w:rPr>
        <w:t>:</w:t>
      </w:r>
    </w:p>
    <w:p w:rsidR="003A62FD" w:rsidRPr="005A47AE" w:rsidRDefault="008408D0" w:rsidP="008408D0">
      <w:pPr>
        <w:pStyle w:val="enumlev1"/>
        <w:keepNext/>
        <w:keepLines/>
        <w:rPr>
          <w:szCs w:val="18"/>
        </w:rPr>
      </w:pPr>
      <w:r>
        <w:t>a)</w:t>
      </w:r>
      <w:r>
        <w:tab/>
      </w:r>
      <w:r w:rsidR="003A62FD" w:rsidRPr="005A47AE">
        <w:t>Efficient data transmission in a loaded case;</w:t>
      </w:r>
    </w:p>
    <w:p w:rsidR="003A62FD" w:rsidRPr="005A47AE" w:rsidRDefault="008408D0" w:rsidP="008408D0">
      <w:pPr>
        <w:pStyle w:val="enumlev1"/>
        <w:rPr>
          <w:szCs w:val="18"/>
        </w:rPr>
      </w:pPr>
      <w:r>
        <w:t>b)</w:t>
      </w:r>
      <w:r>
        <w:tab/>
      </w:r>
      <w:r w:rsidR="003A62FD" w:rsidRPr="005A47AE">
        <w:t>Low energy consumption when there is no data.</w:t>
      </w:r>
    </w:p>
    <w:p w:rsidR="003A62FD" w:rsidRPr="005A47AE" w:rsidRDefault="003A62FD" w:rsidP="007E3CC6">
      <w:r w:rsidRPr="005A47AE">
        <w:t xml:space="preserve">Efficient data transmission in a loaded case is demonstrated by the average spectral efficiency (see Chapter 4.5). </w:t>
      </w:r>
    </w:p>
    <w:p w:rsidR="003A62FD" w:rsidRPr="005A47AE" w:rsidRDefault="003A62FD" w:rsidP="007E3CC6">
      <w:r w:rsidRPr="005A47AE">
        <w:t xml:space="preserve">Low energy consumption when there is no data can be estimated by the sleep ratio. The sleep ratio is the fraction of unoccupied time resources (for the network) or sleeping time (for the device) </w:t>
      </w:r>
      <w:r w:rsidRPr="005A47AE">
        <w:rPr>
          <w:lang w:val="en-US"/>
        </w:rPr>
        <w:t xml:space="preserve">in a period of time corresponding to the cycle of the control </w:t>
      </w:r>
      <w:proofErr w:type="spellStart"/>
      <w:r w:rsidRPr="005A47AE">
        <w:rPr>
          <w:lang w:val="en-US"/>
        </w:rPr>
        <w:t>signalling</w:t>
      </w:r>
      <w:proofErr w:type="spellEnd"/>
      <w:r w:rsidRPr="005A47AE">
        <w:rPr>
          <w:lang w:val="en-US"/>
        </w:rPr>
        <w:t xml:space="preserve"> (for the network) or the cycle of discontinuous reception (for the device) when no user data transfer takes place</w:t>
      </w:r>
      <w:r w:rsidRPr="005A47AE">
        <w:t xml:space="preserve">. Furthermore, the sleep duration, i.e. the continuous period of time with no transmission (for network and device) and reception (for the device), should be sufficiently long. </w:t>
      </w:r>
    </w:p>
    <w:p w:rsidR="003A62FD" w:rsidRPr="005A47AE" w:rsidRDefault="003A62FD" w:rsidP="00A17A65">
      <w:r w:rsidRPr="005A47AE">
        <w:t xml:space="preserve">This requirement is defined for the purpose of evaluation in the </w:t>
      </w:r>
      <w:proofErr w:type="spellStart"/>
      <w:r w:rsidRPr="005A47AE">
        <w:t>eMBB</w:t>
      </w:r>
      <w:proofErr w:type="spellEnd"/>
      <w:r w:rsidRPr="005A47AE">
        <w:t xml:space="preserve"> usage scenario.</w:t>
      </w:r>
    </w:p>
    <w:p w:rsidR="003A62FD" w:rsidRPr="005A47AE" w:rsidRDefault="003A62FD" w:rsidP="00DC652E">
      <w:pPr>
        <w:rPr>
          <w:b/>
          <w:lang w:eastAsia="ko-KR"/>
        </w:rPr>
      </w:pPr>
      <w:r w:rsidRPr="005A47AE">
        <w:t xml:space="preserve">The RIT/SRIT shall have the capability to support a high sleep ratio and long sleep duration. Proponents are encouraged to describe other mechanisms of the RIT/SRIT that improve </w:t>
      </w:r>
      <w:r w:rsidRPr="005A47AE">
        <w:rPr>
          <w:szCs w:val="24"/>
        </w:rPr>
        <w:t>the support of energy efficient operation for both network and device.</w:t>
      </w:r>
    </w:p>
    <w:p w:rsidR="003A62FD" w:rsidRPr="005A47AE" w:rsidRDefault="003A62FD" w:rsidP="00A021EE">
      <w:pPr>
        <w:pStyle w:val="Heading2"/>
        <w:ind w:left="0" w:firstLine="0"/>
        <w:rPr>
          <w:lang w:eastAsia="ko-KR"/>
        </w:rPr>
      </w:pPr>
      <w:r w:rsidRPr="005A47AE">
        <w:rPr>
          <w:lang w:eastAsia="ko-KR"/>
        </w:rPr>
        <w:t>4.10</w:t>
      </w:r>
      <w:r w:rsidRPr="005A47AE">
        <w:rPr>
          <w:lang w:eastAsia="ko-KR"/>
        </w:rPr>
        <w:tab/>
        <w:t>Reliability</w:t>
      </w:r>
    </w:p>
    <w:p w:rsidR="003A62FD" w:rsidRPr="005A47AE" w:rsidRDefault="003A62FD" w:rsidP="00A021EE">
      <w:pPr>
        <w:rPr>
          <w:lang w:eastAsia="zh-CN"/>
        </w:rPr>
      </w:pPr>
      <w:r w:rsidRPr="005A47AE">
        <w:rPr>
          <w:lang w:eastAsia="zh-CN"/>
        </w:rPr>
        <w:t xml:space="preserve">Reliability </w:t>
      </w:r>
      <w:r w:rsidRPr="005A47AE">
        <w:t xml:space="preserve">relates to the capability </w:t>
      </w:r>
      <w:r w:rsidRPr="005A47AE">
        <w:rPr>
          <w:lang w:eastAsia="zh-CN"/>
        </w:rPr>
        <w:t xml:space="preserve">of transmitting </w:t>
      </w:r>
      <w:r w:rsidRPr="005A47AE">
        <w:rPr>
          <w:lang w:eastAsia="ko-KR"/>
        </w:rPr>
        <w:t xml:space="preserve">a given amount of traffic </w:t>
      </w:r>
      <w:r w:rsidRPr="005A47AE">
        <w:rPr>
          <w:lang w:eastAsia="zh-CN"/>
        </w:rPr>
        <w:t xml:space="preserve">within </w:t>
      </w:r>
      <w:r>
        <w:rPr>
          <w:lang w:eastAsia="zh-CN"/>
        </w:rPr>
        <w:t xml:space="preserve">a </w:t>
      </w:r>
      <w:r w:rsidRPr="005A47AE">
        <w:rPr>
          <w:lang w:eastAsia="ko-KR"/>
        </w:rPr>
        <w:t>predetermined time duration</w:t>
      </w:r>
      <w:r w:rsidRPr="005A47AE">
        <w:rPr>
          <w:lang w:eastAsia="zh-CN"/>
        </w:rPr>
        <w:t xml:space="preserve"> with high success probability.</w:t>
      </w:r>
    </w:p>
    <w:p w:rsidR="003A62FD" w:rsidRPr="005A47AE" w:rsidRDefault="003A62FD" w:rsidP="00E65117">
      <w:pPr>
        <w:rPr>
          <w:szCs w:val="24"/>
        </w:rPr>
      </w:pPr>
      <w:r w:rsidRPr="005A47AE">
        <w:rPr>
          <w:szCs w:val="24"/>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3A62FD" w:rsidRPr="005A47AE" w:rsidRDefault="003A62FD" w:rsidP="00B852C3">
      <w:r w:rsidRPr="005A47AE">
        <w:t xml:space="preserve">This requirement is defined for the purpose of evaluation in the URLLC usage scenario. </w:t>
      </w:r>
    </w:p>
    <w:p w:rsidR="003A62FD" w:rsidRDefault="003A62FD" w:rsidP="00DC652E">
      <w:pPr>
        <w:rPr>
          <w:lang w:eastAsia="zh-CN"/>
        </w:rPr>
      </w:pPr>
      <w:r w:rsidRPr="005A47AE">
        <w:rPr>
          <w:lang w:eastAsia="zh-CN"/>
        </w:rPr>
        <w:t>The minimum requirement for the reliability is 1-</w:t>
      </w:r>
      <w:r w:rsidRPr="005A47AE">
        <w:t>10</w:t>
      </w:r>
      <w:r w:rsidRPr="005A47AE">
        <w:rPr>
          <w:vertAlign w:val="superscript"/>
        </w:rPr>
        <w:t>-5</w:t>
      </w:r>
      <w:r w:rsidRPr="005A47AE">
        <w:rPr>
          <w:lang w:eastAsia="zh-CN"/>
        </w:rPr>
        <w:t xml:space="preserve"> success probability of transmitting a layer 2 PDU (</w:t>
      </w:r>
      <w:r>
        <w:rPr>
          <w:lang w:eastAsia="zh-CN"/>
        </w:rPr>
        <w:t>p</w:t>
      </w:r>
      <w:r w:rsidRPr="005A47AE">
        <w:rPr>
          <w:lang w:eastAsia="zh-CN"/>
        </w:rPr>
        <w:t xml:space="preserve">rotocol </w:t>
      </w:r>
      <w:r>
        <w:rPr>
          <w:lang w:eastAsia="zh-CN"/>
        </w:rPr>
        <w:t>d</w:t>
      </w:r>
      <w:r w:rsidRPr="005A47AE">
        <w:rPr>
          <w:lang w:eastAsia="zh-CN"/>
        </w:rPr>
        <w:t xml:space="preserve">ata </w:t>
      </w:r>
      <w:r>
        <w:rPr>
          <w:lang w:eastAsia="zh-CN"/>
        </w:rPr>
        <w:t>u</w:t>
      </w:r>
      <w:r w:rsidRPr="005A47AE">
        <w:rPr>
          <w:lang w:eastAsia="zh-CN"/>
        </w:rPr>
        <w:t xml:space="preserve">nit) of 32 bytes within 1 </w:t>
      </w:r>
      <w:proofErr w:type="spellStart"/>
      <w:r w:rsidRPr="005A47AE">
        <w:rPr>
          <w:lang w:eastAsia="zh-CN"/>
        </w:rPr>
        <w:t>ms</w:t>
      </w:r>
      <w:proofErr w:type="spellEnd"/>
      <w:r w:rsidRPr="005A47AE">
        <w:rPr>
          <w:lang w:eastAsia="zh-CN"/>
        </w:rPr>
        <w:t xml:space="preserve"> in channel quality of coverage edge for the Urban Macro-URLLC test environment, assuming small application data (e.g. 20 bytes application data + protocol overhead). </w:t>
      </w:r>
    </w:p>
    <w:p w:rsidR="003A62FD" w:rsidRPr="005A47AE" w:rsidRDefault="003A62FD" w:rsidP="00DC652E">
      <w:pPr>
        <w:rPr>
          <w:b/>
        </w:rPr>
      </w:pPr>
      <w:r w:rsidRPr="005A47AE">
        <w:rPr>
          <w:lang w:eastAsia="zh-CN"/>
        </w:rPr>
        <w:t>Proponents are encouraged to consider larger packet sizes, e.g. layer 2 PDU size of up to 100 bytes.</w:t>
      </w:r>
    </w:p>
    <w:p w:rsidR="003A62FD" w:rsidRPr="005A47AE" w:rsidRDefault="003A62FD" w:rsidP="00A021EE">
      <w:pPr>
        <w:pStyle w:val="Heading2"/>
      </w:pPr>
      <w:r w:rsidRPr="005A47AE">
        <w:t>4.11</w:t>
      </w:r>
      <w:r w:rsidRPr="005A47AE">
        <w:tab/>
        <w:t>Mobility</w:t>
      </w:r>
    </w:p>
    <w:p w:rsidR="003A62FD" w:rsidRPr="005A47AE" w:rsidRDefault="003A62FD" w:rsidP="00A021EE">
      <w:r w:rsidRPr="005A47AE">
        <w:t xml:space="preserve">Mobility is the maximum </w:t>
      </w:r>
      <w:r w:rsidRPr="005A47AE">
        <w:rPr>
          <w:rFonts w:hint="eastAsia"/>
          <w:lang w:eastAsia="ja-JP"/>
        </w:rPr>
        <w:t>mobile station</w:t>
      </w:r>
      <w:r w:rsidRPr="005A47AE">
        <w:t xml:space="preserve"> speed at which a defined </w:t>
      </w:r>
      <w:proofErr w:type="spellStart"/>
      <w:r w:rsidRPr="005A47AE">
        <w:t>QoS</w:t>
      </w:r>
      <w:proofErr w:type="spellEnd"/>
      <w:r w:rsidRPr="005A47AE">
        <w:t xml:space="preserve"> can be achieved (in km/h).</w:t>
      </w:r>
    </w:p>
    <w:p w:rsidR="003A62FD" w:rsidRPr="005A47AE" w:rsidRDefault="003A62FD" w:rsidP="00A021EE">
      <w:r w:rsidRPr="005A47AE">
        <w:t>The following classes of mobility are defined:</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Stationary: 0 km/h</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Pedestrian: 0 km/h to 10 km/h</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Vehicular: 10 km/h to 120 km/h</w:t>
      </w:r>
    </w:p>
    <w:p w:rsidR="003A62FD" w:rsidRPr="005A47AE" w:rsidRDefault="003A62FD" w:rsidP="00A021EE">
      <w:pPr>
        <w:pStyle w:val="enumlev1"/>
        <w:rPr>
          <w:lang w:val="en-US" w:eastAsia="zh-CN"/>
        </w:rPr>
      </w:pPr>
      <w:r w:rsidRPr="005A47AE">
        <w:rPr>
          <w:lang w:val="en-US" w:eastAsia="zh-CN"/>
        </w:rPr>
        <w:t>–</w:t>
      </w:r>
      <w:r w:rsidRPr="005A47AE">
        <w:rPr>
          <w:lang w:val="en-US" w:eastAsia="zh-CN"/>
        </w:rPr>
        <w:tab/>
        <w:t>High speed vehicular: 120 km/h to 500 km/h</w:t>
      </w:r>
    </w:p>
    <w:p w:rsidR="003A62FD" w:rsidRPr="005A47AE" w:rsidRDefault="003A62FD" w:rsidP="00A021EE">
      <w:pPr>
        <w:rPr>
          <w:lang w:val="en-US"/>
        </w:rPr>
      </w:pPr>
      <w:r w:rsidRPr="005A47AE">
        <w:rPr>
          <w:lang w:val="en-US"/>
        </w:rPr>
        <w:lastRenderedPageBreak/>
        <w:t xml:space="preserve">High speed vehicular up to 500 km/h is mainly envisioned for high speed trains. Table </w:t>
      </w:r>
      <w:r w:rsidRPr="005A47AE">
        <w:rPr>
          <w:lang w:val="en-US" w:eastAsia="ja-JP"/>
        </w:rPr>
        <w:t>3</w:t>
      </w:r>
      <w:r w:rsidRPr="005A47AE">
        <w:rPr>
          <w:lang w:val="en-US"/>
        </w:rPr>
        <w:t xml:space="preserve"> defines the mobility classes that shall be supported in the respective test environment</w:t>
      </w:r>
      <w:r w:rsidRPr="005A47AE">
        <w:rPr>
          <w:rFonts w:hint="eastAsia"/>
          <w:lang w:val="en-US" w:eastAsia="ja-JP"/>
        </w:rPr>
        <w:t>s</w:t>
      </w:r>
      <w:r w:rsidRPr="005A47AE">
        <w:rPr>
          <w:lang w:val="en-US"/>
        </w:rPr>
        <w:t>.</w:t>
      </w:r>
    </w:p>
    <w:p w:rsidR="003A62FD" w:rsidRPr="005A47AE" w:rsidRDefault="003A62FD" w:rsidP="00A021EE">
      <w:pPr>
        <w:pStyle w:val="TableNo"/>
        <w:rPr>
          <w:lang w:eastAsia="ja-JP"/>
        </w:rPr>
      </w:pPr>
      <w:r w:rsidRPr="005A47AE">
        <w:t xml:space="preserve">TABLE </w:t>
      </w:r>
      <w:r w:rsidRPr="005A47AE">
        <w:rPr>
          <w:lang w:eastAsia="ja-JP"/>
        </w:rPr>
        <w:t>3</w:t>
      </w:r>
    </w:p>
    <w:p w:rsidR="003A62FD" w:rsidRPr="005A47AE" w:rsidRDefault="003A62FD" w:rsidP="00A021EE">
      <w:pPr>
        <w:pStyle w:val="Tabletitle"/>
        <w:rPr>
          <w:lang w:eastAsia="ja-JP"/>
        </w:rPr>
      </w:pPr>
      <w:r w:rsidRPr="005A47AE">
        <w:t>Mobility classes</w:t>
      </w:r>
    </w:p>
    <w:tbl>
      <w:tblPr>
        <w:tblW w:w="45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903"/>
        <w:gridCol w:w="2078"/>
        <w:gridCol w:w="2077"/>
        <w:gridCol w:w="2631"/>
      </w:tblGrid>
      <w:tr w:rsidR="003A62FD" w:rsidRPr="005A47AE" w:rsidTr="00C51F27">
        <w:trPr>
          <w:cantSplit/>
          <w:jc w:val="center"/>
        </w:trPr>
        <w:tc>
          <w:tcPr>
            <w:tcW w:w="1095" w:type="pct"/>
            <w:vMerge w:val="restart"/>
          </w:tcPr>
          <w:p w:rsidR="003A62FD" w:rsidRPr="005A47AE" w:rsidRDefault="003A62FD" w:rsidP="003A654F">
            <w:pPr>
              <w:pStyle w:val="Tablehead"/>
              <w:spacing w:before="20" w:after="20"/>
            </w:pPr>
          </w:p>
        </w:tc>
        <w:tc>
          <w:tcPr>
            <w:tcW w:w="3905" w:type="pct"/>
            <w:gridSpan w:val="3"/>
          </w:tcPr>
          <w:p w:rsidR="003A62FD" w:rsidRPr="005A47AE" w:rsidRDefault="003A62FD" w:rsidP="003A654F">
            <w:pPr>
              <w:pStyle w:val="Tablehead"/>
            </w:pPr>
            <w:r w:rsidRPr="005A47AE">
              <w:rPr>
                <w:rFonts w:hint="eastAsia"/>
              </w:rPr>
              <w:t>T</w:t>
            </w:r>
            <w:r w:rsidRPr="005A47AE">
              <w:t>est environments</w:t>
            </w:r>
            <w:r w:rsidRPr="005A47AE">
              <w:rPr>
                <w:rFonts w:hint="eastAsia"/>
              </w:rPr>
              <w:t xml:space="preserve"> for </w:t>
            </w:r>
            <w:proofErr w:type="spellStart"/>
            <w:r w:rsidRPr="005A47AE">
              <w:rPr>
                <w:rFonts w:hint="eastAsia"/>
              </w:rPr>
              <w:t>eMBB</w:t>
            </w:r>
            <w:proofErr w:type="spellEnd"/>
          </w:p>
        </w:tc>
      </w:tr>
      <w:tr w:rsidR="003A62FD" w:rsidRPr="005A47AE" w:rsidTr="00C51F27">
        <w:trPr>
          <w:cantSplit/>
          <w:jc w:val="center"/>
        </w:trPr>
        <w:tc>
          <w:tcPr>
            <w:tcW w:w="1095" w:type="pct"/>
            <w:vMerge/>
          </w:tcPr>
          <w:p w:rsidR="003A62FD" w:rsidRPr="005A47AE" w:rsidRDefault="003A62FD" w:rsidP="003A654F">
            <w:pPr>
              <w:pStyle w:val="Tablehead"/>
              <w:spacing w:before="20" w:after="20"/>
            </w:pPr>
          </w:p>
        </w:tc>
        <w:tc>
          <w:tcPr>
            <w:tcW w:w="1196" w:type="pct"/>
          </w:tcPr>
          <w:p w:rsidR="003A62FD" w:rsidRPr="005A47AE" w:rsidRDefault="003A62FD" w:rsidP="003A654F">
            <w:pPr>
              <w:pStyle w:val="Tablehead"/>
            </w:pPr>
            <w:r w:rsidRPr="005A47AE">
              <w:t>Indoor</w:t>
            </w:r>
            <w:r w:rsidRPr="005A47AE">
              <w:rPr>
                <w:rFonts w:hint="eastAsia"/>
              </w:rPr>
              <w:t xml:space="preserve"> Hotspot </w:t>
            </w:r>
            <w:r w:rsidRPr="005A47AE">
              <w:t>–</w:t>
            </w:r>
            <w:r w:rsidRPr="005A47AE">
              <w:rPr>
                <w:rFonts w:hint="eastAsia"/>
              </w:rPr>
              <w:t xml:space="preserve"> </w:t>
            </w:r>
            <w:proofErr w:type="spellStart"/>
            <w:r w:rsidRPr="005A47AE">
              <w:rPr>
                <w:rFonts w:hint="eastAsia"/>
              </w:rPr>
              <w:t>eMBB</w:t>
            </w:r>
            <w:proofErr w:type="spellEnd"/>
          </w:p>
        </w:tc>
        <w:tc>
          <w:tcPr>
            <w:tcW w:w="1195" w:type="pct"/>
          </w:tcPr>
          <w:p w:rsidR="003A62FD" w:rsidRPr="005A47AE" w:rsidRDefault="003A62FD" w:rsidP="003A654F">
            <w:pPr>
              <w:pStyle w:val="Tablehead"/>
            </w:pPr>
            <w:r w:rsidRPr="005A47AE">
              <w:rPr>
                <w:rFonts w:hint="eastAsia"/>
              </w:rPr>
              <w:t xml:space="preserve">Dense Urban </w:t>
            </w:r>
            <w:r w:rsidRPr="005A47AE">
              <w:t>–</w:t>
            </w:r>
          </w:p>
          <w:p w:rsidR="003A62FD" w:rsidRPr="005A47AE" w:rsidRDefault="003A62FD" w:rsidP="003A654F">
            <w:pPr>
              <w:pStyle w:val="Tablehead"/>
            </w:pPr>
            <w:proofErr w:type="spellStart"/>
            <w:r w:rsidRPr="005A47AE">
              <w:rPr>
                <w:rFonts w:hint="eastAsia"/>
              </w:rPr>
              <w:t>eMBB</w:t>
            </w:r>
            <w:proofErr w:type="spellEnd"/>
          </w:p>
        </w:tc>
        <w:tc>
          <w:tcPr>
            <w:tcW w:w="1514" w:type="pct"/>
          </w:tcPr>
          <w:p w:rsidR="003A62FD" w:rsidRPr="005A47AE" w:rsidRDefault="003A62FD" w:rsidP="003A654F">
            <w:pPr>
              <w:pStyle w:val="Tablehead"/>
            </w:pPr>
            <w:r w:rsidRPr="005A47AE">
              <w:rPr>
                <w:rFonts w:hint="eastAsia"/>
              </w:rPr>
              <w:t xml:space="preserve">Rural </w:t>
            </w:r>
            <w:r w:rsidRPr="005A47AE">
              <w:t>–</w:t>
            </w:r>
            <w:r w:rsidRPr="005A47AE">
              <w:rPr>
                <w:rFonts w:hint="eastAsia"/>
              </w:rPr>
              <w:t xml:space="preserve"> </w:t>
            </w:r>
          </w:p>
          <w:p w:rsidR="003A62FD" w:rsidRPr="005A47AE" w:rsidRDefault="003A62FD" w:rsidP="003A654F">
            <w:pPr>
              <w:pStyle w:val="Tablehead"/>
            </w:pPr>
            <w:proofErr w:type="spellStart"/>
            <w:r w:rsidRPr="005A47AE">
              <w:rPr>
                <w:rFonts w:hint="eastAsia"/>
              </w:rPr>
              <w:t>eMBB</w:t>
            </w:r>
            <w:proofErr w:type="spellEnd"/>
            <w:r w:rsidRPr="005A47AE">
              <w:t xml:space="preserve"> </w:t>
            </w:r>
          </w:p>
        </w:tc>
      </w:tr>
      <w:tr w:rsidR="003A62FD" w:rsidRPr="005A47AE" w:rsidTr="00C51F27">
        <w:trPr>
          <w:cantSplit/>
          <w:jc w:val="center"/>
        </w:trPr>
        <w:tc>
          <w:tcPr>
            <w:tcW w:w="1095" w:type="pct"/>
          </w:tcPr>
          <w:p w:rsidR="003A62FD" w:rsidRPr="005A47AE" w:rsidRDefault="003A62FD" w:rsidP="00E65117">
            <w:pPr>
              <w:pStyle w:val="Tabletext"/>
            </w:pPr>
            <w:r w:rsidRPr="005A47AE">
              <w:t>Mobility classes supported</w:t>
            </w:r>
          </w:p>
        </w:tc>
        <w:tc>
          <w:tcPr>
            <w:tcW w:w="1196" w:type="pct"/>
          </w:tcPr>
          <w:p w:rsidR="003A62FD" w:rsidRPr="005A47AE" w:rsidRDefault="003A62FD" w:rsidP="00E65117">
            <w:pPr>
              <w:pStyle w:val="Tabletext"/>
            </w:pPr>
            <w:r w:rsidRPr="005A47AE">
              <w:t xml:space="preserve">Stationary, </w:t>
            </w:r>
            <w:r w:rsidRPr="005A47AE">
              <w:rPr>
                <w:rFonts w:hint="eastAsia"/>
              </w:rPr>
              <w:t>P</w:t>
            </w:r>
            <w:r w:rsidRPr="005A47AE">
              <w:t>edestrian</w:t>
            </w:r>
          </w:p>
        </w:tc>
        <w:tc>
          <w:tcPr>
            <w:tcW w:w="1195" w:type="pct"/>
          </w:tcPr>
          <w:p w:rsidR="003A62FD" w:rsidRPr="005A47AE" w:rsidRDefault="003A62FD" w:rsidP="00E65117">
            <w:pPr>
              <w:pStyle w:val="Tabletext"/>
              <w:spacing w:before="20" w:after="20"/>
              <w:jc w:val="center"/>
              <w:rPr>
                <w:lang w:val="en-US"/>
              </w:rPr>
            </w:pPr>
            <w:r w:rsidRPr="005A47AE">
              <w:rPr>
                <w:lang w:val="en-US"/>
              </w:rPr>
              <w:t xml:space="preserve">Stationary, </w:t>
            </w:r>
            <w:r w:rsidRPr="005A47AE">
              <w:rPr>
                <w:rFonts w:hint="eastAsia"/>
                <w:lang w:val="en-US" w:eastAsia="ja-JP"/>
              </w:rPr>
              <w:t>P</w:t>
            </w:r>
            <w:r w:rsidRPr="005A47AE">
              <w:rPr>
                <w:lang w:val="en-US"/>
              </w:rPr>
              <w:t>edestrian,</w:t>
            </w:r>
          </w:p>
          <w:p w:rsidR="003A62FD" w:rsidRPr="005A47AE" w:rsidRDefault="003A62FD" w:rsidP="00E65117">
            <w:pPr>
              <w:pStyle w:val="Tabletext"/>
              <w:spacing w:before="20" w:after="20"/>
              <w:jc w:val="center"/>
              <w:rPr>
                <w:b/>
                <w:lang w:val="en-US" w:eastAsia="ja-JP"/>
              </w:rPr>
            </w:pPr>
            <w:r w:rsidRPr="005A47AE">
              <w:rPr>
                <w:lang w:val="en-US"/>
              </w:rPr>
              <w:t>Vehicular (up to 30 km</w:t>
            </w:r>
            <w:r w:rsidRPr="005A47AE">
              <w:rPr>
                <w:rFonts w:hint="eastAsia"/>
                <w:lang w:val="en-US" w:eastAsia="ja-JP"/>
              </w:rPr>
              <w:t>/</w:t>
            </w:r>
            <w:r w:rsidRPr="005A47AE">
              <w:rPr>
                <w:lang w:val="en-US"/>
              </w:rPr>
              <w:t>h)</w:t>
            </w:r>
          </w:p>
        </w:tc>
        <w:tc>
          <w:tcPr>
            <w:tcW w:w="1514" w:type="pct"/>
          </w:tcPr>
          <w:p w:rsidR="003A62FD" w:rsidRPr="005A47AE" w:rsidRDefault="003A62FD" w:rsidP="00E65117">
            <w:pPr>
              <w:pStyle w:val="Tabletext"/>
              <w:spacing w:before="20" w:after="20"/>
              <w:jc w:val="center"/>
              <w:rPr>
                <w:b/>
                <w:lang w:eastAsia="ja-JP"/>
              </w:rPr>
            </w:pPr>
            <w:r w:rsidRPr="005A47AE">
              <w:rPr>
                <w:lang w:val="en-US" w:eastAsia="ja-JP"/>
              </w:rPr>
              <w:t>P</w:t>
            </w:r>
            <w:r w:rsidRPr="005A47AE">
              <w:rPr>
                <w:lang w:val="en-US"/>
              </w:rPr>
              <w:t xml:space="preserve">edestrian, </w:t>
            </w:r>
            <w:r w:rsidRPr="005A47AE">
              <w:rPr>
                <w:rFonts w:hint="eastAsia"/>
                <w:lang w:eastAsia="ja-JP"/>
              </w:rPr>
              <w:t xml:space="preserve">Vehicular, </w:t>
            </w:r>
            <w:r w:rsidRPr="005A47AE">
              <w:t xml:space="preserve">High speed vehicular </w:t>
            </w:r>
          </w:p>
        </w:tc>
      </w:tr>
    </w:tbl>
    <w:p w:rsidR="003A62FD" w:rsidRPr="005A47AE" w:rsidRDefault="003A62FD" w:rsidP="00C51F27">
      <w:pPr>
        <w:pStyle w:val="Tablefin"/>
      </w:pPr>
    </w:p>
    <w:p w:rsidR="003A62FD" w:rsidRPr="005A47AE" w:rsidRDefault="003A62FD" w:rsidP="00C51F27">
      <w:pPr>
        <w:rPr>
          <w:lang w:val="en-US"/>
        </w:rPr>
      </w:pPr>
      <w:r w:rsidRPr="005A47AE">
        <w:rPr>
          <w:lang w:val="en-US"/>
        </w:rPr>
        <w:t xml:space="preserve">A mobility class is supported if the traffic channel link data rate on the uplink, normalized by bandwidth, is as shown in Table </w:t>
      </w:r>
      <w:r w:rsidRPr="005A47AE">
        <w:rPr>
          <w:lang w:val="en-US" w:eastAsia="ja-JP"/>
        </w:rPr>
        <w:t>4</w:t>
      </w:r>
      <w:r>
        <w:rPr>
          <w:lang w:val="en-US" w:eastAsia="ja-JP"/>
        </w:rPr>
        <w:t>.</w:t>
      </w:r>
      <w:r w:rsidRPr="005A47AE">
        <w:rPr>
          <w:lang w:val="en-US"/>
        </w:rPr>
        <w:t xml:space="preserve"> </w:t>
      </w:r>
      <w:r>
        <w:rPr>
          <w:lang w:val="en-US"/>
        </w:rPr>
        <w:t>This assumes</w:t>
      </w:r>
      <w:r w:rsidRPr="005A47AE">
        <w:rPr>
          <w:lang w:val="en-US"/>
        </w:rPr>
        <w:t xml:space="preserve"> the user is moving at the maximum speed in that mobility class in each of the test environments.</w:t>
      </w:r>
    </w:p>
    <w:p w:rsidR="003A62FD" w:rsidRPr="005A47AE" w:rsidRDefault="003A62FD" w:rsidP="004D7F94">
      <w:r w:rsidRPr="005A47AE">
        <w:t xml:space="preserve">This requirement is defined for the purpose of evaluation in the </w:t>
      </w:r>
      <w:proofErr w:type="spellStart"/>
      <w:r w:rsidRPr="005A47AE">
        <w:t>eMBB</w:t>
      </w:r>
      <w:proofErr w:type="spellEnd"/>
      <w:r w:rsidRPr="005A47AE">
        <w:t xml:space="preserve"> usage scenario.</w:t>
      </w:r>
    </w:p>
    <w:p w:rsidR="003A62FD" w:rsidRPr="005A47AE" w:rsidRDefault="003A62FD" w:rsidP="00464664">
      <w:pPr>
        <w:pStyle w:val="TableNo"/>
        <w:spacing w:before="240"/>
        <w:rPr>
          <w:lang w:val="en-US" w:eastAsia="ja-JP"/>
        </w:rPr>
      </w:pPr>
      <w:r w:rsidRPr="005A47AE">
        <w:rPr>
          <w:lang w:val="en-US"/>
        </w:rPr>
        <w:t xml:space="preserve">TABLE </w:t>
      </w:r>
      <w:r w:rsidRPr="005A47AE">
        <w:rPr>
          <w:lang w:val="en-US" w:eastAsia="ja-JP"/>
        </w:rPr>
        <w:t>4</w:t>
      </w:r>
    </w:p>
    <w:p w:rsidR="003A62FD" w:rsidRPr="005A47AE" w:rsidRDefault="003A62FD" w:rsidP="00464664">
      <w:pPr>
        <w:pStyle w:val="Tabletitle"/>
        <w:rPr>
          <w:lang w:val="en-US" w:eastAsia="ja-JP"/>
        </w:rPr>
      </w:pPr>
      <w:r w:rsidRPr="005A47AE">
        <w:rPr>
          <w:lang w:val="en-US"/>
        </w:rPr>
        <w:t>Traffic channel link data rates</w:t>
      </w:r>
      <w:r w:rsidRPr="005A47AE">
        <w:rPr>
          <w:lang w:val="en-US" w:eastAsia="ja-JP"/>
        </w:rPr>
        <w:t xml:space="preserve"> normalized by bandwidth</w:t>
      </w:r>
    </w:p>
    <w:tbl>
      <w:tblPr>
        <w:tblStyle w:val="TableGrid"/>
        <w:tblW w:w="0" w:type="auto"/>
        <w:tblLook w:val="01E0" w:firstRow="1" w:lastRow="1" w:firstColumn="1" w:lastColumn="1" w:noHBand="0" w:noVBand="0"/>
      </w:tblPr>
      <w:tblGrid>
        <w:gridCol w:w="3210"/>
        <w:gridCol w:w="3211"/>
        <w:gridCol w:w="3208"/>
      </w:tblGrid>
      <w:tr w:rsidR="003A62FD" w:rsidRPr="005A47AE" w:rsidTr="00464664">
        <w:tc>
          <w:tcPr>
            <w:tcW w:w="3210" w:type="dxa"/>
            <w:tcBorders>
              <w:top w:val="single" w:sz="4" w:space="0" w:color="auto"/>
              <w:left w:val="single" w:sz="4" w:space="0" w:color="auto"/>
              <w:bottom w:val="single" w:sz="4" w:space="0" w:color="auto"/>
              <w:right w:val="single" w:sz="4" w:space="0" w:color="auto"/>
            </w:tcBorders>
          </w:tcPr>
          <w:p w:rsidR="003A62FD" w:rsidRPr="005A47AE" w:rsidRDefault="003A62FD" w:rsidP="00B21481">
            <w:pPr>
              <w:pStyle w:val="Tablehead"/>
              <w:spacing w:before="20" w:after="20"/>
              <w:rPr>
                <w:lang w:val="en-US"/>
              </w:rPr>
            </w:pPr>
            <w:r w:rsidRPr="005A47AE">
              <w:rPr>
                <w:lang w:val="en-US"/>
              </w:rPr>
              <w:t>Test environment</w:t>
            </w:r>
          </w:p>
        </w:tc>
        <w:tc>
          <w:tcPr>
            <w:tcW w:w="3211" w:type="dxa"/>
            <w:tcBorders>
              <w:top w:val="single" w:sz="4" w:space="0" w:color="auto"/>
              <w:left w:val="single" w:sz="4" w:space="0" w:color="auto"/>
              <w:bottom w:val="single" w:sz="4" w:space="0" w:color="auto"/>
              <w:right w:val="single" w:sz="4" w:space="0" w:color="auto"/>
            </w:tcBorders>
            <w:hideMark/>
          </w:tcPr>
          <w:p w:rsidR="003A62FD" w:rsidRPr="005A47AE" w:rsidRDefault="003A62FD" w:rsidP="00B21481">
            <w:pPr>
              <w:pStyle w:val="Tablehead"/>
              <w:spacing w:before="20" w:after="20"/>
            </w:pPr>
            <w:r w:rsidRPr="005A47AE">
              <w:rPr>
                <w:lang w:val="en-US"/>
              </w:rPr>
              <w:t>Normalized traffic channel link data rate</w:t>
            </w:r>
            <w:r w:rsidRPr="005A47AE">
              <w:rPr>
                <w:lang w:val="en-US" w:eastAsia="ja-JP"/>
              </w:rPr>
              <w:t xml:space="preserve"> (</w:t>
            </w:r>
            <w:r w:rsidRPr="005A47AE">
              <w:t>Bit/s/Hz)</w:t>
            </w:r>
          </w:p>
        </w:tc>
        <w:tc>
          <w:tcPr>
            <w:tcW w:w="3208" w:type="dxa"/>
            <w:tcBorders>
              <w:top w:val="single" w:sz="4" w:space="0" w:color="auto"/>
              <w:left w:val="single" w:sz="4" w:space="0" w:color="auto"/>
              <w:bottom w:val="single" w:sz="4" w:space="0" w:color="auto"/>
              <w:right w:val="single" w:sz="4" w:space="0" w:color="auto"/>
            </w:tcBorders>
            <w:hideMark/>
          </w:tcPr>
          <w:p w:rsidR="003A62FD" w:rsidRPr="005A47AE" w:rsidRDefault="003A62FD" w:rsidP="00B21481">
            <w:pPr>
              <w:pStyle w:val="Tablehead"/>
              <w:spacing w:before="20" w:after="20"/>
              <w:rPr>
                <w:lang w:val="en-US"/>
              </w:rPr>
            </w:pPr>
            <w:r w:rsidRPr="005A47AE">
              <w:rPr>
                <w:lang w:val="en-US"/>
              </w:rPr>
              <w:t>Mobility (km/h)</w:t>
            </w:r>
          </w:p>
        </w:tc>
      </w:tr>
      <w:tr w:rsidR="003A62FD" w:rsidRPr="005A47AE" w:rsidTr="0025453C">
        <w:tc>
          <w:tcPr>
            <w:tcW w:w="3210" w:type="dxa"/>
            <w:tcBorders>
              <w:top w:val="single" w:sz="4" w:space="0" w:color="auto"/>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rPr>
                <w:lang w:val="en-US" w:eastAsia="ja-JP"/>
              </w:rPr>
            </w:pPr>
            <w:r w:rsidRPr="005A47AE">
              <w:rPr>
                <w:lang w:val="en-US"/>
              </w:rPr>
              <w:t>Indoor</w:t>
            </w:r>
            <w:r w:rsidRPr="005A47AE">
              <w:rPr>
                <w:lang w:val="en-US" w:eastAsia="ja-JP"/>
              </w:rPr>
              <w:t xml:space="preserve"> Hotspot – </w:t>
            </w:r>
            <w:proofErr w:type="spellStart"/>
            <w:r w:rsidRPr="005A47AE">
              <w:rPr>
                <w:lang w:val="en-US" w:eastAsia="ja-JP"/>
              </w:rPr>
              <w:t>eMBB</w:t>
            </w:r>
            <w:proofErr w:type="spellEnd"/>
          </w:p>
        </w:tc>
        <w:tc>
          <w:tcPr>
            <w:tcW w:w="3211" w:type="dxa"/>
            <w:tcBorders>
              <w:top w:val="single" w:sz="4" w:space="0" w:color="auto"/>
              <w:left w:val="single" w:sz="4" w:space="0" w:color="auto"/>
              <w:bottom w:val="single" w:sz="4" w:space="0" w:color="auto"/>
              <w:right w:val="single" w:sz="4" w:space="0" w:color="auto"/>
            </w:tcBorders>
          </w:tcPr>
          <w:p w:rsidR="003A62FD" w:rsidRPr="005A47AE" w:rsidRDefault="003A62FD" w:rsidP="00464664">
            <w:pPr>
              <w:pStyle w:val="Tabletext"/>
              <w:spacing w:before="20" w:after="20"/>
              <w:jc w:val="center"/>
              <w:rPr>
                <w:lang w:val="en-US" w:eastAsia="ja-JP"/>
              </w:rPr>
            </w:pPr>
            <w:r w:rsidRPr="005A47AE">
              <w:t>1.5</w:t>
            </w:r>
          </w:p>
        </w:tc>
        <w:tc>
          <w:tcPr>
            <w:tcW w:w="3208" w:type="dxa"/>
            <w:tcBorders>
              <w:top w:val="single" w:sz="4" w:space="0" w:color="auto"/>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jc w:val="center"/>
              <w:rPr>
                <w:lang w:val="en-US" w:eastAsia="ja-JP"/>
              </w:rPr>
            </w:pPr>
            <w:r w:rsidRPr="005A47AE">
              <w:rPr>
                <w:lang w:val="en-US" w:eastAsia="ja-JP"/>
              </w:rPr>
              <w:t>10</w:t>
            </w:r>
          </w:p>
        </w:tc>
      </w:tr>
      <w:tr w:rsidR="003A62FD" w:rsidRPr="005A47AE" w:rsidTr="0025453C">
        <w:tc>
          <w:tcPr>
            <w:tcW w:w="3210" w:type="dxa"/>
            <w:tcBorders>
              <w:top w:val="single" w:sz="4" w:space="0" w:color="auto"/>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rPr>
                <w:lang w:val="en-US" w:eastAsia="ja-JP"/>
              </w:rPr>
            </w:pPr>
            <w:r w:rsidRPr="005A47AE">
              <w:rPr>
                <w:lang w:val="en-US" w:eastAsia="ja-JP"/>
              </w:rPr>
              <w:t xml:space="preserve">Dense Urban – </w:t>
            </w:r>
            <w:proofErr w:type="spellStart"/>
            <w:r w:rsidRPr="005A47AE">
              <w:rPr>
                <w:lang w:val="en-US" w:eastAsia="ja-JP"/>
              </w:rPr>
              <w:t>eMBB</w:t>
            </w:r>
            <w:proofErr w:type="spellEnd"/>
          </w:p>
        </w:tc>
        <w:tc>
          <w:tcPr>
            <w:tcW w:w="3211" w:type="dxa"/>
            <w:tcBorders>
              <w:top w:val="single" w:sz="4" w:space="0" w:color="auto"/>
              <w:left w:val="single" w:sz="4" w:space="0" w:color="auto"/>
              <w:bottom w:val="single" w:sz="4" w:space="0" w:color="auto"/>
              <w:right w:val="single" w:sz="4" w:space="0" w:color="auto"/>
            </w:tcBorders>
          </w:tcPr>
          <w:p w:rsidR="003A62FD" w:rsidRPr="005A47AE" w:rsidRDefault="003A62FD" w:rsidP="00464664">
            <w:pPr>
              <w:pStyle w:val="Tabletext"/>
              <w:spacing w:before="20" w:after="20"/>
              <w:jc w:val="center"/>
              <w:rPr>
                <w:lang w:val="en-US" w:eastAsia="ja-JP"/>
              </w:rPr>
            </w:pPr>
            <w:r w:rsidRPr="005A47AE">
              <w:t>1.12</w:t>
            </w:r>
          </w:p>
        </w:tc>
        <w:tc>
          <w:tcPr>
            <w:tcW w:w="3208" w:type="dxa"/>
            <w:tcBorders>
              <w:top w:val="single" w:sz="4" w:space="0" w:color="auto"/>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jc w:val="center"/>
              <w:rPr>
                <w:lang w:val="en-US" w:eastAsia="ja-JP"/>
              </w:rPr>
            </w:pPr>
            <w:r w:rsidRPr="005A47AE">
              <w:rPr>
                <w:lang w:val="en-US" w:eastAsia="ja-JP"/>
              </w:rPr>
              <w:t>30</w:t>
            </w:r>
          </w:p>
        </w:tc>
      </w:tr>
      <w:tr w:rsidR="003A62FD" w:rsidRPr="005A47AE" w:rsidTr="00464664">
        <w:tc>
          <w:tcPr>
            <w:tcW w:w="3210" w:type="dxa"/>
            <w:vMerge w:val="restart"/>
            <w:tcBorders>
              <w:top w:val="single" w:sz="4" w:space="0" w:color="auto"/>
              <w:left w:val="single" w:sz="4" w:space="0" w:color="auto"/>
              <w:right w:val="single" w:sz="4" w:space="0" w:color="auto"/>
            </w:tcBorders>
            <w:hideMark/>
          </w:tcPr>
          <w:p w:rsidR="003A62FD" w:rsidRPr="005A47AE" w:rsidRDefault="003A62FD" w:rsidP="00464664">
            <w:pPr>
              <w:pStyle w:val="Tabletext"/>
              <w:spacing w:before="20" w:after="20"/>
              <w:rPr>
                <w:lang w:val="en-US" w:eastAsia="ja-JP"/>
              </w:rPr>
            </w:pPr>
            <w:r w:rsidRPr="005A47AE">
              <w:rPr>
                <w:lang w:val="en-US" w:eastAsia="ja-JP"/>
              </w:rPr>
              <w:t xml:space="preserve">Rural – </w:t>
            </w:r>
            <w:proofErr w:type="spellStart"/>
            <w:r w:rsidRPr="005A47AE">
              <w:rPr>
                <w:lang w:val="en-US" w:eastAsia="ja-JP"/>
              </w:rPr>
              <w:t>eMBB</w:t>
            </w:r>
            <w:proofErr w:type="spellEnd"/>
          </w:p>
        </w:tc>
        <w:tc>
          <w:tcPr>
            <w:tcW w:w="3211" w:type="dxa"/>
            <w:tcBorders>
              <w:top w:val="single" w:sz="4" w:space="0" w:color="auto"/>
              <w:left w:val="single" w:sz="4" w:space="0" w:color="auto"/>
              <w:bottom w:val="single" w:sz="4" w:space="0" w:color="auto"/>
              <w:right w:val="single" w:sz="4" w:space="0" w:color="auto"/>
            </w:tcBorders>
          </w:tcPr>
          <w:p w:rsidR="003A62FD" w:rsidRPr="005A47AE" w:rsidRDefault="003A62FD" w:rsidP="00464664">
            <w:pPr>
              <w:pStyle w:val="Tabletext"/>
              <w:spacing w:before="20" w:after="20"/>
              <w:jc w:val="center"/>
              <w:rPr>
                <w:lang w:val="en-US" w:eastAsia="ja-JP"/>
              </w:rPr>
            </w:pPr>
            <w:r w:rsidRPr="005A47AE">
              <w:t>0.8</w:t>
            </w:r>
          </w:p>
        </w:tc>
        <w:tc>
          <w:tcPr>
            <w:tcW w:w="3208" w:type="dxa"/>
            <w:tcBorders>
              <w:top w:val="single" w:sz="4" w:space="0" w:color="auto"/>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jc w:val="center"/>
              <w:rPr>
                <w:lang w:val="en-US" w:eastAsia="ja-JP"/>
              </w:rPr>
            </w:pPr>
            <w:r w:rsidRPr="005A47AE">
              <w:rPr>
                <w:lang w:val="en-US" w:eastAsia="ja-JP"/>
              </w:rPr>
              <w:t>120</w:t>
            </w:r>
          </w:p>
        </w:tc>
      </w:tr>
      <w:tr w:rsidR="003A62FD" w:rsidRPr="005A47AE" w:rsidTr="00464664">
        <w:tc>
          <w:tcPr>
            <w:tcW w:w="3210" w:type="dxa"/>
            <w:vMerge/>
            <w:tcBorders>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rPr>
                <w:lang w:val="en-US" w:eastAsia="ja-JP"/>
              </w:rPr>
            </w:pPr>
          </w:p>
        </w:tc>
        <w:tc>
          <w:tcPr>
            <w:tcW w:w="3211" w:type="dxa"/>
            <w:tcBorders>
              <w:top w:val="single" w:sz="4" w:space="0" w:color="auto"/>
              <w:left w:val="single" w:sz="4" w:space="0" w:color="auto"/>
              <w:bottom w:val="single" w:sz="4" w:space="0" w:color="auto"/>
              <w:right w:val="single" w:sz="4" w:space="0" w:color="auto"/>
            </w:tcBorders>
          </w:tcPr>
          <w:p w:rsidR="003A62FD" w:rsidRPr="005A47AE" w:rsidRDefault="003A62FD" w:rsidP="0025453C">
            <w:pPr>
              <w:pStyle w:val="Tabletext"/>
              <w:jc w:val="center"/>
              <w:rPr>
                <w:lang w:val="en-US" w:eastAsia="ja-JP"/>
              </w:rPr>
            </w:pPr>
            <w:r w:rsidRPr="005A47AE">
              <w:t>0.45</w:t>
            </w:r>
          </w:p>
        </w:tc>
        <w:tc>
          <w:tcPr>
            <w:tcW w:w="3208" w:type="dxa"/>
            <w:tcBorders>
              <w:top w:val="single" w:sz="4" w:space="0" w:color="auto"/>
              <w:left w:val="single" w:sz="4" w:space="0" w:color="auto"/>
              <w:bottom w:val="single" w:sz="4" w:space="0" w:color="auto"/>
              <w:right w:val="single" w:sz="4" w:space="0" w:color="auto"/>
            </w:tcBorders>
            <w:hideMark/>
          </w:tcPr>
          <w:p w:rsidR="003A62FD" w:rsidRPr="005A47AE" w:rsidRDefault="003A62FD" w:rsidP="00464664">
            <w:pPr>
              <w:pStyle w:val="Tabletext"/>
              <w:spacing w:before="20" w:after="20"/>
              <w:jc w:val="center"/>
              <w:rPr>
                <w:lang w:val="en-US" w:eastAsia="ja-JP"/>
              </w:rPr>
            </w:pPr>
            <w:r w:rsidRPr="005A47AE">
              <w:rPr>
                <w:lang w:val="en-US" w:eastAsia="ja-JP"/>
              </w:rPr>
              <w:t>500</w:t>
            </w:r>
          </w:p>
        </w:tc>
      </w:tr>
    </w:tbl>
    <w:p w:rsidR="00C51F27" w:rsidRDefault="00C51F27" w:rsidP="00C51F27">
      <w:pPr>
        <w:pStyle w:val="Tablefin"/>
      </w:pPr>
    </w:p>
    <w:p w:rsidR="003A62FD" w:rsidRDefault="003A62FD" w:rsidP="00B852C3">
      <w:pPr>
        <w:rPr>
          <w:lang w:eastAsia="ja-JP"/>
        </w:rPr>
      </w:pPr>
      <w:r w:rsidRPr="005A47AE">
        <w:rPr>
          <w:lang w:val="en-US"/>
        </w:rPr>
        <w:t xml:space="preserve">These values were defined assuming an antenna configuration </w:t>
      </w:r>
      <w:r w:rsidRPr="005A47AE">
        <w:rPr>
          <w:lang w:eastAsia="ko-KR"/>
        </w:rPr>
        <w:t>as described in Report ITU-R M.[IMT-2020.EVAL]</w:t>
      </w:r>
      <w:r w:rsidRPr="005A47AE">
        <w:rPr>
          <w:lang w:eastAsia="ja-JP"/>
        </w:rPr>
        <w:t xml:space="preserve">. </w:t>
      </w:r>
    </w:p>
    <w:p w:rsidR="003A62FD" w:rsidRPr="005A47AE" w:rsidRDefault="003A62FD" w:rsidP="00C51F27">
      <w:r w:rsidRPr="005A47AE">
        <w:rPr>
          <w:lang w:eastAsia="zh-CN"/>
        </w:rPr>
        <w:t xml:space="preserve">Proponents are encouraged to consider higher normalized channel link data rates in </w:t>
      </w:r>
      <w:r>
        <w:rPr>
          <w:lang w:eastAsia="zh-CN"/>
        </w:rPr>
        <w:t xml:space="preserve">the </w:t>
      </w:r>
      <w:r w:rsidRPr="005A47AE">
        <w:rPr>
          <w:lang w:eastAsia="zh-CN"/>
        </w:rPr>
        <w:t>uplink</w:t>
      </w:r>
      <w:r w:rsidR="00C51F27">
        <w:rPr>
          <w:lang w:eastAsia="zh-CN"/>
        </w:rPr>
        <w:t>.</w:t>
      </w:r>
      <w:r w:rsidRPr="005A47AE">
        <w:rPr>
          <w:lang w:eastAsia="zh-CN"/>
        </w:rPr>
        <w:t xml:space="preserve"> </w:t>
      </w:r>
      <w:r>
        <w:rPr>
          <w:lang w:eastAsia="zh-CN"/>
        </w:rPr>
        <w:t>In</w:t>
      </w:r>
      <w:r w:rsidR="00C51F27">
        <w:rPr>
          <w:lang w:eastAsia="zh-CN"/>
        </w:rPr>
        <w:t> </w:t>
      </w:r>
      <w:r>
        <w:rPr>
          <w:lang w:eastAsia="zh-CN"/>
        </w:rPr>
        <w:t>addition, proponents are encouraged to</w:t>
      </w:r>
      <w:r w:rsidRPr="005A47AE">
        <w:t xml:space="preserve"> </w:t>
      </w:r>
      <w:r>
        <w:t xml:space="preserve">consider the </w:t>
      </w:r>
      <w:r w:rsidRPr="005A47AE">
        <w:t>downlink mobility performance.</w:t>
      </w:r>
    </w:p>
    <w:p w:rsidR="003A62FD" w:rsidRPr="005A47AE" w:rsidRDefault="003A62FD" w:rsidP="00A021EE">
      <w:pPr>
        <w:pStyle w:val="Heading2"/>
      </w:pPr>
      <w:r w:rsidRPr="005A47AE">
        <w:t>4.12</w:t>
      </w:r>
      <w:r w:rsidRPr="005A47AE">
        <w:tab/>
        <w:t>Mobility interruption time</w:t>
      </w:r>
    </w:p>
    <w:p w:rsidR="003A62FD" w:rsidRPr="005A47AE" w:rsidRDefault="003A62FD" w:rsidP="00A021EE">
      <w:pPr>
        <w:rPr>
          <w:szCs w:val="24"/>
        </w:rPr>
      </w:pPr>
      <w:r w:rsidRPr="005A47AE">
        <w:t>Mobility interruption time</w:t>
      </w:r>
      <w:r w:rsidRPr="005A47AE">
        <w:rPr>
          <w:szCs w:val="24"/>
        </w:rPr>
        <w:t xml:space="preserve"> is the shortest time duration supported by the system during which a user terminal cannot exchange user plane packets with any base station during transitions</w:t>
      </w:r>
      <w:r w:rsidRPr="005A47AE">
        <w:rPr>
          <w:rFonts w:eastAsia="MS Mincho"/>
        </w:rPr>
        <w:t>.</w:t>
      </w:r>
    </w:p>
    <w:p w:rsidR="003A62FD" w:rsidRPr="005A47AE" w:rsidRDefault="003A62FD" w:rsidP="003B375E">
      <w:pPr>
        <w:rPr>
          <w:szCs w:val="24"/>
        </w:rPr>
      </w:pPr>
      <w:r w:rsidRPr="005A47AE">
        <w:rPr>
          <w:rFonts w:hint="eastAsia"/>
          <w:szCs w:val="24"/>
        </w:rPr>
        <w:t xml:space="preserve">The mobility interruption time includes the time required to execute any radio access network procedure, radio resource control </w:t>
      </w:r>
      <w:r w:rsidRPr="005A47AE">
        <w:rPr>
          <w:szCs w:val="24"/>
        </w:rPr>
        <w:t>signalling</w:t>
      </w:r>
      <w:r w:rsidRPr="005A47AE">
        <w:rPr>
          <w:rFonts w:hint="eastAsia"/>
          <w:szCs w:val="24"/>
        </w:rPr>
        <w:t xml:space="preserve"> protocol, or other message exchanges between the </w:t>
      </w:r>
      <w:r w:rsidRPr="005A47AE">
        <w:rPr>
          <w:rFonts w:hint="eastAsia"/>
          <w:lang w:eastAsia="ja-JP"/>
        </w:rPr>
        <w:t>mobile station</w:t>
      </w:r>
      <w:r w:rsidRPr="005A47AE">
        <w:rPr>
          <w:lang w:eastAsia="ja-JP"/>
        </w:rPr>
        <w:t xml:space="preserve"> </w:t>
      </w:r>
      <w:r w:rsidRPr="005A47AE">
        <w:rPr>
          <w:rFonts w:hint="eastAsia"/>
          <w:szCs w:val="24"/>
        </w:rPr>
        <w:t>and the radio access network, as applicable to the candidate RIT</w:t>
      </w:r>
      <w:r w:rsidRPr="005A47AE">
        <w:rPr>
          <w:rFonts w:hint="eastAsia"/>
          <w:szCs w:val="24"/>
          <w:lang w:eastAsia="ja-JP"/>
        </w:rPr>
        <w:t>/</w:t>
      </w:r>
      <w:r w:rsidRPr="005A47AE">
        <w:rPr>
          <w:rFonts w:hint="eastAsia"/>
          <w:szCs w:val="24"/>
        </w:rPr>
        <w:t>SRIT.</w:t>
      </w:r>
    </w:p>
    <w:p w:rsidR="003A62FD" w:rsidRPr="005A47AE" w:rsidRDefault="003A62FD" w:rsidP="00A021EE">
      <w:r w:rsidRPr="005A47AE">
        <w:t xml:space="preserve">This requirement is defined for the purpose of evaluation in the </w:t>
      </w:r>
      <w:proofErr w:type="spellStart"/>
      <w:r w:rsidRPr="005A47AE">
        <w:rPr>
          <w:rFonts w:hint="eastAsia"/>
        </w:rPr>
        <w:t>eMBB</w:t>
      </w:r>
      <w:proofErr w:type="spellEnd"/>
      <w:r w:rsidRPr="005A47AE">
        <w:rPr>
          <w:rFonts w:hint="eastAsia"/>
        </w:rPr>
        <w:t xml:space="preserve"> and URLLC usage scenario</w:t>
      </w:r>
      <w:r w:rsidRPr="005A47AE">
        <w:t>s.</w:t>
      </w:r>
    </w:p>
    <w:p w:rsidR="003A62FD" w:rsidRPr="005A47AE" w:rsidRDefault="003A62FD" w:rsidP="005351AF">
      <w:pPr>
        <w:rPr>
          <w:b/>
          <w:lang w:eastAsia="ko-KR"/>
        </w:rPr>
      </w:pPr>
      <w:r w:rsidRPr="005A47AE">
        <w:t xml:space="preserve">The minimum requirement for </w:t>
      </w:r>
      <w:r w:rsidRPr="005A47AE">
        <w:rPr>
          <w:rFonts w:hAnsi="MS Mincho"/>
          <w:szCs w:val="21"/>
          <w:lang w:eastAsia="ja-JP"/>
        </w:rPr>
        <w:t>mobility interruption time</w:t>
      </w:r>
      <w:r w:rsidRPr="005A47AE">
        <w:t xml:space="preserve"> is </w:t>
      </w:r>
      <w:r w:rsidRPr="005A47AE">
        <w:rPr>
          <w:lang w:eastAsia="ja-JP"/>
        </w:rPr>
        <w:t xml:space="preserve">0 </w:t>
      </w:r>
      <w:proofErr w:type="spellStart"/>
      <w:r w:rsidRPr="005A47AE">
        <w:rPr>
          <w:lang w:eastAsia="ja-JP"/>
        </w:rPr>
        <w:t>ms</w:t>
      </w:r>
      <w:proofErr w:type="spellEnd"/>
      <w:r w:rsidRPr="005A47AE">
        <w:rPr>
          <w:lang w:eastAsia="ja-JP"/>
        </w:rPr>
        <w:t>.</w:t>
      </w:r>
    </w:p>
    <w:p w:rsidR="003A62FD" w:rsidRPr="005A47AE" w:rsidRDefault="003A62FD" w:rsidP="00A021EE">
      <w:pPr>
        <w:pStyle w:val="Heading2"/>
        <w:rPr>
          <w:lang w:eastAsia="ko-KR"/>
        </w:rPr>
      </w:pPr>
      <w:r w:rsidRPr="005A47AE">
        <w:rPr>
          <w:lang w:eastAsia="ko-KR"/>
        </w:rPr>
        <w:lastRenderedPageBreak/>
        <w:t>4.13</w:t>
      </w:r>
      <w:r w:rsidRPr="005A47AE">
        <w:rPr>
          <w:lang w:eastAsia="ko-KR"/>
        </w:rPr>
        <w:tab/>
        <w:t>Bandwidth</w:t>
      </w:r>
    </w:p>
    <w:p w:rsidR="003A62FD" w:rsidRPr="005A47AE" w:rsidRDefault="003A62FD" w:rsidP="00A021EE">
      <w:r w:rsidRPr="005A47AE">
        <w:t xml:space="preserve">Bandwidth </w:t>
      </w:r>
      <w:r w:rsidRPr="005A47AE">
        <w:rPr>
          <w:bCs/>
        </w:rPr>
        <w:t xml:space="preserve">is </w:t>
      </w:r>
      <w:r w:rsidRPr="005A47AE">
        <w:rPr>
          <w:lang w:eastAsia="ko-KR"/>
        </w:rPr>
        <w:t>the maximum aggregated system bandwidth.</w:t>
      </w:r>
      <w:r w:rsidRPr="005A47AE">
        <w:t xml:space="preserve"> </w:t>
      </w:r>
      <w:r w:rsidRPr="005A47AE">
        <w:rPr>
          <w:lang w:val="en-US" w:eastAsia="zh-CN"/>
        </w:rPr>
        <w:t>The</w:t>
      </w:r>
      <w:r w:rsidRPr="005A47AE">
        <w:t xml:space="preserve"> bandwidth may be supported by single or multiple </w:t>
      </w:r>
      <w:r w:rsidRPr="005A47AE">
        <w:rPr>
          <w:lang w:eastAsia="ja-JP"/>
        </w:rPr>
        <w:t>radio frequency (</w:t>
      </w:r>
      <w:r w:rsidRPr="005A47AE">
        <w:rPr>
          <w:lang w:val="en-US" w:eastAsia="zh-CN"/>
        </w:rPr>
        <w:t>RF</w:t>
      </w:r>
      <w:r w:rsidRPr="005A47AE">
        <w:rPr>
          <w:lang w:eastAsia="ja-JP"/>
        </w:rPr>
        <w:t>)</w:t>
      </w:r>
      <w:r w:rsidRPr="005A47AE">
        <w:t xml:space="preserve"> carriers. The bandwidth </w:t>
      </w:r>
      <w:r w:rsidRPr="005A47AE">
        <w:rPr>
          <w:lang w:eastAsia="ko-KR"/>
        </w:rPr>
        <w:t>capability of the RIT/SRIT</w:t>
      </w:r>
      <w:r w:rsidRPr="005A47AE">
        <w:t xml:space="preserve"> is defined for the purpose of IMT-2020 evaluation.</w:t>
      </w:r>
    </w:p>
    <w:p w:rsidR="003A62FD" w:rsidRPr="005A47AE" w:rsidRDefault="003A62FD" w:rsidP="00F27A4F">
      <w:r w:rsidRPr="005A47AE">
        <w:t xml:space="preserve">The requirement for bandwidth is at least 100 </w:t>
      </w:r>
      <w:proofErr w:type="spellStart"/>
      <w:r w:rsidRPr="005A47AE">
        <w:t>MHz.</w:t>
      </w:r>
      <w:proofErr w:type="spellEnd"/>
      <w:r w:rsidRPr="005A47AE">
        <w:t xml:space="preserve"> </w:t>
      </w:r>
    </w:p>
    <w:p w:rsidR="003A62FD" w:rsidRPr="005A47AE" w:rsidRDefault="003A62FD" w:rsidP="00C51F27">
      <w:r w:rsidRPr="005A47AE">
        <w:t>The RIT/SRIT shall support bandwidth</w:t>
      </w:r>
      <w:r>
        <w:t>s</w:t>
      </w:r>
      <w:r w:rsidRPr="005A47AE">
        <w:t xml:space="preserve"> up to 1 GHz for operation in higher frequency bands (e.g.</w:t>
      </w:r>
      <w:r w:rsidR="00C51F27">
        <w:t> </w:t>
      </w:r>
      <w:r w:rsidRPr="005A47AE">
        <w:t xml:space="preserve">above 6 GHz). </w:t>
      </w:r>
    </w:p>
    <w:p w:rsidR="003A62FD" w:rsidRPr="005A47AE" w:rsidRDefault="003A62FD" w:rsidP="00F27A4F">
      <w:r w:rsidRPr="005A47AE">
        <w:t>Proponents are encouraged to consider extensions to support operation in wider bandwidths considering the research targets expressed in Recommendation ITU-R M.2083.</w:t>
      </w:r>
    </w:p>
    <w:p w:rsidR="003A62FD" w:rsidRPr="005A47AE" w:rsidRDefault="003A62FD" w:rsidP="00F27A4F">
      <w:r w:rsidRPr="005A47AE">
        <w:rPr>
          <w:rFonts w:ascii="TimesNewRoman" w:eastAsiaTheme="minorHAnsi" w:hAnsi="TimesNewRoman" w:cs="TimesNewRoman"/>
          <w:szCs w:val="24"/>
          <w:lang w:val="sv-SE"/>
        </w:rPr>
        <w:t>The RIT</w:t>
      </w:r>
      <w:r w:rsidRPr="005A47AE">
        <w:rPr>
          <w:rFonts w:ascii="TimesNewRoman" w:hAnsi="TimesNewRoman" w:cs="TimesNewRoman" w:hint="eastAsia"/>
          <w:szCs w:val="24"/>
          <w:lang w:val="sv-SE" w:eastAsia="ja-JP"/>
        </w:rPr>
        <w:t>/SRIT</w:t>
      </w:r>
      <w:r w:rsidRPr="005A47AE">
        <w:rPr>
          <w:rFonts w:ascii="TimesNewRoman" w:eastAsiaTheme="minorHAnsi" w:hAnsi="TimesNewRoman" w:cs="TimesNewRoman"/>
          <w:szCs w:val="24"/>
          <w:lang w:val="sv-SE"/>
        </w:rPr>
        <w:t xml:space="preserve"> shall support scalable bandwidth. </w:t>
      </w:r>
      <w:r w:rsidRPr="005A47AE">
        <w:t>Scalable bandwidth is the ability of the candidate RIT</w:t>
      </w:r>
      <w:r w:rsidRPr="005A47AE">
        <w:rPr>
          <w:rFonts w:hint="eastAsia"/>
          <w:lang w:eastAsia="ja-JP"/>
        </w:rPr>
        <w:t>/SRIT</w:t>
      </w:r>
      <w:r w:rsidRPr="005A47AE">
        <w:t xml:space="preserve"> to operate with different bandwidths.</w:t>
      </w:r>
    </w:p>
    <w:p w:rsidR="003A62FD" w:rsidRPr="005A47AE" w:rsidRDefault="003A62FD" w:rsidP="005351AF">
      <w:pPr>
        <w:pStyle w:val="Heading1"/>
      </w:pPr>
      <w:r w:rsidRPr="005A47AE">
        <w:t>5</w:t>
      </w:r>
      <w:r w:rsidRPr="005A47AE">
        <w:tab/>
        <w:t>List of acronyms and abbreviations</w:t>
      </w:r>
    </w:p>
    <w:p w:rsidR="003A62FD" w:rsidRPr="005A47AE" w:rsidRDefault="003A62FD" w:rsidP="00E8516B">
      <w:pPr>
        <w:pStyle w:val="enumlev1"/>
        <w:rPr>
          <w:lang w:eastAsia="ko-KR"/>
        </w:rPr>
      </w:pPr>
      <w:r w:rsidRPr="005A47AE">
        <w:rPr>
          <w:lang w:eastAsia="ko-KR"/>
        </w:rPr>
        <w:t>CDF</w:t>
      </w:r>
      <w:r w:rsidRPr="005A47AE">
        <w:rPr>
          <w:lang w:eastAsia="ko-KR"/>
        </w:rPr>
        <w:tab/>
        <w:t>Cumulative distribution function</w:t>
      </w:r>
    </w:p>
    <w:p w:rsidR="003A62FD" w:rsidRPr="005A47AE" w:rsidRDefault="003A62FD" w:rsidP="00E8516B">
      <w:pPr>
        <w:pStyle w:val="enumlev1"/>
        <w:rPr>
          <w:lang w:eastAsia="ko-KR"/>
        </w:rPr>
      </w:pPr>
      <w:proofErr w:type="spellStart"/>
      <w:r w:rsidRPr="005A47AE">
        <w:rPr>
          <w:rFonts w:hint="eastAsia"/>
          <w:lang w:eastAsia="ko-KR"/>
        </w:rPr>
        <w:t>eMBB</w:t>
      </w:r>
      <w:proofErr w:type="spellEnd"/>
      <w:r w:rsidRPr="005A47AE">
        <w:rPr>
          <w:rFonts w:hint="eastAsia"/>
          <w:lang w:eastAsia="ko-KR"/>
        </w:rPr>
        <w:tab/>
        <w:t>Enhanced mobile broadband</w:t>
      </w:r>
    </w:p>
    <w:p w:rsidR="003A62FD" w:rsidRPr="005A47AE" w:rsidRDefault="003A62FD" w:rsidP="00E8516B">
      <w:pPr>
        <w:pStyle w:val="enumlev1"/>
        <w:rPr>
          <w:lang w:eastAsia="ko-KR"/>
        </w:rPr>
      </w:pPr>
      <w:r w:rsidRPr="005A47AE">
        <w:rPr>
          <w:lang w:eastAsia="ko-KR"/>
        </w:rPr>
        <w:t>LMLC</w:t>
      </w:r>
      <w:r w:rsidRPr="005A47AE">
        <w:rPr>
          <w:lang w:eastAsia="ko-KR"/>
        </w:rPr>
        <w:tab/>
        <w:t>Low mobility large cell</w:t>
      </w:r>
    </w:p>
    <w:p w:rsidR="003A62FD" w:rsidRPr="005A47AE" w:rsidRDefault="003A62FD" w:rsidP="00E8516B">
      <w:pPr>
        <w:pStyle w:val="enumlev1"/>
        <w:rPr>
          <w:lang w:eastAsia="ko-KR"/>
        </w:rPr>
      </w:pPr>
      <w:proofErr w:type="spellStart"/>
      <w:r w:rsidRPr="005A47AE">
        <w:rPr>
          <w:rFonts w:hint="eastAsia"/>
          <w:lang w:eastAsia="ko-KR"/>
        </w:rPr>
        <w:t>mMTC</w:t>
      </w:r>
      <w:proofErr w:type="spellEnd"/>
      <w:r w:rsidRPr="005A47AE">
        <w:rPr>
          <w:rFonts w:hint="eastAsia"/>
          <w:lang w:eastAsia="ko-KR"/>
        </w:rPr>
        <w:tab/>
        <w:t>Massive machine type communications</w:t>
      </w:r>
    </w:p>
    <w:p w:rsidR="003A62FD" w:rsidRPr="005A47AE" w:rsidRDefault="003A62FD" w:rsidP="00E8516B">
      <w:pPr>
        <w:pStyle w:val="enumlev1"/>
        <w:rPr>
          <w:szCs w:val="24"/>
        </w:rPr>
      </w:pPr>
      <w:r w:rsidRPr="005A47AE">
        <w:rPr>
          <w:lang w:eastAsia="zh-CN"/>
        </w:rPr>
        <w:t>PDU</w:t>
      </w:r>
      <w:r w:rsidRPr="005A47AE">
        <w:rPr>
          <w:lang w:eastAsia="zh-CN"/>
        </w:rPr>
        <w:tab/>
        <w:t>Protocol data unit</w:t>
      </w:r>
    </w:p>
    <w:p w:rsidR="003A62FD" w:rsidRPr="005A47AE" w:rsidRDefault="003A62FD" w:rsidP="00E8516B">
      <w:pPr>
        <w:pStyle w:val="enumlev1"/>
        <w:rPr>
          <w:lang w:eastAsia="ko-KR"/>
        </w:rPr>
      </w:pPr>
      <w:proofErr w:type="spellStart"/>
      <w:r w:rsidRPr="005A47AE">
        <w:rPr>
          <w:szCs w:val="24"/>
        </w:rPr>
        <w:t>QoS</w:t>
      </w:r>
      <w:proofErr w:type="spellEnd"/>
      <w:r w:rsidRPr="005A47AE">
        <w:rPr>
          <w:lang w:eastAsia="ko-KR"/>
        </w:rPr>
        <w:tab/>
        <w:t>Quality of service</w:t>
      </w:r>
    </w:p>
    <w:p w:rsidR="003A62FD" w:rsidRPr="005A47AE" w:rsidRDefault="003A62FD" w:rsidP="00E8516B">
      <w:pPr>
        <w:pStyle w:val="enumlev1"/>
        <w:rPr>
          <w:lang w:eastAsia="ko-KR"/>
        </w:rPr>
      </w:pPr>
      <w:r w:rsidRPr="005A47AE">
        <w:rPr>
          <w:lang w:eastAsia="ko-KR"/>
        </w:rPr>
        <w:t>RIT</w:t>
      </w:r>
      <w:r w:rsidRPr="005A47AE">
        <w:rPr>
          <w:lang w:eastAsia="ko-KR"/>
        </w:rPr>
        <w:tab/>
        <w:t>Radio interface technolog</w:t>
      </w:r>
      <w:r w:rsidRPr="005A47AE">
        <w:rPr>
          <w:rFonts w:hint="eastAsia"/>
          <w:lang w:eastAsia="ja-JP"/>
        </w:rPr>
        <w:t>y</w:t>
      </w:r>
    </w:p>
    <w:p w:rsidR="003A62FD" w:rsidRPr="005A47AE" w:rsidRDefault="003A62FD" w:rsidP="00E8516B">
      <w:pPr>
        <w:pStyle w:val="enumlev1"/>
        <w:rPr>
          <w:lang w:eastAsia="ko-KR"/>
        </w:rPr>
      </w:pPr>
      <w:r w:rsidRPr="005A47AE">
        <w:rPr>
          <w:rFonts w:hint="eastAsia"/>
          <w:lang w:eastAsia="ko-KR"/>
        </w:rPr>
        <w:t>SDU</w:t>
      </w:r>
      <w:r w:rsidRPr="005A47AE">
        <w:rPr>
          <w:rFonts w:hint="eastAsia"/>
          <w:lang w:eastAsia="ko-KR"/>
        </w:rPr>
        <w:tab/>
        <w:t>Service data unit</w:t>
      </w:r>
    </w:p>
    <w:p w:rsidR="003A62FD" w:rsidRPr="005A47AE" w:rsidRDefault="003A62FD" w:rsidP="00E8516B">
      <w:pPr>
        <w:pStyle w:val="enumlev1"/>
      </w:pPr>
      <w:r w:rsidRPr="005A47AE">
        <w:rPr>
          <w:rFonts w:hint="eastAsia"/>
        </w:rPr>
        <w:t>SRIT</w:t>
      </w:r>
      <w:r w:rsidRPr="005A47AE">
        <w:rPr>
          <w:rFonts w:hint="eastAsia"/>
        </w:rPr>
        <w:tab/>
        <w:t xml:space="preserve">Set of </w:t>
      </w:r>
      <w:r w:rsidRPr="005A47AE">
        <w:t>radio interface technologies</w:t>
      </w:r>
    </w:p>
    <w:p w:rsidR="003A62FD" w:rsidRPr="005A47AE" w:rsidRDefault="003A62FD" w:rsidP="00E8516B">
      <w:pPr>
        <w:pStyle w:val="enumlev1"/>
        <w:rPr>
          <w:lang w:eastAsia="ko-KR"/>
        </w:rPr>
      </w:pPr>
      <w:proofErr w:type="spellStart"/>
      <w:r w:rsidRPr="005A47AE">
        <w:rPr>
          <w:rFonts w:hint="eastAsia"/>
          <w:lang w:eastAsia="ko-KR"/>
        </w:rPr>
        <w:t>TR</w:t>
      </w:r>
      <w:r w:rsidRPr="005A47AE">
        <w:rPr>
          <w:lang w:eastAsia="ko-KR"/>
        </w:rPr>
        <w:t>x</w:t>
      </w:r>
      <w:r w:rsidRPr="005A47AE">
        <w:rPr>
          <w:rFonts w:hint="eastAsia"/>
          <w:lang w:eastAsia="ko-KR"/>
        </w:rPr>
        <w:t>P</w:t>
      </w:r>
      <w:proofErr w:type="spellEnd"/>
      <w:r w:rsidRPr="005A47AE">
        <w:rPr>
          <w:rFonts w:hint="eastAsia"/>
          <w:lang w:eastAsia="ko-KR"/>
        </w:rPr>
        <w:tab/>
        <w:t>Transmission reception point</w:t>
      </w:r>
    </w:p>
    <w:p w:rsidR="003A62FD" w:rsidRPr="005A47AE" w:rsidRDefault="003A62FD" w:rsidP="00E8516B">
      <w:pPr>
        <w:pStyle w:val="enumlev1"/>
        <w:rPr>
          <w:lang w:eastAsia="ko-KR"/>
        </w:rPr>
      </w:pPr>
      <w:r w:rsidRPr="005A47AE">
        <w:rPr>
          <w:rFonts w:hint="eastAsia"/>
          <w:lang w:eastAsia="ko-KR"/>
        </w:rPr>
        <w:t>URLLC</w:t>
      </w:r>
      <w:r w:rsidRPr="005A47AE">
        <w:rPr>
          <w:rFonts w:hint="eastAsia"/>
          <w:lang w:eastAsia="ko-KR"/>
        </w:rPr>
        <w:tab/>
        <w:t>Ultra-reliable and low</w:t>
      </w:r>
      <w:r w:rsidRPr="005A47AE">
        <w:rPr>
          <w:lang w:eastAsia="ko-KR"/>
        </w:rPr>
        <w:t>-</w:t>
      </w:r>
      <w:r w:rsidRPr="005A47AE">
        <w:rPr>
          <w:rFonts w:hint="eastAsia"/>
          <w:lang w:eastAsia="ko-KR"/>
        </w:rPr>
        <w:t>latency communications</w:t>
      </w:r>
    </w:p>
    <w:p w:rsidR="003A62FD" w:rsidRPr="005A47AE" w:rsidRDefault="003A62FD" w:rsidP="005351AF">
      <w:pPr>
        <w:rPr>
          <w:lang w:eastAsia="ko-KR"/>
        </w:rPr>
      </w:pPr>
    </w:p>
    <w:p w:rsidR="003A62FD" w:rsidRPr="005A47AE" w:rsidRDefault="003A62FD" w:rsidP="005351AF">
      <w:pPr>
        <w:rPr>
          <w:lang w:val="en-US" w:eastAsia="ja-JP"/>
        </w:rPr>
      </w:pPr>
    </w:p>
    <w:p w:rsidR="003A62FD" w:rsidRPr="00CA2884" w:rsidRDefault="003A62FD" w:rsidP="005351AF">
      <w:pPr>
        <w:jc w:val="center"/>
        <w:rPr>
          <w:lang w:val="en-US" w:eastAsia="ja-JP"/>
        </w:rPr>
      </w:pPr>
      <w:r w:rsidRPr="005A47AE">
        <w:rPr>
          <w:lang w:val="en-US" w:eastAsia="ja-JP"/>
        </w:rPr>
        <w:t>_________________</w:t>
      </w:r>
    </w:p>
    <w:sectPr w:rsidR="003A62FD" w:rsidRPr="00CA2884" w:rsidSect="004809B9">
      <w:headerReference w:type="default" r:id="rId17"/>
      <w:footerReference w:type="default" r:id="rId18"/>
      <w:footerReference w:type="first" r:id="rId19"/>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18" w:rsidRDefault="00FF0918">
      <w:r>
        <w:separator/>
      </w:r>
    </w:p>
  </w:endnote>
  <w:endnote w:type="continuationSeparator" w:id="0">
    <w:p w:rsidR="00FF0918" w:rsidRDefault="00FF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B44155" w:rsidRDefault="00B44155" w:rsidP="00B44155">
    <w:pPr>
      <w:pStyle w:val="Footer"/>
    </w:pPr>
    <w:fldSimple w:instr=" FILENAME \p  \* MERGEFORMAT ">
      <w:r>
        <w:t>M:\BRSGD\TEXT2017\SG05\000\040e.docx</w:t>
      </w:r>
    </w:fldSimple>
    <w:r>
      <w:tab/>
    </w:r>
    <w:r>
      <w:fldChar w:fldCharType="begin"/>
    </w:r>
    <w:r>
      <w:instrText xml:space="preserve"> SAVEDATE \@ DD.MM.YY </w:instrText>
    </w:r>
    <w:r>
      <w:fldChar w:fldCharType="separate"/>
    </w:r>
    <w:r w:rsidR="00374847">
      <w:t>23.02.17</w:t>
    </w:r>
    <w:r>
      <w:fldChar w:fldCharType="end"/>
    </w:r>
    <w:r>
      <w:tab/>
    </w:r>
    <w:r>
      <w:fldChar w:fldCharType="begin"/>
    </w:r>
    <w:r>
      <w:instrText xml:space="preserve"> PRINTDATE \@ DD.MM.YY </w:instrText>
    </w:r>
    <w:r>
      <w:fldChar w:fldCharType="separate"/>
    </w:r>
    <w:r>
      <w:t>22.02.17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55" w:rsidRDefault="00374847">
    <w:pPr>
      <w:pStyle w:val="Footer"/>
    </w:pPr>
    <w:r>
      <w:fldChar w:fldCharType="begin"/>
    </w:r>
    <w:r>
      <w:instrText xml:space="preserve"> FILENAME \p  \* MERGEFORMAT </w:instrText>
    </w:r>
    <w:r>
      <w:fldChar w:fldCharType="separate"/>
    </w:r>
    <w:r w:rsidR="00B44155">
      <w:t>M:\BRSGD\TEXT2017\SG05\000\040e.docx</w:t>
    </w:r>
    <w:r>
      <w:fldChar w:fldCharType="end"/>
    </w:r>
    <w:r w:rsidR="00B44155">
      <w:tab/>
    </w:r>
    <w:r w:rsidR="00B44155">
      <w:fldChar w:fldCharType="begin"/>
    </w:r>
    <w:r w:rsidR="00B44155">
      <w:instrText xml:space="preserve"> SAVEDATE \@ DD.MM.YY </w:instrText>
    </w:r>
    <w:r w:rsidR="00B44155">
      <w:fldChar w:fldCharType="separate"/>
    </w:r>
    <w:r>
      <w:t>23.02.17</w:t>
    </w:r>
    <w:r w:rsidR="00B44155">
      <w:fldChar w:fldCharType="end"/>
    </w:r>
    <w:r w:rsidR="00B44155">
      <w:tab/>
    </w:r>
    <w:r w:rsidR="00B44155">
      <w:fldChar w:fldCharType="begin"/>
    </w:r>
    <w:r w:rsidR="00B44155">
      <w:instrText xml:space="preserve"> PRINTDATE \@ DD.MM.YY </w:instrText>
    </w:r>
    <w:r w:rsidR="00B44155">
      <w:fldChar w:fldCharType="separate"/>
    </w:r>
    <w:r w:rsidR="00B44155">
      <w:t>22.02.17</w:t>
    </w:r>
    <w:r w:rsidR="00B4415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18" w:rsidRDefault="00FF0918">
      <w:r>
        <w:t>____________________</w:t>
      </w:r>
    </w:p>
  </w:footnote>
  <w:footnote w:type="continuationSeparator" w:id="0">
    <w:p w:rsidR="00FF0918" w:rsidRDefault="00FF0918">
      <w:r>
        <w:continuationSeparator/>
      </w:r>
    </w:p>
  </w:footnote>
  <w:footnote w:id="1">
    <w:p w:rsidR="00656ACD" w:rsidRPr="004809B9" w:rsidRDefault="00656ACD" w:rsidP="00E86F14">
      <w:pPr>
        <w:pStyle w:val="FootnoteText"/>
      </w:pPr>
      <w:r>
        <w:rPr>
          <w:rStyle w:val="FootnoteReference"/>
        </w:rPr>
        <w:footnoteRef/>
      </w:r>
      <w:r w:rsidR="004809B9">
        <w:tab/>
      </w:r>
      <w:bookmarkStart w:id="9" w:name="_GoBack"/>
      <w:r w:rsidR="00E86F14" w:rsidRPr="00374847">
        <w:rPr>
          <w:i/>
          <w:iCs/>
        </w:rPr>
        <w:t>Editor's note</w:t>
      </w:r>
      <w:bookmarkEnd w:id="9"/>
      <w:r w:rsidRPr="00656ACD">
        <w:t>:</w:t>
      </w:r>
      <w:r>
        <w:t xml:space="preserve"> </w:t>
      </w:r>
      <w:r>
        <w:rPr>
          <w:lang w:eastAsia="zh-CN"/>
        </w:rPr>
        <w:t xml:space="preserve">Draft new </w:t>
      </w:r>
      <w:r>
        <w:rPr>
          <w:rFonts w:hint="eastAsia"/>
          <w:lang w:eastAsia="zh-CN"/>
        </w:rPr>
        <w:t>R</w:t>
      </w:r>
      <w:r>
        <w:rPr>
          <w:lang w:eastAsia="zh-CN"/>
        </w:rPr>
        <w:t>eport</w:t>
      </w:r>
      <w:r>
        <w:rPr>
          <w:rFonts w:hint="eastAsia"/>
          <w:lang w:eastAsia="zh-CN"/>
        </w:rPr>
        <w:t xml:space="preserve"> ITU-R M.[IMT-2020.EVAL] </w:t>
      </w:r>
      <w:r>
        <w:rPr>
          <w:lang w:eastAsia="zh-CN"/>
        </w:rPr>
        <w:t>and draft n</w:t>
      </w:r>
      <w:r>
        <w:rPr>
          <w:rFonts w:hint="eastAsia"/>
          <w:lang w:eastAsia="zh-CN"/>
        </w:rPr>
        <w:t>ew R</w:t>
      </w:r>
      <w:r>
        <w:rPr>
          <w:lang w:eastAsia="zh-CN"/>
        </w:rPr>
        <w:t>eport</w:t>
      </w:r>
      <w:r>
        <w:rPr>
          <w:rFonts w:hint="eastAsia"/>
          <w:lang w:eastAsia="zh-CN"/>
        </w:rPr>
        <w:t xml:space="preserve"> ITU-R M.[IMT-2020.SUBMISSION] </w:t>
      </w:r>
      <w:r>
        <w:rPr>
          <w:lang w:eastAsia="zh-CN"/>
        </w:rPr>
        <w:t xml:space="preserve">are </w:t>
      </w:r>
      <w:r>
        <w:rPr>
          <w:rFonts w:hint="eastAsia"/>
          <w:lang w:eastAsia="zh-CN"/>
        </w:rPr>
        <w:t xml:space="preserve">under development </w:t>
      </w:r>
      <w:r>
        <w:rPr>
          <w:lang w:eastAsia="zh-CN"/>
        </w:rPr>
        <w:t xml:space="preserve">in Working Party 5D </w:t>
      </w:r>
      <w:r>
        <w:rPr>
          <w:rFonts w:hint="eastAsia"/>
          <w:lang w:eastAsia="zh-CN"/>
        </w:rPr>
        <w:t xml:space="preserve">and will be </w:t>
      </w:r>
      <w:r>
        <w:rPr>
          <w:lang w:eastAsia="zh-CN"/>
        </w:rPr>
        <w:t xml:space="preserve">submitted to the November 2017 meeting of ITU-R Study Group 5. </w:t>
      </w:r>
    </w:p>
  </w:footnote>
  <w:footnote w:id="2">
    <w:p w:rsidR="003A62FD" w:rsidRPr="00A925F5" w:rsidRDefault="003A62FD" w:rsidP="00A021EE">
      <w:pPr>
        <w:pStyle w:val="FootnoteText"/>
        <w:rPr>
          <w:lang w:val="sv-SE"/>
        </w:rPr>
      </w:pPr>
      <w:r>
        <w:rPr>
          <w:rStyle w:val="FootnoteReference"/>
        </w:rPr>
        <w:footnoteRef/>
      </w:r>
      <w:r>
        <w:rPr>
          <w:szCs w:val="24"/>
        </w:rPr>
        <w:tab/>
        <w:t xml:space="preserve">Average spectral efficiency corresponds to “spectrum efficiency” in </w:t>
      </w:r>
      <w:r>
        <w:t>Recommendation ITU</w:t>
      </w:r>
      <w:r>
        <w:noBreakHyphen/>
        <w:t>R M</w:t>
      </w:r>
      <w:r>
        <w:rPr>
          <w:szCs w:val="24"/>
        </w:rPr>
        <w:t>.2083.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74847">
      <w:rPr>
        <w:rStyle w:val="PageNumber"/>
        <w:noProof/>
      </w:rPr>
      <w:t>2</w:t>
    </w:r>
    <w:r w:rsidR="00D02712">
      <w:rPr>
        <w:rStyle w:val="PageNumber"/>
      </w:rPr>
      <w:fldChar w:fldCharType="end"/>
    </w:r>
    <w:r>
      <w:rPr>
        <w:rStyle w:val="PageNumber"/>
      </w:rPr>
      <w:t xml:space="preserve"> -</w:t>
    </w:r>
  </w:p>
  <w:p w:rsidR="00FA124A" w:rsidRDefault="00316E59" w:rsidP="00B44155">
    <w:pPr>
      <w:pStyle w:val="Header"/>
      <w:rPr>
        <w:lang w:val="en-US"/>
      </w:rPr>
    </w:pPr>
    <w:r>
      <w:rPr>
        <w:lang w:val="en-US"/>
      </w:rPr>
      <w:t>5</w:t>
    </w:r>
    <w:r w:rsidR="003A62FD">
      <w:rPr>
        <w:lang w:val="en-US"/>
      </w:rPr>
      <w:t>/</w:t>
    </w:r>
    <w:r w:rsidR="00B44155">
      <w:rPr>
        <w:lang w:val="en-US"/>
      </w:rPr>
      <w:t>40</w:t>
    </w:r>
    <w:r w:rsidR="003A62FD">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32C54"/>
    <w:multiLevelType w:val="hybridMultilevel"/>
    <w:tmpl w:val="01D80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FD"/>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5EB1"/>
    <w:rsid w:val="00196A19"/>
    <w:rsid w:val="001D7ABF"/>
    <w:rsid w:val="00202DC1"/>
    <w:rsid w:val="002116EE"/>
    <w:rsid w:val="002309D8"/>
    <w:rsid w:val="00253613"/>
    <w:rsid w:val="002A7FE2"/>
    <w:rsid w:val="002E1B4F"/>
    <w:rsid w:val="002F2E67"/>
    <w:rsid w:val="002F7CB3"/>
    <w:rsid w:val="00315546"/>
    <w:rsid w:val="00316E59"/>
    <w:rsid w:val="00330567"/>
    <w:rsid w:val="00374847"/>
    <w:rsid w:val="00386A9D"/>
    <w:rsid w:val="00391081"/>
    <w:rsid w:val="003A62FD"/>
    <w:rsid w:val="003B2789"/>
    <w:rsid w:val="003C13CE"/>
    <w:rsid w:val="003E2518"/>
    <w:rsid w:val="003E7CEF"/>
    <w:rsid w:val="004809B9"/>
    <w:rsid w:val="004B1EF7"/>
    <w:rsid w:val="004B3FAD"/>
    <w:rsid w:val="004C5749"/>
    <w:rsid w:val="00501DCA"/>
    <w:rsid w:val="00513A47"/>
    <w:rsid w:val="005408DF"/>
    <w:rsid w:val="00573344"/>
    <w:rsid w:val="00583F9B"/>
    <w:rsid w:val="005A3BB4"/>
    <w:rsid w:val="005D2E0C"/>
    <w:rsid w:val="005E5C10"/>
    <w:rsid w:val="005F2C78"/>
    <w:rsid w:val="006144E4"/>
    <w:rsid w:val="006479A4"/>
    <w:rsid w:val="00650299"/>
    <w:rsid w:val="00655FC5"/>
    <w:rsid w:val="00656ACD"/>
    <w:rsid w:val="00814E0A"/>
    <w:rsid w:val="00822581"/>
    <w:rsid w:val="008309DD"/>
    <w:rsid w:val="0083227A"/>
    <w:rsid w:val="008408D0"/>
    <w:rsid w:val="00866900"/>
    <w:rsid w:val="00876A8A"/>
    <w:rsid w:val="00881BA1"/>
    <w:rsid w:val="008C26B8"/>
    <w:rsid w:val="008C497A"/>
    <w:rsid w:val="008F208F"/>
    <w:rsid w:val="009279E3"/>
    <w:rsid w:val="00982084"/>
    <w:rsid w:val="00995963"/>
    <w:rsid w:val="009B61EB"/>
    <w:rsid w:val="009C2064"/>
    <w:rsid w:val="009D1697"/>
    <w:rsid w:val="009F3A46"/>
    <w:rsid w:val="009F6520"/>
    <w:rsid w:val="00A014F8"/>
    <w:rsid w:val="00A5173C"/>
    <w:rsid w:val="00A61AEF"/>
    <w:rsid w:val="00AD2345"/>
    <w:rsid w:val="00AF173A"/>
    <w:rsid w:val="00AF2025"/>
    <w:rsid w:val="00B066A4"/>
    <w:rsid w:val="00B07A13"/>
    <w:rsid w:val="00B4279B"/>
    <w:rsid w:val="00B44155"/>
    <w:rsid w:val="00B45FC9"/>
    <w:rsid w:val="00B76F35"/>
    <w:rsid w:val="00B81138"/>
    <w:rsid w:val="00BC7CCF"/>
    <w:rsid w:val="00BD275A"/>
    <w:rsid w:val="00BE470B"/>
    <w:rsid w:val="00C51F27"/>
    <w:rsid w:val="00C57A91"/>
    <w:rsid w:val="00CC01C2"/>
    <w:rsid w:val="00CC4E64"/>
    <w:rsid w:val="00CF21F2"/>
    <w:rsid w:val="00D02712"/>
    <w:rsid w:val="00D046A7"/>
    <w:rsid w:val="00D214D0"/>
    <w:rsid w:val="00D6546B"/>
    <w:rsid w:val="00DB178B"/>
    <w:rsid w:val="00DC17D3"/>
    <w:rsid w:val="00DC1ED9"/>
    <w:rsid w:val="00DD4BED"/>
    <w:rsid w:val="00DE39F0"/>
    <w:rsid w:val="00DF0AF3"/>
    <w:rsid w:val="00DF7E9F"/>
    <w:rsid w:val="00E27D7E"/>
    <w:rsid w:val="00E42E13"/>
    <w:rsid w:val="00E56D5C"/>
    <w:rsid w:val="00E6257C"/>
    <w:rsid w:val="00E63C59"/>
    <w:rsid w:val="00E8516B"/>
    <w:rsid w:val="00E86F14"/>
    <w:rsid w:val="00F25662"/>
    <w:rsid w:val="00FA124A"/>
    <w:rsid w:val="00FC08DD"/>
    <w:rsid w:val="00FC2316"/>
    <w:rsid w:val="00FC2CFD"/>
    <w:rsid w:val="00FF0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0F248EA-1B9D-4348-8EB0-1025EAC3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NMP Heading 1,título 1,h12,h13,h14,h15,h16,h17,h111,h121,h131,h141,h151,h161,h18,h112,h122,h132,h142,h152,h162,h19,h113,h123,h133,h143,h153,h163,1,Heading 1 3GPP,app heading 1,l1,Memo Heading 1,Section of paper,Heading 1_a,list 1,I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Underrubrik2,Heading 3 Char1 Char,Heading 3 Char Char Char,Heading 3 Char1 Char Char Char,Heading 3 Char Char Char Char Char,Heading 3 Char Char1 Char,Heading 3 Char2 Char,Heading 3 Char1 Char Char Char Char Char,0H,Memo Heading 3,l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E86F14"/>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bChar">
    <w:name w:val="Heading_b Char"/>
    <w:basedOn w:val="DefaultParagraphFont"/>
    <w:link w:val="Headingb"/>
    <w:locked/>
    <w:rsid w:val="003A62FD"/>
    <w:rPr>
      <w:rFonts w:ascii="Times New Roman Bold" w:hAnsi="Times New Roman Bold" w:cs="Times New Roman Bold"/>
      <w:b/>
      <w:sz w:val="24"/>
      <w:lang w:val="fr-CH" w:eastAsia="en-US"/>
    </w:rPr>
  </w:style>
  <w:style w:type="paragraph" w:styleId="ListParagraph">
    <w:name w:val="List Paragraph"/>
    <w:basedOn w:val="Normal"/>
    <w:link w:val="ListParagraphChar"/>
    <w:uiPriority w:val="34"/>
    <w:qFormat/>
    <w:rsid w:val="003A62FD"/>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TableNoChar">
    <w:name w:val="Table_No Char"/>
    <w:basedOn w:val="DefaultParagraphFont"/>
    <w:link w:val="TableNo"/>
    <w:locked/>
    <w:rsid w:val="003A62FD"/>
    <w:rPr>
      <w:rFonts w:ascii="Times New Roman" w:hAnsi="Times New Roman"/>
      <w:caps/>
      <w:lang w:val="en-GB" w:eastAsia="en-US"/>
    </w:rPr>
  </w:style>
  <w:style w:type="character" w:customStyle="1" w:styleId="TabletitleChar">
    <w:name w:val="Table_title Char"/>
    <w:basedOn w:val="DefaultParagraphFont"/>
    <w:link w:val="Tabletitle"/>
    <w:locked/>
    <w:rsid w:val="003A62FD"/>
    <w:rPr>
      <w:rFonts w:ascii="Times New Roman Bold" w:hAnsi="Times New Roman Bold"/>
      <w:b/>
      <w:lang w:val="en-GB" w:eastAsia="en-US"/>
    </w:rPr>
  </w:style>
  <w:style w:type="character" w:customStyle="1" w:styleId="TableheadChar">
    <w:name w:val="Table_head Char"/>
    <w:basedOn w:val="DefaultParagraphFont"/>
    <w:link w:val="Tablehead"/>
    <w:locked/>
    <w:rsid w:val="003A62FD"/>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A62FD"/>
    <w:rPr>
      <w:rFonts w:ascii="Times New Roman" w:hAnsi="Times New Roman"/>
      <w:lang w:val="en-GB" w:eastAsia="en-US"/>
    </w:rPr>
  </w:style>
  <w:style w:type="character" w:customStyle="1" w:styleId="enumlev1Char">
    <w:name w:val="enumlev1 Char"/>
    <w:link w:val="enumlev1"/>
    <w:qFormat/>
    <w:locked/>
    <w:rsid w:val="003A62FD"/>
    <w:rPr>
      <w:rFonts w:ascii="Times New Roman" w:hAnsi="Times New Roman"/>
      <w:sz w:val="24"/>
      <w:lang w:val="en-GB" w:eastAsia="en-US"/>
    </w:rPr>
  </w:style>
  <w:style w:type="table" w:styleId="TableGrid">
    <w:name w:val="Table Grid"/>
    <w:basedOn w:val="TableNormal"/>
    <w:qFormat/>
    <w:rsid w:val="003A62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 Char,h11 Char,NMP Heading 1 Char,título 1 Char,h12 Char,h13 Char,h14 Char,h15 Char,h16 Char,h17 Char,h111 Char,h121 Char,h131 Char,h141 Char,h151 Char,h161 Char,h18 Char,h112 Char,h122 Char,h132 Char,h142 Char,h152 Char,1 Char"/>
    <w:basedOn w:val="DefaultParagraphFont"/>
    <w:link w:val="Heading1"/>
    <w:qFormat/>
    <w:rsid w:val="003A62FD"/>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3A62FD"/>
    <w:rPr>
      <w:rFonts w:ascii="Times New Roman" w:hAnsi="Times New Roman"/>
      <w:b/>
      <w:sz w:val="24"/>
      <w:lang w:val="en-GB" w:eastAsia="en-US"/>
    </w:rPr>
  </w:style>
  <w:style w:type="character" w:customStyle="1" w:styleId="Heading3Char">
    <w:name w:val="Heading 3 Char"/>
    <w:aliases w:val="h3 Char,h31 Char,H3 Char,Underrubrik2 Char,Heading 3 Char1 Char Char,Heading 3 Char Char Char Char,Heading 3 Char1 Char Char Char Char,Heading 3 Char Char Char Char Char Char,Heading 3 Char Char1 Char Char,Heading 3 Char2 Char Char"/>
    <w:basedOn w:val="DefaultParagraphFont"/>
    <w:link w:val="Heading3"/>
    <w:rsid w:val="003A62FD"/>
    <w:rPr>
      <w:rFonts w:ascii="Times New Roman" w:hAnsi="Times New Roman"/>
      <w:b/>
      <w:sz w:val="24"/>
      <w:lang w:val="en-GB" w:eastAsia="en-US"/>
    </w:rPr>
  </w:style>
  <w:style w:type="character" w:customStyle="1" w:styleId="ListParagraphChar">
    <w:name w:val="List Paragraph Char"/>
    <w:link w:val="ListParagraph"/>
    <w:uiPriority w:val="34"/>
    <w:locked/>
    <w:rsid w:val="003A62FD"/>
    <w:rPr>
      <w:rFonts w:ascii="Calibri" w:eastAsia="SimSun" w:hAnsi="Calibri"/>
      <w:sz w:val="22"/>
      <w:szCs w:val="22"/>
      <w:lang w:eastAsia="en-US"/>
    </w:rPr>
  </w:style>
  <w:style w:type="character" w:customStyle="1" w:styleId="EquationeqChar">
    <w:name w:val="Equation.eq Char"/>
    <w:basedOn w:val="DefaultParagraphFont"/>
    <w:link w:val="Equation"/>
    <w:qFormat/>
    <w:locked/>
    <w:rsid w:val="003A62FD"/>
    <w:rPr>
      <w:rFonts w:ascii="Times New Roman" w:hAnsi="Times New Roman"/>
      <w:sz w:val="24"/>
      <w:lang w:val="en-GB" w:eastAsia="en-US"/>
    </w:rPr>
  </w:style>
  <w:style w:type="character" w:styleId="Hyperlink">
    <w:name w:val="Hyperlink"/>
    <w:basedOn w:val="DefaultParagraphFont"/>
    <w:unhideWhenUsed/>
    <w:rsid w:val="00E86F14"/>
    <w:rPr>
      <w:color w:val="0000FF" w:themeColor="hyperlink"/>
      <w:u w:val="single"/>
    </w:rPr>
  </w:style>
  <w:style w:type="paragraph" w:customStyle="1" w:styleId="Tablefin">
    <w:name w:val="Table_fin"/>
    <w:basedOn w:val="Normal"/>
    <w:rsid w:val="00C51F27"/>
    <w:pPr>
      <w:spacing w:before="0"/>
    </w:pPr>
    <w:rPr>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R-REC-M.164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2083/e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www.itu.int/rec/R-REC-M.2083/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pub/R-RES-R.56"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50FD-BC48-4F7B-B350-164108D6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TotalTime>
  <Pages>9</Pages>
  <Words>3148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ITU</cp:lastModifiedBy>
  <cp:revision>4</cp:revision>
  <cp:lastPrinted>2017-02-22T08:37:00Z</cp:lastPrinted>
  <dcterms:created xsi:type="dcterms:W3CDTF">2017-02-23T07:04:00Z</dcterms:created>
  <dcterms:modified xsi:type="dcterms:W3CDTF">2017-02-23T08:04:00Z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