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96"/>
        <w:tblW w:w="9889" w:type="dxa"/>
        <w:tblLayout w:type="fixed"/>
        <w:tblLook w:val="0000" w:firstRow="0" w:lastRow="0" w:firstColumn="0" w:lastColumn="0" w:noHBand="0" w:noVBand="0"/>
      </w:tblPr>
      <w:tblGrid>
        <w:gridCol w:w="6771"/>
        <w:gridCol w:w="3118"/>
      </w:tblGrid>
      <w:tr w:rsidR="0092458E" w:rsidTr="0092458E">
        <w:trPr>
          <w:cantSplit/>
        </w:trPr>
        <w:tc>
          <w:tcPr>
            <w:tcW w:w="6771" w:type="dxa"/>
          </w:tcPr>
          <w:p w:rsidR="0092458E" w:rsidRPr="002D238A" w:rsidRDefault="0092458E" w:rsidP="0092458E">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5</w:t>
            </w:r>
            <w:r w:rsidRPr="002D238A">
              <w:rPr>
                <w:rFonts w:ascii="Verdana" w:hAnsi="Verdana"/>
                <w:b/>
                <w:bCs/>
                <w:sz w:val="20"/>
              </w:rPr>
              <w:t>-</w:t>
            </w:r>
            <w:r>
              <w:rPr>
                <w:rFonts w:ascii="Verdana" w:hAnsi="Verdana"/>
                <w:b/>
                <w:bCs/>
                <w:sz w:val="20"/>
              </w:rPr>
              <w:t xml:space="preserve">8 mai </w:t>
            </w:r>
            <w:r w:rsidRPr="002D238A">
              <w:rPr>
                <w:rFonts w:ascii="Verdana" w:hAnsi="Verdana"/>
                <w:b/>
                <w:bCs/>
                <w:sz w:val="20"/>
              </w:rPr>
              <w:t>20</w:t>
            </w:r>
            <w:r>
              <w:rPr>
                <w:rFonts w:ascii="Verdana" w:hAnsi="Verdana"/>
                <w:b/>
                <w:bCs/>
                <w:sz w:val="20"/>
              </w:rPr>
              <w:t>15</w:t>
            </w:r>
          </w:p>
        </w:tc>
        <w:tc>
          <w:tcPr>
            <w:tcW w:w="3118" w:type="dxa"/>
          </w:tcPr>
          <w:p w:rsidR="0092458E" w:rsidRDefault="0092458E" w:rsidP="0092458E">
            <w:pPr>
              <w:shd w:val="solid" w:color="FFFFFF" w:fill="FFFFFF"/>
              <w:spacing w:before="0" w:line="240" w:lineRule="atLeast"/>
              <w:jc w:val="right"/>
            </w:pPr>
            <w:r>
              <w:rPr>
                <w:noProof/>
                <w:lang w:val="en-US" w:eastAsia="zh-CN"/>
              </w:rPr>
              <w:drawing>
                <wp:inline distT="0" distB="0" distL="0" distR="0" wp14:anchorId="2AEC3281" wp14:editId="425A41D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2458E" w:rsidRPr="0051782D" w:rsidTr="0092458E">
        <w:trPr>
          <w:cantSplit/>
        </w:trPr>
        <w:tc>
          <w:tcPr>
            <w:tcW w:w="6771" w:type="dxa"/>
            <w:tcBorders>
              <w:bottom w:val="single" w:sz="12" w:space="0" w:color="auto"/>
            </w:tcBorders>
          </w:tcPr>
          <w:p w:rsidR="0092458E" w:rsidRPr="0051782D" w:rsidRDefault="0092458E" w:rsidP="0092458E">
            <w:pPr>
              <w:shd w:val="solid" w:color="FFFFFF" w:fill="FFFFFF"/>
              <w:spacing w:before="0" w:after="48"/>
              <w:rPr>
                <w:rFonts w:ascii="Verdana" w:hAnsi="Verdana" w:cs="Times New Roman Bold"/>
                <w:b/>
                <w:sz w:val="22"/>
                <w:szCs w:val="22"/>
              </w:rPr>
            </w:pPr>
            <w:r w:rsidRPr="005B3964">
              <w:rPr>
                <w:rFonts w:ascii="Verdana" w:hAnsi="Verdana" w:cs="Times New Roman Bold"/>
                <w:b/>
                <w:sz w:val="20"/>
              </w:rPr>
              <w:t xml:space="preserve">UNION INTERNATIONALE DES </w:t>
            </w:r>
            <w:r w:rsidRPr="005B3964">
              <w:rPr>
                <w:rFonts w:ascii="Verdana" w:hAnsi="Verdana" w:cstheme="minorHAnsi"/>
                <w:b/>
                <w:sz w:val="20"/>
                <w:szCs w:val="24"/>
              </w:rPr>
              <w:t>TÉLÉCOMMUNICATIONS</w:t>
            </w:r>
          </w:p>
        </w:tc>
        <w:tc>
          <w:tcPr>
            <w:tcW w:w="3118" w:type="dxa"/>
            <w:tcBorders>
              <w:bottom w:val="single" w:sz="12" w:space="0" w:color="auto"/>
            </w:tcBorders>
          </w:tcPr>
          <w:p w:rsidR="0092458E" w:rsidRPr="0051782D" w:rsidRDefault="0092458E" w:rsidP="0092458E">
            <w:pPr>
              <w:shd w:val="solid" w:color="FFFFFF" w:fill="FFFFFF"/>
              <w:spacing w:before="0" w:after="48" w:line="240" w:lineRule="atLeast"/>
              <w:rPr>
                <w:sz w:val="22"/>
                <w:szCs w:val="22"/>
                <w:lang w:val="en-US"/>
              </w:rPr>
            </w:pPr>
          </w:p>
        </w:tc>
      </w:tr>
      <w:tr w:rsidR="0092458E" w:rsidRPr="00710D66" w:rsidTr="0092458E">
        <w:trPr>
          <w:cantSplit/>
        </w:trPr>
        <w:tc>
          <w:tcPr>
            <w:tcW w:w="6771" w:type="dxa"/>
            <w:tcBorders>
              <w:top w:val="single" w:sz="12" w:space="0" w:color="auto"/>
            </w:tcBorders>
          </w:tcPr>
          <w:p w:rsidR="0092458E" w:rsidRPr="0051782D" w:rsidRDefault="0092458E" w:rsidP="0092458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92458E" w:rsidRPr="002D238A" w:rsidRDefault="0092458E" w:rsidP="0092458E">
            <w:pPr>
              <w:shd w:val="solid" w:color="FFFFFF" w:fill="FFFFFF"/>
              <w:spacing w:before="0" w:after="48" w:line="240" w:lineRule="atLeast"/>
              <w:rPr>
                <w:rFonts w:ascii="Verdana" w:hAnsi="Verdana"/>
                <w:sz w:val="22"/>
                <w:szCs w:val="22"/>
                <w:lang w:val="en-US"/>
              </w:rPr>
            </w:pPr>
          </w:p>
        </w:tc>
      </w:tr>
      <w:tr w:rsidR="0092458E" w:rsidRPr="002A127E" w:rsidTr="0092458E">
        <w:trPr>
          <w:cantSplit/>
        </w:trPr>
        <w:tc>
          <w:tcPr>
            <w:tcW w:w="6771" w:type="dxa"/>
            <w:vMerge w:val="restart"/>
          </w:tcPr>
          <w:p w:rsidR="0092458E" w:rsidRDefault="0092458E" w:rsidP="0092458E">
            <w:pPr>
              <w:shd w:val="solid" w:color="FFFFFF" w:fill="FFFFFF"/>
              <w:spacing w:after="240"/>
              <w:rPr>
                <w:sz w:val="20"/>
              </w:rPr>
            </w:pPr>
            <w:bookmarkStart w:id="0" w:name="dnum" w:colFirst="1" w:colLast="1"/>
          </w:p>
        </w:tc>
        <w:tc>
          <w:tcPr>
            <w:tcW w:w="3118" w:type="dxa"/>
          </w:tcPr>
          <w:p w:rsidR="0092458E" w:rsidRPr="0092458E" w:rsidRDefault="0092458E" w:rsidP="0092458E">
            <w:pPr>
              <w:shd w:val="solid" w:color="FFFFFF" w:fill="FFFFFF"/>
              <w:spacing w:before="0" w:line="240" w:lineRule="atLeast"/>
              <w:rPr>
                <w:rFonts w:ascii="Verdana" w:hAnsi="Verdana"/>
                <w:sz w:val="20"/>
              </w:rPr>
            </w:pPr>
            <w:r>
              <w:rPr>
                <w:rFonts w:ascii="Verdana" w:hAnsi="Verdana"/>
                <w:b/>
                <w:sz w:val="20"/>
              </w:rPr>
              <w:t>Document RAG15-1/24-F</w:t>
            </w:r>
          </w:p>
        </w:tc>
      </w:tr>
      <w:tr w:rsidR="0092458E" w:rsidRPr="002A127E" w:rsidTr="0092458E">
        <w:trPr>
          <w:cantSplit/>
        </w:trPr>
        <w:tc>
          <w:tcPr>
            <w:tcW w:w="6771" w:type="dxa"/>
            <w:vMerge/>
          </w:tcPr>
          <w:p w:rsidR="0092458E" w:rsidRDefault="0092458E" w:rsidP="0092458E">
            <w:pPr>
              <w:spacing w:before="60"/>
              <w:jc w:val="center"/>
              <w:rPr>
                <w:b/>
                <w:smallCaps/>
                <w:sz w:val="32"/>
              </w:rPr>
            </w:pPr>
            <w:bookmarkStart w:id="1" w:name="ddate" w:colFirst="1" w:colLast="1"/>
            <w:bookmarkEnd w:id="0"/>
          </w:p>
        </w:tc>
        <w:tc>
          <w:tcPr>
            <w:tcW w:w="3118" w:type="dxa"/>
          </w:tcPr>
          <w:p w:rsidR="0092458E" w:rsidRPr="0092458E" w:rsidRDefault="0092458E" w:rsidP="0092458E">
            <w:pPr>
              <w:shd w:val="solid" w:color="FFFFFF" w:fill="FFFFFF"/>
              <w:spacing w:before="0" w:line="240" w:lineRule="atLeast"/>
              <w:rPr>
                <w:rFonts w:ascii="Verdana" w:hAnsi="Verdana"/>
                <w:sz w:val="20"/>
              </w:rPr>
            </w:pPr>
            <w:r>
              <w:rPr>
                <w:rFonts w:ascii="Verdana" w:hAnsi="Verdana"/>
                <w:b/>
                <w:sz w:val="20"/>
              </w:rPr>
              <w:t>29 avril 2015</w:t>
            </w:r>
          </w:p>
        </w:tc>
      </w:tr>
      <w:tr w:rsidR="0092458E" w:rsidRPr="002A127E" w:rsidTr="0092458E">
        <w:trPr>
          <w:cantSplit/>
        </w:trPr>
        <w:tc>
          <w:tcPr>
            <w:tcW w:w="6771" w:type="dxa"/>
            <w:vMerge/>
          </w:tcPr>
          <w:p w:rsidR="0092458E" w:rsidRDefault="0092458E" w:rsidP="0092458E">
            <w:pPr>
              <w:spacing w:before="60"/>
              <w:jc w:val="center"/>
              <w:rPr>
                <w:b/>
                <w:smallCaps/>
                <w:sz w:val="32"/>
              </w:rPr>
            </w:pPr>
            <w:bookmarkStart w:id="2" w:name="dorlang" w:colFirst="1" w:colLast="1"/>
            <w:bookmarkEnd w:id="1"/>
          </w:p>
        </w:tc>
        <w:tc>
          <w:tcPr>
            <w:tcW w:w="3118" w:type="dxa"/>
          </w:tcPr>
          <w:p w:rsidR="0092458E" w:rsidRPr="0092458E" w:rsidRDefault="0092458E" w:rsidP="0092458E">
            <w:pPr>
              <w:shd w:val="solid" w:color="FFFFFF" w:fill="FFFFFF"/>
              <w:spacing w:before="0" w:after="120" w:line="240" w:lineRule="atLeast"/>
              <w:rPr>
                <w:rFonts w:ascii="Verdana" w:hAnsi="Verdana"/>
                <w:sz w:val="20"/>
              </w:rPr>
            </w:pPr>
            <w:r>
              <w:rPr>
                <w:rFonts w:ascii="Verdana" w:hAnsi="Verdana"/>
                <w:b/>
                <w:sz w:val="20"/>
              </w:rPr>
              <w:t>Original: anglais</w:t>
            </w:r>
          </w:p>
        </w:tc>
      </w:tr>
      <w:tr w:rsidR="0092458E" w:rsidTr="0092458E">
        <w:trPr>
          <w:cantSplit/>
        </w:trPr>
        <w:tc>
          <w:tcPr>
            <w:tcW w:w="9889" w:type="dxa"/>
            <w:gridSpan w:val="2"/>
          </w:tcPr>
          <w:p w:rsidR="0092458E" w:rsidRDefault="0092458E" w:rsidP="0092458E">
            <w:pPr>
              <w:pStyle w:val="Source"/>
            </w:pPr>
            <w:bookmarkStart w:id="3" w:name="dsource" w:colFirst="0" w:colLast="0"/>
            <w:bookmarkEnd w:id="2"/>
            <w:r>
              <w:t>General Secretariat</w:t>
            </w:r>
          </w:p>
        </w:tc>
      </w:tr>
      <w:tr w:rsidR="0092458E" w:rsidRPr="0092458E" w:rsidTr="0092458E">
        <w:trPr>
          <w:cantSplit/>
        </w:trPr>
        <w:tc>
          <w:tcPr>
            <w:tcW w:w="9889" w:type="dxa"/>
            <w:gridSpan w:val="2"/>
          </w:tcPr>
          <w:p w:rsidR="0092458E" w:rsidRPr="0092458E" w:rsidRDefault="0092458E" w:rsidP="0092458E">
            <w:pPr>
              <w:pStyle w:val="Title1"/>
              <w:rPr>
                <w:lang w:val="fr-CH"/>
              </w:rPr>
            </w:pPr>
            <w:bookmarkStart w:id="4" w:name="dtitle1" w:colFirst="0" w:colLast="0"/>
            <w:bookmarkEnd w:id="3"/>
            <w:r>
              <w:t>projet de plan opérationnel quadriennal glissant du secrétariat général pour la période 2016-2019</w:t>
            </w:r>
          </w:p>
        </w:tc>
      </w:tr>
      <w:bookmarkEnd w:id="4"/>
    </w:tbl>
    <w:p w:rsidR="0092458E" w:rsidRPr="0092392D" w:rsidRDefault="0092458E" w:rsidP="00DF0748">
      <w:pPr>
        <w:rPr>
          <w:rFonts w:ascii="Calibri" w:hAnsi="Calibri"/>
          <w:lang w:val="fr-CH"/>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2458E" w:rsidRPr="0092392D" w:rsidTr="00DF0748">
        <w:trPr>
          <w:trHeight w:val="2487"/>
          <w:jc w:val="center"/>
        </w:trPr>
        <w:tc>
          <w:tcPr>
            <w:tcW w:w="8080" w:type="dxa"/>
            <w:tcBorders>
              <w:top w:val="single" w:sz="12" w:space="0" w:color="auto"/>
              <w:left w:val="single" w:sz="12" w:space="0" w:color="auto"/>
              <w:bottom w:val="single" w:sz="12" w:space="0" w:color="auto"/>
              <w:right w:val="single" w:sz="12" w:space="0" w:color="auto"/>
            </w:tcBorders>
          </w:tcPr>
          <w:p w:rsidR="0092458E" w:rsidRPr="0092392D" w:rsidRDefault="0092458E" w:rsidP="00DF0748">
            <w:pPr>
              <w:pStyle w:val="Headingb"/>
              <w:rPr>
                <w:lang w:val="fr-CH"/>
              </w:rPr>
            </w:pPr>
            <w:r w:rsidRPr="0092392D">
              <w:rPr>
                <w:lang w:val="fr-CH"/>
              </w:rPr>
              <w:t>Résumé</w:t>
            </w:r>
            <w:r>
              <w:rPr>
                <w:lang w:val="fr-CH"/>
              </w:rPr>
              <w:t>:</w:t>
            </w:r>
          </w:p>
          <w:p w:rsidR="0092458E" w:rsidRPr="0092392D" w:rsidRDefault="0092458E" w:rsidP="00DF0748">
            <w:pPr>
              <w:rPr>
                <w:rFonts w:ascii="Calibri" w:hAnsi="Calibri"/>
                <w:lang w:val="fr-CH"/>
              </w:rPr>
            </w:pPr>
            <w:r>
              <w:rPr>
                <w:rFonts w:ascii="Calibri" w:hAnsi="Calibri"/>
                <w:lang w:val="fr-CH"/>
              </w:rPr>
              <w:t>Le document ci-joint du Conseil présente le projet de plan opérationnel quadriennal glissant du Secrétariat général pour la période 2016-2019.</w:t>
            </w:r>
          </w:p>
          <w:p w:rsidR="0092458E" w:rsidRPr="0092392D" w:rsidRDefault="0092458E" w:rsidP="00DF0748">
            <w:pPr>
              <w:pStyle w:val="Headingb"/>
              <w:rPr>
                <w:lang w:val="fr-CH"/>
              </w:rPr>
            </w:pPr>
            <w:r w:rsidRPr="0092392D">
              <w:rPr>
                <w:lang w:val="fr-CH"/>
              </w:rPr>
              <w:t>Suite à donner</w:t>
            </w:r>
            <w:r>
              <w:rPr>
                <w:lang w:val="fr-CH"/>
              </w:rPr>
              <w:t>:</w:t>
            </w:r>
          </w:p>
          <w:p w:rsidR="0092458E" w:rsidRPr="00F3043B" w:rsidRDefault="0092458E" w:rsidP="00DF0748">
            <w:pPr>
              <w:rPr>
                <w:rFonts w:ascii="Calibri" w:hAnsi="Calibri"/>
                <w:caps/>
                <w:sz w:val="22"/>
                <w:lang w:val="fr-CH"/>
              </w:rPr>
            </w:pPr>
            <w:r w:rsidRPr="009F7E9E">
              <w:rPr>
                <w:rFonts w:ascii="Calibri" w:hAnsi="Calibri"/>
                <w:lang w:val="fr-CH"/>
              </w:rPr>
              <w:t xml:space="preserve">Le </w:t>
            </w:r>
            <w:r w:rsidR="00DF0748">
              <w:rPr>
                <w:rFonts w:ascii="Calibri" w:hAnsi="Calibri"/>
                <w:lang w:val="fr-CH"/>
              </w:rPr>
              <w:t>GCR</w:t>
            </w:r>
            <w:r w:rsidRPr="009F7E9E">
              <w:rPr>
                <w:rFonts w:ascii="Calibri" w:hAnsi="Calibri"/>
                <w:lang w:val="fr-CH"/>
              </w:rPr>
              <w:t xml:space="preserve"> est invité à examiner ce document et à donner les indications qu'il jugera nécessaires.</w:t>
            </w:r>
          </w:p>
        </w:tc>
      </w:tr>
    </w:tbl>
    <w:p w:rsidR="0092458E" w:rsidRDefault="0092458E" w:rsidP="00DF0748">
      <w:pPr>
        <w:pStyle w:val="Normalaftertitle0"/>
        <w:rPr>
          <w:lang w:eastAsia="zh-CN"/>
        </w:rPr>
      </w:pPr>
    </w:p>
    <w:p w:rsidR="0092458E" w:rsidRPr="006D1117" w:rsidRDefault="0092458E" w:rsidP="00DF0748">
      <w:pPr>
        <w:rPr>
          <w:lang w:eastAsia="zh-CN"/>
        </w:rPr>
        <w:sectPr w:rsidR="0092458E" w:rsidRPr="006D1117" w:rsidSect="00DF0748">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tbl>
      <w:tblPr>
        <w:tblpPr w:leftFromText="180" w:rightFromText="180" w:vertAnchor="page" w:horzAnchor="margin" w:tblpY="1211"/>
        <w:tblW w:w="10173" w:type="dxa"/>
        <w:tblLayout w:type="fixed"/>
        <w:tblLook w:val="0000" w:firstRow="0" w:lastRow="0" w:firstColumn="0" w:lastColumn="0" w:noHBand="0" w:noVBand="0"/>
      </w:tblPr>
      <w:tblGrid>
        <w:gridCol w:w="6912"/>
        <w:gridCol w:w="3261"/>
      </w:tblGrid>
      <w:tr w:rsidR="0092458E" w:rsidRPr="007F4668" w:rsidTr="00B94C7E">
        <w:trPr>
          <w:cantSplit/>
        </w:trPr>
        <w:tc>
          <w:tcPr>
            <w:tcW w:w="6912" w:type="dxa"/>
          </w:tcPr>
          <w:p w:rsidR="0092458E" w:rsidRPr="007F4668" w:rsidRDefault="0092458E" w:rsidP="00B94C7E">
            <w:pPr>
              <w:spacing w:before="20" w:after="20"/>
            </w:pPr>
            <w:bookmarkStart w:id="7" w:name="dc06"/>
            <w:bookmarkEnd w:id="7"/>
            <w:r w:rsidRPr="007F4668">
              <w:rPr>
                <w:b/>
                <w:bCs/>
                <w:sz w:val="30"/>
                <w:szCs w:val="30"/>
              </w:rPr>
              <w:lastRenderedPageBreak/>
              <w:t>Conseil 2015</w:t>
            </w:r>
            <w:r w:rsidRPr="007F4668">
              <w:rPr>
                <w:rFonts w:ascii="Verdana" w:hAnsi="Verdana"/>
                <w:b/>
                <w:bCs/>
                <w:sz w:val="26"/>
                <w:szCs w:val="26"/>
              </w:rPr>
              <w:br/>
            </w:r>
            <w:r w:rsidRPr="007F4668">
              <w:rPr>
                <w:b/>
                <w:bCs/>
                <w:szCs w:val="24"/>
              </w:rPr>
              <w:t>Genève, 12-22 mai 2015</w:t>
            </w:r>
          </w:p>
        </w:tc>
        <w:tc>
          <w:tcPr>
            <w:tcW w:w="3261" w:type="dxa"/>
          </w:tcPr>
          <w:p w:rsidR="0092458E" w:rsidRPr="007F4668" w:rsidRDefault="0092458E" w:rsidP="00B94C7E">
            <w:pPr>
              <w:spacing w:before="20" w:after="20"/>
              <w:jc w:val="right"/>
            </w:pPr>
            <w:bookmarkStart w:id="8" w:name="ditulogo"/>
            <w:bookmarkEnd w:id="8"/>
            <w:r w:rsidRPr="007F4668">
              <w:rPr>
                <w:noProof/>
                <w:lang w:val="en-US" w:eastAsia="zh-CN"/>
              </w:rPr>
              <w:drawing>
                <wp:inline distT="0" distB="0" distL="0" distR="0" wp14:anchorId="2D25CAC0" wp14:editId="1DDFE38C">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2458E" w:rsidRPr="007F4668" w:rsidTr="00B94C7E">
        <w:trPr>
          <w:cantSplit/>
          <w:trHeight w:val="20"/>
        </w:trPr>
        <w:tc>
          <w:tcPr>
            <w:tcW w:w="6912" w:type="dxa"/>
            <w:tcBorders>
              <w:bottom w:val="single" w:sz="12" w:space="0" w:color="auto"/>
            </w:tcBorders>
            <w:vAlign w:val="center"/>
          </w:tcPr>
          <w:p w:rsidR="0092458E" w:rsidRPr="007F4668" w:rsidRDefault="0092458E" w:rsidP="00B94C7E">
            <w:pPr>
              <w:spacing w:before="20" w:after="20"/>
              <w:rPr>
                <w:b/>
                <w:bCs/>
                <w:sz w:val="26"/>
                <w:szCs w:val="26"/>
              </w:rPr>
            </w:pPr>
            <w:r w:rsidRPr="007F4668">
              <w:rPr>
                <w:b/>
                <w:bCs/>
              </w:rPr>
              <w:t>UNION INTERNATIONALE DES TÉLÉCOMMUNICATIONS</w:t>
            </w:r>
          </w:p>
        </w:tc>
        <w:tc>
          <w:tcPr>
            <w:tcW w:w="3261" w:type="dxa"/>
            <w:tcBorders>
              <w:bottom w:val="single" w:sz="12" w:space="0" w:color="auto"/>
            </w:tcBorders>
          </w:tcPr>
          <w:p w:rsidR="0092458E" w:rsidRPr="007F4668" w:rsidRDefault="0092458E" w:rsidP="00B94C7E">
            <w:pPr>
              <w:spacing w:before="20" w:after="20"/>
              <w:rPr>
                <w:b/>
                <w:bCs/>
              </w:rPr>
            </w:pPr>
          </w:p>
        </w:tc>
      </w:tr>
      <w:tr w:rsidR="0092458E" w:rsidRPr="007F4668" w:rsidTr="00B94C7E">
        <w:trPr>
          <w:cantSplit/>
          <w:trHeight w:val="20"/>
        </w:trPr>
        <w:tc>
          <w:tcPr>
            <w:tcW w:w="6912" w:type="dxa"/>
            <w:tcBorders>
              <w:top w:val="single" w:sz="12" w:space="0" w:color="auto"/>
            </w:tcBorders>
          </w:tcPr>
          <w:p w:rsidR="0092458E" w:rsidRPr="007F4668" w:rsidRDefault="0092458E" w:rsidP="00B94C7E">
            <w:pPr>
              <w:spacing w:before="20" w:after="20"/>
              <w:rPr>
                <w:smallCaps/>
                <w:sz w:val="22"/>
              </w:rPr>
            </w:pPr>
          </w:p>
        </w:tc>
        <w:tc>
          <w:tcPr>
            <w:tcW w:w="3261" w:type="dxa"/>
            <w:tcBorders>
              <w:top w:val="single" w:sz="12" w:space="0" w:color="auto"/>
            </w:tcBorders>
          </w:tcPr>
          <w:p w:rsidR="0092458E" w:rsidRPr="007F4668" w:rsidRDefault="0092458E" w:rsidP="00B94C7E">
            <w:pPr>
              <w:spacing w:before="20" w:after="20"/>
              <w:rPr>
                <w:b/>
                <w:bCs/>
              </w:rPr>
            </w:pPr>
          </w:p>
        </w:tc>
      </w:tr>
      <w:tr w:rsidR="0092458E" w:rsidRPr="007F4668" w:rsidTr="00B94C7E">
        <w:trPr>
          <w:cantSplit/>
          <w:trHeight w:val="20"/>
        </w:trPr>
        <w:tc>
          <w:tcPr>
            <w:tcW w:w="6912" w:type="dxa"/>
            <w:vMerge w:val="restart"/>
          </w:tcPr>
          <w:p w:rsidR="0092458E" w:rsidRPr="007F4668" w:rsidRDefault="0092458E" w:rsidP="00B94C7E">
            <w:pPr>
              <w:spacing w:before="20" w:after="20"/>
              <w:rPr>
                <w:rFonts w:cs="Times"/>
                <w:b/>
                <w:bCs/>
                <w:szCs w:val="24"/>
              </w:rPr>
            </w:pPr>
            <w:bookmarkStart w:id="9" w:name="dmeeting" w:colFirst="0" w:colLast="0"/>
            <w:r w:rsidRPr="007F4668">
              <w:rPr>
                <w:rFonts w:cs="Times"/>
                <w:b/>
                <w:bCs/>
                <w:szCs w:val="24"/>
              </w:rPr>
              <w:t>Point de l'ordre du jour: PL 1.12</w:t>
            </w:r>
          </w:p>
        </w:tc>
        <w:tc>
          <w:tcPr>
            <w:tcW w:w="3261" w:type="dxa"/>
          </w:tcPr>
          <w:p w:rsidR="0092458E" w:rsidRPr="007F4668" w:rsidRDefault="0092458E" w:rsidP="00B94C7E">
            <w:pPr>
              <w:spacing w:before="0"/>
              <w:rPr>
                <w:b/>
                <w:bCs/>
              </w:rPr>
            </w:pPr>
            <w:r w:rsidRPr="007F4668">
              <w:rPr>
                <w:b/>
                <w:bCs/>
              </w:rPr>
              <w:t>Document C15/31-F</w:t>
            </w:r>
          </w:p>
        </w:tc>
      </w:tr>
      <w:bookmarkEnd w:id="9"/>
      <w:tr w:rsidR="0092458E" w:rsidRPr="007F4668" w:rsidTr="00B94C7E">
        <w:trPr>
          <w:cantSplit/>
          <w:trHeight w:val="20"/>
        </w:trPr>
        <w:tc>
          <w:tcPr>
            <w:tcW w:w="6912" w:type="dxa"/>
            <w:vMerge/>
          </w:tcPr>
          <w:p w:rsidR="0092458E" w:rsidRPr="007F4668" w:rsidRDefault="0092458E" w:rsidP="00B94C7E">
            <w:pPr>
              <w:shd w:val="solid" w:color="FFFFFF" w:fill="FFFFFF"/>
              <w:spacing w:before="20" w:after="20"/>
              <w:rPr>
                <w:smallCaps/>
              </w:rPr>
            </w:pPr>
          </w:p>
        </w:tc>
        <w:tc>
          <w:tcPr>
            <w:tcW w:w="3261" w:type="dxa"/>
          </w:tcPr>
          <w:p w:rsidR="0092458E" w:rsidRPr="007F4668" w:rsidRDefault="0092458E" w:rsidP="00B94C7E">
            <w:pPr>
              <w:spacing w:before="0"/>
              <w:rPr>
                <w:b/>
                <w:bCs/>
              </w:rPr>
            </w:pPr>
            <w:r w:rsidRPr="007F4668">
              <w:rPr>
                <w:b/>
                <w:bCs/>
              </w:rPr>
              <w:t>24 mars 2015</w:t>
            </w:r>
          </w:p>
        </w:tc>
      </w:tr>
      <w:tr w:rsidR="0092458E" w:rsidRPr="007F4668" w:rsidTr="00B94C7E">
        <w:trPr>
          <w:cantSplit/>
          <w:trHeight w:val="20"/>
        </w:trPr>
        <w:tc>
          <w:tcPr>
            <w:tcW w:w="6912" w:type="dxa"/>
            <w:vMerge/>
          </w:tcPr>
          <w:p w:rsidR="0092458E" w:rsidRPr="007F4668" w:rsidRDefault="0092458E" w:rsidP="00B94C7E">
            <w:pPr>
              <w:shd w:val="solid" w:color="FFFFFF" w:fill="FFFFFF"/>
              <w:spacing w:before="20" w:after="20"/>
              <w:rPr>
                <w:smallCaps/>
              </w:rPr>
            </w:pPr>
          </w:p>
        </w:tc>
        <w:tc>
          <w:tcPr>
            <w:tcW w:w="3261" w:type="dxa"/>
          </w:tcPr>
          <w:p w:rsidR="0092458E" w:rsidRPr="007F4668" w:rsidRDefault="0092458E" w:rsidP="00B94C7E">
            <w:pPr>
              <w:spacing w:before="0"/>
              <w:rPr>
                <w:b/>
                <w:bCs/>
              </w:rPr>
            </w:pPr>
            <w:r w:rsidRPr="007F4668">
              <w:rPr>
                <w:b/>
                <w:bCs/>
              </w:rPr>
              <w:t>Original: anglais</w:t>
            </w:r>
          </w:p>
        </w:tc>
      </w:tr>
      <w:tr w:rsidR="0092458E" w:rsidRPr="007F4668" w:rsidTr="00B94C7E">
        <w:trPr>
          <w:cantSplit/>
        </w:trPr>
        <w:tc>
          <w:tcPr>
            <w:tcW w:w="10173" w:type="dxa"/>
            <w:gridSpan w:val="2"/>
          </w:tcPr>
          <w:p w:rsidR="0092458E" w:rsidRPr="007F4668" w:rsidRDefault="0092458E" w:rsidP="00B94C7E">
            <w:pPr>
              <w:pStyle w:val="Source"/>
            </w:pPr>
            <w:r w:rsidRPr="007F4668">
              <w:t>Rapport du Secrétaire général</w:t>
            </w:r>
          </w:p>
        </w:tc>
      </w:tr>
      <w:tr w:rsidR="0092458E" w:rsidRPr="007F4668" w:rsidTr="00B94C7E">
        <w:trPr>
          <w:cantSplit/>
        </w:trPr>
        <w:tc>
          <w:tcPr>
            <w:tcW w:w="10173" w:type="dxa"/>
            <w:gridSpan w:val="2"/>
          </w:tcPr>
          <w:p w:rsidR="0092458E" w:rsidRPr="007F4668" w:rsidRDefault="0092458E" w:rsidP="00B94C7E">
            <w:pPr>
              <w:pStyle w:val="Title1"/>
            </w:pPr>
            <w:r w:rsidRPr="007F4668">
              <w:t xml:space="preserve">PROJET DE PLAN opérationnel quadriennal glissant </w:t>
            </w:r>
            <w:r>
              <w:br/>
            </w:r>
            <w:r w:rsidRPr="007F4668">
              <w:t>du secrétariat général pour la période 2016-2019</w:t>
            </w:r>
          </w:p>
        </w:tc>
      </w:tr>
    </w:tbl>
    <w:p w:rsidR="0092458E" w:rsidRDefault="0092458E" w:rsidP="00DF0748">
      <w:pPr>
        <w:spacing w:before="20" w:after="20"/>
      </w:pPr>
    </w:p>
    <w:p w:rsidR="00B94C7E" w:rsidRDefault="00B94C7E" w:rsidP="00DF0748">
      <w:pPr>
        <w:spacing w:before="20" w:after="20"/>
      </w:pPr>
    </w:p>
    <w:p w:rsidR="00B94C7E" w:rsidRPr="007F4668" w:rsidRDefault="00B94C7E" w:rsidP="00DF0748">
      <w:pPr>
        <w:spacing w:before="20" w:after="2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2458E" w:rsidRPr="007F4668">
        <w:trPr>
          <w:trHeight w:val="3372"/>
        </w:trPr>
        <w:tc>
          <w:tcPr>
            <w:tcW w:w="8080" w:type="dxa"/>
            <w:tcBorders>
              <w:top w:val="single" w:sz="12" w:space="0" w:color="auto"/>
              <w:left w:val="single" w:sz="12" w:space="0" w:color="auto"/>
              <w:bottom w:val="single" w:sz="12" w:space="0" w:color="auto"/>
              <w:right w:val="single" w:sz="12" w:space="0" w:color="auto"/>
            </w:tcBorders>
          </w:tcPr>
          <w:p w:rsidR="0092458E" w:rsidRPr="007F4668" w:rsidRDefault="0092458E" w:rsidP="00DF0748">
            <w:pPr>
              <w:pStyle w:val="Headingb"/>
              <w:spacing w:before="20" w:after="20"/>
            </w:pPr>
            <w:r w:rsidRPr="007F4668">
              <w:t>Résumé</w:t>
            </w:r>
          </w:p>
          <w:p w:rsidR="0092458E" w:rsidRPr="007F4668" w:rsidRDefault="0092458E" w:rsidP="00DF0748">
            <w:r w:rsidRPr="007F4668">
              <w:t xml:space="preserve">Le présent document </w:t>
            </w:r>
            <w:r>
              <w:t xml:space="preserve">expose le </w:t>
            </w:r>
            <w:r w:rsidRPr="007F4668">
              <w:t>projet de Plan opérationnel quadriennal glissant du Secrétariat général pour la période 2016-2019.</w:t>
            </w:r>
          </w:p>
          <w:p w:rsidR="0092458E" w:rsidRPr="007F4668" w:rsidRDefault="0092458E" w:rsidP="00DF0748">
            <w:r w:rsidRPr="007F4668">
              <w:t xml:space="preserve">Ce Plan est publié conformément au numéro </w:t>
            </w:r>
            <w:hyperlink r:id="rId11" w:anchor="cv87a" w:history="1">
              <w:r w:rsidRPr="00F3043B">
                <w:rPr>
                  <w:rStyle w:val="Hyperlink"/>
                  <w:rFonts w:cstheme="minorHAnsi"/>
                  <w:szCs w:val="24"/>
                  <w:lang w:val="fr-CH"/>
                </w:rPr>
                <w:t>87A</w:t>
              </w:r>
            </w:hyperlink>
            <w:r w:rsidRPr="007F4668">
              <w:t xml:space="preserve"> de l'</w:t>
            </w:r>
            <w:hyperlink r:id="rId12" w:anchor="cvart5" w:history="1">
              <w:r w:rsidRPr="00F3043B">
                <w:rPr>
                  <w:rStyle w:val="Hyperlink"/>
                  <w:szCs w:val="24"/>
                  <w:lang w:val="fr-CH"/>
                </w:rPr>
                <w:t>article 5</w:t>
              </w:r>
            </w:hyperlink>
            <w:r w:rsidRPr="007F4668">
              <w:t xml:space="preserve"> de la Convention de l'UIT, aux termes duquel un plan opérationnel quadriennal des activités que doit entreprendre le Secrétariat général est établi chaque année</w:t>
            </w:r>
            <w:r w:rsidRPr="007F4668">
              <w:rPr>
                <w:rFonts w:cstheme="minorHAnsi"/>
              </w:rPr>
              <w:t>.</w:t>
            </w:r>
          </w:p>
          <w:p w:rsidR="0092458E" w:rsidRPr="007F4668" w:rsidRDefault="0092458E" w:rsidP="00DF0748">
            <w:pPr>
              <w:pStyle w:val="Headingb"/>
            </w:pPr>
            <w:r w:rsidRPr="007F4668">
              <w:t>Suite à donner</w:t>
            </w:r>
          </w:p>
          <w:p w:rsidR="0092458E" w:rsidRPr="007F4668" w:rsidRDefault="0092458E" w:rsidP="00DF0748">
            <w:r w:rsidRPr="007F4668">
              <w:rPr>
                <w:bCs/>
              </w:rPr>
              <w:t>Le Conseil est invité à</w:t>
            </w:r>
            <w:r w:rsidRPr="007F4668">
              <w:rPr>
                <w:b/>
              </w:rPr>
              <w:t xml:space="preserve"> examiner </w:t>
            </w:r>
            <w:r w:rsidRPr="007F4668">
              <w:rPr>
                <w:bCs/>
              </w:rPr>
              <w:t>et à</w:t>
            </w:r>
            <w:r w:rsidRPr="007F4668">
              <w:rPr>
                <w:b/>
              </w:rPr>
              <w:t xml:space="preserve"> approuver </w:t>
            </w:r>
            <w:r w:rsidRPr="007F4668">
              <w:rPr>
                <w:bCs/>
              </w:rPr>
              <w:t xml:space="preserve">le projet de Plan opérationnel quadriennal glissant du Secrétariat général pour la période 2016-2019 et à </w:t>
            </w:r>
            <w:r w:rsidRPr="00043AE9">
              <w:rPr>
                <w:b/>
              </w:rPr>
              <w:t>adopter</w:t>
            </w:r>
            <w:r w:rsidRPr="007F4668">
              <w:rPr>
                <w:bCs/>
              </w:rPr>
              <w:t xml:space="preserve"> le projet de Résolution qui</w:t>
            </w:r>
            <w:r w:rsidRPr="007F4668">
              <w:rPr>
                <w:b/>
              </w:rPr>
              <w:t xml:space="preserve"> </w:t>
            </w:r>
            <w:r w:rsidRPr="007F4668">
              <w:rPr>
                <w:bCs/>
              </w:rPr>
              <w:t>est présenté dans le</w:t>
            </w:r>
            <w:r w:rsidRPr="007F4668">
              <w:rPr>
                <w:b/>
              </w:rPr>
              <w:t xml:space="preserve"> </w:t>
            </w:r>
            <w:hyperlink r:id="rId13" w:history="1">
              <w:r w:rsidRPr="00F3043B">
                <w:rPr>
                  <w:rStyle w:val="Hyperlink"/>
                  <w:lang w:val="fr-CH"/>
                </w:rPr>
                <w:t>Document C15/39</w:t>
              </w:r>
            </w:hyperlink>
            <w:r w:rsidRPr="007F4668">
              <w:t>.</w:t>
            </w:r>
          </w:p>
          <w:p w:rsidR="0092458E" w:rsidRPr="007F4668" w:rsidRDefault="0092458E" w:rsidP="00DF0748">
            <w:pPr>
              <w:pStyle w:val="Table"/>
              <w:keepNext w:val="0"/>
              <w:spacing w:before="20" w:after="20"/>
              <w:rPr>
                <w:rFonts w:ascii="Calibri" w:hAnsi="Calibri"/>
                <w:caps w:val="0"/>
                <w:sz w:val="22"/>
                <w:lang w:val="fr-FR"/>
              </w:rPr>
            </w:pPr>
            <w:r w:rsidRPr="007F4668">
              <w:rPr>
                <w:rFonts w:ascii="Calibri" w:hAnsi="Calibri"/>
                <w:caps w:val="0"/>
                <w:sz w:val="22"/>
                <w:lang w:val="fr-FR"/>
              </w:rPr>
              <w:t>____________</w:t>
            </w:r>
          </w:p>
          <w:p w:rsidR="0092458E" w:rsidRPr="007F4668" w:rsidRDefault="0092458E" w:rsidP="00DF0748">
            <w:pPr>
              <w:pStyle w:val="Headingb"/>
              <w:spacing w:before="20" w:after="20"/>
            </w:pPr>
            <w:r w:rsidRPr="007F4668">
              <w:t>Références</w:t>
            </w:r>
          </w:p>
          <w:p w:rsidR="0092458E" w:rsidRPr="007F4668" w:rsidRDefault="0092458E" w:rsidP="00DF0748">
            <w:pPr>
              <w:spacing w:before="20" w:after="20"/>
              <w:rPr>
                <w:i/>
                <w:iCs/>
              </w:rPr>
            </w:pPr>
            <w:hyperlink r:id="rId14" w:anchor="cv87A" w:history="1">
              <w:r w:rsidRPr="00F3043B">
                <w:rPr>
                  <w:rStyle w:val="Hyperlink"/>
                  <w:rFonts w:cstheme="minorHAnsi"/>
                  <w:i/>
                  <w:iCs/>
                  <w:szCs w:val="28"/>
                  <w:lang w:val="fr-CH"/>
                </w:rPr>
                <w:t>Numéro 87A</w:t>
              </w:r>
            </w:hyperlink>
            <w:r w:rsidRPr="00F3043B">
              <w:rPr>
                <w:rStyle w:val="Hyperlink"/>
                <w:rFonts w:cstheme="minorHAnsi"/>
                <w:i/>
                <w:iCs/>
                <w:szCs w:val="28"/>
                <w:lang w:val="fr-CH"/>
              </w:rPr>
              <w:t xml:space="preserve"> de l'article 5 de la Convention</w:t>
            </w:r>
            <w:r w:rsidRPr="007F4668">
              <w:rPr>
                <w:i/>
                <w:iCs/>
                <w:color w:val="0000FF"/>
                <w:u w:val="single"/>
              </w:rPr>
              <w:br/>
            </w:r>
            <w:hyperlink r:id="rId15" w:history="1">
              <w:r w:rsidRPr="00F3043B">
                <w:rPr>
                  <w:rStyle w:val="Hyperlink"/>
                  <w:i/>
                  <w:iCs/>
                  <w:lang w:val="fr-CH"/>
                </w:rPr>
                <w:t xml:space="preserve">Résolution 72 (Rév. </w:t>
              </w:r>
              <w:r w:rsidRPr="007F4668">
                <w:rPr>
                  <w:rStyle w:val="Hyperlink"/>
                  <w:i/>
                  <w:iCs/>
                </w:rPr>
                <w:t>Busan, 2014)</w:t>
              </w:r>
            </w:hyperlink>
            <w:r w:rsidRPr="007F4668">
              <w:t xml:space="preserve"> de la Conférence de plénipotentiaires</w:t>
            </w:r>
            <w:r>
              <w:br/>
            </w:r>
          </w:p>
        </w:tc>
      </w:tr>
    </w:tbl>
    <w:p w:rsidR="0092458E" w:rsidRPr="007F4668" w:rsidRDefault="0092458E" w:rsidP="00DF0748">
      <w:pPr>
        <w:spacing w:before="20" w:after="20"/>
      </w:pPr>
    </w:p>
    <w:p w:rsidR="0092458E" w:rsidRPr="007F4668" w:rsidRDefault="0092458E" w:rsidP="00DF0748">
      <w:pPr>
        <w:spacing w:before="20" w:after="20"/>
        <w:sectPr w:rsidR="0092458E" w:rsidRPr="007F4668" w:rsidSect="00B94C7E">
          <w:headerReference w:type="even" r:id="rId16"/>
          <w:headerReference w:type="default" r:id="rId17"/>
          <w:footerReference w:type="even" r:id="rId18"/>
          <w:footerReference w:type="default" r:id="rId19"/>
          <w:footerReference w:type="first" r:id="rId20"/>
          <w:pgSz w:w="11906" w:h="16838"/>
          <w:pgMar w:top="1418" w:right="1134" w:bottom="1418" w:left="1134" w:header="709" w:footer="709" w:gutter="0"/>
          <w:cols w:space="708"/>
          <w:docGrid w:linePitch="360"/>
        </w:sectPr>
      </w:pPr>
    </w:p>
    <w:p w:rsidR="0092458E" w:rsidRPr="007F4668" w:rsidRDefault="0092458E" w:rsidP="00DF0748">
      <w:pPr>
        <w:pStyle w:val="Heading1"/>
      </w:pPr>
      <w:r w:rsidRPr="007F4668">
        <w:lastRenderedPageBreak/>
        <w:t>1</w:t>
      </w:r>
      <w:r w:rsidRPr="007F4668">
        <w:tab/>
        <w:t>Introduction</w:t>
      </w:r>
    </w:p>
    <w:p w:rsidR="0092458E" w:rsidRPr="007F4668" w:rsidRDefault="0092458E" w:rsidP="00DF0748">
      <w:r w:rsidRPr="007F4668">
        <w:t>Le Plan opérationnel quadriennal glissant du Secrétariat général est établi dans le strict respect du Plan stratégique de l'UIT pour la période</w:t>
      </w:r>
      <w:r>
        <w:t> </w:t>
      </w:r>
      <w:r w:rsidRPr="007F4668">
        <w:t>2016</w:t>
      </w:r>
      <w:r w:rsidRPr="007F4668">
        <w:noBreakHyphen/>
        <w:t>2019, dans les limites fixées dans le Plan financier pour la période 2016</w:t>
      </w:r>
      <w:r w:rsidRPr="007F4668">
        <w:noBreakHyphen/>
        <w:t>2019 et dans les budgets biennaux correspondants. Ce Plan décrit la contribution du Secrétariat général à l'obtention des buts stratégiques de l'UIT grâce aux:</w:t>
      </w:r>
    </w:p>
    <w:p w:rsidR="0092458E" w:rsidRPr="007F4668" w:rsidRDefault="0092458E" w:rsidP="00DF0748">
      <w:pPr>
        <w:pStyle w:val="enumlev1"/>
      </w:pPr>
      <w:r w:rsidRPr="007F4668">
        <w:t>–</w:t>
      </w:r>
      <w:r w:rsidRPr="007F4668">
        <w:rPr>
          <w:b/>
          <w:bCs/>
        </w:rPr>
        <w:tab/>
        <w:t>Catalyseurs</w:t>
      </w:r>
      <w:r w:rsidRPr="007F4668">
        <w:t>: ils visent à appuyer toutes les activités de l'UIT en vue d'atteindre les objectifs généraux et les buts stratégiques. Les services/processus d'appui mettent en oeuvre et fournissent ces catalyseurs.</w:t>
      </w:r>
    </w:p>
    <w:p w:rsidR="0092458E" w:rsidRPr="007F4668" w:rsidRDefault="0092458E" w:rsidP="00DF0748">
      <w:pPr>
        <w:pStyle w:val="enumlev1"/>
      </w:pPr>
      <w:r w:rsidRPr="007F4668">
        <w:t>–</w:t>
      </w:r>
      <w:r w:rsidRPr="007F4668">
        <w:rPr>
          <w:b/>
          <w:bCs/>
        </w:rPr>
        <w:tab/>
        <w:t>Objectifs et résultats intersectoriels</w:t>
      </w:r>
      <w:r w:rsidRPr="007F4668">
        <w:t>: ils sont mis en oeuvre par les produits intersectoriels. La contribution du Secrétariat général et des trois Bureaux aux produits intersectoriels est décrite dans les plans opérationnels correspondants.</w:t>
      </w:r>
    </w:p>
    <w:p w:rsidR="0092458E" w:rsidRPr="007F4668" w:rsidRDefault="0092458E" w:rsidP="00DF0748">
      <w:r w:rsidRPr="007F4668">
        <w:t>La structure du Plan opérationnel du Secrétariat général est conforme au cadre de présentation des rés</w:t>
      </w:r>
      <w:r>
        <w:t>ultats de l'UIT pour la période </w:t>
      </w:r>
      <w:r w:rsidRPr="007F4668">
        <w:t>2016</w:t>
      </w:r>
      <w:r w:rsidRPr="007F4668">
        <w:noBreakHyphen/>
        <w:t>2019. Il décrit les objectifs intersectoriels et les catalyseurs, les résultats associés et les indicateurs servant à mesurer les progrès accomplis en vue d'obtenir ces résultats, ainsi que les produits intersectoriels et les services d'appui produits par les activités du Secrétariat général. Le processus de planification, de mise en oeuvre, de suivi et d'évaluation sera complété par les mécanismes internes suivants:</w:t>
      </w:r>
    </w:p>
    <w:p w:rsidR="0092458E" w:rsidRPr="007F4668" w:rsidRDefault="0092458E" w:rsidP="00DF0748">
      <w:pPr>
        <w:pStyle w:val="enumlev1"/>
      </w:pPr>
      <w:r w:rsidRPr="007F4668">
        <w:rPr>
          <w:i/>
          <w:iCs/>
        </w:rPr>
        <w:t>i)</w:t>
      </w:r>
      <w:r w:rsidRPr="007F4668">
        <w:tab/>
        <w:t>les accords de niveau de service (SLA) pour la planification, le suivi et l'évaluation des services d'appui; et</w:t>
      </w:r>
    </w:p>
    <w:p w:rsidR="0092458E" w:rsidRPr="007F4668" w:rsidRDefault="0092458E" w:rsidP="00DF0748">
      <w:pPr>
        <w:pStyle w:val="enumlev1"/>
      </w:pPr>
      <w:r w:rsidRPr="007F4668">
        <w:rPr>
          <w:i/>
          <w:iCs/>
        </w:rPr>
        <w:t>ii)</w:t>
      </w:r>
      <w:r w:rsidRPr="007F4668">
        <w:tab/>
        <w:t>les programmes de travail des départements et divisions du Secrétariat général.</w:t>
      </w:r>
    </w:p>
    <w:p w:rsidR="00B94C7E" w:rsidRDefault="00B94C7E" w:rsidP="00B94C7E">
      <w:pPr>
        <w:rPr>
          <w:rFonts w:asciiTheme="minorHAnsi" w:hAnsiTheme="minorHAnsi"/>
          <w:lang w:val="fr-CH"/>
        </w:rPr>
      </w:pPr>
      <w:bookmarkStart w:id="10" w:name="_Ref378962261"/>
      <w:r>
        <w:rPr>
          <w:lang w:val="fr-CH"/>
        </w:rPr>
        <w:br w:type="page"/>
      </w:r>
    </w:p>
    <w:p w:rsidR="0092458E" w:rsidRPr="00F3043B" w:rsidRDefault="0092458E" w:rsidP="00DF0748">
      <w:pPr>
        <w:pStyle w:val="Figuretitle"/>
        <w:spacing w:before="20" w:after="20"/>
        <w:rPr>
          <w:lang w:val="fr-CH"/>
        </w:rPr>
      </w:pPr>
    </w:p>
    <w:bookmarkEnd w:id="10"/>
    <w:p w:rsidR="0092458E" w:rsidRPr="00DE6446" w:rsidRDefault="0092458E" w:rsidP="00DF0748">
      <w:pPr>
        <w:jc w:val="center"/>
      </w:pPr>
    </w:p>
    <w:p w:rsidR="0092458E" w:rsidRPr="00F3043B" w:rsidRDefault="0092458E" w:rsidP="00B94C7E">
      <w:pPr>
        <w:pStyle w:val="Figuretitle"/>
        <w:spacing w:after="240"/>
        <w:rPr>
          <w:lang w:val="fr-CH"/>
        </w:rPr>
      </w:pPr>
      <w:r w:rsidRPr="00F3043B">
        <w:rPr>
          <w:lang w:val="fr-CH"/>
        </w:rPr>
        <w:t>Figure 1 – Plan opérationnel du Secrétariat général et cadre stratégique de l'UIT</w:t>
      </w:r>
      <w:r w:rsidR="00B94C7E">
        <w:rPr>
          <w:lang w:val="fr-CH"/>
        </w:rPr>
        <w:br/>
      </w:r>
      <w:r w:rsidRPr="00F3043B">
        <w:rPr>
          <w:lang w:val="fr-CH"/>
        </w:rPr>
        <w:t>pour la période 2016-2019</w:t>
      </w:r>
    </w:p>
    <w:p w:rsidR="0092458E" w:rsidRPr="007F4668" w:rsidRDefault="00BD1B15" w:rsidP="00DF0748">
      <w:pPr>
        <w:spacing w:before="20" w:after="20"/>
        <w:jc w:val="center"/>
      </w:pPr>
      <w:r>
        <w:rPr>
          <w:noProof/>
          <w:lang w:val="en-US" w:eastAsia="zh-CN"/>
        </w:rPr>
        <mc:AlternateContent>
          <mc:Choice Requires="wps">
            <w:drawing>
              <wp:anchor distT="0" distB="0" distL="114300" distR="114300" simplePos="0" relativeHeight="251666432" behindDoc="0" locked="0" layoutInCell="1" allowOverlap="1">
                <wp:simplePos x="0" y="0"/>
                <wp:positionH relativeFrom="column">
                  <wp:posOffset>5961228</wp:posOffset>
                </wp:positionH>
                <wp:positionV relativeFrom="paragraph">
                  <wp:posOffset>2992298</wp:posOffset>
                </wp:positionV>
                <wp:extent cx="387705" cy="24871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87705" cy="248717"/>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1B15" w:rsidRPr="00BD1B15" w:rsidRDefault="00BD1B15" w:rsidP="00BD1B15">
                            <w:pPr>
                              <w:spacing w:before="0"/>
                              <w:rPr>
                                <w:lang w:val="fr-CH"/>
                              </w:rPr>
                            </w:pPr>
                            <w:r>
                              <w:rPr>
                                <w:lang w:val="fr-CH"/>
                              </w:rPr>
                              <w:t>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69.4pt;margin-top:235.6pt;width:30.5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" fillcolor="#c6d9f1 [671]" stroked="f" strokeweight=".5pt">
                <v:textbox>
                  <w:txbxContent>
                    <w:p w:rsidR="00BD1B15" w:rsidRPr="00BD1B15" w:rsidRDefault="00BD1B15" w:rsidP="00BD1B15">
                      <w:pPr>
                        <w:spacing w:before="0"/>
                        <w:rPr>
                          <w:lang w:val="fr-CH"/>
                        </w:rPr>
                      </w:pPr>
                      <w:r>
                        <w:rPr>
                          <w:lang w:val="fr-CH"/>
                        </w:rPr>
                        <w:t>SG</w:t>
                      </w:r>
                    </w:p>
                  </w:txbxContent>
                </v:textbox>
              </v:shape>
            </w:pict>
          </mc:Fallback>
        </mc:AlternateContent>
      </w:r>
      <w:r w:rsidRPr="007F4668">
        <w:rPr>
          <w:noProof/>
          <w:lang w:val="en-US" w:eastAsia="zh-CN"/>
        </w:rPr>
        <mc:AlternateContent>
          <mc:Choice Requires="wps">
            <w:drawing>
              <wp:anchor distT="0" distB="0" distL="114300" distR="114300" simplePos="0" relativeHeight="251665408" behindDoc="0" locked="0" layoutInCell="1" allowOverlap="1" wp14:anchorId="783486BE" wp14:editId="12221446">
                <wp:simplePos x="0" y="0"/>
                <wp:positionH relativeFrom="column">
                  <wp:posOffset>6099785</wp:posOffset>
                </wp:positionH>
                <wp:positionV relativeFrom="paragraph">
                  <wp:posOffset>1009624</wp:posOffset>
                </wp:positionV>
                <wp:extent cx="870712" cy="343814"/>
                <wp:effectExtent l="0" t="0" r="0" b="0"/>
                <wp:wrapNone/>
                <wp:docPr id="7"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0712" cy="343814"/>
                        </a:xfrm>
                        <a:prstGeom prst="rect">
                          <a:avLst/>
                        </a:prstGeom>
                        <a:noFill/>
                        <a:ln w="6350">
                          <a:noFill/>
                        </a:ln>
                        <a:effectLst/>
                      </wps:spPr>
                      <wps:txbx>
                        <w:txbxContent>
                          <w:p w:rsidR="00BD1B15" w:rsidRPr="00703C4B" w:rsidRDefault="00BD1B15" w:rsidP="00BD1B15">
                            <w:pPr>
                              <w:spacing w:before="0"/>
                              <w:ind w:left="-113"/>
                              <w:jc w:val="center"/>
                              <w:rPr>
                                <w:rFonts w:cs="Calibri"/>
                                <w:b/>
                                <w:bCs/>
                                <w:sz w:val="18"/>
                                <w:szCs w:val="18"/>
                                <w:lang w:val="fr-CH"/>
                              </w:rPr>
                            </w:pPr>
                            <w:r>
                              <w:rPr>
                                <w:rFonts w:cs="Calibri"/>
                                <w:b/>
                                <w:bCs/>
                                <w:color w:val="FFFFFF" w:themeColor="background1"/>
                                <w:sz w:val="18"/>
                                <w:szCs w:val="18"/>
                                <w:shd w:val="pct15" w:color="auto" w:fill="FFFFFF"/>
                                <w:lang w:val="fr-CH"/>
                              </w:rPr>
                              <w:t xml:space="preserve"> </w:t>
                            </w:r>
                            <w:r w:rsidRPr="00703C4B">
                              <w:rPr>
                                <w:rFonts w:cs="Calibri"/>
                                <w:b/>
                                <w:bCs/>
                                <w:color w:val="FFFFFF" w:themeColor="background1"/>
                                <w:sz w:val="18"/>
                                <w:szCs w:val="18"/>
                                <w:shd w:val="pct15" w:color="auto" w:fill="FFFFFF"/>
                                <w:lang w:val="fr-CH"/>
                              </w:rPr>
                              <w:t xml:space="preserve">Innovation et </w:t>
                            </w:r>
                            <w:r>
                              <w:rPr>
                                <w:rFonts w:cs="Calibri"/>
                                <w:b/>
                                <w:bCs/>
                                <w:color w:val="FFFFFF" w:themeColor="background1"/>
                                <w:sz w:val="18"/>
                                <w:szCs w:val="18"/>
                                <w:shd w:val="pct15" w:color="auto" w:fill="FFFFFF"/>
                                <w:lang w:val="fr-CH"/>
                              </w:rPr>
                              <w:t>p</w:t>
                            </w:r>
                            <w:r w:rsidRPr="00703C4B">
                              <w:rPr>
                                <w:rFonts w:cs="Calibri"/>
                                <w:b/>
                                <w:bCs/>
                                <w:color w:val="FFFFFF" w:themeColor="background1"/>
                                <w:sz w:val="18"/>
                                <w:szCs w:val="18"/>
                                <w:shd w:val="pct15" w:color="auto" w:fill="FFFFFF"/>
                                <w:lang w:val="fr-CH"/>
                              </w:rPr>
                              <w:t>artenariats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486BE" id="Text Box 300" o:spid="_x0000_s1027" type="#_x0000_t202" style="position:absolute;left:0;text-align:left;margin-left:480.3pt;margin-top:79.5pt;width:68.5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" filled="f" stroked="f" strokeweight=".5pt">
                <v:path arrowok="t"/>
                <v:textbox>
                  <w:txbxContent>
                    <w:p w:rsidR="00BD1B15" w:rsidRPr="00703C4B" w:rsidRDefault="00BD1B15" w:rsidP="00BD1B15">
                      <w:pPr>
                        <w:spacing w:before="0"/>
                        <w:ind w:left="-113"/>
                        <w:jc w:val="center"/>
                        <w:rPr>
                          <w:rFonts w:cs="Calibri"/>
                          <w:b/>
                          <w:bCs/>
                          <w:sz w:val="18"/>
                          <w:szCs w:val="18"/>
                          <w:lang w:val="fr-CH"/>
                        </w:rPr>
                      </w:pPr>
                      <w:r>
                        <w:rPr>
                          <w:rFonts w:cs="Calibri"/>
                          <w:b/>
                          <w:bCs/>
                          <w:color w:val="FFFFFF" w:themeColor="background1"/>
                          <w:sz w:val="18"/>
                          <w:szCs w:val="18"/>
                          <w:shd w:val="pct15" w:color="auto" w:fill="FFFFFF"/>
                          <w:lang w:val="fr-CH"/>
                        </w:rPr>
                        <w:t xml:space="preserve"> </w:t>
                      </w:r>
                      <w:r w:rsidRPr="00703C4B">
                        <w:rPr>
                          <w:rFonts w:cs="Calibri"/>
                          <w:b/>
                          <w:bCs/>
                          <w:color w:val="FFFFFF" w:themeColor="background1"/>
                          <w:sz w:val="18"/>
                          <w:szCs w:val="18"/>
                          <w:shd w:val="pct15" w:color="auto" w:fill="FFFFFF"/>
                          <w:lang w:val="fr-CH"/>
                        </w:rPr>
                        <w:t xml:space="preserve">Innovation et </w:t>
                      </w:r>
                      <w:r>
                        <w:rPr>
                          <w:rFonts w:cs="Calibri"/>
                          <w:b/>
                          <w:bCs/>
                          <w:color w:val="FFFFFF" w:themeColor="background1"/>
                          <w:sz w:val="18"/>
                          <w:szCs w:val="18"/>
                          <w:shd w:val="pct15" w:color="auto" w:fill="FFFFFF"/>
                          <w:lang w:val="fr-CH"/>
                        </w:rPr>
                        <w:t>p</w:t>
                      </w:r>
                      <w:r w:rsidRPr="00703C4B">
                        <w:rPr>
                          <w:rFonts w:cs="Calibri"/>
                          <w:b/>
                          <w:bCs/>
                          <w:color w:val="FFFFFF" w:themeColor="background1"/>
                          <w:sz w:val="18"/>
                          <w:szCs w:val="18"/>
                          <w:shd w:val="pct15" w:color="auto" w:fill="FFFFFF"/>
                          <w:lang w:val="fr-CH"/>
                        </w:rPr>
                        <w:t>artenariats</w:t>
                      </w:r>
                    </w:p>
                  </w:txbxContent>
                </v:textbox>
              </v:shape>
            </w:pict>
          </mc:Fallback>
        </mc:AlternateContent>
      </w:r>
      <w:r w:rsidRPr="007F4668">
        <w:rPr>
          <w:noProof/>
          <w:lang w:val="en-US" w:eastAsia="zh-CN"/>
        </w:rPr>
        <mc:AlternateContent>
          <mc:Choice Requires="wps">
            <w:drawing>
              <wp:anchor distT="0" distB="0" distL="114300" distR="114300" simplePos="0" relativeHeight="251660288" behindDoc="0" locked="0" layoutInCell="1" allowOverlap="1" wp14:anchorId="2E61F67A" wp14:editId="7F396FD2">
                <wp:simplePos x="0" y="0"/>
                <wp:positionH relativeFrom="column">
                  <wp:posOffset>4016629</wp:posOffset>
                </wp:positionH>
                <wp:positionV relativeFrom="paragraph">
                  <wp:posOffset>1092860</wp:posOffset>
                </wp:positionV>
                <wp:extent cx="712128" cy="238760"/>
                <wp:effectExtent l="0" t="0" r="0" b="0"/>
                <wp:wrapNone/>
                <wp:docPr id="3"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128" cy="238760"/>
                        </a:xfrm>
                        <a:prstGeom prst="rect">
                          <a:avLst/>
                        </a:prstGeom>
                        <a:noFill/>
                        <a:ln w="6350">
                          <a:noFill/>
                        </a:ln>
                        <a:effectLst/>
                      </wps:spPr>
                      <wps:txbx>
                        <w:txbxContent>
                          <w:p w:rsidR="00DF0748" w:rsidRPr="004440C2" w:rsidRDefault="00DF0748" w:rsidP="00DF0748">
                            <w:pPr>
                              <w:spacing w:before="0" w:after="120"/>
                              <w:ind w:left="-113"/>
                              <w:rPr>
                                <w:rFonts w:cs="Calibri"/>
                                <w:b/>
                                <w:bCs/>
                                <w:sz w:val="18"/>
                                <w:szCs w:val="18"/>
                                <w:shd w:val="pct15" w:color="auto" w:fill="FFFFFF"/>
                                <w:lang w:val="fr-CH"/>
                              </w:rPr>
                            </w:pPr>
                            <w:r w:rsidRPr="004440C2">
                              <w:rPr>
                                <w:rFonts w:cs="Calibri"/>
                                <w:b/>
                                <w:bCs/>
                                <w:color w:val="FFFFFF" w:themeColor="background1"/>
                                <w:sz w:val="18"/>
                                <w:szCs w:val="18"/>
                                <w:shd w:val="pct15" w:color="auto" w:fill="FFFFFF"/>
                                <w:lang w:val="fr-CH"/>
                              </w:rPr>
                              <w:t xml:space="preserve"> Inclusion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1F67A" id="_x0000_s1028" type="#_x0000_t202" style="position:absolute;left:0;text-align:left;margin-left:316.25pt;margin-top:86.05pt;width:56.0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" filled="f" stroked="f" strokeweight=".5pt">
                <v:path arrowok="t"/>
                <v:textbox>
                  <w:txbxContent>
                    <w:p w:rsidR="00DF0748" w:rsidRPr="004440C2" w:rsidRDefault="00DF0748" w:rsidP="00DF0748">
                      <w:pPr>
                        <w:spacing w:before="0" w:after="120"/>
                        <w:ind w:left="-113"/>
                        <w:rPr>
                          <w:rFonts w:cs="Calibri"/>
                          <w:b/>
                          <w:bCs/>
                          <w:sz w:val="18"/>
                          <w:szCs w:val="18"/>
                          <w:shd w:val="pct15" w:color="auto" w:fill="FFFFFF"/>
                          <w:lang w:val="fr-CH"/>
                        </w:rPr>
                      </w:pPr>
                      <w:r w:rsidRPr="004440C2">
                        <w:rPr>
                          <w:rFonts w:cs="Calibri"/>
                          <w:b/>
                          <w:bCs/>
                          <w:color w:val="FFFFFF" w:themeColor="background1"/>
                          <w:sz w:val="18"/>
                          <w:szCs w:val="18"/>
                          <w:shd w:val="pct15" w:color="auto" w:fill="FFFFFF"/>
                          <w:lang w:val="fr-CH"/>
                        </w:rPr>
                        <w:t xml:space="preserve"> Inclusion </w:t>
                      </w:r>
                    </w:p>
                  </w:txbxContent>
                </v:textbox>
              </v:shape>
            </w:pict>
          </mc:Fallback>
        </mc:AlternateContent>
      </w:r>
      <w:r w:rsidRPr="007F4668">
        <w:rPr>
          <w:noProof/>
          <w:lang w:val="en-US" w:eastAsia="zh-CN"/>
        </w:rPr>
        <mc:AlternateContent>
          <mc:Choice Requires="wps">
            <w:drawing>
              <wp:anchor distT="0" distB="0" distL="114300" distR="114300" simplePos="0" relativeHeight="251661312" behindDoc="0" locked="0" layoutInCell="1" allowOverlap="1" wp14:anchorId="6CB55179" wp14:editId="03037264">
                <wp:simplePos x="0" y="0"/>
                <wp:positionH relativeFrom="column">
                  <wp:posOffset>5056505</wp:posOffset>
                </wp:positionH>
                <wp:positionV relativeFrom="paragraph">
                  <wp:posOffset>1102639</wp:posOffset>
                </wp:positionV>
                <wp:extent cx="743803" cy="238760"/>
                <wp:effectExtent l="0" t="0" r="0" b="0"/>
                <wp:wrapNone/>
                <wp:docPr id="5"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3803" cy="238760"/>
                        </a:xfrm>
                        <a:prstGeom prst="rect">
                          <a:avLst/>
                        </a:prstGeom>
                        <a:noFill/>
                        <a:ln w="6350">
                          <a:noFill/>
                        </a:ln>
                        <a:effectLst/>
                      </wps:spPr>
                      <wps:txbx>
                        <w:txbxContent>
                          <w:p w:rsidR="00DF0748" w:rsidRPr="00AB7EFD" w:rsidRDefault="00DF0748" w:rsidP="00DF0748">
                            <w:pPr>
                              <w:spacing w:before="0" w:after="120"/>
                              <w:ind w:left="-113"/>
                              <w:rPr>
                                <w:rFonts w:cs="Calibri"/>
                                <w:b/>
                                <w:bCs/>
                                <w:sz w:val="18"/>
                                <w:szCs w:val="18"/>
                                <w:lang w:val="fr-CH"/>
                              </w:rPr>
                            </w:pPr>
                            <w:r>
                              <w:rPr>
                                <w:rFonts w:cs="Calibri"/>
                                <w:b/>
                                <w:bCs/>
                                <w:color w:val="FFFFFF" w:themeColor="background1"/>
                                <w:sz w:val="18"/>
                                <w:szCs w:val="18"/>
                                <w:shd w:val="pct15" w:color="auto" w:fill="FFFFFF"/>
                                <w:lang w:val="fr-CH"/>
                              </w:rPr>
                              <w:t xml:space="preserve"> Durabilité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55179" id="_x0000_s1029" type="#_x0000_t202" style="position:absolute;left:0;text-align:left;margin-left:398.15pt;margin-top:86.8pt;width:58.5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" filled="f" stroked="f" strokeweight=".5pt">
                <v:path arrowok="t"/>
                <v:textbox>
                  <w:txbxContent>
                    <w:p w:rsidR="00DF0748" w:rsidRPr="00AB7EFD" w:rsidRDefault="00DF0748" w:rsidP="00DF0748">
                      <w:pPr>
                        <w:spacing w:before="0" w:after="120"/>
                        <w:ind w:left="-113"/>
                        <w:rPr>
                          <w:rFonts w:cs="Calibri"/>
                          <w:b/>
                          <w:bCs/>
                          <w:sz w:val="18"/>
                          <w:szCs w:val="18"/>
                          <w:lang w:val="fr-CH"/>
                        </w:rPr>
                      </w:pPr>
                      <w:r>
                        <w:rPr>
                          <w:rFonts w:cs="Calibri"/>
                          <w:b/>
                          <w:bCs/>
                          <w:color w:val="FFFFFF" w:themeColor="background1"/>
                          <w:sz w:val="18"/>
                          <w:szCs w:val="18"/>
                          <w:shd w:val="pct15" w:color="auto" w:fill="FFFFFF"/>
                          <w:lang w:val="fr-CH"/>
                        </w:rPr>
                        <w:t xml:space="preserve"> Durabilité </w:t>
                      </w:r>
                    </w:p>
                  </w:txbxContent>
                </v:textbox>
              </v:shape>
            </w:pict>
          </mc:Fallback>
        </mc:AlternateContent>
      </w:r>
      <w:r w:rsidRPr="007F4668">
        <w:rPr>
          <w:noProof/>
          <w:lang w:val="en-US" w:eastAsia="zh-CN"/>
        </w:rPr>
        <mc:AlternateContent>
          <mc:Choice Requires="wps">
            <w:drawing>
              <wp:anchor distT="0" distB="0" distL="114300" distR="114300" simplePos="0" relativeHeight="251659264" behindDoc="0" locked="0" layoutInCell="1" allowOverlap="1" wp14:anchorId="75DAB9B8" wp14:editId="6313BFF4">
                <wp:simplePos x="0" y="0"/>
                <wp:positionH relativeFrom="column">
                  <wp:posOffset>2883281</wp:posOffset>
                </wp:positionH>
                <wp:positionV relativeFrom="paragraph">
                  <wp:posOffset>1095146</wp:posOffset>
                </wp:positionV>
                <wp:extent cx="718820" cy="238760"/>
                <wp:effectExtent l="0" t="0" r="0" b="0"/>
                <wp:wrapNone/>
                <wp:docPr id="1345"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8820" cy="238760"/>
                        </a:xfrm>
                        <a:prstGeom prst="rect">
                          <a:avLst/>
                        </a:prstGeom>
                        <a:noFill/>
                        <a:ln w="6350">
                          <a:noFill/>
                        </a:ln>
                        <a:effectLst/>
                      </wps:spPr>
                      <wps:txbx>
                        <w:txbxContent>
                          <w:p w:rsidR="00DF0748" w:rsidRPr="00AB7EFD" w:rsidRDefault="00DF0748" w:rsidP="00DF0748">
                            <w:pPr>
                              <w:spacing w:before="0" w:after="120"/>
                              <w:ind w:left="-113"/>
                              <w:rPr>
                                <w:rFonts w:cs="Calibri"/>
                                <w:b/>
                                <w:bCs/>
                                <w:sz w:val="18"/>
                                <w:szCs w:val="18"/>
                                <w:lang w:val="fr-CH"/>
                              </w:rPr>
                            </w:pPr>
                            <w:r>
                              <w:rPr>
                                <w:rFonts w:cs="Calibri"/>
                                <w:b/>
                                <w:bCs/>
                                <w:color w:val="FFFFFF" w:themeColor="background1"/>
                                <w:sz w:val="18"/>
                                <w:szCs w:val="18"/>
                                <w:shd w:val="pct15" w:color="auto" w:fill="FFFFFF"/>
                                <w:lang w:val="fr-CH"/>
                              </w:rPr>
                              <w:t xml:space="preserve"> </w:t>
                            </w:r>
                            <w:r w:rsidRPr="00AB7EFD">
                              <w:rPr>
                                <w:rFonts w:cs="Calibri"/>
                                <w:b/>
                                <w:bCs/>
                                <w:color w:val="FFFFFF" w:themeColor="background1"/>
                                <w:sz w:val="18"/>
                                <w:szCs w:val="18"/>
                                <w:shd w:val="pct15" w:color="auto" w:fill="FFFFFF"/>
                                <w:lang w:val="fr-CH"/>
                              </w:rPr>
                              <w:t>Croissance</w:t>
                            </w:r>
                            <w:r>
                              <w:rPr>
                                <w:rFonts w:cs="Calibri"/>
                                <w:b/>
                                <w:bCs/>
                                <w:color w:val="FFFFFF" w:themeColor="background1"/>
                                <w:sz w:val="18"/>
                                <w:szCs w:val="18"/>
                                <w:shd w:val="pct15" w:color="auto" w:fill="FFFFFF"/>
                                <w:lang w:val="fr-C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AB9B8" id="_x0000_s1030" type="#_x0000_t202" style="position:absolute;left:0;text-align:left;margin-left:227.05pt;margin-top:86.25pt;width:56.6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" filled="f" stroked="f" strokeweight=".5pt">
                <v:path arrowok="t"/>
                <v:textbox>
                  <w:txbxContent>
                    <w:p w:rsidR="00DF0748" w:rsidRPr="00AB7EFD" w:rsidRDefault="00DF0748" w:rsidP="00DF0748">
                      <w:pPr>
                        <w:spacing w:before="0" w:after="120"/>
                        <w:ind w:left="-113"/>
                        <w:rPr>
                          <w:rFonts w:cs="Calibri"/>
                          <w:b/>
                          <w:bCs/>
                          <w:sz w:val="18"/>
                          <w:szCs w:val="18"/>
                          <w:lang w:val="fr-CH"/>
                        </w:rPr>
                      </w:pPr>
                      <w:r>
                        <w:rPr>
                          <w:rFonts w:cs="Calibri"/>
                          <w:b/>
                          <w:bCs/>
                          <w:color w:val="FFFFFF" w:themeColor="background1"/>
                          <w:sz w:val="18"/>
                          <w:szCs w:val="18"/>
                          <w:shd w:val="pct15" w:color="auto" w:fill="FFFFFF"/>
                          <w:lang w:val="fr-CH"/>
                        </w:rPr>
                        <w:t xml:space="preserve"> </w:t>
                      </w:r>
                      <w:r w:rsidRPr="00AB7EFD">
                        <w:rPr>
                          <w:rFonts w:cs="Calibri"/>
                          <w:b/>
                          <w:bCs/>
                          <w:color w:val="FFFFFF" w:themeColor="background1"/>
                          <w:sz w:val="18"/>
                          <w:szCs w:val="18"/>
                          <w:shd w:val="pct15" w:color="auto" w:fill="FFFFFF"/>
                          <w:lang w:val="fr-CH"/>
                        </w:rPr>
                        <w:t>Croissance</w:t>
                      </w:r>
                      <w:r>
                        <w:rPr>
                          <w:rFonts w:cs="Calibri"/>
                          <w:b/>
                          <w:bCs/>
                          <w:color w:val="FFFFFF" w:themeColor="background1"/>
                          <w:sz w:val="18"/>
                          <w:szCs w:val="18"/>
                          <w:shd w:val="pct15" w:color="auto" w:fill="FFFFFF"/>
                          <w:lang w:val="fr-CH"/>
                        </w:rPr>
                        <w:t xml:space="preserve"> </w:t>
                      </w:r>
                    </w:p>
                  </w:txbxContent>
                </v:textbox>
              </v:shape>
            </w:pict>
          </mc:Fallback>
        </mc:AlternateContent>
      </w:r>
      <w:r>
        <w:object w:dxaOrig="7182" w:dyaOrig="5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02.85pt;height:337.55pt" o:ole="">
            <v:imagedata r:id="rId21" o:title="" croptop="13060f" cropbottom="1375f" cropleft="4138f" cropright="3414f"/>
          </v:shape>
          <o:OLEObject Type="Embed" ProgID="PowerPoint.Slide.12" ShapeID="_x0000_i1050" DrawAspect="Content" ObjectID="_1491996950" r:id="rId22"/>
        </w:object>
      </w:r>
      <w:r w:rsidR="0092458E" w:rsidRPr="007F4668">
        <w:br w:type="page"/>
      </w:r>
    </w:p>
    <w:p w:rsidR="0092458E" w:rsidRPr="007F4668" w:rsidRDefault="0092458E" w:rsidP="00291C41">
      <w:pPr>
        <w:pStyle w:val="Heading1"/>
      </w:pPr>
      <w:r w:rsidRPr="007F4668">
        <w:lastRenderedPageBreak/>
        <w:t>2</w:t>
      </w:r>
      <w:r w:rsidRPr="007F4668">
        <w:tab/>
      </w:r>
      <w:r w:rsidRPr="00291C41">
        <w:t>Contexte</w:t>
      </w:r>
      <w:r w:rsidRPr="007F4668">
        <w:t xml:space="preserve"> et priorités essentielles du Secrétariat général</w:t>
      </w:r>
    </w:p>
    <w:p w:rsidR="0092458E" w:rsidRPr="007F4668" w:rsidRDefault="0092458E" w:rsidP="00DF0748">
      <w:r w:rsidRPr="007F4668">
        <w:t>La période couverte par le présent Plan opérationnel correspond à la période du Plan stratégique de l'Union qui vient d'être adopté pour la période 2016</w:t>
      </w:r>
      <w:r w:rsidRPr="007F4668">
        <w:noBreakHyphen/>
        <w:t xml:space="preserve">2019. Par voie de conséquence, les priorités essentielles pour le Secrétariat général </w:t>
      </w:r>
      <w:r>
        <w:t xml:space="preserve">découlent </w:t>
      </w:r>
      <w:r w:rsidRPr="007F4668">
        <w:t>de son rôle qui consiste à appuyer et permettre la réalisation des activités sectorielles et intersectoriel</w:t>
      </w:r>
      <w:r>
        <w:t>le</w:t>
      </w:r>
      <w:r w:rsidRPr="007F4668">
        <w:t>s en vue d'atteindre les objectifs et les buts stratégiques de l'Union.</w:t>
      </w:r>
    </w:p>
    <w:p w:rsidR="0092458E" w:rsidRPr="007F4668" w:rsidRDefault="0092458E" w:rsidP="00DF0748">
      <w:r w:rsidRPr="007F4668">
        <w:t xml:space="preserve">Par ailleurs, en raison des restrictions budgétaires, il faudra gagner en efficacité pour mettre en oeuvre toutes les activités prévues tout en fournissant aux membres des services de très </w:t>
      </w:r>
      <w:r>
        <w:t>grande</w:t>
      </w:r>
      <w:r w:rsidRPr="007F4668">
        <w:t xml:space="preserve"> qualité. Pour </w:t>
      </w:r>
      <w:r>
        <w:t xml:space="preserve">mettre </w:t>
      </w:r>
      <w:r w:rsidRPr="007F4668">
        <w:t>en oe</w:t>
      </w:r>
      <w:r>
        <w:t>uvre le</w:t>
      </w:r>
      <w:r w:rsidRPr="007F4668">
        <w:t xml:space="preserve"> Plan opérationnel, les grands axes du Secrétariat général seront les suivants: rationaliser pleinement la planification et le contrôle des activités ainsi que l'établissement de rapports concernant ces activités; suivre l'évolution de la mise en oeuvre du plan stratégique; continuer d'améliorer les politiques de mobilisation des ressources; maintenir et continuer d'améliorer les services liés aux conférences et aux publications qui sont fournis aux membres; </w:t>
      </w:r>
      <w:r>
        <w:t xml:space="preserve">optimiser l'intérêt des </w:t>
      </w:r>
      <w:r w:rsidRPr="007F4668">
        <w:t xml:space="preserve">informations </w:t>
      </w:r>
      <w:r>
        <w:t xml:space="preserve">de </w:t>
      </w:r>
      <w:r w:rsidRPr="007F4668">
        <w:t xml:space="preserve">l'UIT </w:t>
      </w:r>
      <w:r>
        <w:t>pour les</w:t>
      </w:r>
      <w:r w:rsidRPr="007F4668">
        <w:t xml:space="preserve"> membres et </w:t>
      </w:r>
      <w:r>
        <w:t xml:space="preserve">la communauté mondiale </w:t>
      </w:r>
      <w:r w:rsidRPr="007F4668">
        <w:t>des TIC; faire mieux comprendre le rôle que joue l'UIT et promouvoir les activités et la mission de l'Union auprès des principales parties prenantes; améliorer la disponibilité et la fonctionnalité des infrastructures et des services TIC; faire en sorte que les activités sectorielles apportent une valeur ajoutée; et encourager l'innovation grâce aux efforts déployés par les Secteurs pour promouvoir un écosystème suffisamment propice à l'innovation et s'adapter à l'évolution de l'environnement des télécommunications/TIC.</w:t>
      </w:r>
    </w:p>
    <w:p w:rsidR="0092458E" w:rsidRDefault="0092458E" w:rsidP="00DF0748">
      <w:pPr>
        <w:rPr>
          <w:color w:val="000000"/>
        </w:rPr>
      </w:pPr>
      <w:r w:rsidRPr="007F4668">
        <w:rPr>
          <w:color w:val="000000"/>
        </w:rPr>
        <w:t>Les efforts visant à moderniser les pratiques de gestion se poursuivront pendant cette période dans l'ensemble du Secrétariat général, parallèlement à l'amélioration de l'organisation axée sur les résultats, y compris l'harmonisation des processus de planification opérationnelle, financière/budgétaire et stratégique</w:t>
      </w:r>
      <w:r>
        <w:rPr>
          <w:color w:val="000000"/>
        </w:rPr>
        <w:t>.</w:t>
      </w:r>
    </w:p>
    <w:p w:rsidR="00291C41" w:rsidRDefault="00291C41" w:rsidP="00291C41">
      <w:r>
        <w:br w:type="page"/>
      </w:r>
    </w:p>
    <w:p w:rsidR="0092458E" w:rsidRPr="007F4668" w:rsidRDefault="0092458E" w:rsidP="00B94C7E">
      <w:pPr>
        <w:pStyle w:val="Heading1"/>
      </w:pPr>
      <w:r w:rsidRPr="007F4668">
        <w:lastRenderedPageBreak/>
        <w:t>3</w:t>
      </w:r>
      <w:r w:rsidRPr="007F4668">
        <w:tab/>
        <w:t xml:space="preserve">Appui </w:t>
      </w:r>
      <w:r w:rsidRPr="00B94C7E">
        <w:t>fourni</w:t>
      </w:r>
      <w:r w:rsidRPr="007F4668">
        <w:t xml:space="preserve"> par le Secrétariat général au cadre de présentation des résultats de l'UIT pour la période 2016-2019</w:t>
      </w:r>
    </w:p>
    <w:p w:rsidR="0092458E" w:rsidRPr="007F4668" w:rsidRDefault="0092458E" w:rsidP="00DF0748">
      <w:pPr>
        <w:pStyle w:val="Heading2"/>
        <w:spacing w:after="120"/>
      </w:pPr>
      <w:r w:rsidRPr="007F4668">
        <w:t>3.1</w:t>
      </w:r>
      <w:r w:rsidRPr="007F4668">
        <w:tab/>
      </w:r>
      <w:r>
        <w:t>Lien</w:t>
      </w:r>
      <w:r w:rsidRPr="007F4668">
        <w:t xml:space="preserve"> avec les buts stratégiques de l'UIT</w:t>
      </w:r>
      <w:r w:rsidRPr="007F4668">
        <w:rPr>
          <w:rStyle w:val="FootnoteReference"/>
        </w:rPr>
        <w:footnoteReference w:id="1"/>
      </w:r>
    </w:p>
    <w:tbl>
      <w:tblPr>
        <w:tblW w:w="14737" w:type="dxa"/>
        <w:tblLayout w:type="fixed"/>
        <w:tblLook w:val="0620" w:firstRow="1" w:lastRow="0" w:firstColumn="0" w:lastColumn="0" w:noHBand="1" w:noVBand="1"/>
      </w:tblPr>
      <w:tblGrid>
        <w:gridCol w:w="7366"/>
        <w:gridCol w:w="1842"/>
        <w:gridCol w:w="1843"/>
        <w:gridCol w:w="1843"/>
        <w:gridCol w:w="1843"/>
      </w:tblGrid>
      <w:tr w:rsidR="0092458E" w:rsidRPr="007F4668" w:rsidTr="00DF0748">
        <w:trPr>
          <w:trHeight w:val="72"/>
        </w:trPr>
        <w:tc>
          <w:tcPr>
            <w:tcW w:w="7366" w:type="dxa"/>
            <w:vAlign w:val="center"/>
            <w:hideMark/>
          </w:tcPr>
          <w:p w:rsidR="0092458E" w:rsidRPr="007F4668" w:rsidRDefault="0092458E" w:rsidP="00DF0748">
            <w:pPr>
              <w:pStyle w:val="Tablehead"/>
              <w:spacing w:before="20" w:after="20"/>
            </w:pPr>
            <w:r w:rsidRPr="007F4668">
              <w:t>Objectifs intersectoriels</w:t>
            </w:r>
          </w:p>
        </w:tc>
        <w:tc>
          <w:tcPr>
            <w:tcW w:w="1842" w:type="dxa"/>
            <w:vAlign w:val="center"/>
          </w:tcPr>
          <w:p w:rsidR="0092458E" w:rsidRPr="007F4668" w:rsidRDefault="0092458E" w:rsidP="00DF0748">
            <w:pPr>
              <w:pStyle w:val="Tablehead"/>
              <w:spacing w:before="20" w:after="20"/>
              <w:rPr>
                <w:b w:val="0"/>
              </w:rPr>
            </w:pPr>
            <w:r w:rsidRPr="007F4668">
              <w:t>Objectif 1: croissance</w:t>
            </w:r>
          </w:p>
        </w:tc>
        <w:tc>
          <w:tcPr>
            <w:tcW w:w="1843" w:type="dxa"/>
            <w:vAlign w:val="center"/>
          </w:tcPr>
          <w:p w:rsidR="0092458E" w:rsidRPr="007F4668" w:rsidRDefault="0092458E" w:rsidP="00DF0748">
            <w:pPr>
              <w:pStyle w:val="Tablehead"/>
              <w:spacing w:before="20" w:after="20"/>
            </w:pPr>
            <w:r w:rsidRPr="007F4668">
              <w:t>Objectif 2: inclusion</w:t>
            </w:r>
          </w:p>
        </w:tc>
        <w:tc>
          <w:tcPr>
            <w:tcW w:w="1843" w:type="dxa"/>
            <w:vAlign w:val="center"/>
          </w:tcPr>
          <w:p w:rsidR="0092458E" w:rsidRPr="007F4668" w:rsidRDefault="0092458E" w:rsidP="00DF0748">
            <w:pPr>
              <w:pStyle w:val="Tablehead"/>
              <w:spacing w:before="20" w:after="20"/>
            </w:pPr>
            <w:r w:rsidRPr="007F4668">
              <w:t>Objectif 3: durabilité</w:t>
            </w:r>
          </w:p>
        </w:tc>
        <w:tc>
          <w:tcPr>
            <w:tcW w:w="1843" w:type="dxa"/>
            <w:vAlign w:val="center"/>
          </w:tcPr>
          <w:p w:rsidR="0092458E" w:rsidRPr="007F4668" w:rsidRDefault="0092458E" w:rsidP="00DF0748">
            <w:pPr>
              <w:pStyle w:val="Tablehead"/>
              <w:spacing w:before="20" w:after="20"/>
            </w:pPr>
            <w:r w:rsidRPr="007F4668">
              <w:t>Objectif 4: innovation et partenariats</w:t>
            </w:r>
          </w:p>
        </w:tc>
      </w:tr>
      <w:tr w:rsidR="0092458E" w:rsidRPr="007F4668" w:rsidTr="00DF0748">
        <w:trPr>
          <w:trHeight w:val="72"/>
        </w:trPr>
        <w:tc>
          <w:tcPr>
            <w:tcW w:w="7366" w:type="dxa"/>
            <w:hideMark/>
          </w:tcPr>
          <w:p w:rsidR="0092458E" w:rsidRPr="00F3043B" w:rsidRDefault="0092458E" w:rsidP="00DF0748">
            <w:pPr>
              <w:pStyle w:val="Tabletext"/>
              <w:spacing w:before="20" w:after="20"/>
              <w:rPr>
                <w:lang w:val="fr-CH"/>
              </w:rPr>
            </w:pPr>
            <w:r w:rsidRPr="00F3043B">
              <w:rPr>
                <w:b/>
                <w:bCs/>
                <w:color w:val="4F81BD" w:themeColor="accent1"/>
                <w:lang w:val="fr-CH"/>
              </w:rPr>
              <w:t xml:space="preserve">I.1 </w:t>
            </w:r>
            <w:r w:rsidRPr="00F3043B">
              <w:rPr>
                <w:lang w:val="fr-CH"/>
              </w:rPr>
              <w:t>Renforcer le dialogue international entre les parties prenantes</w:t>
            </w:r>
          </w:p>
        </w:tc>
        <w:tc>
          <w:tcPr>
            <w:tcW w:w="1842" w:type="dxa"/>
            <w:vAlign w:val="center"/>
            <w:hideMark/>
          </w:tcPr>
          <w:p w:rsidR="0092458E" w:rsidRPr="007F4668" w:rsidRDefault="0092458E" w:rsidP="00DF0748">
            <w:pPr>
              <w:pStyle w:val="Tabletext"/>
              <w:spacing w:before="20" w:after="20"/>
              <w:jc w:val="center"/>
              <w:rPr>
                <w:b/>
              </w:rPr>
            </w:pPr>
            <w:r w:rsidRPr="007F4668">
              <w:sym w:font="Wingdings 2" w:char="F050"/>
            </w:r>
          </w:p>
        </w:tc>
        <w:tc>
          <w:tcPr>
            <w:tcW w:w="1843" w:type="dxa"/>
            <w:vAlign w:val="center"/>
            <w:hideMark/>
          </w:tcPr>
          <w:p w:rsidR="0092458E" w:rsidRPr="007F4668" w:rsidRDefault="0092458E" w:rsidP="00DF0748">
            <w:pPr>
              <w:pStyle w:val="Tabletext"/>
              <w:spacing w:before="20" w:after="20"/>
              <w:jc w:val="center"/>
            </w:pPr>
            <w:r w:rsidRPr="007F4668">
              <w:sym w:font="Wingdings 2" w:char="F050"/>
            </w:r>
          </w:p>
        </w:tc>
        <w:tc>
          <w:tcPr>
            <w:tcW w:w="1843" w:type="dxa"/>
            <w:vAlign w:val="center"/>
            <w:hideMark/>
          </w:tcPr>
          <w:p w:rsidR="0092458E" w:rsidRPr="007F4668" w:rsidRDefault="0092458E" w:rsidP="00DF0748">
            <w:pPr>
              <w:pStyle w:val="Tabletext"/>
              <w:spacing w:before="20" w:after="20"/>
              <w:jc w:val="center"/>
            </w:pPr>
            <w:r w:rsidRPr="007F4668">
              <w:sym w:font="Wingdings 2" w:char="F050"/>
            </w:r>
          </w:p>
        </w:tc>
        <w:tc>
          <w:tcPr>
            <w:tcW w:w="1843" w:type="dxa"/>
            <w:vAlign w:val="center"/>
            <w:hideMark/>
          </w:tcPr>
          <w:p w:rsidR="0092458E" w:rsidRPr="007F4668" w:rsidRDefault="0092458E" w:rsidP="00DF0748">
            <w:pPr>
              <w:pStyle w:val="Tabletext"/>
              <w:spacing w:before="20" w:after="20"/>
              <w:jc w:val="center"/>
            </w:pPr>
            <w:r w:rsidRPr="007F4668">
              <w:rPr>
                <w:b/>
              </w:rPr>
              <w:sym w:font="Wingdings 2" w:char="F052"/>
            </w:r>
          </w:p>
        </w:tc>
      </w:tr>
      <w:tr w:rsidR="0092458E" w:rsidRPr="007F4668" w:rsidTr="00DF0748">
        <w:trPr>
          <w:trHeight w:val="72"/>
        </w:trPr>
        <w:tc>
          <w:tcPr>
            <w:tcW w:w="7366" w:type="dxa"/>
            <w:hideMark/>
          </w:tcPr>
          <w:p w:rsidR="0092458E" w:rsidRPr="00F3043B" w:rsidRDefault="0092458E" w:rsidP="00DF0748">
            <w:pPr>
              <w:pStyle w:val="Tabletext"/>
              <w:spacing w:before="20" w:after="20"/>
              <w:rPr>
                <w:lang w:val="fr-CH"/>
              </w:rPr>
            </w:pPr>
            <w:r w:rsidRPr="00F3043B">
              <w:rPr>
                <w:b/>
                <w:bCs/>
                <w:color w:val="4F81BD" w:themeColor="accent1"/>
                <w:lang w:val="fr-CH"/>
              </w:rPr>
              <w:t xml:space="preserve">I.2 </w:t>
            </w:r>
            <w:r w:rsidRPr="00F3043B">
              <w:rPr>
                <w:lang w:val="fr-CH"/>
              </w:rPr>
              <w:t xml:space="preserve">Renforcer les partenariats et la coopération dans l'environnement des télécommunications/TIC </w:t>
            </w:r>
          </w:p>
        </w:tc>
        <w:tc>
          <w:tcPr>
            <w:tcW w:w="1842" w:type="dxa"/>
            <w:vAlign w:val="center"/>
          </w:tcPr>
          <w:p w:rsidR="0092458E" w:rsidRPr="007F4668" w:rsidRDefault="0092458E" w:rsidP="00DF0748">
            <w:pPr>
              <w:pStyle w:val="Tabletext"/>
              <w:spacing w:before="20" w:after="20"/>
              <w:jc w:val="center"/>
              <w:rPr>
                <w:bCs/>
              </w:rPr>
            </w:pPr>
            <w:r w:rsidRPr="007F4668">
              <w:sym w:font="Wingdings 2" w:char="F050"/>
            </w:r>
          </w:p>
        </w:tc>
        <w:tc>
          <w:tcPr>
            <w:tcW w:w="1843" w:type="dxa"/>
            <w:vAlign w:val="center"/>
            <w:hideMark/>
          </w:tcPr>
          <w:p w:rsidR="0092458E" w:rsidRPr="007F4668" w:rsidRDefault="0092458E" w:rsidP="00DF0748">
            <w:pPr>
              <w:pStyle w:val="Tabletext"/>
              <w:spacing w:before="20" w:after="20"/>
              <w:jc w:val="center"/>
              <w:rPr>
                <w:b/>
              </w:rPr>
            </w:pPr>
            <w:r w:rsidRPr="007F4668">
              <w:sym w:font="Wingdings 2" w:char="F050"/>
            </w:r>
          </w:p>
        </w:tc>
        <w:tc>
          <w:tcPr>
            <w:tcW w:w="1843" w:type="dxa"/>
            <w:vAlign w:val="center"/>
          </w:tcPr>
          <w:p w:rsidR="0092458E" w:rsidRPr="007F4668" w:rsidRDefault="0092458E" w:rsidP="00DF0748">
            <w:pPr>
              <w:pStyle w:val="Tabletext"/>
              <w:spacing w:before="20" w:after="20"/>
              <w:jc w:val="center"/>
            </w:pPr>
            <w:r w:rsidRPr="007F4668">
              <w:sym w:font="Wingdings 2" w:char="F050"/>
            </w:r>
          </w:p>
        </w:tc>
        <w:tc>
          <w:tcPr>
            <w:tcW w:w="1843" w:type="dxa"/>
            <w:vAlign w:val="center"/>
          </w:tcPr>
          <w:p w:rsidR="0092458E" w:rsidRPr="007F4668" w:rsidRDefault="0092458E" w:rsidP="00DF0748">
            <w:pPr>
              <w:pStyle w:val="Tabletext"/>
              <w:spacing w:before="20" w:after="20"/>
              <w:jc w:val="center"/>
            </w:pPr>
            <w:r w:rsidRPr="007F4668">
              <w:rPr>
                <w:b/>
              </w:rPr>
              <w:sym w:font="Wingdings 2" w:char="F052"/>
            </w:r>
          </w:p>
        </w:tc>
      </w:tr>
      <w:tr w:rsidR="0092458E" w:rsidRPr="007F4668" w:rsidTr="00DF0748">
        <w:trPr>
          <w:trHeight w:val="231"/>
        </w:trPr>
        <w:tc>
          <w:tcPr>
            <w:tcW w:w="7366" w:type="dxa"/>
            <w:hideMark/>
          </w:tcPr>
          <w:p w:rsidR="0092458E" w:rsidRPr="00F3043B" w:rsidRDefault="0092458E" w:rsidP="00DF0748">
            <w:pPr>
              <w:pStyle w:val="Tabletext"/>
              <w:spacing w:before="20" w:after="20"/>
              <w:rPr>
                <w:lang w:val="fr-CH"/>
              </w:rPr>
            </w:pPr>
            <w:r w:rsidRPr="00F3043B">
              <w:rPr>
                <w:b/>
                <w:bCs/>
                <w:color w:val="4F81BD" w:themeColor="accent1"/>
                <w:lang w:val="fr-CH"/>
              </w:rPr>
              <w:t xml:space="preserve">I.3 </w:t>
            </w:r>
            <w:r w:rsidRPr="00F3043B">
              <w:rPr>
                <w:lang w:val="fr-CH"/>
              </w:rPr>
              <w:t xml:space="preserve">Améliorer l'identification et l'analyse des nouvelles tendances dans l'environnement des télécommunications/TIC </w:t>
            </w:r>
          </w:p>
        </w:tc>
        <w:tc>
          <w:tcPr>
            <w:tcW w:w="1842" w:type="dxa"/>
            <w:vAlign w:val="center"/>
            <w:hideMark/>
          </w:tcPr>
          <w:p w:rsidR="0092458E" w:rsidRPr="007F4668" w:rsidRDefault="0092458E" w:rsidP="00DF0748">
            <w:pPr>
              <w:pStyle w:val="Tabletext"/>
              <w:spacing w:before="20" w:after="20"/>
              <w:jc w:val="center"/>
              <w:rPr>
                <w:b/>
              </w:rPr>
            </w:pPr>
            <w:r w:rsidRPr="007F4668">
              <w:sym w:font="Wingdings 2" w:char="F050"/>
            </w:r>
          </w:p>
        </w:tc>
        <w:tc>
          <w:tcPr>
            <w:tcW w:w="1843" w:type="dxa"/>
            <w:vAlign w:val="center"/>
            <w:hideMark/>
          </w:tcPr>
          <w:p w:rsidR="0092458E" w:rsidRPr="007F4668" w:rsidRDefault="0092458E" w:rsidP="00DF0748">
            <w:pPr>
              <w:pStyle w:val="Tabletext"/>
              <w:spacing w:before="20" w:after="20"/>
              <w:jc w:val="center"/>
            </w:pPr>
            <w:r w:rsidRPr="007F4668">
              <w:sym w:font="Wingdings 2" w:char="F050"/>
            </w:r>
          </w:p>
        </w:tc>
        <w:tc>
          <w:tcPr>
            <w:tcW w:w="1843" w:type="dxa"/>
            <w:vAlign w:val="center"/>
            <w:hideMark/>
          </w:tcPr>
          <w:p w:rsidR="0092458E" w:rsidRPr="007F4668" w:rsidRDefault="0092458E" w:rsidP="00DF0748">
            <w:pPr>
              <w:pStyle w:val="Tabletext"/>
              <w:spacing w:before="20" w:after="20"/>
              <w:jc w:val="center"/>
            </w:pPr>
            <w:r w:rsidRPr="007F4668">
              <w:sym w:font="Wingdings 2" w:char="F050"/>
            </w:r>
          </w:p>
        </w:tc>
        <w:tc>
          <w:tcPr>
            <w:tcW w:w="1843" w:type="dxa"/>
            <w:vAlign w:val="center"/>
            <w:hideMark/>
          </w:tcPr>
          <w:p w:rsidR="0092458E" w:rsidRPr="007F4668" w:rsidRDefault="0092458E" w:rsidP="00DF0748">
            <w:pPr>
              <w:pStyle w:val="Tabletext"/>
              <w:spacing w:before="20" w:after="20"/>
              <w:jc w:val="center"/>
            </w:pPr>
            <w:r w:rsidRPr="007F4668">
              <w:rPr>
                <w:b/>
              </w:rPr>
              <w:sym w:font="Wingdings 2" w:char="F052"/>
            </w:r>
          </w:p>
        </w:tc>
      </w:tr>
      <w:tr w:rsidR="0092458E" w:rsidRPr="007F4668" w:rsidTr="00DF0748">
        <w:trPr>
          <w:trHeight w:val="231"/>
        </w:trPr>
        <w:tc>
          <w:tcPr>
            <w:tcW w:w="7366" w:type="dxa"/>
          </w:tcPr>
          <w:p w:rsidR="0092458E" w:rsidRPr="00F3043B" w:rsidRDefault="0092458E" w:rsidP="00DF0748">
            <w:pPr>
              <w:pStyle w:val="Tabletext"/>
              <w:spacing w:before="20" w:after="20"/>
              <w:rPr>
                <w:b/>
                <w:bCs/>
                <w:color w:val="4F81BD" w:themeColor="accent1"/>
                <w:lang w:val="fr-CH"/>
              </w:rPr>
            </w:pPr>
            <w:r w:rsidRPr="00F3043B">
              <w:rPr>
                <w:b/>
                <w:bCs/>
                <w:color w:val="4F81BD" w:themeColor="accent1"/>
                <w:lang w:val="fr-CH"/>
              </w:rPr>
              <w:t xml:space="preserve">I.4 </w:t>
            </w:r>
            <w:r w:rsidRPr="00F3043B">
              <w:rPr>
                <w:lang w:val="fr-CH"/>
              </w:rPr>
              <w:t xml:space="preserve">Promouvoir/mieux faire reconnaître (l'importance des) les télécommunications/TIC en tant que catalyseur essentiel du développement social, économique et écologiquement durable </w:t>
            </w:r>
          </w:p>
        </w:tc>
        <w:tc>
          <w:tcPr>
            <w:tcW w:w="1842" w:type="dxa"/>
            <w:vAlign w:val="center"/>
          </w:tcPr>
          <w:p w:rsidR="0092458E" w:rsidRPr="00F3043B" w:rsidRDefault="0092458E" w:rsidP="00DF0748">
            <w:pPr>
              <w:pStyle w:val="Tabletext"/>
              <w:spacing w:before="20" w:after="20"/>
              <w:jc w:val="center"/>
              <w:rPr>
                <w:b/>
                <w:lang w:val="fr-CH"/>
              </w:rPr>
            </w:pPr>
          </w:p>
        </w:tc>
        <w:tc>
          <w:tcPr>
            <w:tcW w:w="1843" w:type="dxa"/>
            <w:vAlign w:val="center"/>
          </w:tcPr>
          <w:p w:rsidR="0092458E" w:rsidRPr="007F4668" w:rsidRDefault="0092458E" w:rsidP="00DF0748">
            <w:pPr>
              <w:pStyle w:val="Tabletext"/>
              <w:spacing w:before="20" w:after="20"/>
              <w:jc w:val="center"/>
              <w:rPr>
                <w:b/>
              </w:rPr>
            </w:pPr>
            <w:r w:rsidRPr="007F4668">
              <w:rPr>
                <w:b/>
              </w:rPr>
              <w:sym w:font="Wingdings 2" w:char="F052"/>
            </w:r>
          </w:p>
        </w:tc>
        <w:tc>
          <w:tcPr>
            <w:tcW w:w="1843" w:type="dxa"/>
            <w:vAlign w:val="center"/>
          </w:tcPr>
          <w:p w:rsidR="0092458E" w:rsidRPr="007F4668" w:rsidRDefault="0092458E" w:rsidP="00DF0748">
            <w:pPr>
              <w:pStyle w:val="Tabletext"/>
              <w:spacing w:before="20" w:after="20"/>
              <w:jc w:val="center"/>
            </w:pPr>
            <w:r w:rsidRPr="007F4668">
              <w:rPr>
                <w:b/>
              </w:rPr>
              <w:sym w:font="Wingdings 2" w:char="F052"/>
            </w:r>
          </w:p>
        </w:tc>
        <w:tc>
          <w:tcPr>
            <w:tcW w:w="1843" w:type="dxa"/>
            <w:vAlign w:val="center"/>
          </w:tcPr>
          <w:p w:rsidR="0092458E" w:rsidRPr="007F4668" w:rsidRDefault="0092458E" w:rsidP="00DF0748">
            <w:pPr>
              <w:pStyle w:val="Tabletext"/>
              <w:spacing w:before="20" w:after="20"/>
              <w:jc w:val="center"/>
            </w:pPr>
          </w:p>
        </w:tc>
      </w:tr>
      <w:tr w:rsidR="0092458E" w:rsidRPr="007F4668" w:rsidTr="00DF0748">
        <w:trPr>
          <w:trHeight w:val="231"/>
        </w:trPr>
        <w:tc>
          <w:tcPr>
            <w:tcW w:w="7366" w:type="dxa"/>
            <w:tcBorders>
              <w:bottom w:val="single" w:sz="4" w:space="0" w:color="95B3D7" w:themeColor="accent1" w:themeTint="99"/>
            </w:tcBorders>
          </w:tcPr>
          <w:p w:rsidR="0092458E" w:rsidRPr="00F3043B" w:rsidRDefault="0092458E" w:rsidP="00DF0748">
            <w:pPr>
              <w:pStyle w:val="Tabletext"/>
              <w:spacing w:before="20" w:after="20"/>
              <w:rPr>
                <w:b/>
                <w:bCs/>
                <w:color w:val="4F81BD" w:themeColor="accent1"/>
                <w:lang w:val="fr-CH"/>
              </w:rPr>
            </w:pPr>
            <w:r w:rsidRPr="00F3043B">
              <w:rPr>
                <w:b/>
                <w:bCs/>
                <w:color w:val="4F81BD" w:themeColor="accent1"/>
                <w:lang w:val="fr-CH"/>
              </w:rPr>
              <w:t xml:space="preserve">I.5 </w:t>
            </w:r>
            <w:r w:rsidRPr="00F3043B">
              <w:rPr>
                <w:lang w:val="fr-CH"/>
              </w:rPr>
              <w:t>Améliorer l'accès aux télécommunications/TIC pour les personnes handicapées et pour les personnes ayant des besoins particuliers</w:t>
            </w:r>
          </w:p>
        </w:tc>
        <w:tc>
          <w:tcPr>
            <w:tcW w:w="1842" w:type="dxa"/>
            <w:tcBorders>
              <w:bottom w:val="single" w:sz="4" w:space="0" w:color="95B3D7" w:themeColor="accent1" w:themeTint="99"/>
            </w:tcBorders>
            <w:vAlign w:val="center"/>
          </w:tcPr>
          <w:p w:rsidR="0092458E" w:rsidRPr="00F3043B" w:rsidRDefault="0092458E" w:rsidP="00DF0748">
            <w:pPr>
              <w:pStyle w:val="Tabletext"/>
              <w:spacing w:before="20" w:after="20"/>
              <w:jc w:val="center"/>
              <w:rPr>
                <w:b/>
                <w:lang w:val="fr-CH"/>
              </w:rPr>
            </w:pPr>
          </w:p>
        </w:tc>
        <w:tc>
          <w:tcPr>
            <w:tcW w:w="1843" w:type="dxa"/>
            <w:tcBorders>
              <w:bottom w:val="single" w:sz="4" w:space="0" w:color="95B3D7" w:themeColor="accent1" w:themeTint="99"/>
            </w:tcBorders>
            <w:vAlign w:val="center"/>
          </w:tcPr>
          <w:p w:rsidR="0092458E" w:rsidRPr="007F4668" w:rsidRDefault="0092458E" w:rsidP="00DF0748">
            <w:pPr>
              <w:pStyle w:val="Tabletext"/>
              <w:spacing w:before="20" w:after="20"/>
              <w:jc w:val="center"/>
              <w:rPr>
                <w:b/>
              </w:rPr>
            </w:pPr>
            <w:r w:rsidRPr="007F4668">
              <w:rPr>
                <w:b/>
              </w:rPr>
              <w:sym w:font="Wingdings 2" w:char="F052"/>
            </w:r>
          </w:p>
        </w:tc>
        <w:tc>
          <w:tcPr>
            <w:tcW w:w="1843" w:type="dxa"/>
            <w:tcBorders>
              <w:bottom w:val="single" w:sz="4" w:space="0" w:color="95B3D7" w:themeColor="accent1" w:themeTint="99"/>
            </w:tcBorders>
            <w:vAlign w:val="center"/>
          </w:tcPr>
          <w:p w:rsidR="0092458E" w:rsidRPr="007F4668" w:rsidRDefault="0092458E" w:rsidP="00DF0748">
            <w:pPr>
              <w:pStyle w:val="Tabletext"/>
              <w:spacing w:before="20" w:after="20"/>
              <w:jc w:val="center"/>
            </w:pPr>
          </w:p>
        </w:tc>
        <w:tc>
          <w:tcPr>
            <w:tcW w:w="1843" w:type="dxa"/>
            <w:tcBorders>
              <w:bottom w:val="single" w:sz="4" w:space="0" w:color="95B3D7" w:themeColor="accent1" w:themeTint="99"/>
            </w:tcBorders>
            <w:vAlign w:val="center"/>
          </w:tcPr>
          <w:p w:rsidR="0092458E" w:rsidRPr="007F4668" w:rsidRDefault="0092458E" w:rsidP="00DF0748">
            <w:pPr>
              <w:pStyle w:val="Tabletext"/>
              <w:spacing w:before="20" w:after="20"/>
              <w:jc w:val="center"/>
            </w:pPr>
          </w:p>
        </w:tc>
      </w:tr>
      <w:tr w:rsidR="0092458E" w:rsidRPr="007F4668" w:rsidTr="00DF0748">
        <w:trPr>
          <w:trHeight w:val="435"/>
        </w:trPr>
        <w:tc>
          <w:tcPr>
            <w:tcW w:w="14737" w:type="dxa"/>
            <w:gridSpan w:val="5"/>
            <w:shd w:val="clear" w:color="auto" w:fill="4F81BD" w:themeFill="accent1"/>
            <w:vAlign w:val="center"/>
          </w:tcPr>
          <w:p w:rsidR="0092458E" w:rsidRPr="007F4668" w:rsidRDefault="0092458E" w:rsidP="00DF0748">
            <w:pPr>
              <w:pStyle w:val="Tabletext"/>
              <w:spacing w:before="20" w:after="20"/>
              <w:rPr>
                <w:b/>
              </w:rPr>
            </w:pPr>
            <w:r w:rsidRPr="007F4668">
              <w:rPr>
                <w:b/>
                <w:color w:val="FFFFFF" w:themeColor="background1"/>
              </w:rPr>
              <w:t>Catalyseurs</w:t>
            </w:r>
          </w:p>
        </w:tc>
      </w:tr>
      <w:tr w:rsidR="0092458E" w:rsidRPr="007F4668" w:rsidTr="00DF0748">
        <w:trPr>
          <w:trHeight w:val="72"/>
        </w:trPr>
        <w:tc>
          <w:tcPr>
            <w:tcW w:w="14737" w:type="dxa"/>
            <w:gridSpan w:val="5"/>
            <w:hideMark/>
          </w:tcPr>
          <w:p w:rsidR="0092458E" w:rsidRPr="00F3043B" w:rsidRDefault="0092458E" w:rsidP="00DF0748">
            <w:pPr>
              <w:pStyle w:val="Tabletext"/>
              <w:spacing w:before="20" w:after="20"/>
              <w:rPr>
                <w:lang w:val="fr-CH"/>
              </w:rPr>
            </w:pPr>
            <w:r w:rsidRPr="00F3043B">
              <w:rPr>
                <w:b/>
                <w:bCs/>
                <w:color w:val="4F81BD" w:themeColor="accent1"/>
                <w:lang w:val="fr-CH"/>
              </w:rPr>
              <w:t xml:space="preserve">E.1 </w:t>
            </w:r>
            <w:r w:rsidRPr="00F3043B">
              <w:rPr>
                <w:lang w:val="fr-CH"/>
              </w:rPr>
              <w:t xml:space="preserve">Veiller à l'utilisation efficace et efficiente des ressources humaines, financières et en capital et garantir un environnement de travail propice, sûr et sécurisé </w:t>
            </w:r>
          </w:p>
        </w:tc>
      </w:tr>
      <w:tr w:rsidR="0092458E" w:rsidRPr="007F4668" w:rsidTr="00DF0748">
        <w:trPr>
          <w:trHeight w:val="72"/>
        </w:trPr>
        <w:tc>
          <w:tcPr>
            <w:tcW w:w="14737" w:type="dxa"/>
            <w:gridSpan w:val="5"/>
            <w:hideMark/>
          </w:tcPr>
          <w:p w:rsidR="0092458E" w:rsidRPr="00F3043B" w:rsidRDefault="0092458E" w:rsidP="00DF0748">
            <w:pPr>
              <w:pStyle w:val="Tabletext"/>
              <w:spacing w:before="20" w:after="20"/>
              <w:rPr>
                <w:lang w:val="fr-CH"/>
              </w:rPr>
            </w:pPr>
            <w:r w:rsidRPr="00F3043B">
              <w:rPr>
                <w:b/>
                <w:bCs/>
                <w:color w:val="4F81BD" w:themeColor="accent1"/>
                <w:lang w:val="fr-CH"/>
              </w:rPr>
              <w:t xml:space="preserve">E.2 </w:t>
            </w:r>
            <w:r w:rsidRPr="00F3043B">
              <w:rPr>
                <w:lang w:val="fr-CH"/>
              </w:rPr>
              <w:t xml:space="preserve">Veiller à l'efficacité et à l'accessibilité des infrastructures (conférences, réunions, documentation, publications et information) </w:t>
            </w:r>
          </w:p>
        </w:tc>
      </w:tr>
      <w:tr w:rsidR="0092458E" w:rsidRPr="007F4668" w:rsidTr="00DF0748">
        <w:trPr>
          <w:trHeight w:val="231"/>
        </w:trPr>
        <w:tc>
          <w:tcPr>
            <w:tcW w:w="14737" w:type="dxa"/>
            <w:gridSpan w:val="5"/>
            <w:hideMark/>
          </w:tcPr>
          <w:p w:rsidR="0092458E" w:rsidRPr="00F3043B" w:rsidRDefault="0092458E" w:rsidP="00DF0748">
            <w:pPr>
              <w:pStyle w:val="Tabletext"/>
              <w:spacing w:before="20" w:after="20"/>
              <w:rPr>
                <w:lang w:val="fr-CH"/>
              </w:rPr>
            </w:pPr>
            <w:r w:rsidRPr="00F3043B">
              <w:rPr>
                <w:b/>
                <w:bCs/>
                <w:color w:val="4F81BD" w:themeColor="accent1"/>
                <w:lang w:val="fr-CH"/>
              </w:rPr>
              <w:t xml:space="preserve">E.3 </w:t>
            </w:r>
            <w:r w:rsidRPr="00F3043B">
              <w:rPr>
                <w:lang w:val="fr-CH"/>
              </w:rPr>
              <w:t xml:space="preserve">Fournir des services efficaces en ce qui concerne les membres, le protocole, la communication et la mobilisation des ressources </w:t>
            </w:r>
          </w:p>
        </w:tc>
      </w:tr>
      <w:tr w:rsidR="0092458E" w:rsidRPr="007F4668" w:rsidTr="00DF0748">
        <w:trPr>
          <w:trHeight w:val="231"/>
        </w:trPr>
        <w:tc>
          <w:tcPr>
            <w:tcW w:w="14737" w:type="dxa"/>
            <w:gridSpan w:val="5"/>
          </w:tcPr>
          <w:p w:rsidR="0092458E" w:rsidRPr="00F3043B" w:rsidRDefault="0092458E" w:rsidP="00DF0748">
            <w:pPr>
              <w:pStyle w:val="Tabletext"/>
              <w:spacing w:before="20" w:after="20"/>
              <w:rPr>
                <w:lang w:val="fr-CH"/>
              </w:rPr>
            </w:pPr>
            <w:r w:rsidRPr="00F3043B">
              <w:rPr>
                <w:b/>
                <w:bCs/>
                <w:color w:val="4F81BD" w:themeColor="accent1"/>
                <w:lang w:val="fr-CH"/>
              </w:rPr>
              <w:t xml:space="preserve">E.4 </w:t>
            </w:r>
            <w:r w:rsidRPr="00F3043B">
              <w:rPr>
                <w:lang w:val="fr-CH"/>
              </w:rPr>
              <w:t xml:space="preserve">Veiller à la planification, à la coordination et à l'exécution efficaces du plan stratégique et des plans opérationnels de l'Union </w:t>
            </w:r>
          </w:p>
        </w:tc>
      </w:tr>
      <w:tr w:rsidR="0092458E" w:rsidRPr="007F4668" w:rsidTr="00DF0748">
        <w:trPr>
          <w:trHeight w:val="231"/>
        </w:trPr>
        <w:tc>
          <w:tcPr>
            <w:tcW w:w="14737" w:type="dxa"/>
            <w:gridSpan w:val="5"/>
          </w:tcPr>
          <w:p w:rsidR="0092458E" w:rsidRPr="00F3043B" w:rsidRDefault="0092458E" w:rsidP="00DF0748">
            <w:pPr>
              <w:pStyle w:val="Tabletext"/>
              <w:spacing w:before="20" w:after="20"/>
              <w:rPr>
                <w:lang w:val="fr-CH"/>
              </w:rPr>
            </w:pPr>
            <w:r w:rsidRPr="00F3043B">
              <w:rPr>
                <w:b/>
                <w:bCs/>
                <w:color w:val="4F81BD" w:themeColor="accent1"/>
                <w:lang w:val="fr-CH"/>
              </w:rPr>
              <w:t xml:space="preserve">E.5 </w:t>
            </w:r>
            <w:r w:rsidRPr="00F3043B">
              <w:rPr>
                <w:lang w:val="fr-CH"/>
              </w:rPr>
              <w:t xml:space="preserve">Veiller à l'efficacité et à l'efficience de la gouvernance de l'organisation (en interne et à l'extérieur) </w:t>
            </w:r>
          </w:p>
        </w:tc>
      </w:tr>
    </w:tbl>
    <w:p w:rsidR="0092458E" w:rsidRPr="007F4668" w:rsidRDefault="0092458E" w:rsidP="00DF0748">
      <w:pPr>
        <w:spacing w:before="20" w:after="20"/>
      </w:pPr>
    </w:p>
    <w:p w:rsidR="0092458E" w:rsidRPr="007F4668" w:rsidRDefault="0092458E" w:rsidP="00DF0748">
      <w:pPr>
        <w:spacing w:before="20" w:after="20"/>
      </w:pPr>
      <w:r w:rsidRPr="007F4668">
        <w:br w:type="page"/>
      </w:r>
    </w:p>
    <w:p w:rsidR="0092458E" w:rsidRPr="007F4668" w:rsidRDefault="0092458E" w:rsidP="00DF0748">
      <w:pPr>
        <w:pStyle w:val="Heading2"/>
        <w:spacing w:after="120"/>
      </w:pPr>
      <w:r w:rsidRPr="007F4668">
        <w:lastRenderedPageBreak/>
        <w:t>3.2</w:t>
      </w:r>
      <w:r w:rsidRPr="007F4668">
        <w:tab/>
        <w:t>Catalyseurs et services/processus d'appui connexes</w:t>
      </w:r>
    </w:p>
    <w:tbl>
      <w:tblPr>
        <w:tblW w:w="0" w:type="auto"/>
        <w:tblLayout w:type="fixed"/>
        <w:tblLook w:val="0620" w:firstRow="1" w:lastRow="0" w:firstColumn="0" w:lastColumn="0" w:noHBand="1" w:noVBand="1"/>
      </w:tblPr>
      <w:tblGrid>
        <w:gridCol w:w="6516"/>
        <w:gridCol w:w="1843"/>
        <w:gridCol w:w="1559"/>
        <w:gridCol w:w="1597"/>
        <w:gridCol w:w="1663"/>
        <w:gridCol w:w="1531"/>
      </w:tblGrid>
      <w:tr w:rsidR="0092458E" w:rsidRPr="007F4668" w:rsidTr="00DF0748">
        <w:trPr>
          <w:trHeight w:val="569"/>
        </w:trPr>
        <w:tc>
          <w:tcPr>
            <w:tcW w:w="6516" w:type="dxa"/>
          </w:tcPr>
          <w:p w:rsidR="0092458E" w:rsidRPr="007F4668" w:rsidRDefault="0092458E" w:rsidP="00DF0748">
            <w:pPr>
              <w:pStyle w:val="Tablehead"/>
              <w:spacing w:before="20" w:after="20"/>
              <w:jc w:val="right"/>
              <w:rPr>
                <w:b w:val="0"/>
                <w:bCs/>
                <w:sz w:val="20"/>
              </w:rPr>
            </w:pPr>
            <w:r w:rsidRPr="007F4668">
              <w:rPr>
                <w:b w:val="0"/>
                <w:bCs/>
                <w:sz w:val="20"/>
              </w:rPr>
              <w:t>Catalyseurs</w:t>
            </w:r>
          </w:p>
          <w:p w:rsidR="0092458E" w:rsidRPr="007F4668" w:rsidRDefault="0092458E" w:rsidP="00DF0748">
            <w:pPr>
              <w:pStyle w:val="Tablehead"/>
              <w:spacing w:before="20" w:after="20"/>
              <w:rPr>
                <w:sz w:val="20"/>
              </w:rPr>
            </w:pPr>
          </w:p>
          <w:p w:rsidR="0092458E" w:rsidRPr="007F4668" w:rsidRDefault="0092458E" w:rsidP="00DF0748">
            <w:pPr>
              <w:pStyle w:val="Tablehead"/>
              <w:spacing w:before="20" w:after="20"/>
              <w:rPr>
                <w:sz w:val="20"/>
              </w:rPr>
            </w:pPr>
          </w:p>
          <w:p w:rsidR="0092458E" w:rsidRPr="007F4668" w:rsidRDefault="0092458E" w:rsidP="00DF0748">
            <w:pPr>
              <w:pStyle w:val="Tablehead"/>
              <w:spacing w:before="20" w:after="20"/>
              <w:rPr>
                <w:b w:val="0"/>
                <w:sz w:val="20"/>
              </w:rPr>
            </w:pPr>
          </w:p>
          <w:p w:rsidR="0092458E" w:rsidRPr="007F4668" w:rsidRDefault="0092458E" w:rsidP="00DF0748">
            <w:pPr>
              <w:pStyle w:val="Tablehead"/>
              <w:spacing w:before="20" w:after="20"/>
              <w:rPr>
                <w:b w:val="0"/>
                <w:sz w:val="20"/>
              </w:rPr>
            </w:pPr>
          </w:p>
          <w:p w:rsidR="0092458E" w:rsidRPr="007F4668" w:rsidRDefault="0092458E" w:rsidP="00DF0748">
            <w:pPr>
              <w:pStyle w:val="Tablehead"/>
              <w:spacing w:before="20" w:after="20"/>
              <w:rPr>
                <w:b w:val="0"/>
                <w:sz w:val="20"/>
              </w:rPr>
            </w:pPr>
          </w:p>
          <w:p w:rsidR="0092458E" w:rsidRPr="007F4668" w:rsidRDefault="0092458E" w:rsidP="00DF0748">
            <w:pPr>
              <w:pStyle w:val="Tablehead"/>
              <w:spacing w:before="20" w:after="20"/>
              <w:rPr>
                <w:b w:val="0"/>
                <w:sz w:val="20"/>
              </w:rPr>
            </w:pPr>
          </w:p>
          <w:p w:rsidR="0092458E" w:rsidRPr="007F4668" w:rsidRDefault="0092458E" w:rsidP="00DF0748">
            <w:pPr>
              <w:pStyle w:val="Tablehead"/>
              <w:spacing w:before="20" w:after="20"/>
              <w:rPr>
                <w:b w:val="0"/>
                <w:bCs/>
                <w:sz w:val="20"/>
              </w:rPr>
            </w:pPr>
            <w:r w:rsidRPr="007F4668">
              <w:rPr>
                <w:b w:val="0"/>
                <w:bCs/>
                <w:sz w:val="20"/>
              </w:rPr>
              <w:t>Services/processus d'appui</w:t>
            </w:r>
          </w:p>
        </w:tc>
        <w:tc>
          <w:tcPr>
            <w:tcW w:w="1843" w:type="dxa"/>
          </w:tcPr>
          <w:p w:rsidR="0092458E" w:rsidRPr="00F3043B" w:rsidRDefault="0092458E" w:rsidP="00DF0748">
            <w:pPr>
              <w:pStyle w:val="Tablehead"/>
              <w:spacing w:before="20" w:after="20"/>
              <w:jc w:val="left"/>
              <w:rPr>
                <w:sz w:val="20"/>
                <w:lang w:val="fr-CH"/>
              </w:rPr>
            </w:pPr>
            <w:r w:rsidRPr="00F3043B">
              <w:rPr>
                <w:b w:val="0"/>
                <w:bCs/>
                <w:sz w:val="20"/>
                <w:lang w:val="fr-CH"/>
              </w:rPr>
              <w:t>E.1</w:t>
            </w:r>
            <w:r w:rsidRPr="00F3043B">
              <w:rPr>
                <w:sz w:val="20"/>
                <w:lang w:val="fr-CH"/>
              </w:rPr>
              <w:t xml:space="preserve"> Veiller à l'utilisation efficace et efficiente des ressources humaines, financières et en capital et garantir un environnement de travail propice, sûr</w:t>
            </w:r>
          </w:p>
        </w:tc>
        <w:tc>
          <w:tcPr>
            <w:tcW w:w="1559" w:type="dxa"/>
          </w:tcPr>
          <w:p w:rsidR="0092458E" w:rsidRPr="00F3043B" w:rsidRDefault="0092458E" w:rsidP="00DF0748">
            <w:pPr>
              <w:pStyle w:val="Tablehead"/>
              <w:spacing w:before="20" w:after="20"/>
              <w:jc w:val="left"/>
              <w:rPr>
                <w:b w:val="0"/>
                <w:bCs/>
                <w:sz w:val="20"/>
                <w:lang w:val="fr-CH"/>
              </w:rPr>
            </w:pPr>
            <w:r w:rsidRPr="00F3043B">
              <w:rPr>
                <w:b w:val="0"/>
                <w:bCs/>
                <w:sz w:val="20"/>
                <w:lang w:val="fr-CH"/>
              </w:rPr>
              <w:t xml:space="preserve">E.2 </w:t>
            </w:r>
            <w:r w:rsidRPr="00F3043B">
              <w:rPr>
                <w:sz w:val="20"/>
                <w:lang w:val="fr-CH"/>
              </w:rPr>
              <w:t>Veiller à l'efficacité et à l'accessibilité des infrastructures (conférences, réunions, documentation, publications et information)</w:t>
            </w:r>
          </w:p>
        </w:tc>
        <w:tc>
          <w:tcPr>
            <w:tcW w:w="1597" w:type="dxa"/>
          </w:tcPr>
          <w:p w:rsidR="0092458E" w:rsidRPr="00F3043B" w:rsidRDefault="0092458E" w:rsidP="00DF0748">
            <w:pPr>
              <w:pStyle w:val="Tablehead"/>
              <w:spacing w:before="20" w:after="20"/>
              <w:jc w:val="left"/>
              <w:rPr>
                <w:b w:val="0"/>
                <w:bCs/>
                <w:sz w:val="20"/>
                <w:lang w:val="fr-CH"/>
              </w:rPr>
            </w:pPr>
            <w:r w:rsidRPr="00F3043B">
              <w:rPr>
                <w:b w:val="0"/>
                <w:bCs/>
                <w:sz w:val="20"/>
                <w:lang w:val="fr-CH"/>
              </w:rPr>
              <w:t>E.3</w:t>
            </w:r>
            <w:r w:rsidRPr="00F3043B">
              <w:rPr>
                <w:sz w:val="20"/>
                <w:lang w:val="fr-CH"/>
              </w:rPr>
              <w:t xml:space="preserve"> Fournir des services efficaces en ce qui concerne les membres, le protocole, la communication et la mobilisation des ressources</w:t>
            </w:r>
          </w:p>
        </w:tc>
        <w:tc>
          <w:tcPr>
            <w:tcW w:w="1663" w:type="dxa"/>
          </w:tcPr>
          <w:p w:rsidR="0092458E" w:rsidRPr="00F3043B" w:rsidRDefault="0092458E" w:rsidP="00DF0748">
            <w:pPr>
              <w:pStyle w:val="Tablehead"/>
              <w:spacing w:before="20" w:after="20"/>
              <w:jc w:val="left"/>
              <w:rPr>
                <w:b w:val="0"/>
                <w:bCs/>
                <w:sz w:val="20"/>
                <w:lang w:val="fr-CH"/>
              </w:rPr>
            </w:pPr>
            <w:r w:rsidRPr="00F3043B">
              <w:rPr>
                <w:b w:val="0"/>
                <w:bCs/>
                <w:sz w:val="20"/>
                <w:lang w:val="fr-CH"/>
              </w:rPr>
              <w:t xml:space="preserve">E.4 </w:t>
            </w:r>
            <w:r w:rsidRPr="00F3043B">
              <w:rPr>
                <w:sz w:val="20"/>
                <w:lang w:val="fr-CH"/>
              </w:rPr>
              <w:t xml:space="preserve">Veiller </w:t>
            </w:r>
            <w:r w:rsidRPr="00F3043B">
              <w:rPr>
                <w:sz w:val="20"/>
                <w:lang w:val="fr-CH"/>
              </w:rPr>
              <w:br/>
              <w:t>à la planification, à la coordination et à l'exécution efficaces du Plan stratégique et des plans opérationnels de l'Union</w:t>
            </w:r>
          </w:p>
        </w:tc>
        <w:tc>
          <w:tcPr>
            <w:tcW w:w="1531" w:type="dxa"/>
          </w:tcPr>
          <w:p w:rsidR="0092458E" w:rsidRPr="00F3043B" w:rsidRDefault="0092458E" w:rsidP="00DF0748">
            <w:pPr>
              <w:pStyle w:val="Tablehead"/>
              <w:spacing w:before="20" w:after="20"/>
              <w:jc w:val="left"/>
              <w:rPr>
                <w:b w:val="0"/>
                <w:bCs/>
                <w:sz w:val="20"/>
                <w:lang w:val="fr-CH"/>
              </w:rPr>
            </w:pPr>
            <w:r w:rsidRPr="00F3043B">
              <w:rPr>
                <w:b w:val="0"/>
                <w:bCs/>
                <w:sz w:val="20"/>
                <w:lang w:val="fr-CH"/>
              </w:rPr>
              <w:t xml:space="preserve">E.5 </w:t>
            </w:r>
            <w:r w:rsidRPr="00F3043B">
              <w:rPr>
                <w:sz w:val="20"/>
                <w:lang w:val="fr-CH"/>
              </w:rPr>
              <w:t>Veiller à l'efficacité et à l'efficience de la gouvernance de l'organisation (en interne et à l'extérieur)</w:t>
            </w:r>
          </w:p>
        </w:tc>
      </w:tr>
      <w:tr w:rsidR="0092458E" w:rsidRPr="007F4668" w:rsidTr="00DF0748">
        <w:tc>
          <w:tcPr>
            <w:tcW w:w="6516" w:type="dxa"/>
          </w:tcPr>
          <w:p w:rsidR="0092458E" w:rsidRPr="007F4668" w:rsidRDefault="0092458E" w:rsidP="00DF0748">
            <w:pPr>
              <w:pStyle w:val="Tabletext"/>
              <w:tabs>
                <w:tab w:val="left" w:pos="313"/>
              </w:tabs>
              <w:spacing w:before="20" w:after="20"/>
              <w:rPr>
                <w:sz w:val="20"/>
              </w:rPr>
            </w:pPr>
            <w:r w:rsidRPr="007F4668">
              <w:rPr>
                <w:sz w:val="20"/>
              </w:rPr>
              <w:t>–</w:t>
            </w:r>
            <w:r w:rsidRPr="007F4668">
              <w:rPr>
                <w:sz w:val="20"/>
              </w:rPr>
              <w:tab/>
              <w:t>Direction de l'Union</w:t>
            </w:r>
          </w:p>
        </w:tc>
        <w:tc>
          <w:tcPr>
            <w:tcW w:w="1843"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559" w:type="dxa"/>
            <w:vAlign w:val="center"/>
          </w:tcPr>
          <w:p w:rsidR="0092458E" w:rsidRPr="007F4668" w:rsidRDefault="0092458E" w:rsidP="00DF0748">
            <w:pPr>
              <w:pStyle w:val="Tabletext"/>
              <w:spacing w:before="20" w:after="20"/>
              <w:jc w:val="center"/>
              <w:rPr>
                <w:b/>
                <w:bCs/>
                <w:sz w:val="20"/>
              </w:rPr>
            </w:pPr>
          </w:p>
        </w:tc>
        <w:tc>
          <w:tcPr>
            <w:tcW w:w="1597" w:type="dxa"/>
            <w:vAlign w:val="center"/>
          </w:tcPr>
          <w:p w:rsidR="0092458E" w:rsidRPr="007F4668" w:rsidRDefault="0092458E" w:rsidP="00DF0748">
            <w:pPr>
              <w:pStyle w:val="Tabletext"/>
              <w:spacing w:before="20" w:after="20"/>
              <w:jc w:val="center"/>
              <w:rPr>
                <w:b/>
                <w:bCs/>
                <w:sz w:val="20"/>
              </w:rPr>
            </w:pPr>
          </w:p>
        </w:tc>
        <w:tc>
          <w:tcPr>
            <w:tcW w:w="1663"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531" w:type="dxa"/>
            <w:vAlign w:val="center"/>
          </w:tcPr>
          <w:p w:rsidR="0092458E" w:rsidRPr="007F4668" w:rsidRDefault="0092458E" w:rsidP="00DF0748">
            <w:pPr>
              <w:pStyle w:val="Tabletext"/>
              <w:spacing w:before="20" w:after="20"/>
              <w:jc w:val="center"/>
              <w:rPr>
                <w:b/>
                <w:bCs/>
                <w:sz w:val="20"/>
              </w:rPr>
            </w:pPr>
            <w:r w:rsidRPr="007F4668">
              <w:rPr>
                <w:b/>
                <w:bCs/>
                <w:sz w:val="20"/>
              </w:rPr>
              <w:t>X</w:t>
            </w:r>
          </w:p>
        </w:tc>
      </w:tr>
      <w:tr w:rsidR="0092458E" w:rsidRPr="007F4668" w:rsidTr="00DF0748">
        <w:tc>
          <w:tcPr>
            <w:tcW w:w="6516" w:type="dxa"/>
          </w:tcPr>
          <w:p w:rsidR="0092458E" w:rsidRPr="00F3043B" w:rsidRDefault="0092458E" w:rsidP="00DF0748">
            <w:pPr>
              <w:pStyle w:val="Tabletext"/>
              <w:tabs>
                <w:tab w:val="left" w:pos="313"/>
              </w:tabs>
              <w:spacing w:before="20" w:after="20"/>
              <w:ind w:left="313" w:hanging="313"/>
              <w:rPr>
                <w:sz w:val="20"/>
                <w:lang w:val="fr-CH"/>
              </w:rPr>
            </w:pPr>
            <w:r w:rsidRPr="00F3043B">
              <w:rPr>
                <w:sz w:val="20"/>
                <w:lang w:val="fr-CH"/>
              </w:rPr>
              <w:t>–</w:t>
            </w:r>
            <w:r w:rsidRPr="00F3043B">
              <w:rPr>
                <w:sz w:val="20"/>
                <w:lang w:val="fr-CH"/>
              </w:rPr>
              <w:tab/>
              <w:t>Organisation de conférences, assemblées, séminaires et ateliers (traduction et interprétation comprises)</w:t>
            </w:r>
          </w:p>
        </w:tc>
        <w:tc>
          <w:tcPr>
            <w:tcW w:w="1843" w:type="dxa"/>
            <w:vAlign w:val="center"/>
          </w:tcPr>
          <w:p w:rsidR="0092458E" w:rsidRPr="00F3043B" w:rsidRDefault="0092458E" w:rsidP="00DF0748">
            <w:pPr>
              <w:pStyle w:val="Tabletext"/>
              <w:spacing w:before="20" w:after="20"/>
              <w:jc w:val="center"/>
              <w:rPr>
                <w:b/>
                <w:bCs/>
                <w:sz w:val="20"/>
                <w:lang w:val="fr-CH"/>
              </w:rPr>
            </w:pPr>
          </w:p>
        </w:tc>
        <w:tc>
          <w:tcPr>
            <w:tcW w:w="1559"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597" w:type="dxa"/>
            <w:vAlign w:val="center"/>
          </w:tcPr>
          <w:p w:rsidR="0092458E" w:rsidRPr="007F4668" w:rsidRDefault="0092458E" w:rsidP="00DF0748">
            <w:pPr>
              <w:pStyle w:val="Tabletext"/>
              <w:spacing w:before="20" w:after="20"/>
              <w:jc w:val="center"/>
              <w:rPr>
                <w:b/>
                <w:bCs/>
                <w:sz w:val="20"/>
              </w:rPr>
            </w:pP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p>
        </w:tc>
      </w:tr>
      <w:tr w:rsidR="0092458E" w:rsidRPr="007F4668" w:rsidTr="00DF0748">
        <w:tc>
          <w:tcPr>
            <w:tcW w:w="6516" w:type="dxa"/>
          </w:tcPr>
          <w:p w:rsidR="0092458E" w:rsidRPr="007F4668" w:rsidRDefault="0092458E" w:rsidP="00DF0748">
            <w:pPr>
              <w:pStyle w:val="Tabletext"/>
              <w:tabs>
                <w:tab w:val="left" w:pos="313"/>
              </w:tabs>
              <w:spacing w:before="20" w:after="20"/>
              <w:rPr>
                <w:sz w:val="20"/>
              </w:rPr>
            </w:pPr>
            <w:r w:rsidRPr="007F4668">
              <w:rPr>
                <w:sz w:val="20"/>
              </w:rPr>
              <w:t>–</w:t>
            </w:r>
            <w:r w:rsidRPr="007F4668">
              <w:rPr>
                <w:sz w:val="20"/>
              </w:rPr>
              <w:tab/>
              <w:t>Services de publication</w:t>
            </w:r>
          </w:p>
        </w:tc>
        <w:tc>
          <w:tcPr>
            <w:tcW w:w="1843" w:type="dxa"/>
            <w:vAlign w:val="center"/>
          </w:tcPr>
          <w:p w:rsidR="0092458E" w:rsidRPr="007F4668" w:rsidRDefault="0092458E" w:rsidP="00DF0748">
            <w:pPr>
              <w:pStyle w:val="Tabletext"/>
              <w:spacing w:before="20" w:after="20"/>
              <w:jc w:val="center"/>
              <w:rPr>
                <w:b/>
                <w:bCs/>
                <w:sz w:val="20"/>
              </w:rPr>
            </w:pPr>
          </w:p>
        </w:tc>
        <w:tc>
          <w:tcPr>
            <w:tcW w:w="1559"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597" w:type="dxa"/>
            <w:vAlign w:val="center"/>
          </w:tcPr>
          <w:p w:rsidR="0092458E" w:rsidRPr="007F4668" w:rsidRDefault="0092458E" w:rsidP="00DF0748">
            <w:pPr>
              <w:pStyle w:val="Tabletext"/>
              <w:spacing w:before="20" w:after="20"/>
              <w:jc w:val="center"/>
              <w:rPr>
                <w:b/>
                <w:bCs/>
                <w:sz w:val="20"/>
              </w:rPr>
            </w:pP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p>
        </w:tc>
      </w:tr>
      <w:tr w:rsidR="0092458E" w:rsidRPr="007F4668" w:rsidTr="00DF0748">
        <w:tc>
          <w:tcPr>
            <w:tcW w:w="6516" w:type="dxa"/>
          </w:tcPr>
          <w:p w:rsidR="0092458E" w:rsidRPr="007F4668" w:rsidRDefault="0092458E" w:rsidP="00DF0748">
            <w:pPr>
              <w:pStyle w:val="Tabletext"/>
              <w:tabs>
                <w:tab w:val="left" w:pos="313"/>
              </w:tabs>
              <w:spacing w:before="20" w:after="20"/>
              <w:rPr>
                <w:sz w:val="20"/>
              </w:rPr>
            </w:pPr>
            <w:r w:rsidRPr="007F4668">
              <w:rPr>
                <w:sz w:val="20"/>
              </w:rPr>
              <w:t>–</w:t>
            </w:r>
            <w:r w:rsidRPr="007F4668">
              <w:rPr>
                <w:sz w:val="20"/>
              </w:rPr>
              <w:tab/>
              <w:t>Services TIC</w:t>
            </w:r>
          </w:p>
        </w:tc>
        <w:tc>
          <w:tcPr>
            <w:tcW w:w="1843" w:type="dxa"/>
            <w:vAlign w:val="center"/>
          </w:tcPr>
          <w:p w:rsidR="0092458E" w:rsidRPr="007F4668" w:rsidRDefault="0092458E" w:rsidP="00DF0748">
            <w:pPr>
              <w:pStyle w:val="Tabletext"/>
              <w:spacing w:before="20" w:after="20"/>
              <w:jc w:val="center"/>
              <w:rPr>
                <w:b/>
                <w:bCs/>
                <w:sz w:val="20"/>
              </w:rPr>
            </w:pPr>
          </w:p>
        </w:tc>
        <w:tc>
          <w:tcPr>
            <w:tcW w:w="1559"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597" w:type="dxa"/>
            <w:vAlign w:val="center"/>
          </w:tcPr>
          <w:p w:rsidR="0092458E" w:rsidRPr="007F4668" w:rsidRDefault="0092458E" w:rsidP="00DF0748">
            <w:pPr>
              <w:pStyle w:val="Tabletext"/>
              <w:spacing w:before="20" w:after="20"/>
              <w:jc w:val="center"/>
              <w:rPr>
                <w:b/>
                <w:bCs/>
                <w:sz w:val="20"/>
              </w:rPr>
            </w:pP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p>
        </w:tc>
      </w:tr>
      <w:tr w:rsidR="0092458E" w:rsidRPr="007F4668" w:rsidTr="00DF0748">
        <w:tc>
          <w:tcPr>
            <w:tcW w:w="6516" w:type="dxa"/>
          </w:tcPr>
          <w:p w:rsidR="0092458E" w:rsidRPr="007F4668" w:rsidRDefault="0092458E" w:rsidP="00DF0748">
            <w:pPr>
              <w:pStyle w:val="Tabletext"/>
              <w:tabs>
                <w:tab w:val="left" w:pos="313"/>
              </w:tabs>
              <w:spacing w:before="20" w:after="20"/>
              <w:rPr>
                <w:sz w:val="20"/>
              </w:rPr>
            </w:pPr>
            <w:r w:rsidRPr="007F4668">
              <w:rPr>
                <w:sz w:val="20"/>
              </w:rPr>
              <w:t>–</w:t>
            </w:r>
            <w:r w:rsidRPr="007F4668">
              <w:rPr>
                <w:sz w:val="20"/>
              </w:rPr>
              <w:tab/>
              <w:t>Gestion des ressources humaines</w:t>
            </w:r>
          </w:p>
        </w:tc>
        <w:tc>
          <w:tcPr>
            <w:tcW w:w="1843"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559" w:type="dxa"/>
            <w:vAlign w:val="center"/>
          </w:tcPr>
          <w:p w:rsidR="0092458E" w:rsidRPr="007F4668" w:rsidRDefault="0092458E" w:rsidP="00DF0748">
            <w:pPr>
              <w:pStyle w:val="Tabletext"/>
              <w:spacing w:before="20" w:after="20"/>
              <w:jc w:val="center"/>
              <w:rPr>
                <w:b/>
                <w:bCs/>
                <w:sz w:val="20"/>
              </w:rPr>
            </w:pPr>
          </w:p>
        </w:tc>
        <w:tc>
          <w:tcPr>
            <w:tcW w:w="1597" w:type="dxa"/>
            <w:vAlign w:val="center"/>
          </w:tcPr>
          <w:p w:rsidR="0092458E" w:rsidRPr="007F4668" w:rsidRDefault="0092458E" w:rsidP="00DF0748">
            <w:pPr>
              <w:pStyle w:val="Tabletext"/>
              <w:spacing w:before="20" w:after="20"/>
              <w:jc w:val="center"/>
              <w:rPr>
                <w:b/>
                <w:bCs/>
                <w:sz w:val="20"/>
              </w:rPr>
            </w:pP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p>
        </w:tc>
      </w:tr>
      <w:tr w:rsidR="0092458E" w:rsidRPr="007F4668" w:rsidTr="00DF0748">
        <w:tc>
          <w:tcPr>
            <w:tcW w:w="6516" w:type="dxa"/>
          </w:tcPr>
          <w:p w:rsidR="0092458E" w:rsidRPr="007F4668" w:rsidRDefault="0092458E" w:rsidP="00DF0748">
            <w:pPr>
              <w:pStyle w:val="Tabletext"/>
              <w:tabs>
                <w:tab w:val="left" w:pos="313"/>
              </w:tabs>
              <w:spacing w:before="20" w:after="20"/>
              <w:rPr>
                <w:sz w:val="20"/>
              </w:rPr>
            </w:pPr>
            <w:r w:rsidRPr="007F4668">
              <w:rPr>
                <w:sz w:val="20"/>
              </w:rPr>
              <w:t>–</w:t>
            </w:r>
            <w:r w:rsidRPr="007F4668">
              <w:rPr>
                <w:sz w:val="20"/>
              </w:rPr>
              <w:tab/>
              <w:t>Gestion des ressources financières</w:t>
            </w:r>
          </w:p>
        </w:tc>
        <w:tc>
          <w:tcPr>
            <w:tcW w:w="1843"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559" w:type="dxa"/>
            <w:vAlign w:val="center"/>
          </w:tcPr>
          <w:p w:rsidR="0092458E" w:rsidRPr="007F4668" w:rsidRDefault="0092458E" w:rsidP="00DF0748">
            <w:pPr>
              <w:pStyle w:val="Tabletext"/>
              <w:spacing w:before="20" w:after="20"/>
              <w:jc w:val="center"/>
              <w:rPr>
                <w:b/>
                <w:bCs/>
                <w:sz w:val="20"/>
              </w:rPr>
            </w:pPr>
          </w:p>
        </w:tc>
        <w:tc>
          <w:tcPr>
            <w:tcW w:w="1597" w:type="dxa"/>
            <w:vAlign w:val="center"/>
          </w:tcPr>
          <w:p w:rsidR="0092458E" w:rsidRPr="007F4668" w:rsidRDefault="0092458E" w:rsidP="00DF0748">
            <w:pPr>
              <w:pStyle w:val="Tabletext"/>
              <w:spacing w:before="20" w:after="20"/>
              <w:jc w:val="center"/>
              <w:rPr>
                <w:b/>
                <w:bCs/>
                <w:sz w:val="20"/>
              </w:rPr>
            </w:pP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p>
        </w:tc>
      </w:tr>
      <w:tr w:rsidR="0092458E" w:rsidRPr="007F4668" w:rsidTr="00DF0748">
        <w:tc>
          <w:tcPr>
            <w:tcW w:w="6516" w:type="dxa"/>
          </w:tcPr>
          <w:p w:rsidR="0092458E" w:rsidRPr="007F4668" w:rsidRDefault="0092458E" w:rsidP="00DF0748">
            <w:pPr>
              <w:pStyle w:val="Tabletext"/>
              <w:tabs>
                <w:tab w:val="left" w:pos="313"/>
              </w:tabs>
              <w:spacing w:before="20" w:after="20"/>
              <w:rPr>
                <w:sz w:val="20"/>
              </w:rPr>
            </w:pPr>
            <w:r w:rsidRPr="007F4668">
              <w:rPr>
                <w:sz w:val="20"/>
              </w:rPr>
              <w:t>–</w:t>
            </w:r>
            <w:r w:rsidRPr="007F4668">
              <w:rPr>
                <w:sz w:val="20"/>
              </w:rPr>
              <w:tab/>
              <w:t>Services juridiques</w:t>
            </w:r>
          </w:p>
        </w:tc>
        <w:tc>
          <w:tcPr>
            <w:tcW w:w="1843" w:type="dxa"/>
            <w:vAlign w:val="center"/>
          </w:tcPr>
          <w:p w:rsidR="0092458E" w:rsidRPr="007F4668" w:rsidRDefault="0092458E" w:rsidP="00DF0748">
            <w:pPr>
              <w:pStyle w:val="Tabletext"/>
              <w:spacing w:before="20" w:after="20"/>
              <w:jc w:val="center"/>
              <w:rPr>
                <w:b/>
                <w:bCs/>
                <w:sz w:val="20"/>
              </w:rPr>
            </w:pPr>
          </w:p>
        </w:tc>
        <w:tc>
          <w:tcPr>
            <w:tcW w:w="1559" w:type="dxa"/>
            <w:vAlign w:val="center"/>
          </w:tcPr>
          <w:p w:rsidR="0092458E" w:rsidRPr="007F4668" w:rsidRDefault="0092458E" w:rsidP="00DF0748">
            <w:pPr>
              <w:pStyle w:val="Tabletext"/>
              <w:spacing w:before="20" w:after="20"/>
              <w:jc w:val="center"/>
              <w:rPr>
                <w:b/>
                <w:bCs/>
                <w:sz w:val="20"/>
              </w:rPr>
            </w:pPr>
          </w:p>
        </w:tc>
        <w:tc>
          <w:tcPr>
            <w:tcW w:w="1597" w:type="dxa"/>
            <w:vAlign w:val="center"/>
          </w:tcPr>
          <w:p w:rsidR="0092458E" w:rsidRPr="007F4668" w:rsidRDefault="0092458E" w:rsidP="00DF0748">
            <w:pPr>
              <w:pStyle w:val="Tabletext"/>
              <w:spacing w:before="20" w:after="20"/>
              <w:jc w:val="center"/>
              <w:rPr>
                <w:b/>
                <w:bCs/>
                <w:sz w:val="20"/>
              </w:rPr>
            </w:pP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r w:rsidRPr="007F4668">
              <w:rPr>
                <w:b/>
                <w:bCs/>
                <w:sz w:val="20"/>
              </w:rPr>
              <w:t>X</w:t>
            </w:r>
          </w:p>
        </w:tc>
      </w:tr>
      <w:tr w:rsidR="0092458E" w:rsidRPr="007F4668" w:rsidTr="00DF0748">
        <w:tc>
          <w:tcPr>
            <w:tcW w:w="6516" w:type="dxa"/>
          </w:tcPr>
          <w:p w:rsidR="0092458E" w:rsidRPr="007F4668" w:rsidRDefault="0092458E" w:rsidP="00DF0748">
            <w:pPr>
              <w:pStyle w:val="Tabletext"/>
              <w:tabs>
                <w:tab w:val="left" w:pos="313"/>
              </w:tabs>
              <w:spacing w:before="20" w:after="20"/>
              <w:rPr>
                <w:sz w:val="20"/>
              </w:rPr>
            </w:pPr>
            <w:r w:rsidRPr="007F4668">
              <w:rPr>
                <w:sz w:val="20"/>
              </w:rPr>
              <w:t>–</w:t>
            </w:r>
            <w:r w:rsidRPr="007F4668">
              <w:rPr>
                <w:sz w:val="20"/>
              </w:rPr>
              <w:tab/>
              <w:t>Audit interne</w:t>
            </w:r>
          </w:p>
        </w:tc>
        <w:tc>
          <w:tcPr>
            <w:tcW w:w="1843"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559" w:type="dxa"/>
            <w:vAlign w:val="center"/>
          </w:tcPr>
          <w:p w:rsidR="0092458E" w:rsidRPr="007F4668" w:rsidRDefault="0092458E" w:rsidP="00DF0748">
            <w:pPr>
              <w:pStyle w:val="Tabletext"/>
              <w:spacing w:before="20" w:after="20"/>
              <w:jc w:val="center"/>
              <w:rPr>
                <w:b/>
                <w:bCs/>
                <w:sz w:val="20"/>
              </w:rPr>
            </w:pPr>
          </w:p>
        </w:tc>
        <w:tc>
          <w:tcPr>
            <w:tcW w:w="1597" w:type="dxa"/>
            <w:vAlign w:val="center"/>
          </w:tcPr>
          <w:p w:rsidR="0092458E" w:rsidRPr="007F4668" w:rsidRDefault="0092458E" w:rsidP="00DF0748">
            <w:pPr>
              <w:pStyle w:val="Tabletext"/>
              <w:spacing w:before="20" w:after="20"/>
              <w:jc w:val="center"/>
              <w:rPr>
                <w:b/>
                <w:bCs/>
                <w:sz w:val="20"/>
              </w:rPr>
            </w:pP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r w:rsidRPr="007F4668">
              <w:rPr>
                <w:b/>
                <w:bCs/>
                <w:sz w:val="20"/>
              </w:rPr>
              <w:t>X</w:t>
            </w:r>
          </w:p>
        </w:tc>
      </w:tr>
      <w:tr w:rsidR="0092458E" w:rsidRPr="007F4668" w:rsidTr="00DF0748">
        <w:tc>
          <w:tcPr>
            <w:tcW w:w="6516" w:type="dxa"/>
          </w:tcPr>
          <w:p w:rsidR="0092458E" w:rsidRPr="00F3043B" w:rsidRDefault="0092458E" w:rsidP="00DF0748">
            <w:pPr>
              <w:pStyle w:val="Tabletext"/>
              <w:tabs>
                <w:tab w:val="left" w:pos="313"/>
              </w:tabs>
              <w:spacing w:before="20" w:after="20"/>
              <w:ind w:left="313" w:hanging="313"/>
              <w:rPr>
                <w:sz w:val="20"/>
                <w:lang w:val="fr-CH"/>
              </w:rPr>
            </w:pPr>
            <w:r w:rsidRPr="00F3043B">
              <w:rPr>
                <w:sz w:val="20"/>
                <w:lang w:val="fr-CH"/>
              </w:rPr>
              <w:t>–</w:t>
            </w:r>
            <w:r w:rsidRPr="00F3043B">
              <w:rPr>
                <w:sz w:val="20"/>
                <w:lang w:val="fr-CH"/>
              </w:rPr>
              <w:tab/>
              <w:t>Collaboration avec les membres et les parties prenantes extérieures (y compris les Nations Unies)</w:t>
            </w:r>
          </w:p>
        </w:tc>
        <w:tc>
          <w:tcPr>
            <w:tcW w:w="1843" w:type="dxa"/>
            <w:vAlign w:val="center"/>
          </w:tcPr>
          <w:p w:rsidR="0092458E" w:rsidRPr="00F3043B" w:rsidRDefault="0092458E" w:rsidP="00DF0748">
            <w:pPr>
              <w:pStyle w:val="Tabletext"/>
              <w:spacing w:before="20" w:after="20"/>
              <w:jc w:val="center"/>
              <w:rPr>
                <w:b/>
                <w:bCs/>
                <w:sz w:val="20"/>
                <w:lang w:val="fr-CH"/>
              </w:rPr>
            </w:pPr>
          </w:p>
        </w:tc>
        <w:tc>
          <w:tcPr>
            <w:tcW w:w="1559" w:type="dxa"/>
            <w:vAlign w:val="center"/>
          </w:tcPr>
          <w:p w:rsidR="0092458E" w:rsidRPr="00F3043B" w:rsidRDefault="0092458E" w:rsidP="00DF0748">
            <w:pPr>
              <w:pStyle w:val="Tabletext"/>
              <w:spacing w:before="20" w:after="20"/>
              <w:jc w:val="center"/>
              <w:rPr>
                <w:b/>
                <w:bCs/>
                <w:sz w:val="20"/>
                <w:lang w:val="fr-CH"/>
              </w:rPr>
            </w:pPr>
          </w:p>
        </w:tc>
        <w:tc>
          <w:tcPr>
            <w:tcW w:w="1597" w:type="dxa"/>
            <w:vAlign w:val="center"/>
          </w:tcPr>
          <w:p w:rsidR="0092458E" w:rsidRPr="007F4668" w:rsidRDefault="0092458E" w:rsidP="00DF0748">
            <w:pPr>
              <w:pStyle w:val="Tabletext"/>
              <w:spacing w:before="20" w:after="20"/>
              <w:jc w:val="center"/>
              <w:rPr>
                <w:b/>
                <w:bCs/>
                <w:sz w:val="20"/>
              </w:rPr>
            </w:pPr>
            <w:r w:rsidRPr="007F4668">
              <w:rPr>
                <w:sz w:val="20"/>
              </w:rPr>
              <w:t>X</w:t>
            </w: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p>
        </w:tc>
      </w:tr>
      <w:tr w:rsidR="0092458E" w:rsidRPr="007F4668" w:rsidTr="00DF0748">
        <w:tc>
          <w:tcPr>
            <w:tcW w:w="6516" w:type="dxa"/>
          </w:tcPr>
          <w:p w:rsidR="0092458E" w:rsidRPr="00F3043B" w:rsidRDefault="0092458E" w:rsidP="00DF0748">
            <w:pPr>
              <w:pStyle w:val="Tabletext"/>
              <w:tabs>
                <w:tab w:val="left" w:pos="313"/>
              </w:tabs>
              <w:spacing w:before="20" w:after="20"/>
              <w:ind w:left="313" w:hanging="313"/>
              <w:rPr>
                <w:sz w:val="20"/>
                <w:lang w:val="fr-CH"/>
              </w:rPr>
            </w:pPr>
            <w:r w:rsidRPr="00F3043B">
              <w:rPr>
                <w:sz w:val="20"/>
                <w:lang w:val="fr-CH"/>
              </w:rPr>
              <w:t>–</w:t>
            </w:r>
            <w:r w:rsidRPr="00F3043B">
              <w:rPr>
                <w:sz w:val="20"/>
                <w:lang w:val="fr-CH"/>
              </w:rPr>
              <w:tab/>
              <w:t>Services de communication (services audiovisuels, services de presse, réseaux sociaux, gestion du web, programme de marque, rédaction de discours, Parcours "A la découverte des TIC")</w:t>
            </w:r>
          </w:p>
        </w:tc>
        <w:tc>
          <w:tcPr>
            <w:tcW w:w="1843" w:type="dxa"/>
            <w:vAlign w:val="center"/>
          </w:tcPr>
          <w:p w:rsidR="0092458E" w:rsidRPr="00F3043B" w:rsidRDefault="0092458E" w:rsidP="00DF0748">
            <w:pPr>
              <w:pStyle w:val="Tabletext"/>
              <w:spacing w:before="20" w:after="20"/>
              <w:jc w:val="center"/>
              <w:rPr>
                <w:b/>
                <w:bCs/>
                <w:sz w:val="20"/>
                <w:lang w:val="fr-CH"/>
              </w:rPr>
            </w:pPr>
          </w:p>
        </w:tc>
        <w:tc>
          <w:tcPr>
            <w:tcW w:w="1559" w:type="dxa"/>
            <w:vAlign w:val="center"/>
          </w:tcPr>
          <w:p w:rsidR="0092458E" w:rsidRPr="00F3043B" w:rsidRDefault="0092458E" w:rsidP="00DF0748">
            <w:pPr>
              <w:pStyle w:val="Tabletext"/>
              <w:spacing w:before="20" w:after="20"/>
              <w:jc w:val="center"/>
              <w:rPr>
                <w:b/>
                <w:bCs/>
                <w:sz w:val="20"/>
                <w:lang w:val="fr-CH"/>
              </w:rPr>
            </w:pPr>
          </w:p>
        </w:tc>
        <w:tc>
          <w:tcPr>
            <w:tcW w:w="1597"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p>
        </w:tc>
      </w:tr>
      <w:tr w:rsidR="0092458E" w:rsidRPr="007F4668" w:rsidTr="00DF0748">
        <w:tc>
          <w:tcPr>
            <w:tcW w:w="6516" w:type="dxa"/>
          </w:tcPr>
          <w:p w:rsidR="0092458E" w:rsidRPr="007F4668" w:rsidRDefault="0092458E" w:rsidP="00DF0748">
            <w:pPr>
              <w:pStyle w:val="Tabletext"/>
              <w:tabs>
                <w:tab w:val="left" w:pos="313"/>
              </w:tabs>
              <w:spacing w:before="20" w:after="20"/>
              <w:rPr>
                <w:sz w:val="20"/>
              </w:rPr>
            </w:pPr>
            <w:r w:rsidRPr="007F4668">
              <w:rPr>
                <w:sz w:val="20"/>
              </w:rPr>
              <w:t>–</w:t>
            </w:r>
            <w:r w:rsidRPr="007F4668">
              <w:rPr>
                <w:sz w:val="20"/>
              </w:rPr>
              <w:tab/>
              <w:t>Services du protocole</w:t>
            </w:r>
          </w:p>
        </w:tc>
        <w:tc>
          <w:tcPr>
            <w:tcW w:w="1843" w:type="dxa"/>
            <w:vAlign w:val="center"/>
          </w:tcPr>
          <w:p w:rsidR="0092458E" w:rsidRPr="007F4668" w:rsidRDefault="0092458E" w:rsidP="00DF0748">
            <w:pPr>
              <w:pStyle w:val="Tabletext"/>
              <w:spacing w:before="20" w:after="20"/>
              <w:jc w:val="center"/>
              <w:rPr>
                <w:b/>
                <w:bCs/>
                <w:sz w:val="20"/>
              </w:rPr>
            </w:pPr>
          </w:p>
        </w:tc>
        <w:tc>
          <w:tcPr>
            <w:tcW w:w="1559" w:type="dxa"/>
            <w:vAlign w:val="center"/>
          </w:tcPr>
          <w:p w:rsidR="0092458E" w:rsidRPr="007F4668" w:rsidRDefault="0092458E" w:rsidP="00DF0748">
            <w:pPr>
              <w:pStyle w:val="Tabletext"/>
              <w:spacing w:before="20" w:after="20"/>
              <w:jc w:val="center"/>
              <w:rPr>
                <w:b/>
                <w:bCs/>
                <w:sz w:val="20"/>
              </w:rPr>
            </w:pPr>
          </w:p>
        </w:tc>
        <w:tc>
          <w:tcPr>
            <w:tcW w:w="1597"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p>
        </w:tc>
      </w:tr>
      <w:tr w:rsidR="0092458E" w:rsidRPr="007F4668" w:rsidTr="00DF0748">
        <w:tc>
          <w:tcPr>
            <w:tcW w:w="6516" w:type="dxa"/>
          </w:tcPr>
          <w:p w:rsidR="0092458E" w:rsidRPr="00F3043B" w:rsidRDefault="0092458E" w:rsidP="00DF0748">
            <w:pPr>
              <w:pStyle w:val="Tabletext"/>
              <w:tabs>
                <w:tab w:val="left" w:pos="313"/>
              </w:tabs>
              <w:spacing w:before="20" w:after="20"/>
              <w:ind w:left="313" w:hanging="313"/>
              <w:rPr>
                <w:sz w:val="20"/>
                <w:lang w:val="fr-CH"/>
              </w:rPr>
            </w:pPr>
            <w:r w:rsidRPr="00F3043B">
              <w:rPr>
                <w:sz w:val="20"/>
                <w:lang w:val="fr-CH"/>
              </w:rPr>
              <w:t>–</w:t>
            </w:r>
            <w:r w:rsidRPr="00F3043B">
              <w:rPr>
                <w:sz w:val="20"/>
                <w:lang w:val="fr-CH"/>
              </w:rPr>
              <w:tab/>
              <w:t>Facilitation des travaux des organes directeurs (PP, Conseil, groupes de travail du Conseil)</w:t>
            </w:r>
          </w:p>
        </w:tc>
        <w:tc>
          <w:tcPr>
            <w:tcW w:w="1843" w:type="dxa"/>
            <w:vAlign w:val="center"/>
          </w:tcPr>
          <w:p w:rsidR="0092458E" w:rsidRPr="00F3043B" w:rsidRDefault="0092458E" w:rsidP="00DF0748">
            <w:pPr>
              <w:pStyle w:val="Tabletext"/>
              <w:spacing w:before="20" w:after="20"/>
              <w:jc w:val="center"/>
              <w:rPr>
                <w:b/>
                <w:bCs/>
                <w:sz w:val="20"/>
                <w:lang w:val="fr-CH"/>
              </w:rPr>
            </w:pPr>
          </w:p>
        </w:tc>
        <w:tc>
          <w:tcPr>
            <w:tcW w:w="1559" w:type="dxa"/>
            <w:vAlign w:val="center"/>
          </w:tcPr>
          <w:p w:rsidR="0092458E" w:rsidRPr="00F3043B" w:rsidRDefault="0092458E" w:rsidP="00DF0748">
            <w:pPr>
              <w:pStyle w:val="Tabletext"/>
              <w:spacing w:before="20" w:after="20"/>
              <w:jc w:val="center"/>
              <w:rPr>
                <w:b/>
                <w:bCs/>
                <w:sz w:val="20"/>
                <w:lang w:val="fr-CH"/>
              </w:rPr>
            </w:pPr>
          </w:p>
        </w:tc>
        <w:tc>
          <w:tcPr>
            <w:tcW w:w="1597" w:type="dxa"/>
            <w:vAlign w:val="center"/>
          </w:tcPr>
          <w:p w:rsidR="0092458E" w:rsidRPr="00F3043B" w:rsidRDefault="0092458E" w:rsidP="00DF0748">
            <w:pPr>
              <w:pStyle w:val="Tabletext"/>
              <w:spacing w:before="20" w:after="20"/>
              <w:jc w:val="center"/>
              <w:rPr>
                <w:b/>
                <w:bCs/>
                <w:sz w:val="20"/>
                <w:lang w:val="fr-CH"/>
              </w:rPr>
            </w:pPr>
          </w:p>
        </w:tc>
        <w:tc>
          <w:tcPr>
            <w:tcW w:w="1663" w:type="dxa"/>
            <w:vAlign w:val="center"/>
          </w:tcPr>
          <w:p w:rsidR="0092458E" w:rsidRPr="00F3043B" w:rsidRDefault="0092458E" w:rsidP="00DF0748">
            <w:pPr>
              <w:pStyle w:val="Tabletext"/>
              <w:spacing w:before="20" w:after="20"/>
              <w:jc w:val="center"/>
              <w:rPr>
                <w:b/>
                <w:bCs/>
                <w:sz w:val="20"/>
                <w:lang w:val="fr-CH"/>
              </w:rPr>
            </w:pPr>
          </w:p>
        </w:tc>
        <w:tc>
          <w:tcPr>
            <w:tcW w:w="1531" w:type="dxa"/>
            <w:vAlign w:val="center"/>
          </w:tcPr>
          <w:p w:rsidR="0092458E" w:rsidRPr="007F4668" w:rsidRDefault="0092458E" w:rsidP="00DF0748">
            <w:pPr>
              <w:pStyle w:val="Tabletext"/>
              <w:spacing w:before="20" w:after="20"/>
              <w:jc w:val="center"/>
              <w:rPr>
                <w:b/>
                <w:bCs/>
                <w:sz w:val="20"/>
              </w:rPr>
            </w:pPr>
            <w:r w:rsidRPr="007F4668">
              <w:rPr>
                <w:b/>
                <w:bCs/>
                <w:sz w:val="20"/>
              </w:rPr>
              <w:t>X</w:t>
            </w:r>
          </w:p>
        </w:tc>
      </w:tr>
      <w:tr w:rsidR="0092458E" w:rsidRPr="007F4668" w:rsidTr="00DF0748">
        <w:tc>
          <w:tcPr>
            <w:tcW w:w="6516" w:type="dxa"/>
          </w:tcPr>
          <w:p w:rsidR="0092458E" w:rsidRPr="00F3043B" w:rsidRDefault="0092458E" w:rsidP="00DF0748">
            <w:pPr>
              <w:pStyle w:val="Tabletext"/>
              <w:tabs>
                <w:tab w:val="left" w:pos="313"/>
              </w:tabs>
              <w:spacing w:before="20" w:after="20"/>
              <w:rPr>
                <w:sz w:val="20"/>
                <w:lang w:val="fr-CH"/>
              </w:rPr>
            </w:pPr>
            <w:r w:rsidRPr="00F3043B">
              <w:rPr>
                <w:sz w:val="20"/>
                <w:lang w:val="fr-CH"/>
              </w:rPr>
              <w:t>–</w:t>
            </w:r>
            <w:r w:rsidRPr="00F3043B">
              <w:rPr>
                <w:sz w:val="20"/>
                <w:lang w:val="fr-CH"/>
              </w:rPr>
              <w:tab/>
              <w:t>Services de la sécurité et de la sûreté</w:t>
            </w:r>
          </w:p>
        </w:tc>
        <w:tc>
          <w:tcPr>
            <w:tcW w:w="1843"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559" w:type="dxa"/>
            <w:vAlign w:val="center"/>
          </w:tcPr>
          <w:p w:rsidR="0092458E" w:rsidRPr="007F4668" w:rsidRDefault="0092458E" w:rsidP="00DF0748">
            <w:pPr>
              <w:pStyle w:val="Tabletext"/>
              <w:spacing w:before="20" w:after="20"/>
              <w:jc w:val="center"/>
              <w:rPr>
                <w:b/>
                <w:bCs/>
                <w:sz w:val="20"/>
              </w:rPr>
            </w:pPr>
          </w:p>
        </w:tc>
        <w:tc>
          <w:tcPr>
            <w:tcW w:w="1597" w:type="dxa"/>
            <w:vAlign w:val="center"/>
          </w:tcPr>
          <w:p w:rsidR="0092458E" w:rsidRPr="007F4668" w:rsidRDefault="0092458E" w:rsidP="00DF0748">
            <w:pPr>
              <w:pStyle w:val="Tabletext"/>
              <w:spacing w:before="20" w:after="20"/>
              <w:jc w:val="center"/>
              <w:rPr>
                <w:b/>
                <w:bCs/>
                <w:sz w:val="20"/>
              </w:rPr>
            </w:pP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p>
        </w:tc>
      </w:tr>
      <w:tr w:rsidR="0092458E" w:rsidRPr="007F4668" w:rsidTr="00DF0748">
        <w:tc>
          <w:tcPr>
            <w:tcW w:w="6516" w:type="dxa"/>
          </w:tcPr>
          <w:p w:rsidR="0092458E" w:rsidRPr="00F3043B" w:rsidRDefault="0092458E" w:rsidP="00DF0748">
            <w:pPr>
              <w:pStyle w:val="Tabletext"/>
              <w:tabs>
                <w:tab w:val="left" w:pos="313"/>
              </w:tabs>
              <w:spacing w:before="20" w:after="20"/>
              <w:rPr>
                <w:sz w:val="20"/>
                <w:lang w:val="fr-CH"/>
              </w:rPr>
            </w:pPr>
            <w:r w:rsidRPr="00F3043B">
              <w:rPr>
                <w:sz w:val="20"/>
                <w:lang w:val="fr-CH"/>
              </w:rPr>
              <w:t>–</w:t>
            </w:r>
            <w:r w:rsidRPr="00F3043B">
              <w:rPr>
                <w:sz w:val="20"/>
                <w:lang w:val="fr-CH"/>
              </w:rPr>
              <w:tab/>
              <w:t>Production et distribution des badges</w:t>
            </w:r>
          </w:p>
        </w:tc>
        <w:tc>
          <w:tcPr>
            <w:tcW w:w="1843" w:type="dxa"/>
            <w:vAlign w:val="center"/>
          </w:tcPr>
          <w:p w:rsidR="0092458E" w:rsidRPr="00F3043B" w:rsidRDefault="0092458E" w:rsidP="00DF0748">
            <w:pPr>
              <w:pStyle w:val="Tabletext"/>
              <w:spacing w:before="20" w:after="20"/>
              <w:jc w:val="center"/>
              <w:rPr>
                <w:b/>
                <w:bCs/>
                <w:sz w:val="20"/>
                <w:lang w:val="fr-CH"/>
              </w:rPr>
            </w:pPr>
          </w:p>
        </w:tc>
        <w:tc>
          <w:tcPr>
            <w:tcW w:w="1559"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597" w:type="dxa"/>
            <w:vAlign w:val="center"/>
          </w:tcPr>
          <w:p w:rsidR="0092458E" w:rsidRPr="007F4668" w:rsidRDefault="0092458E" w:rsidP="00DF0748">
            <w:pPr>
              <w:pStyle w:val="Tabletext"/>
              <w:spacing w:before="20" w:after="20"/>
              <w:jc w:val="center"/>
              <w:rPr>
                <w:b/>
                <w:bCs/>
                <w:sz w:val="20"/>
              </w:rPr>
            </w:pP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p>
        </w:tc>
      </w:tr>
      <w:tr w:rsidR="0092458E" w:rsidRPr="007F4668" w:rsidTr="00DF0748">
        <w:tc>
          <w:tcPr>
            <w:tcW w:w="6516" w:type="dxa"/>
          </w:tcPr>
          <w:p w:rsidR="0092458E" w:rsidRPr="00F3043B" w:rsidRDefault="0092458E" w:rsidP="00DF0748">
            <w:pPr>
              <w:pStyle w:val="Tabletext"/>
              <w:tabs>
                <w:tab w:val="left" w:pos="313"/>
              </w:tabs>
              <w:spacing w:before="20" w:after="20"/>
              <w:rPr>
                <w:sz w:val="20"/>
                <w:lang w:val="fr-CH"/>
              </w:rPr>
            </w:pPr>
            <w:r w:rsidRPr="00F3043B">
              <w:rPr>
                <w:sz w:val="20"/>
                <w:lang w:val="fr-CH"/>
              </w:rPr>
              <w:t>–</w:t>
            </w:r>
            <w:r w:rsidRPr="00F3043B">
              <w:rPr>
                <w:sz w:val="20"/>
                <w:lang w:val="fr-CH"/>
              </w:rPr>
              <w:tab/>
              <w:t>Services de mobilisation des ressources</w:t>
            </w:r>
          </w:p>
        </w:tc>
        <w:tc>
          <w:tcPr>
            <w:tcW w:w="1843" w:type="dxa"/>
            <w:vAlign w:val="center"/>
          </w:tcPr>
          <w:p w:rsidR="0092458E" w:rsidRPr="00F3043B" w:rsidRDefault="0092458E" w:rsidP="00DF0748">
            <w:pPr>
              <w:pStyle w:val="Tabletext"/>
              <w:spacing w:before="20" w:after="20"/>
              <w:jc w:val="center"/>
              <w:rPr>
                <w:b/>
                <w:bCs/>
                <w:sz w:val="20"/>
                <w:lang w:val="fr-CH"/>
              </w:rPr>
            </w:pPr>
          </w:p>
        </w:tc>
        <w:tc>
          <w:tcPr>
            <w:tcW w:w="1559" w:type="dxa"/>
            <w:vAlign w:val="center"/>
          </w:tcPr>
          <w:p w:rsidR="0092458E" w:rsidRPr="00F3043B" w:rsidRDefault="0092458E" w:rsidP="00DF0748">
            <w:pPr>
              <w:pStyle w:val="Tabletext"/>
              <w:spacing w:before="20" w:after="20"/>
              <w:jc w:val="center"/>
              <w:rPr>
                <w:b/>
                <w:bCs/>
                <w:sz w:val="20"/>
                <w:lang w:val="fr-CH"/>
              </w:rPr>
            </w:pPr>
          </w:p>
        </w:tc>
        <w:tc>
          <w:tcPr>
            <w:tcW w:w="1597"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663" w:type="dxa"/>
            <w:vAlign w:val="center"/>
          </w:tcPr>
          <w:p w:rsidR="0092458E" w:rsidRPr="007F4668" w:rsidRDefault="0092458E" w:rsidP="00DF0748">
            <w:pPr>
              <w:pStyle w:val="Tabletext"/>
              <w:spacing w:before="20" w:after="20"/>
              <w:jc w:val="center"/>
              <w:rPr>
                <w:b/>
                <w:bCs/>
                <w:sz w:val="20"/>
              </w:rPr>
            </w:pPr>
          </w:p>
        </w:tc>
        <w:tc>
          <w:tcPr>
            <w:tcW w:w="1531" w:type="dxa"/>
            <w:vAlign w:val="center"/>
          </w:tcPr>
          <w:p w:rsidR="0092458E" w:rsidRPr="007F4668" w:rsidRDefault="0092458E" w:rsidP="00DF0748">
            <w:pPr>
              <w:pStyle w:val="Tabletext"/>
              <w:spacing w:before="20" w:after="20"/>
              <w:jc w:val="center"/>
              <w:rPr>
                <w:b/>
                <w:bCs/>
                <w:sz w:val="20"/>
              </w:rPr>
            </w:pPr>
          </w:p>
        </w:tc>
      </w:tr>
      <w:tr w:rsidR="0092458E" w:rsidRPr="007F4668" w:rsidTr="00DF0748">
        <w:tc>
          <w:tcPr>
            <w:tcW w:w="6516" w:type="dxa"/>
          </w:tcPr>
          <w:p w:rsidR="0092458E" w:rsidRPr="00F3043B" w:rsidRDefault="0092458E" w:rsidP="00DF0748">
            <w:pPr>
              <w:pStyle w:val="Tabletext"/>
              <w:tabs>
                <w:tab w:val="left" w:pos="313"/>
              </w:tabs>
              <w:spacing w:before="20" w:after="20"/>
              <w:rPr>
                <w:sz w:val="20"/>
                <w:lang w:val="fr-CH"/>
              </w:rPr>
            </w:pPr>
            <w:r w:rsidRPr="00F3043B">
              <w:rPr>
                <w:sz w:val="20"/>
                <w:lang w:val="fr-CH"/>
              </w:rPr>
              <w:t>–</w:t>
            </w:r>
            <w:r w:rsidRPr="00F3043B">
              <w:rPr>
                <w:sz w:val="20"/>
                <w:lang w:val="fr-CH"/>
              </w:rPr>
              <w:tab/>
              <w:t>Gestion et planification stratégiques institutionnelles</w:t>
            </w:r>
          </w:p>
        </w:tc>
        <w:tc>
          <w:tcPr>
            <w:tcW w:w="1843" w:type="dxa"/>
            <w:vAlign w:val="center"/>
          </w:tcPr>
          <w:p w:rsidR="0092458E" w:rsidRPr="00F3043B" w:rsidRDefault="0092458E" w:rsidP="00DF0748">
            <w:pPr>
              <w:pStyle w:val="Tabletext"/>
              <w:spacing w:before="20" w:after="20"/>
              <w:jc w:val="center"/>
              <w:rPr>
                <w:b/>
                <w:bCs/>
                <w:sz w:val="20"/>
                <w:lang w:val="fr-CH"/>
              </w:rPr>
            </w:pPr>
          </w:p>
        </w:tc>
        <w:tc>
          <w:tcPr>
            <w:tcW w:w="1559" w:type="dxa"/>
            <w:vAlign w:val="center"/>
          </w:tcPr>
          <w:p w:rsidR="0092458E" w:rsidRPr="00F3043B" w:rsidRDefault="0092458E" w:rsidP="00DF0748">
            <w:pPr>
              <w:pStyle w:val="Tabletext"/>
              <w:spacing w:before="20" w:after="20"/>
              <w:jc w:val="center"/>
              <w:rPr>
                <w:b/>
                <w:bCs/>
                <w:sz w:val="20"/>
                <w:lang w:val="fr-CH"/>
              </w:rPr>
            </w:pPr>
          </w:p>
        </w:tc>
        <w:tc>
          <w:tcPr>
            <w:tcW w:w="1597" w:type="dxa"/>
            <w:vAlign w:val="center"/>
          </w:tcPr>
          <w:p w:rsidR="0092458E" w:rsidRPr="00F3043B" w:rsidRDefault="0092458E" w:rsidP="00DF0748">
            <w:pPr>
              <w:pStyle w:val="Tabletext"/>
              <w:spacing w:before="20" w:after="20"/>
              <w:jc w:val="center"/>
              <w:rPr>
                <w:b/>
                <w:bCs/>
                <w:sz w:val="20"/>
                <w:lang w:val="fr-CH"/>
              </w:rPr>
            </w:pPr>
          </w:p>
        </w:tc>
        <w:tc>
          <w:tcPr>
            <w:tcW w:w="1663" w:type="dxa"/>
            <w:vAlign w:val="center"/>
          </w:tcPr>
          <w:p w:rsidR="0092458E" w:rsidRPr="007F4668" w:rsidRDefault="0092458E" w:rsidP="00DF0748">
            <w:pPr>
              <w:pStyle w:val="Tabletext"/>
              <w:spacing w:before="20" w:after="20"/>
              <w:jc w:val="center"/>
              <w:rPr>
                <w:b/>
                <w:bCs/>
                <w:sz w:val="20"/>
              </w:rPr>
            </w:pPr>
            <w:r w:rsidRPr="007F4668">
              <w:rPr>
                <w:b/>
                <w:bCs/>
                <w:sz w:val="20"/>
              </w:rPr>
              <w:t>X</w:t>
            </w:r>
          </w:p>
        </w:tc>
        <w:tc>
          <w:tcPr>
            <w:tcW w:w="1531" w:type="dxa"/>
            <w:vAlign w:val="center"/>
          </w:tcPr>
          <w:p w:rsidR="0092458E" w:rsidRPr="007F4668" w:rsidRDefault="0092458E" w:rsidP="00DF0748">
            <w:pPr>
              <w:pStyle w:val="Tabletext"/>
              <w:spacing w:before="20" w:after="20"/>
              <w:jc w:val="center"/>
              <w:rPr>
                <w:b/>
                <w:bCs/>
                <w:sz w:val="20"/>
              </w:rPr>
            </w:pPr>
            <w:r w:rsidRPr="007F4668">
              <w:rPr>
                <w:b/>
                <w:bCs/>
                <w:sz w:val="20"/>
              </w:rPr>
              <w:t>X</w:t>
            </w:r>
          </w:p>
        </w:tc>
      </w:tr>
    </w:tbl>
    <w:p w:rsidR="0092458E" w:rsidRPr="007F4668" w:rsidRDefault="0092458E" w:rsidP="00DF0748">
      <w:pPr>
        <w:pStyle w:val="Heading2"/>
        <w:spacing w:before="20" w:after="20"/>
      </w:pPr>
      <w:r w:rsidRPr="007F4668">
        <w:br w:type="page"/>
      </w:r>
    </w:p>
    <w:p w:rsidR="0092458E" w:rsidRPr="007F4668" w:rsidRDefault="0092458E" w:rsidP="00DF0748">
      <w:pPr>
        <w:pStyle w:val="Heading2"/>
        <w:spacing w:after="120"/>
      </w:pPr>
      <w:r w:rsidRPr="007F4668">
        <w:lastRenderedPageBreak/>
        <w:t>3.3</w:t>
      </w:r>
      <w:r w:rsidRPr="007F4668">
        <w:tab/>
        <w:t>Objectifs, résultats et produis intersectoriels</w:t>
      </w:r>
    </w:p>
    <w:tbl>
      <w:tblPr>
        <w:tblW w:w="14709" w:type="dxa"/>
        <w:tblLayout w:type="fixed"/>
        <w:tblLook w:val="06A0" w:firstRow="1" w:lastRow="0" w:firstColumn="1" w:lastColumn="0" w:noHBand="1" w:noVBand="1"/>
      </w:tblPr>
      <w:tblGrid>
        <w:gridCol w:w="421"/>
        <w:gridCol w:w="2976"/>
        <w:gridCol w:w="2268"/>
        <w:gridCol w:w="2388"/>
        <w:gridCol w:w="2999"/>
        <w:gridCol w:w="3657"/>
      </w:tblGrid>
      <w:tr w:rsidR="0092458E" w:rsidRPr="007F4668" w:rsidTr="00DF0748">
        <w:trPr>
          <w:cantSplit/>
          <w:trHeight w:val="1134"/>
        </w:trPr>
        <w:tc>
          <w:tcPr>
            <w:tcW w:w="421" w:type="dxa"/>
            <w:textDirection w:val="btLr"/>
          </w:tcPr>
          <w:p w:rsidR="0092458E" w:rsidRPr="007F4668" w:rsidRDefault="0092458E" w:rsidP="00DF0748">
            <w:pPr>
              <w:spacing w:before="20" w:after="20"/>
              <w:ind w:left="113" w:right="113"/>
              <w:jc w:val="center"/>
              <w:rPr>
                <w:rFonts w:eastAsia="Calibri" w:cs="Arial"/>
                <w:color w:val="4F81BD" w:themeColor="accent1"/>
                <w:sz w:val="18"/>
                <w:szCs w:val="18"/>
              </w:rPr>
            </w:pPr>
            <w:r w:rsidRPr="007F4668">
              <w:rPr>
                <w:rFonts w:eastAsia="Calibri" w:cs="Arial"/>
                <w:sz w:val="18"/>
                <w:szCs w:val="18"/>
              </w:rPr>
              <w:t>Objectifs</w:t>
            </w:r>
          </w:p>
        </w:tc>
        <w:tc>
          <w:tcPr>
            <w:tcW w:w="2976" w:type="dxa"/>
          </w:tcPr>
          <w:p w:rsidR="0092458E" w:rsidRPr="00F3043B" w:rsidRDefault="0092458E" w:rsidP="00DF0748">
            <w:pPr>
              <w:pStyle w:val="Tablehead"/>
              <w:spacing w:before="20" w:after="20"/>
              <w:jc w:val="left"/>
              <w:rPr>
                <w:b w:val="0"/>
                <w:bCs/>
                <w:sz w:val="18"/>
                <w:szCs w:val="18"/>
                <w:lang w:val="fr-CH"/>
              </w:rPr>
            </w:pPr>
            <w:r w:rsidRPr="00F3043B">
              <w:rPr>
                <w:b w:val="0"/>
                <w:bCs/>
                <w:sz w:val="18"/>
                <w:szCs w:val="18"/>
                <w:lang w:val="fr-CH"/>
              </w:rPr>
              <w:t xml:space="preserve">I.1 Renforcer le dialogue international entre </w:t>
            </w:r>
            <w:r w:rsidRPr="00F3043B">
              <w:rPr>
                <w:b w:val="0"/>
                <w:bCs/>
                <w:sz w:val="18"/>
                <w:szCs w:val="18"/>
                <w:lang w:val="fr-CH"/>
              </w:rPr>
              <w:br/>
              <w:t>les parties prenantes</w:t>
            </w:r>
          </w:p>
        </w:tc>
        <w:tc>
          <w:tcPr>
            <w:tcW w:w="2268" w:type="dxa"/>
          </w:tcPr>
          <w:p w:rsidR="0092458E" w:rsidRPr="00F3043B" w:rsidRDefault="0092458E" w:rsidP="00DF0748">
            <w:pPr>
              <w:pStyle w:val="Tablehead"/>
              <w:spacing w:before="20" w:after="20"/>
              <w:jc w:val="left"/>
              <w:rPr>
                <w:b w:val="0"/>
                <w:bCs/>
                <w:sz w:val="18"/>
                <w:szCs w:val="18"/>
                <w:lang w:val="fr-CH"/>
              </w:rPr>
            </w:pPr>
            <w:r w:rsidRPr="00F3043B">
              <w:rPr>
                <w:b w:val="0"/>
                <w:bCs/>
                <w:sz w:val="18"/>
                <w:szCs w:val="18"/>
                <w:lang w:val="fr-CH"/>
              </w:rPr>
              <w:t>I.2 Renforcer les partenariats et la coopération dans l'environnement des télécommunications/TIC</w:t>
            </w:r>
          </w:p>
        </w:tc>
        <w:tc>
          <w:tcPr>
            <w:tcW w:w="2388" w:type="dxa"/>
          </w:tcPr>
          <w:p w:rsidR="0092458E" w:rsidRPr="00F3043B" w:rsidRDefault="0092458E" w:rsidP="00DF0748">
            <w:pPr>
              <w:pStyle w:val="Tablehead"/>
              <w:spacing w:before="20" w:after="20"/>
              <w:jc w:val="left"/>
              <w:rPr>
                <w:b w:val="0"/>
                <w:bCs/>
                <w:sz w:val="18"/>
                <w:szCs w:val="18"/>
                <w:lang w:val="fr-CH"/>
              </w:rPr>
            </w:pPr>
            <w:r w:rsidRPr="00F3043B">
              <w:rPr>
                <w:b w:val="0"/>
                <w:bCs/>
                <w:sz w:val="18"/>
                <w:szCs w:val="18"/>
                <w:lang w:val="fr-CH"/>
              </w:rPr>
              <w:t>I.3 Améliorer l'identification et l'analyse des nouvelles tendances dans l'environnement des télécommunications/TIC</w:t>
            </w:r>
          </w:p>
        </w:tc>
        <w:tc>
          <w:tcPr>
            <w:tcW w:w="2999" w:type="dxa"/>
          </w:tcPr>
          <w:p w:rsidR="0092458E" w:rsidRPr="00F3043B" w:rsidRDefault="0092458E" w:rsidP="00DF0748">
            <w:pPr>
              <w:pStyle w:val="Tablehead"/>
              <w:spacing w:before="20" w:after="20"/>
              <w:jc w:val="left"/>
              <w:rPr>
                <w:b w:val="0"/>
                <w:bCs/>
                <w:sz w:val="18"/>
                <w:szCs w:val="18"/>
                <w:lang w:val="fr-CH"/>
              </w:rPr>
            </w:pPr>
            <w:r w:rsidRPr="00F3043B">
              <w:rPr>
                <w:b w:val="0"/>
                <w:bCs/>
                <w:sz w:val="18"/>
                <w:szCs w:val="18"/>
                <w:lang w:val="fr-CH"/>
              </w:rPr>
              <w:t>I.4 Promouvoir/mieux faire reconnaître (l'importance des) les télécommunications/TIC en tant que catalyseur essentiel du développement social, économique et écologiquement durable</w:t>
            </w:r>
          </w:p>
        </w:tc>
        <w:tc>
          <w:tcPr>
            <w:tcW w:w="3657" w:type="dxa"/>
          </w:tcPr>
          <w:p w:rsidR="0092458E" w:rsidRPr="00F3043B" w:rsidRDefault="0092458E" w:rsidP="00DF0748">
            <w:pPr>
              <w:pStyle w:val="Tablehead"/>
              <w:spacing w:before="20" w:after="20"/>
              <w:jc w:val="left"/>
              <w:rPr>
                <w:b w:val="0"/>
                <w:bCs/>
                <w:sz w:val="18"/>
                <w:szCs w:val="18"/>
                <w:lang w:val="fr-CH"/>
              </w:rPr>
            </w:pPr>
            <w:r w:rsidRPr="00F3043B">
              <w:rPr>
                <w:b w:val="0"/>
                <w:bCs/>
                <w:sz w:val="18"/>
                <w:szCs w:val="18"/>
                <w:lang w:val="fr-CH"/>
              </w:rPr>
              <w:t>I.5 Améliorer l'accès aux télécommunications/TIC pour les personnes handicapées et pour les personnes ayant des besoins particuliers</w:t>
            </w:r>
          </w:p>
        </w:tc>
      </w:tr>
      <w:tr w:rsidR="0092458E" w:rsidRPr="007F4668" w:rsidTr="00DF0748">
        <w:trPr>
          <w:cantSplit/>
          <w:trHeight w:val="1134"/>
        </w:trPr>
        <w:tc>
          <w:tcPr>
            <w:tcW w:w="421" w:type="dxa"/>
            <w:textDirection w:val="btLr"/>
          </w:tcPr>
          <w:p w:rsidR="0092458E" w:rsidRPr="007F4668" w:rsidRDefault="0092458E" w:rsidP="00DF0748">
            <w:pPr>
              <w:spacing w:before="20" w:after="20"/>
              <w:ind w:left="113" w:right="113"/>
              <w:jc w:val="center"/>
              <w:rPr>
                <w:rFonts w:eastAsia="Calibri" w:cs="Arial"/>
                <w:color w:val="4F81BD" w:themeColor="accent1"/>
                <w:sz w:val="18"/>
                <w:szCs w:val="18"/>
              </w:rPr>
            </w:pPr>
            <w:r w:rsidRPr="007F4668">
              <w:rPr>
                <w:rFonts w:eastAsia="Calibri" w:cs="Arial"/>
                <w:color w:val="4F81BD" w:themeColor="accent1"/>
                <w:sz w:val="18"/>
                <w:szCs w:val="18"/>
              </w:rPr>
              <w:t>Résultats</w:t>
            </w:r>
          </w:p>
        </w:tc>
        <w:tc>
          <w:tcPr>
            <w:tcW w:w="2976" w:type="dxa"/>
          </w:tcPr>
          <w:p w:rsidR="0092458E" w:rsidRPr="00F3043B" w:rsidRDefault="0092458E" w:rsidP="00DF0748">
            <w:pPr>
              <w:pStyle w:val="Tabletext"/>
              <w:spacing w:before="20" w:after="20"/>
              <w:rPr>
                <w:rFonts w:eastAsia="Calibri" w:cs="Arial"/>
                <w:sz w:val="18"/>
                <w:szCs w:val="18"/>
                <w:lang w:val="fr-CH"/>
              </w:rPr>
            </w:pPr>
            <w:r w:rsidRPr="00F3043B">
              <w:rPr>
                <w:rFonts w:eastAsia="Calibri" w:cs="Arial"/>
                <w:b/>
                <w:bCs/>
                <w:color w:val="4F81BD" w:themeColor="accent1"/>
                <w:sz w:val="18"/>
                <w:szCs w:val="18"/>
                <w:lang w:val="fr-CH"/>
              </w:rPr>
              <w:t>I.1-1</w:t>
            </w:r>
            <w:r w:rsidRPr="00F3043B">
              <w:rPr>
                <w:rFonts w:eastAsia="Calibri" w:cs="Arial"/>
                <w:sz w:val="18"/>
                <w:szCs w:val="18"/>
                <w:lang w:val="fr-CH"/>
              </w:rPr>
              <w:t xml:space="preserve">: </w:t>
            </w:r>
            <w:r w:rsidRPr="00F3043B">
              <w:rPr>
                <w:sz w:val="18"/>
                <w:szCs w:val="18"/>
                <w:lang w:val="fr-CH"/>
              </w:rPr>
              <w:t>Renforcement de la collaboration entre les parties prenantes concernées, afin d'accroître l'efficacité de l'environnement des télécommunications/TIC</w:t>
            </w:r>
          </w:p>
        </w:tc>
        <w:tc>
          <w:tcPr>
            <w:tcW w:w="2268" w:type="dxa"/>
          </w:tcPr>
          <w:p w:rsidR="0092458E" w:rsidRPr="00F3043B" w:rsidRDefault="0092458E" w:rsidP="00DF0748">
            <w:pPr>
              <w:pStyle w:val="Tabletext"/>
              <w:spacing w:before="20" w:after="20"/>
              <w:rPr>
                <w:rFonts w:eastAsia="Calibri" w:cs="Arial"/>
                <w:sz w:val="18"/>
                <w:szCs w:val="18"/>
                <w:lang w:val="fr-CH"/>
              </w:rPr>
            </w:pPr>
            <w:r w:rsidRPr="00F3043B">
              <w:rPr>
                <w:rFonts w:eastAsia="Calibri" w:cs="Arial"/>
                <w:b/>
                <w:bCs/>
                <w:color w:val="4F81BD" w:themeColor="accent1"/>
                <w:sz w:val="18"/>
                <w:szCs w:val="18"/>
                <w:lang w:val="fr-CH"/>
              </w:rPr>
              <w:t>I.2-1</w:t>
            </w:r>
            <w:r w:rsidRPr="00F3043B">
              <w:rPr>
                <w:rFonts w:eastAsia="Calibri" w:cs="Arial"/>
                <w:sz w:val="18"/>
                <w:szCs w:val="18"/>
                <w:lang w:val="fr-CH"/>
              </w:rPr>
              <w:t xml:space="preserve">: </w:t>
            </w:r>
            <w:r w:rsidRPr="00F3043B">
              <w:rPr>
                <w:sz w:val="18"/>
                <w:szCs w:val="18"/>
                <w:lang w:val="fr-CH"/>
              </w:rPr>
              <w:t>Renforcement des synergies nées des partenariats concernant les télécommunications/TIC</w:t>
            </w:r>
            <w:r w:rsidRPr="00F3043B">
              <w:rPr>
                <w:rFonts w:eastAsia="Calibri" w:cs="Arial"/>
                <w:sz w:val="18"/>
                <w:szCs w:val="18"/>
                <w:lang w:val="fr-CH"/>
              </w:rPr>
              <w:t xml:space="preserve"> s</w:t>
            </w:r>
          </w:p>
        </w:tc>
        <w:tc>
          <w:tcPr>
            <w:tcW w:w="2388" w:type="dxa"/>
          </w:tcPr>
          <w:p w:rsidR="0092458E" w:rsidRPr="00F3043B" w:rsidRDefault="0092458E" w:rsidP="00DF0748">
            <w:pPr>
              <w:pStyle w:val="Tabletext"/>
              <w:spacing w:before="20" w:after="20"/>
              <w:rPr>
                <w:rFonts w:eastAsia="Calibri" w:cs="Arial"/>
                <w:sz w:val="18"/>
                <w:szCs w:val="18"/>
                <w:lang w:val="fr-CH"/>
              </w:rPr>
            </w:pPr>
            <w:r w:rsidRPr="00F3043B">
              <w:rPr>
                <w:rFonts w:eastAsia="Calibri" w:cs="Arial"/>
                <w:b/>
                <w:bCs/>
                <w:color w:val="4F81BD" w:themeColor="accent1"/>
                <w:sz w:val="18"/>
                <w:szCs w:val="18"/>
                <w:lang w:val="fr-CH"/>
              </w:rPr>
              <w:t>I.3-1</w:t>
            </w:r>
            <w:r w:rsidRPr="00F3043B">
              <w:rPr>
                <w:rFonts w:eastAsia="Calibri" w:cs="Arial"/>
                <w:sz w:val="18"/>
                <w:szCs w:val="18"/>
                <w:lang w:val="fr-CH"/>
              </w:rPr>
              <w:t xml:space="preserve">: </w:t>
            </w:r>
            <w:r w:rsidRPr="00F3043B">
              <w:rPr>
                <w:sz w:val="18"/>
                <w:szCs w:val="18"/>
                <w:lang w:val="fr-CH"/>
              </w:rPr>
              <w:t>Identification et analyse rapides des nouvelles tendances des télécommunications/TIC et création de nouveaux domaines d'activité liés à ces nouvelles tendances</w:t>
            </w:r>
          </w:p>
        </w:tc>
        <w:tc>
          <w:tcPr>
            <w:tcW w:w="2999" w:type="dxa"/>
          </w:tcPr>
          <w:p w:rsidR="0092458E" w:rsidRPr="00F3043B" w:rsidRDefault="0092458E" w:rsidP="00DF0748">
            <w:pPr>
              <w:pStyle w:val="Tabletext"/>
              <w:spacing w:before="20" w:after="20"/>
              <w:rPr>
                <w:rFonts w:eastAsia="Calibri" w:cs="Arial"/>
                <w:sz w:val="18"/>
                <w:szCs w:val="18"/>
                <w:lang w:val="fr-CH"/>
              </w:rPr>
            </w:pPr>
            <w:r w:rsidRPr="00F3043B">
              <w:rPr>
                <w:rFonts w:eastAsia="Calibri" w:cs="Arial"/>
                <w:b/>
                <w:bCs/>
                <w:color w:val="4F81BD" w:themeColor="accent1"/>
                <w:sz w:val="18"/>
                <w:szCs w:val="18"/>
                <w:lang w:val="fr-CH"/>
              </w:rPr>
              <w:t>I.4-1</w:t>
            </w:r>
            <w:r w:rsidRPr="00F3043B">
              <w:rPr>
                <w:rFonts w:eastAsia="Calibri" w:cs="Arial"/>
                <w:sz w:val="18"/>
                <w:szCs w:val="18"/>
                <w:lang w:val="fr-CH"/>
              </w:rPr>
              <w:t xml:space="preserve">: </w:t>
            </w:r>
            <w:r w:rsidRPr="00F3043B">
              <w:rPr>
                <w:sz w:val="18"/>
                <w:szCs w:val="18"/>
                <w:lang w:val="fr-CH"/>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r w:rsidRPr="00F3043B">
              <w:rPr>
                <w:rFonts w:eastAsia="Calibri" w:cs="Arial"/>
                <w:sz w:val="18"/>
                <w:szCs w:val="18"/>
                <w:lang w:val="fr-CH"/>
              </w:rPr>
              <w:t xml:space="preserve"> </w:t>
            </w:r>
          </w:p>
        </w:tc>
        <w:tc>
          <w:tcPr>
            <w:tcW w:w="3657" w:type="dxa"/>
          </w:tcPr>
          <w:p w:rsidR="0092458E" w:rsidRPr="00F3043B" w:rsidRDefault="0092458E" w:rsidP="00DF0748">
            <w:pPr>
              <w:pStyle w:val="Tabletext"/>
              <w:spacing w:before="20" w:after="20"/>
              <w:rPr>
                <w:rFonts w:eastAsia="Calibri" w:cs="Arial"/>
                <w:b/>
                <w:bCs/>
                <w:color w:val="4F81BD" w:themeColor="accent1"/>
                <w:sz w:val="18"/>
                <w:szCs w:val="18"/>
                <w:lang w:val="fr-CH"/>
              </w:rPr>
            </w:pPr>
            <w:r w:rsidRPr="00F3043B">
              <w:rPr>
                <w:rFonts w:eastAsia="Calibri" w:cs="Arial"/>
                <w:b/>
                <w:bCs/>
                <w:color w:val="4F81BD" w:themeColor="accent1"/>
                <w:sz w:val="18"/>
                <w:szCs w:val="18"/>
                <w:lang w:val="fr-CH"/>
              </w:rPr>
              <w:t xml:space="preserve">I.5-1: </w:t>
            </w:r>
            <w:r w:rsidRPr="00F3043B">
              <w:rPr>
                <w:sz w:val="18"/>
                <w:szCs w:val="18"/>
                <w:lang w:val="fr-CH"/>
              </w:rPr>
              <w:t>Disponibilité accrue d'équipements, de services et d'applications de télécommunication/TIC conformes aux principes de conception universelle</w:t>
            </w:r>
          </w:p>
          <w:p w:rsidR="0092458E" w:rsidRPr="00F3043B" w:rsidRDefault="0092458E" w:rsidP="00DF0748">
            <w:pPr>
              <w:pStyle w:val="Tabletext"/>
              <w:spacing w:before="20" w:after="20"/>
              <w:rPr>
                <w:rFonts w:eastAsia="Calibri" w:cs="Arial"/>
                <w:b/>
                <w:bCs/>
                <w:color w:val="4F81BD" w:themeColor="accent1"/>
                <w:sz w:val="18"/>
                <w:szCs w:val="18"/>
                <w:lang w:val="fr-CH"/>
              </w:rPr>
            </w:pPr>
            <w:r w:rsidRPr="00F3043B">
              <w:rPr>
                <w:rFonts w:eastAsia="Calibri" w:cs="Arial"/>
                <w:b/>
                <w:bCs/>
                <w:color w:val="4F81BD" w:themeColor="accent1"/>
                <w:sz w:val="18"/>
                <w:szCs w:val="18"/>
                <w:lang w:val="fr-CH"/>
              </w:rPr>
              <w:t xml:space="preserve">I.5-2: </w:t>
            </w:r>
            <w:r w:rsidRPr="00F3043B">
              <w:rPr>
                <w:sz w:val="18"/>
                <w:szCs w:val="18"/>
                <w:lang w:val="fr-CH"/>
              </w:rPr>
              <w:t>Renforcement de la participation des organisations de personnes handicapées et de personnes ayant des besoins particuliers aux travaux de l'Union</w:t>
            </w:r>
          </w:p>
          <w:p w:rsidR="0092458E" w:rsidRPr="00F3043B" w:rsidRDefault="0092458E" w:rsidP="00DF0748">
            <w:pPr>
              <w:pStyle w:val="Tabletext"/>
              <w:spacing w:before="20" w:after="20"/>
              <w:rPr>
                <w:rFonts w:eastAsia="Calibri" w:cs="Arial"/>
                <w:b/>
                <w:bCs/>
                <w:color w:val="4F81BD" w:themeColor="accent1"/>
                <w:sz w:val="18"/>
                <w:szCs w:val="18"/>
                <w:lang w:val="fr-CH"/>
              </w:rPr>
            </w:pPr>
            <w:r w:rsidRPr="00F3043B">
              <w:rPr>
                <w:rFonts w:eastAsia="Calibri" w:cs="Arial"/>
                <w:b/>
                <w:bCs/>
                <w:color w:val="4F81BD" w:themeColor="accent1"/>
                <w:sz w:val="18"/>
                <w:szCs w:val="18"/>
                <w:lang w:val="fr-CH"/>
              </w:rPr>
              <w:t xml:space="preserve">I.5-3: </w:t>
            </w:r>
            <w:r w:rsidRPr="00F3043B">
              <w:rPr>
                <w:sz w:val="18"/>
                <w:szCs w:val="18"/>
                <w:lang w:val="fr-CH"/>
              </w:rPr>
              <w:t>Sensibilisation accrue, y compris par une reconnaissance multilatérale et intergouvernementale, à la nécessité d'améliorer l'accès aux télécommunications/TIC pour les personnes handicapées et pour les personnes ayant des besoins particuliers</w:t>
            </w:r>
          </w:p>
        </w:tc>
      </w:tr>
      <w:tr w:rsidR="0092458E" w:rsidRPr="007F4668" w:rsidTr="00DF0748">
        <w:trPr>
          <w:cantSplit/>
          <w:trHeight w:val="1134"/>
        </w:trPr>
        <w:tc>
          <w:tcPr>
            <w:tcW w:w="421" w:type="dxa"/>
            <w:vMerge w:val="restart"/>
            <w:textDirection w:val="btLr"/>
          </w:tcPr>
          <w:p w:rsidR="0092458E" w:rsidRPr="007F4668" w:rsidRDefault="0092458E" w:rsidP="00DF0748">
            <w:pPr>
              <w:spacing w:before="20" w:after="20"/>
              <w:ind w:left="113" w:right="113"/>
              <w:jc w:val="center"/>
              <w:rPr>
                <w:sz w:val="18"/>
                <w:szCs w:val="18"/>
              </w:rPr>
            </w:pPr>
            <w:r w:rsidRPr="007F4668">
              <w:rPr>
                <w:rFonts w:eastAsia="Calibri" w:cs="Arial"/>
                <w:color w:val="4F81BD" w:themeColor="accent1"/>
                <w:sz w:val="18"/>
                <w:szCs w:val="18"/>
              </w:rPr>
              <w:t>Produits</w:t>
            </w:r>
          </w:p>
        </w:tc>
        <w:tc>
          <w:tcPr>
            <w:tcW w:w="2976" w:type="dxa"/>
          </w:tcPr>
          <w:p w:rsidR="0092458E" w:rsidRPr="00F3043B" w:rsidRDefault="0092458E" w:rsidP="00DF0748">
            <w:pPr>
              <w:pStyle w:val="Tabletext"/>
              <w:tabs>
                <w:tab w:val="left" w:pos="175"/>
              </w:tabs>
              <w:spacing w:before="20" w:after="20"/>
              <w:ind w:left="175" w:hanging="175"/>
              <w:rPr>
                <w:sz w:val="18"/>
                <w:szCs w:val="18"/>
                <w:lang w:val="fr-CH"/>
              </w:rPr>
            </w:pPr>
            <w:r w:rsidRPr="00F3043B">
              <w:rPr>
                <w:sz w:val="18"/>
                <w:szCs w:val="18"/>
                <w:lang w:val="fr-CH"/>
              </w:rPr>
              <w:t>–</w:t>
            </w:r>
            <w:r w:rsidRPr="00F3043B">
              <w:rPr>
                <w:sz w:val="18"/>
                <w:szCs w:val="18"/>
                <w:lang w:val="fr-CH"/>
              </w:rPr>
              <w:tab/>
              <w:t>Conférences, forums, manifestations et réunions intersectoriels au niveau mondial offrant un cadre de discussion de haut niveau (par exemple, Conférence mondiale des télécommunications internationales (CMTI), Forum mondial des politiques de télécommunication/TIC (FMPT), Sommet mondial sur la société de l'information (SMSI), Journée mondiale des télécommunications et de la société de l'information, ITU TELECOM)</w:t>
            </w:r>
          </w:p>
        </w:tc>
        <w:tc>
          <w:tcPr>
            <w:tcW w:w="2268" w:type="dxa"/>
          </w:tcPr>
          <w:p w:rsidR="0092458E" w:rsidRPr="00F3043B" w:rsidRDefault="0092458E" w:rsidP="00DF0748">
            <w:pPr>
              <w:pStyle w:val="Tabletext"/>
              <w:tabs>
                <w:tab w:val="left" w:pos="156"/>
              </w:tabs>
              <w:spacing w:before="20" w:after="20"/>
              <w:ind w:left="156" w:hanging="156"/>
              <w:rPr>
                <w:sz w:val="18"/>
                <w:szCs w:val="18"/>
                <w:lang w:val="fr-CH"/>
              </w:rPr>
            </w:pPr>
            <w:r w:rsidRPr="00F3043B">
              <w:rPr>
                <w:sz w:val="18"/>
                <w:szCs w:val="18"/>
                <w:lang w:val="fr-CH"/>
              </w:rPr>
              <w:t>–</w:t>
            </w:r>
            <w:r w:rsidRPr="00F3043B">
              <w:rPr>
                <w:sz w:val="18"/>
                <w:szCs w:val="18"/>
                <w:lang w:val="fr-CH"/>
              </w:rPr>
              <w:tab/>
              <w:t>Echange de connaissances, création de réseaux de relations et partenariats Mémorandums d'accord)</w:t>
            </w:r>
          </w:p>
        </w:tc>
        <w:tc>
          <w:tcPr>
            <w:tcW w:w="2388" w:type="dxa"/>
          </w:tcPr>
          <w:p w:rsidR="0092458E" w:rsidRPr="00F3043B" w:rsidRDefault="0092458E" w:rsidP="00DF0748">
            <w:pPr>
              <w:pStyle w:val="Tabletext"/>
              <w:tabs>
                <w:tab w:val="left" w:pos="190"/>
              </w:tabs>
              <w:spacing w:before="20" w:after="20"/>
              <w:ind w:left="190" w:hanging="190"/>
              <w:rPr>
                <w:sz w:val="18"/>
                <w:szCs w:val="18"/>
                <w:lang w:val="fr-CH"/>
              </w:rPr>
            </w:pPr>
            <w:r w:rsidRPr="00F3043B">
              <w:rPr>
                <w:sz w:val="18"/>
                <w:szCs w:val="18"/>
                <w:lang w:val="fr-CH"/>
              </w:rPr>
              <w:t>–</w:t>
            </w:r>
            <w:r w:rsidRPr="00F3043B">
              <w:rPr>
                <w:sz w:val="18"/>
                <w:szCs w:val="18"/>
                <w:lang w:val="fr-CH"/>
              </w:rPr>
              <w:tab/>
              <w:t>Initiatives et rapports intersectoriels sur les nouvelles tendances dans le secteur des télécommunications/TIC et autres initiatives analogues (y compris Les Nouvelles de l'UIT)</w:t>
            </w:r>
          </w:p>
        </w:tc>
        <w:tc>
          <w:tcPr>
            <w:tcW w:w="2999" w:type="dxa"/>
          </w:tcPr>
          <w:p w:rsidR="0092458E" w:rsidRPr="00F3043B" w:rsidRDefault="0092458E" w:rsidP="00DF0748">
            <w:pPr>
              <w:pStyle w:val="Tabletext"/>
              <w:tabs>
                <w:tab w:val="left" w:pos="162"/>
              </w:tabs>
              <w:spacing w:before="20" w:after="20"/>
              <w:ind w:left="162" w:hanging="162"/>
              <w:rPr>
                <w:sz w:val="18"/>
                <w:szCs w:val="18"/>
                <w:lang w:val="fr-CH"/>
              </w:rPr>
            </w:pPr>
            <w:r w:rsidRPr="00F3043B">
              <w:rPr>
                <w:sz w:val="18"/>
                <w:szCs w:val="18"/>
                <w:lang w:val="fr-CH"/>
              </w:rPr>
              <w:t>–</w:t>
            </w:r>
            <w:r w:rsidRPr="00F3043B">
              <w:rPr>
                <w:sz w:val="18"/>
                <w:szCs w:val="18"/>
                <w:lang w:val="fr-CH"/>
              </w:rPr>
              <w:tab/>
              <w:t>Rapports et autres contributions aux processus interinstitutions des Nations Unies, multilatéraux et intergouvernementaux</w:t>
            </w:r>
          </w:p>
        </w:tc>
        <w:tc>
          <w:tcPr>
            <w:tcW w:w="3657" w:type="dxa"/>
          </w:tcPr>
          <w:p w:rsidR="0092458E" w:rsidRPr="00F3043B" w:rsidRDefault="0092458E" w:rsidP="00DF0748">
            <w:pPr>
              <w:pStyle w:val="Tabletext"/>
              <w:tabs>
                <w:tab w:val="left" w:pos="193"/>
              </w:tabs>
              <w:spacing w:before="20" w:after="20"/>
              <w:ind w:left="193" w:hanging="193"/>
              <w:rPr>
                <w:sz w:val="18"/>
                <w:szCs w:val="18"/>
                <w:lang w:val="fr-CH"/>
              </w:rPr>
            </w:pPr>
            <w:r w:rsidRPr="00F3043B">
              <w:rPr>
                <w:sz w:val="18"/>
                <w:szCs w:val="18"/>
                <w:lang w:val="fr-CH"/>
              </w:rPr>
              <w:t>–</w:t>
            </w:r>
            <w:r w:rsidRPr="00F3043B">
              <w:rPr>
                <w:sz w:val="18"/>
                <w:szCs w:val="18"/>
                <w:lang w:val="fr-CH"/>
              </w:rPr>
              <w:tab/>
              <w:t>Rapports, lignes directrices et récapitulatifs concernant l'accessibilité des télécommunications/TIC</w:t>
            </w:r>
          </w:p>
          <w:p w:rsidR="0092458E" w:rsidRPr="00F3043B" w:rsidRDefault="0092458E" w:rsidP="00DF0748">
            <w:pPr>
              <w:pStyle w:val="Tabletext"/>
              <w:tabs>
                <w:tab w:val="left" w:pos="193"/>
              </w:tabs>
              <w:spacing w:before="20" w:after="20"/>
              <w:ind w:left="193" w:hanging="193"/>
              <w:rPr>
                <w:sz w:val="18"/>
                <w:szCs w:val="18"/>
                <w:lang w:val="fr-CH"/>
              </w:rPr>
            </w:pPr>
            <w:r w:rsidRPr="00F3043B">
              <w:rPr>
                <w:sz w:val="18"/>
                <w:szCs w:val="18"/>
                <w:lang w:val="fr-CH"/>
              </w:rPr>
              <w:t>–</w:t>
            </w:r>
            <w:r w:rsidRPr="00F3043B">
              <w:rPr>
                <w:sz w:val="18"/>
                <w:szCs w:val="18"/>
                <w:lang w:val="fr-CH"/>
              </w:rPr>
              <w:tab/>
              <w:t>Mobilisation de ressources et de compétences techniques, par exemple, en encourageant une participation accrue des personnes handicapées et des personnes ayant des besoins particuliers aux réunions internationales et régionales</w:t>
            </w:r>
          </w:p>
          <w:p w:rsidR="0092458E" w:rsidRPr="00F3043B" w:rsidRDefault="0092458E" w:rsidP="00DF0748">
            <w:pPr>
              <w:pStyle w:val="Tabletext"/>
              <w:tabs>
                <w:tab w:val="left" w:pos="193"/>
              </w:tabs>
              <w:spacing w:before="20" w:after="20"/>
              <w:ind w:left="193" w:hanging="193"/>
              <w:rPr>
                <w:sz w:val="18"/>
                <w:szCs w:val="18"/>
                <w:lang w:val="fr-CH"/>
              </w:rPr>
            </w:pPr>
            <w:r w:rsidRPr="00F3043B">
              <w:rPr>
                <w:sz w:val="18"/>
                <w:szCs w:val="18"/>
                <w:lang w:val="fr-CH"/>
              </w:rPr>
              <w:t>–</w:t>
            </w:r>
            <w:r w:rsidRPr="00F3043B">
              <w:rPr>
                <w:sz w:val="18"/>
                <w:szCs w:val="18"/>
                <w:lang w:val="fr-CH"/>
              </w:rPr>
              <w:tab/>
              <w:t>Poursuite de l'amélioration et de la mise en oeuvre de la politique de l'UIT en matière d'accessibilité et des plans connexes</w:t>
            </w:r>
          </w:p>
          <w:p w:rsidR="0092458E" w:rsidRPr="00F3043B" w:rsidRDefault="0092458E" w:rsidP="00DF0748">
            <w:pPr>
              <w:pStyle w:val="Tabletext"/>
              <w:tabs>
                <w:tab w:val="left" w:pos="193"/>
              </w:tabs>
              <w:spacing w:before="20" w:after="20"/>
              <w:ind w:left="193" w:hanging="193"/>
              <w:rPr>
                <w:sz w:val="18"/>
                <w:szCs w:val="18"/>
                <w:lang w:val="fr-CH"/>
              </w:rPr>
            </w:pPr>
            <w:r w:rsidRPr="00F3043B">
              <w:rPr>
                <w:sz w:val="18"/>
                <w:szCs w:val="18"/>
                <w:lang w:val="fr-CH"/>
              </w:rPr>
              <w:t>–</w:t>
            </w:r>
            <w:r w:rsidRPr="00F3043B">
              <w:rPr>
                <w:sz w:val="18"/>
                <w:szCs w:val="18"/>
                <w:lang w:val="fr-CH"/>
              </w:rPr>
              <w:tab/>
              <w:t>Campagnes de sensibilisation, tant au niveau des Nations Unies qu'aux niveaux régional et national</w:t>
            </w:r>
          </w:p>
        </w:tc>
      </w:tr>
      <w:tr w:rsidR="0092458E" w:rsidRPr="007F4668" w:rsidTr="00DF0748">
        <w:trPr>
          <w:cantSplit/>
          <w:trHeight w:val="557"/>
        </w:trPr>
        <w:tc>
          <w:tcPr>
            <w:tcW w:w="421" w:type="dxa"/>
            <w:vMerge/>
            <w:textDirection w:val="btLr"/>
          </w:tcPr>
          <w:p w:rsidR="0092458E" w:rsidRPr="00F3043B" w:rsidRDefault="0092458E" w:rsidP="00DF0748">
            <w:pPr>
              <w:spacing w:before="20" w:after="20" w:line="216" w:lineRule="auto"/>
              <w:ind w:left="283" w:right="113" w:hanging="170"/>
              <w:jc w:val="center"/>
              <w:rPr>
                <w:rFonts w:eastAsia="Calibri" w:cs="Arial"/>
                <w:color w:val="4F81BD" w:themeColor="accent1"/>
                <w:sz w:val="18"/>
                <w:szCs w:val="18"/>
                <w:lang w:val="fr-CH"/>
              </w:rPr>
            </w:pPr>
          </w:p>
        </w:tc>
        <w:tc>
          <w:tcPr>
            <w:tcW w:w="14288" w:type="dxa"/>
            <w:gridSpan w:val="5"/>
          </w:tcPr>
          <w:p w:rsidR="0092458E" w:rsidRPr="00F3043B" w:rsidRDefault="0092458E" w:rsidP="00DF0748">
            <w:pPr>
              <w:pStyle w:val="Tabletext"/>
              <w:spacing w:before="20" w:after="20"/>
              <w:rPr>
                <w:rFonts w:eastAsia="Calibri" w:cs="Arial"/>
                <w:sz w:val="18"/>
                <w:szCs w:val="18"/>
                <w:lang w:val="fr-CH"/>
              </w:rPr>
            </w:pPr>
            <w:r w:rsidRPr="00F3043B">
              <w:rPr>
                <w:sz w:val="18"/>
                <w:szCs w:val="18"/>
                <w:lang w:val="fr-CH"/>
              </w:rPr>
              <w:t>Les produits ci-après résultant des activités des organes directeurs de l'UIT contribuent à la réalisation de tous les objectifs de l'Union:</w:t>
            </w:r>
          </w:p>
          <w:p w:rsidR="0092458E" w:rsidRPr="00F3043B" w:rsidRDefault="0092458E" w:rsidP="00DF0748">
            <w:pPr>
              <w:pStyle w:val="Tabletext"/>
              <w:tabs>
                <w:tab w:val="left" w:pos="175"/>
              </w:tabs>
              <w:spacing w:before="20" w:after="20"/>
              <w:rPr>
                <w:sz w:val="18"/>
                <w:szCs w:val="18"/>
                <w:lang w:val="fr-CH"/>
              </w:rPr>
            </w:pPr>
            <w:r w:rsidRPr="00F3043B">
              <w:rPr>
                <w:sz w:val="18"/>
                <w:szCs w:val="18"/>
                <w:lang w:val="fr-CH"/>
              </w:rPr>
              <w:t>–</w:t>
            </w:r>
            <w:r w:rsidRPr="00F3043B">
              <w:rPr>
                <w:sz w:val="18"/>
                <w:szCs w:val="18"/>
                <w:lang w:val="fr-CH"/>
              </w:rPr>
              <w:tab/>
              <w:t>Décisions, résolutions, recommandations et autres résultats des travaux de la Conférence de plénipotentiaires</w:t>
            </w:r>
          </w:p>
          <w:p w:rsidR="0092458E" w:rsidRPr="00F3043B" w:rsidRDefault="0092458E" w:rsidP="00DF0748">
            <w:pPr>
              <w:pStyle w:val="Tabletext"/>
              <w:tabs>
                <w:tab w:val="left" w:pos="175"/>
              </w:tabs>
              <w:spacing w:before="20" w:after="20"/>
              <w:rPr>
                <w:rFonts w:eastAsia="Calibri" w:cs="Arial"/>
                <w:sz w:val="18"/>
                <w:szCs w:val="18"/>
                <w:lang w:val="fr-CH"/>
              </w:rPr>
            </w:pPr>
            <w:r w:rsidRPr="00F3043B">
              <w:rPr>
                <w:sz w:val="18"/>
                <w:szCs w:val="18"/>
                <w:lang w:val="fr-CH"/>
              </w:rPr>
              <w:t>–</w:t>
            </w:r>
            <w:r w:rsidRPr="00F3043B">
              <w:rPr>
                <w:sz w:val="18"/>
                <w:szCs w:val="18"/>
                <w:lang w:val="fr-CH"/>
              </w:rPr>
              <w:tab/>
              <w:t>Décisions et résolutions du Conseil et résultats des travaux des groupes de travail du Conseil</w:t>
            </w:r>
          </w:p>
        </w:tc>
      </w:tr>
    </w:tbl>
    <w:p w:rsidR="0092458E" w:rsidRPr="007F4668" w:rsidRDefault="0092458E" w:rsidP="00DF0748">
      <w:pPr>
        <w:spacing w:before="20" w:after="20"/>
        <w:rPr>
          <w:sz w:val="2"/>
          <w:szCs w:val="2"/>
        </w:rPr>
      </w:pPr>
    </w:p>
    <w:p w:rsidR="0092458E" w:rsidRPr="007F4668" w:rsidRDefault="0092458E" w:rsidP="00DF0748">
      <w:pPr>
        <w:pStyle w:val="Heading2"/>
        <w:spacing w:after="120"/>
      </w:pPr>
      <w:r w:rsidRPr="007F4668">
        <w:lastRenderedPageBreak/>
        <w:t>3.4</w:t>
      </w:r>
      <w:r w:rsidRPr="007F4668">
        <w:tab/>
      </w:r>
      <w:r>
        <w:t>Ventil</w:t>
      </w:r>
      <w:r w:rsidRPr="007F4668">
        <w:t>ation des coûts du Secrétariat général</w:t>
      </w:r>
    </w:p>
    <w:tbl>
      <w:tblPr>
        <w:tblStyle w:val="GridTable4-Accent12"/>
        <w:tblW w:w="14596" w:type="dxa"/>
        <w:tblLook w:val="0620" w:firstRow="1" w:lastRow="0" w:firstColumn="0" w:lastColumn="0" w:noHBand="1" w:noVBand="1"/>
      </w:tblPr>
      <w:tblGrid>
        <w:gridCol w:w="4673"/>
        <w:gridCol w:w="1276"/>
        <w:gridCol w:w="8647"/>
      </w:tblGrid>
      <w:tr w:rsidR="0092458E" w:rsidRPr="007F4668" w:rsidTr="00DF0748">
        <w:trPr>
          <w:cnfStyle w:val="100000000000" w:firstRow="1" w:lastRow="0" w:firstColumn="0" w:lastColumn="0" w:oddVBand="0" w:evenVBand="0" w:oddHBand="0" w:evenHBand="0" w:firstRowFirstColumn="0" w:firstRowLastColumn="0" w:lastRowFirstColumn="0" w:lastRowLastColumn="0"/>
          <w:trHeight w:val="300"/>
        </w:trPr>
        <w:tc>
          <w:tcPr>
            <w:tcW w:w="4673" w:type="dxa"/>
            <w:hideMark/>
          </w:tcPr>
          <w:p w:rsidR="0092458E" w:rsidRPr="00F3043B" w:rsidRDefault="0092458E" w:rsidP="00DF0748">
            <w:pPr>
              <w:spacing w:before="20" w:after="20"/>
              <w:jc w:val="center"/>
              <w:rPr>
                <w:color w:val="FFFFFF"/>
                <w:sz w:val="20"/>
                <w:lang w:val="fr-CH"/>
              </w:rPr>
            </w:pPr>
            <w:r w:rsidRPr="00F3043B">
              <w:rPr>
                <w:color w:val="FFFFFF"/>
                <w:sz w:val="20"/>
                <w:lang w:val="fr-CH"/>
              </w:rPr>
              <w:t>Ressources totales</w:t>
            </w:r>
            <w:r w:rsidRPr="00F3043B">
              <w:rPr>
                <w:color w:val="FFFFFF"/>
                <w:sz w:val="20"/>
                <w:lang w:val="fr-CH"/>
              </w:rPr>
              <w:br/>
              <w:t>du Secrétariat général</w:t>
            </w:r>
          </w:p>
        </w:tc>
        <w:tc>
          <w:tcPr>
            <w:tcW w:w="1276" w:type="dxa"/>
          </w:tcPr>
          <w:p w:rsidR="0092458E" w:rsidRPr="007F4668" w:rsidRDefault="0092458E" w:rsidP="00DF0748">
            <w:pPr>
              <w:spacing w:before="20" w:after="20"/>
              <w:jc w:val="center"/>
              <w:rPr>
                <w:color w:val="FFFFFF"/>
                <w:sz w:val="20"/>
              </w:rPr>
            </w:pPr>
            <w:r w:rsidRPr="007F4668">
              <w:rPr>
                <w:color w:val="FFFFFF"/>
                <w:sz w:val="20"/>
              </w:rPr>
              <w:t>%</w:t>
            </w:r>
          </w:p>
        </w:tc>
        <w:tc>
          <w:tcPr>
            <w:tcW w:w="8647" w:type="dxa"/>
          </w:tcPr>
          <w:p w:rsidR="0092458E" w:rsidRPr="00F3043B" w:rsidRDefault="0092458E" w:rsidP="00DF0748">
            <w:pPr>
              <w:spacing w:before="20" w:after="20"/>
              <w:rPr>
                <w:color w:val="FFFFFF"/>
                <w:sz w:val="20"/>
                <w:lang w:val="fr-CH"/>
              </w:rPr>
            </w:pPr>
            <w:r w:rsidRPr="00F3043B">
              <w:rPr>
                <w:color w:val="FFFFFF"/>
                <w:sz w:val="20"/>
                <w:lang w:val="fr-CH"/>
              </w:rPr>
              <w:t>Calculé sur la base du coût prévisionnel pour 2016 (en milliers CHF)</w:t>
            </w:r>
          </w:p>
        </w:tc>
      </w:tr>
      <w:tr w:rsidR="0092458E" w:rsidRPr="007F4668" w:rsidTr="00DF0748">
        <w:trPr>
          <w:trHeight w:val="300"/>
        </w:trPr>
        <w:tc>
          <w:tcPr>
            <w:tcW w:w="4673" w:type="dxa"/>
            <w:hideMark/>
          </w:tcPr>
          <w:p w:rsidR="0092458E" w:rsidRPr="00F3043B" w:rsidRDefault="0092458E" w:rsidP="00DF0748">
            <w:pPr>
              <w:spacing w:before="20" w:after="20"/>
              <w:rPr>
                <w:color w:val="000000"/>
                <w:sz w:val="20"/>
                <w:lang w:val="fr-CH"/>
              </w:rPr>
            </w:pPr>
            <w:r w:rsidRPr="00F3043B">
              <w:rPr>
                <w:color w:val="000000"/>
                <w:sz w:val="20"/>
                <w:lang w:val="fr-CH"/>
              </w:rPr>
              <w:t xml:space="preserve">Ressources attribuées aux </w:t>
            </w:r>
            <w:r w:rsidRPr="00F3043B">
              <w:rPr>
                <w:b/>
                <w:bCs/>
                <w:color w:val="000000"/>
                <w:sz w:val="20"/>
                <w:lang w:val="fr-CH"/>
              </w:rPr>
              <w:t>objectifs des Secteurs</w:t>
            </w:r>
            <w:r w:rsidRPr="00F3043B">
              <w:rPr>
                <w:color w:val="000000"/>
                <w:sz w:val="20"/>
                <w:lang w:val="fr-CH"/>
              </w:rPr>
              <w:t>*</w:t>
            </w:r>
          </w:p>
        </w:tc>
        <w:tc>
          <w:tcPr>
            <w:tcW w:w="1276" w:type="dxa"/>
          </w:tcPr>
          <w:p w:rsidR="0092458E" w:rsidRPr="007F4668" w:rsidRDefault="0092458E" w:rsidP="00DF0748">
            <w:pPr>
              <w:spacing w:before="20" w:after="20"/>
              <w:jc w:val="center"/>
              <w:rPr>
                <w:b/>
                <w:bCs/>
                <w:sz w:val="20"/>
              </w:rPr>
            </w:pPr>
            <w:r w:rsidRPr="007F4668">
              <w:rPr>
                <w:b/>
                <w:bCs/>
                <w:sz w:val="20"/>
              </w:rPr>
              <w:t>88%</w:t>
            </w:r>
          </w:p>
        </w:tc>
        <w:tc>
          <w:tcPr>
            <w:tcW w:w="8647" w:type="dxa"/>
          </w:tcPr>
          <w:p w:rsidR="0092458E" w:rsidRPr="00F3043B" w:rsidRDefault="0092458E" w:rsidP="00DF0748">
            <w:pPr>
              <w:spacing w:before="20" w:after="20"/>
              <w:ind w:left="1701" w:hanging="1701"/>
              <w:rPr>
                <w:sz w:val="20"/>
                <w:lang w:val="fr-CH"/>
              </w:rPr>
            </w:pPr>
            <w:r w:rsidRPr="00F3043B">
              <w:rPr>
                <w:sz w:val="20"/>
                <w:lang w:val="fr-CH"/>
              </w:rPr>
              <w:tab/>
              <w:t>79 268</w:t>
            </w:r>
            <w:r w:rsidRPr="00F3043B">
              <w:rPr>
                <w:sz w:val="20"/>
                <w:lang w:val="fr-CH"/>
              </w:rPr>
              <w:tab/>
            </w:r>
            <w:r w:rsidRPr="00F3043B">
              <w:rPr>
                <w:sz w:val="20"/>
                <w:lang w:val="fr-CH"/>
              </w:rPr>
              <w:tab/>
            </w:r>
            <w:r w:rsidRPr="00F3043B">
              <w:rPr>
                <w:color w:val="000000"/>
                <w:sz w:val="20"/>
                <w:lang w:val="fr-CH"/>
              </w:rPr>
              <w:t>* comprend les catalyseurs /services d'appui et la documentation</w:t>
            </w:r>
          </w:p>
        </w:tc>
      </w:tr>
      <w:tr w:rsidR="0092458E" w:rsidRPr="007F4668" w:rsidTr="00DF0748">
        <w:trPr>
          <w:trHeight w:val="161"/>
        </w:trPr>
        <w:tc>
          <w:tcPr>
            <w:tcW w:w="4673" w:type="dxa"/>
            <w:hideMark/>
          </w:tcPr>
          <w:p w:rsidR="0092458E" w:rsidRPr="00F3043B" w:rsidRDefault="0092458E" w:rsidP="00DF0748">
            <w:pPr>
              <w:spacing w:before="20" w:after="20"/>
              <w:rPr>
                <w:color w:val="000000"/>
                <w:sz w:val="20"/>
                <w:lang w:val="fr-CH"/>
              </w:rPr>
            </w:pPr>
            <w:r w:rsidRPr="00F3043B">
              <w:rPr>
                <w:color w:val="000000"/>
                <w:sz w:val="20"/>
                <w:lang w:val="fr-CH"/>
              </w:rPr>
              <w:t xml:space="preserve">Ressources attribuées aux </w:t>
            </w:r>
            <w:r w:rsidRPr="00F3043B">
              <w:rPr>
                <w:b/>
                <w:bCs/>
                <w:color w:val="000000"/>
                <w:sz w:val="20"/>
                <w:lang w:val="fr-CH"/>
              </w:rPr>
              <w:t>objectifs intersectoriels</w:t>
            </w:r>
            <w:r w:rsidRPr="00F3043B">
              <w:rPr>
                <w:color w:val="000000"/>
                <w:sz w:val="20"/>
                <w:lang w:val="fr-CH"/>
              </w:rPr>
              <w:t>**</w:t>
            </w:r>
          </w:p>
        </w:tc>
        <w:tc>
          <w:tcPr>
            <w:tcW w:w="1276" w:type="dxa"/>
          </w:tcPr>
          <w:p w:rsidR="0092458E" w:rsidRPr="007F4668" w:rsidRDefault="0092458E" w:rsidP="00DF0748">
            <w:pPr>
              <w:spacing w:before="20" w:after="20"/>
              <w:jc w:val="center"/>
              <w:rPr>
                <w:b/>
                <w:bCs/>
                <w:sz w:val="20"/>
              </w:rPr>
            </w:pPr>
            <w:r w:rsidRPr="007F4668">
              <w:rPr>
                <w:b/>
                <w:bCs/>
                <w:sz w:val="20"/>
              </w:rPr>
              <w:t>12%</w:t>
            </w:r>
          </w:p>
        </w:tc>
        <w:tc>
          <w:tcPr>
            <w:tcW w:w="8647" w:type="dxa"/>
          </w:tcPr>
          <w:p w:rsidR="0092458E" w:rsidRPr="00F3043B" w:rsidRDefault="0092458E" w:rsidP="00DF0748">
            <w:pPr>
              <w:spacing w:before="20" w:after="20"/>
              <w:rPr>
                <w:sz w:val="20"/>
                <w:lang w:val="fr-CH"/>
              </w:rPr>
            </w:pPr>
            <w:r w:rsidRPr="00F3043B">
              <w:rPr>
                <w:sz w:val="20"/>
                <w:lang w:val="fr-CH"/>
              </w:rPr>
              <w:tab/>
              <w:t>10 352</w:t>
            </w:r>
            <w:r w:rsidRPr="00F3043B">
              <w:rPr>
                <w:sz w:val="20"/>
                <w:lang w:val="fr-CH"/>
              </w:rPr>
              <w:tab/>
            </w:r>
            <w:r w:rsidRPr="00F3043B">
              <w:rPr>
                <w:sz w:val="20"/>
                <w:lang w:val="fr-CH"/>
              </w:rPr>
              <w:tab/>
            </w:r>
            <w:r w:rsidRPr="00F3043B">
              <w:rPr>
                <w:color w:val="000000"/>
                <w:sz w:val="20"/>
                <w:lang w:val="fr-CH"/>
              </w:rPr>
              <w:t>** comprend les coûts directs des produits intersectoriels</w:t>
            </w:r>
          </w:p>
        </w:tc>
      </w:tr>
      <w:tr w:rsidR="0092458E" w:rsidRPr="007F4668" w:rsidTr="00DF0748">
        <w:trPr>
          <w:trHeight w:val="81"/>
        </w:trPr>
        <w:tc>
          <w:tcPr>
            <w:tcW w:w="4673" w:type="dxa"/>
            <w:hideMark/>
          </w:tcPr>
          <w:p w:rsidR="0092458E" w:rsidRPr="007F4668" w:rsidRDefault="0092458E" w:rsidP="00DF0748">
            <w:pPr>
              <w:spacing w:before="20" w:after="20"/>
              <w:rPr>
                <w:color w:val="000000"/>
                <w:sz w:val="20"/>
              </w:rPr>
            </w:pPr>
            <w:r w:rsidRPr="007F4668">
              <w:rPr>
                <w:color w:val="000000"/>
                <w:sz w:val="20"/>
              </w:rPr>
              <w:t>Total</w:t>
            </w:r>
          </w:p>
        </w:tc>
        <w:tc>
          <w:tcPr>
            <w:tcW w:w="1276" w:type="dxa"/>
          </w:tcPr>
          <w:p w:rsidR="0092458E" w:rsidRPr="007F4668" w:rsidRDefault="0092458E" w:rsidP="00DF0748">
            <w:pPr>
              <w:spacing w:before="20" w:after="20"/>
              <w:jc w:val="center"/>
              <w:rPr>
                <w:sz w:val="20"/>
              </w:rPr>
            </w:pPr>
            <w:r w:rsidRPr="007F4668">
              <w:rPr>
                <w:sz w:val="20"/>
              </w:rPr>
              <w:t>100%</w:t>
            </w:r>
          </w:p>
        </w:tc>
        <w:tc>
          <w:tcPr>
            <w:tcW w:w="8647" w:type="dxa"/>
          </w:tcPr>
          <w:p w:rsidR="0092458E" w:rsidRPr="007F4668" w:rsidRDefault="0092458E" w:rsidP="00DF0748">
            <w:pPr>
              <w:spacing w:before="20" w:after="20"/>
              <w:rPr>
                <w:sz w:val="20"/>
              </w:rPr>
            </w:pPr>
            <w:r w:rsidRPr="007F4668">
              <w:rPr>
                <w:sz w:val="20"/>
              </w:rPr>
              <w:tab/>
              <w:t>89 620</w:t>
            </w:r>
          </w:p>
        </w:tc>
      </w:tr>
    </w:tbl>
    <w:p w:rsidR="0092458E" w:rsidRPr="007F4668" w:rsidRDefault="0092458E" w:rsidP="00DF0748">
      <w:pPr>
        <w:pStyle w:val="Heading2"/>
        <w:spacing w:before="20" w:after="20"/>
      </w:pPr>
      <w:r w:rsidRPr="007F4668">
        <w:br w:type="page"/>
      </w:r>
    </w:p>
    <w:p w:rsidR="0092458E" w:rsidRPr="007F4668" w:rsidRDefault="0092458E" w:rsidP="00DF0748">
      <w:pPr>
        <w:pStyle w:val="Heading2"/>
        <w:spacing w:after="120"/>
      </w:pPr>
      <w:r w:rsidRPr="007F4668">
        <w:lastRenderedPageBreak/>
        <w:t>3.5</w:t>
      </w:r>
      <w:r w:rsidRPr="007F4668">
        <w:tab/>
        <w:t>Ventilation des ressources du Secrétariat général entre les catalyseurs et les services d'</w:t>
      </w:r>
      <w:r>
        <w:t>appui pour la période 2016-2019</w:t>
      </w:r>
    </w:p>
    <w:tbl>
      <w:tblPr>
        <w:tblW w:w="14512" w:type="dxa"/>
        <w:tblInd w:w="108" w:type="dxa"/>
        <w:tblLayout w:type="fixed"/>
        <w:tblLook w:val="0480" w:firstRow="0" w:lastRow="0" w:firstColumn="1" w:lastColumn="0" w:noHBand="0" w:noVBand="1"/>
      </w:tblPr>
      <w:tblGrid>
        <w:gridCol w:w="6555"/>
        <w:gridCol w:w="708"/>
        <w:gridCol w:w="6379"/>
        <w:gridCol w:w="870"/>
      </w:tblGrid>
      <w:tr w:rsidR="0092458E" w:rsidRPr="007F4668" w:rsidTr="00DF0748">
        <w:tc>
          <w:tcPr>
            <w:tcW w:w="7263" w:type="dxa"/>
            <w:gridSpan w:val="2"/>
          </w:tcPr>
          <w:p w:rsidR="0092458E" w:rsidRPr="007F4668" w:rsidRDefault="0092458E" w:rsidP="00DF0748">
            <w:pPr>
              <w:spacing w:before="20" w:after="20"/>
            </w:pPr>
            <w:r w:rsidRPr="007F4668">
              <w:rPr>
                <w:noProof/>
                <w:lang w:val="en-US" w:eastAsia="zh-CN"/>
              </w:rPr>
              <w:drawing>
                <wp:inline distT="0" distB="0" distL="0" distR="0" wp14:anchorId="1996FC92" wp14:editId="5064248F">
                  <wp:extent cx="4474845" cy="2684780"/>
                  <wp:effectExtent l="0" t="0" r="190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6379" w:type="dxa"/>
            <w:vMerge w:val="restart"/>
          </w:tcPr>
          <w:p w:rsidR="0092458E" w:rsidRPr="00F3043B" w:rsidRDefault="0092458E" w:rsidP="00DF0748">
            <w:pPr>
              <w:spacing w:before="20" w:after="20"/>
              <w:rPr>
                <w:rFonts w:asciiTheme="majorHAnsi" w:hAnsiTheme="majorHAnsi"/>
                <w:noProof/>
                <w:color w:val="4F81BD" w:themeColor="accent1"/>
                <w:sz w:val="28"/>
                <w:szCs w:val="28"/>
                <w:lang w:val="fr-CH" w:eastAsia="zh-CN"/>
              </w:rPr>
            </w:pPr>
            <w:r w:rsidRPr="00F3043B">
              <w:rPr>
                <w:rFonts w:asciiTheme="majorHAnsi" w:hAnsiTheme="majorHAnsi"/>
                <w:noProof/>
                <w:color w:val="4F81BD" w:themeColor="accent1"/>
                <w:sz w:val="28"/>
                <w:szCs w:val="28"/>
                <w:lang w:val="fr-CH" w:eastAsia="zh-CN"/>
              </w:rPr>
              <w:t>Ventilation prévisionnelle des ressources par service d'appui</w:t>
            </w:r>
          </w:p>
          <w:p w:rsidR="0092458E" w:rsidRPr="00F3043B" w:rsidRDefault="0092458E" w:rsidP="00DF0748">
            <w:pPr>
              <w:pBdr>
                <w:top w:val="single" w:sz="6" w:space="1" w:color="auto"/>
                <w:bottom w:val="single" w:sz="6" w:space="1" w:color="auto"/>
              </w:pBdr>
              <w:spacing w:before="20" w:after="20"/>
              <w:rPr>
                <w:sz w:val="20"/>
                <w:lang w:val="fr-CH"/>
              </w:rPr>
            </w:pPr>
            <w:r w:rsidRPr="00F3043B">
              <w:rPr>
                <w:b/>
                <w:bCs/>
                <w:color w:val="4F81BD" w:themeColor="accent1"/>
                <w:sz w:val="20"/>
                <w:lang w:val="fr-CH"/>
              </w:rPr>
              <w:t xml:space="preserve">S.1 </w:t>
            </w:r>
            <w:r w:rsidRPr="00F3043B">
              <w:rPr>
                <w:rFonts w:cs="Calibri"/>
                <w:sz w:val="19"/>
                <w:szCs w:val="19"/>
                <w:lang w:val="fr-CH"/>
              </w:rPr>
              <w:t>Direction de l'Union</w:t>
            </w:r>
          </w:p>
          <w:p w:rsidR="0092458E" w:rsidRPr="00F3043B" w:rsidRDefault="0092458E" w:rsidP="00DF0748">
            <w:pPr>
              <w:spacing w:before="20" w:after="20"/>
              <w:rPr>
                <w:sz w:val="20"/>
                <w:lang w:val="fr-CH"/>
              </w:rPr>
            </w:pPr>
            <w:r w:rsidRPr="00F3043B">
              <w:rPr>
                <w:b/>
                <w:bCs/>
                <w:color w:val="4F81BD" w:themeColor="accent1"/>
                <w:sz w:val="20"/>
                <w:lang w:val="fr-CH"/>
              </w:rPr>
              <w:t xml:space="preserve">S.2 </w:t>
            </w:r>
            <w:r w:rsidRPr="00F3043B">
              <w:rPr>
                <w:rFonts w:cs="Calibri"/>
                <w:sz w:val="19"/>
                <w:szCs w:val="19"/>
                <w:lang w:val="fr-CH"/>
              </w:rPr>
              <w:t>Organisation de conférences, assemblées, séminaires et ateliers (traduction et interprétation comprises)</w:t>
            </w:r>
          </w:p>
          <w:p w:rsidR="0092458E" w:rsidRPr="00F3043B" w:rsidRDefault="0092458E" w:rsidP="00DF0748">
            <w:pPr>
              <w:spacing w:before="20" w:after="20"/>
              <w:rPr>
                <w:sz w:val="20"/>
                <w:lang w:val="fr-CH"/>
              </w:rPr>
            </w:pPr>
            <w:r w:rsidRPr="00F3043B">
              <w:rPr>
                <w:b/>
                <w:bCs/>
                <w:color w:val="4F81BD" w:themeColor="accent1"/>
                <w:sz w:val="20"/>
                <w:lang w:val="fr-CH"/>
              </w:rPr>
              <w:t xml:space="preserve">S.3 </w:t>
            </w:r>
            <w:r w:rsidRPr="00F3043B">
              <w:rPr>
                <w:rFonts w:cs="Calibri"/>
                <w:sz w:val="19"/>
                <w:szCs w:val="19"/>
                <w:lang w:val="fr-CH"/>
              </w:rPr>
              <w:t>Services de publication</w:t>
            </w:r>
          </w:p>
          <w:p w:rsidR="0092458E" w:rsidRPr="00F3043B" w:rsidRDefault="0092458E" w:rsidP="00DF0748">
            <w:pPr>
              <w:pBdr>
                <w:top w:val="single" w:sz="6" w:space="1" w:color="auto"/>
                <w:bottom w:val="single" w:sz="6" w:space="1" w:color="auto"/>
              </w:pBdr>
              <w:spacing w:before="20" w:after="20"/>
              <w:rPr>
                <w:sz w:val="20"/>
                <w:lang w:val="fr-CH"/>
              </w:rPr>
            </w:pPr>
            <w:r w:rsidRPr="00F3043B">
              <w:rPr>
                <w:b/>
                <w:bCs/>
                <w:color w:val="4F81BD" w:themeColor="accent1"/>
                <w:sz w:val="20"/>
                <w:lang w:val="fr-CH"/>
              </w:rPr>
              <w:t xml:space="preserve">S.4 </w:t>
            </w:r>
            <w:r w:rsidRPr="00F3043B">
              <w:rPr>
                <w:sz w:val="20"/>
                <w:lang w:val="fr-CH"/>
              </w:rPr>
              <w:t>Services TIC</w:t>
            </w:r>
          </w:p>
          <w:p w:rsidR="0092458E" w:rsidRPr="00F3043B" w:rsidRDefault="0092458E" w:rsidP="00DF0748">
            <w:pPr>
              <w:pBdr>
                <w:top w:val="single" w:sz="6" w:space="1" w:color="auto"/>
                <w:bottom w:val="single" w:sz="6" w:space="1" w:color="auto"/>
              </w:pBdr>
              <w:spacing w:before="20" w:after="20"/>
              <w:rPr>
                <w:sz w:val="20"/>
                <w:lang w:val="fr-CH"/>
              </w:rPr>
            </w:pPr>
            <w:r w:rsidRPr="00F3043B">
              <w:rPr>
                <w:b/>
                <w:bCs/>
                <w:color w:val="4F81BD" w:themeColor="accent1"/>
                <w:sz w:val="20"/>
                <w:lang w:val="fr-CH"/>
              </w:rPr>
              <w:t xml:space="preserve">S.5 </w:t>
            </w:r>
            <w:r w:rsidRPr="00F3043B">
              <w:rPr>
                <w:sz w:val="20"/>
                <w:lang w:val="fr-CH"/>
              </w:rPr>
              <w:t>Services de sûreté et de sécurité</w:t>
            </w:r>
          </w:p>
          <w:p w:rsidR="0092458E" w:rsidRPr="00F3043B" w:rsidRDefault="0092458E" w:rsidP="00DF0748">
            <w:pPr>
              <w:pBdr>
                <w:bottom w:val="single" w:sz="6" w:space="1" w:color="auto"/>
                <w:between w:val="single" w:sz="6" w:space="1" w:color="auto"/>
              </w:pBdr>
              <w:spacing w:before="20" w:after="20"/>
              <w:rPr>
                <w:sz w:val="20"/>
                <w:lang w:val="fr-CH"/>
              </w:rPr>
            </w:pPr>
            <w:r w:rsidRPr="00F3043B">
              <w:rPr>
                <w:b/>
                <w:bCs/>
                <w:color w:val="4F81BD" w:themeColor="accent1"/>
                <w:sz w:val="20"/>
                <w:lang w:val="fr-CH"/>
              </w:rPr>
              <w:t xml:space="preserve">S.6 </w:t>
            </w:r>
            <w:r w:rsidRPr="00F3043B">
              <w:rPr>
                <w:sz w:val="20"/>
                <w:lang w:val="fr-CH"/>
              </w:rPr>
              <w:t>Gestion des ressources humaines*</w:t>
            </w:r>
          </w:p>
          <w:p w:rsidR="0092458E" w:rsidRPr="00F3043B" w:rsidRDefault="0092458E" w:rsidP="00DF0748">
            <w:pPr>
              <w:pBdr>
                <w:bottom w:val="single" w:sz="6" w:space="1" w:color="auto"/>
                <w:between w:val="single" w:sz="6" w:space="1" w:color="auto"/>
              </w:pBdr>
              <w:spacing w:before="20" w:after="20"/>
              <w:rPr>
                <w:sz w:val="20"/>
                <w:lang w:val="fr-CH"/>
              </w:rPr>
            </w:pPr>
            <w:r w:rsidRPr="00F3043B">
              <w:rPr>
                <w:b/>
                <w:bCs/>
                <w:color w:val="4F81BD" w:themeColor="accent1"/>
                <w:sz w:val="20"/>
                <w:lang w:val="fr-CH"/>
              </w:rPr>
              <w:t xml:space="preserve">S.7 </w:t>
            </w:r>
            <w:r w:rsidRPr="00F3043B">
              <w:rPr>
                <w:sz w:val="20"/>
                <w:lang w:val="fr-CH"/>
              </w:rPr>
              <w:t>Gestion des ressources financières</w:t>
            </w:r>
          </w:p>
          <w:p w:rsidR="0092458E" w:rsidRPr="00F3043B" w:rsidRDefault="0092458E" w:rsidP="00DF0748">
            <w:pPr>
              <w:pBdr>
                <w:bottom w:val="single" w:sz="6" w:space="1" w:color="auto"/>
                <w:between w:val="single" w:sz="6" w:space="1" w:color="auto"/>
              </w:pBdr>
              <w:spacing w:before="20" w:after="20"/>
              <w:rPr>
                <w:sz w:val="20"/>
                <w:lang w:val="fr-CH"/>
              </w:rPr>
            </w:pPr>
            <w:r w:rsidRPr="00F3043B">
              <w:rPr>
                <w:b/>
                <w:bCs/>
                <w:color w:val="4F81BD" w:themeColor="accent1"/>
                <w:sz w:val="20"/>
                <w:lang w:val="fr-CH"/>
              </w:rPr>
              <w:t xml:space="preserve">S.8 </w:t>
            </w:r>
            <w:r w:rsidRPr="00F3043B">
              <w:rPr>
                <w:sz w:val="20"/>
                <w:lang w:val="fr-CH"/>
              </w:rPr>
              <w:t>Services juridiques</w:t>
            </w:r>
          </w:p>
          <w:p w:rsidR="0092458E" w:rsidRPr="00F3043B" w:rsidRDefault="0092458E" w:rsidP="00DF0748">
            <w:pPr>
              <w:pBdr>
                <w:bottom w:val="single" w:sz="6" w:space="1" w:color="auto"/>
                <w:between w:val="single" w:sz="6" w:space="1" w:color="auto"/>
              </w:pBdr>
              <w:spacing w:before="20" w:after="20"/>
              <w:rPr>
                <w:sz w:val="20"/>
                <w:lang w:val="fr-CH"/>
              </w:rPr>
            </w:pPr>
            <w:r w:rsidRPr="00F3043B">
              <w:rPr>
                <w:b/>
                <w:bCs/>
                <w:color w:val="4F81BD" w:themeColor="accent1"/>
                <w:sz w:val="20"/>
                <w:lang w:val="fr-CH"/>
              </w:rPr>
              <w:t xml:space="preserve">S.9 </w:t>
            </w:r>
            <w:r w:rsidRPr="00F3043B">
              <w:rPr>
                <w:sz w:val="20"/>
                <w:lang w:val="fr-CH"/>
              </w:rPr>
              <w:t>Audi interne</w:t>
            </w:r>
          </w:p>
          <w:p w:rsidR="0092458E" w:rsidRPr="00F3043B" w:rsidRDefault="0092458E" w:rsidP="00DF0748">
            <w:pPr>
              <w:spacing w:before="20" w:after="20"/>
              <w:rPr>
                <w:sz w:val="20"/>
                <w:lang w:val="fr-CH"/>
              </w:rPr>
            </w:pPr>
            <w:r w:rsidRPr="00F3043B">
              <w:rPr>
                <w:b/>
                <w:bCs/>
                <w:color w:val="4F81BD" w:themeColor="accent1"/>
                <w:sz w:val="20"/>
                <w:lang w:val="fr-CH"/>
              </w:rPr>
              <w:t xml:space="preserve">S.10 </w:t>
            </w:r>
            <w:r w:rsidRPr="00F3043B">
              <w:rPr>
                <w:rFonts w:cs="Calibri"/>
                <w:sz w:val="20"/>
                <w:lang w:val="fr-CH"/>
              </w:rPr>
              <w:t>Collaboration avec les membres et les parties prenantes extérieures (y compris les Nations Unies)</w:t>
            </w:r>
          </w:p>
          <w:p w:rsidR="0092458E" w:rsidRPr="00F3043B" w:rsidRDefault="0092458E" w:rsidP="00DF0748">
            <w:pPr>
              <w:spacing w:before="20" w:after="20"/>
              <w:rPr>
                <w:sz w:val="20"/>
                <w:lang w:val="fr-CH"/>
              </w:rPr>
            </w:pPr>
            <w:r w:rsidRPr="00F3043B">
              <w:rPr>
                <w:b/>
                <w:bCs/>
                <w:color w:val="4F81BD" w:themeColor="accent1"/>
                <w:sz w:val="20"/>
                <w:lang w:val="fr-CH"/>
              </w:rPr>
              <w:t xml:space="preserve">S.11 </w:t>
            </w:r>
            <w:r w:rsidRPr="00F3043B">
              <w:rPr>
                <w:rFonts w:cs="Calibri"/>
                <w:sz w:val="20"/>
                <w:lang w:val="fr-CH"/>
              </w:rPr>
              <w:t>Services de communication (services audiovisuels, services de presse, réseaux sociaux, gestion du web, programme de marque, rédaction de discours, Parcours "A la découverte des TIC")</w:t>
            </w:r>
          </w:p>
          <w:p w:rsidR="0092458E" w:rsidRPr="00F3043B" w:rsidRDefault="0092458E" w:rsidP="00DF0748">
            <w:pPr>
              <w:spacing w:before="20" w:after="20"/>
              <w:rPr>
                <w:sz w:val="20"/>
                <w:lang w:val="fr-CH"/>
              </w:rPr>
            </w:pPr>
            <w:r w:rsidRPr="00F3043B">
              <w:rPr>
                <w:b/>
                <w:bCs/>
                <w:color w:val="4F81BD" w:themeColor="accent1"/>
                <w:sz w:val="20"/>
                <w:lang w:val="fr-CH"/>
              </w:rPr>
              <w:t xml:space="preserve">S.12 </w:t>
            </w:r>
            <w:r w:rsidRPr="00F3043B">
              <w:rPr>
                <w:rFonts w:cs="Calibri"/>
                <w:sz w:val="20"/>
                <w:lang w:val="fr-CH"/>
              </w:rPr>
              <w:t>Services du protocole</w:t>
            </w:r>
          </w:p>
          <w:p w:rsidR="0092458E" w:rsidRPr="00F3043B" w:rsidRDefault="0092458E" w:rsidP="00DF0748">
            <w:pPr>
              <w:spacing w:before="20" w:after="20"/>
              <w:rPr>
                <w:sz w:val="20"/>
                <w:lang w:val="fr-CH"/>
              </w:rPr>
            </w:pPr>
            <w:r w:rsidRPr="00F3043B">
              <w:rPr>
                <w:b/>
                <w:bCs/>
                <w:color w:val="4F81BD" w:themeColor="accent1"/>
                <w:sz w:val="20"/>
                <w:lang w:val="fr-CH"/>
              </w:rPr>
              <w:t xml:space="preserve">S.13 </w:t>
            </w:r>
            <w:r w:rsidRPr="00F3043B">
              <w:rPr>
                <w:rFonts w:cs="Calibri"/>
                <w:sz w:val="20"/>
                <w:lang w:val="fr-CH"/>
              </w:rPr>
              <w:t>Facilitation des travaux des organes directeurs (PP, Conseil, groupes de travail du Conseil)</w:t>
            </w:r>
          </w:p>
          <w:p w:rsidR="0092458E" w:rsidRPr="00F3043B" w:rsidRDefault="0092458E" w:rsidP="00DF0748">
            <w:pPr>
              <w:spacing w:before="20" w:after="20"/>
              <w:rPr>
                <w:sz w:val="20"/>
                <w:lang w:val="fr-CH"/>
              </w:rPr>
            </w:pPr>
            <w:r w:rsidRPr="00F3043B">
              <w:rPr>
                <w:b/>
                <w:bCs/>
                <w:color w:val="4F81BD" w:themeColor="accent1"/>
                <w:sz w:val="20"/>
                <w:lang w:val="fr-CH"/>
              </w:rPr>
              <w:t xml:space="preserve">S.14 </w:t>
            </w:r>
            <w:r w:rsidRPr="00F3043B">
              <w:rPr>
                <w:rFonts w:cs="Calibri"/>
                <w:sz w:val="20"/>
                <w:lang w:val="fr-CH"/>
              </w:rPr>
              <w:t>Production et distribution des badges</w:t>
            </w:r>
          </w:p>
          <w:p w:rsidR="0092458E" w:rsidRPr="00F3043B" w:rsidRDefault="0092458E" w:rsidP="00DF0748">
            <w:pPr>
              <w:spacing w:before="20" w:after="20"/>
              <w:rPr>
                <w:sz w:val="20"/>
                <w:lang w:val="fr-CH"/>
              </w:rPr>
            </w:pPr>
            <w:r w:rsidRPr="00F3043B">
              <w:rPr>
                <w:b/>
                <w:bCs/>
                <w:color w:val="4F81BD" w:themeColor="accent1"/>
                <w:sz w:val="20"/>
                <w:lang w:val="fr-CH"/>
              </w:rPr>
              <w:t xml:space="preserve">S.15 </w:t>
            </w:r>
            <w:r w:rsidRPr="00F3043B">
              <w:rPr>
                <w:rFonts w:cs="Calibri"/>
                <w:sz w:val="20"/>
                <w:lang w:val="fr-CH"/>
              </w:rPr>
              <w:t>Services de mobilisation des ressources</w:t>
            </w:r>
          </w:p>
          <w:p w:rsidR="0092458E" w:rsidRPr="00F3043B" w:rsidRDefault="0092458E" w:rsidP="00DF0748">
            <w:pPr>
              <w:spacing w:before="20" w:after="20"/>
              <w:rPr>
                <w:sz w:val="20"/>
                <w:lang w:val="fr-CH"/>
              </w:rPr>
            </w:pPr>
            <w:r w:rsidRPr="00F3043B">
              <w:rPr>
                <w:b/>
                <w:bCs/>
                <w:color w:val="4F81BD" w:themeColor="accent1"/>
                <w:sz w:val="20"/>
                <w:lang w:val="fr-CH"/>
              </w:rPr>
              <w:t xml:space="preserve">S.16 </w:t>
            </w:r>
            <w:r w:rsidRPr="00F3043B">
              <w:rPr>
                <w:rFonts w:cs="Calibri"/>
                <w:sz w:val="20"/>
                <w:lang w:val="fr-CH"/>
              </w:rPr>
              <w:t>Gestion et planification stratégiques institutionnelles</w:t>
            </w:r>
          </w:p>
          <w:p w:rsidR="0092458E" w:rsidRPr="007F4668" w:rsidRDefault="0092458E" w:rsidP="00DF0748">
            <w:pPr>
              <w:pBdr>
                <w:bottom w:val="single" w:sz="6" w:space="1" w:color="auto"/>
              </w:pBdr>
              <w:spacing w:before="20" w:after="20"/>
              <w:rPr>
                <w:b/>
                <w:bCs/>
                <w:color w:val="4F81BD" w:themeColor="accent1"/>
                <w:sz w:val="20"/>
              </w:rPr>
            </w:pPr>
            <w:r w:rsidRPr="007F4668">
              <w:rPr>
                <w:b/>
                <w:bCs/>
                <w:color w:val="4F81BD" w:themeColor="accent1"/>
                <w:sz w:val="20"/>
              </w:rPr>
              <w:t>Total S.10 à S.16:</w:t>
            </w:r>
          </w:p>
          <w:p w:rsidR="0092458E" w:rsidRPr="007F4668" w:rsidRDefault="0092458E" w:rsidP="00DF0748">
            <w:pPr>
              <w:spacing w:before="20" w:after="20"/>
              <w:rPr>
                <w:b/>
                <w:bCs/>
                <w:color w:val="4F81BD" w:themeColor="accent1"/>
                <w:sz w:val="2"/>
                <w:szCs w:val="2"/>
              </w:rPr>
            </w:pPr>
          </w:p>
        </w:tc>
        <w:tc>
          <w:tcPr>
            <w:tcW w:w="870" w:type="dxa"/>
            <w:vMerge w:val="restart"/>
          </w:tcPr>
          <w:p w:rsidR="0092458E" w:rsidRPr="007F4668" w:rsidRDefault="0092458E" w:rsidP="00DF0748">
            <w:pPr>
              <w:spacing w:before="100" w:after="120"/>
              <w:rPr>
                <w:rFonts w:eastAsia="Calibri" w:cs="Arial"/>
                <w:b/>
                <w:bCs/>
                <w:color w:val="4F81BD" w:themeColor="accent1"/>
                <w:sz w:val="20"/>
              </w:rPr>
            </w:pPr>
            <w:r w:rsidRPr="007F4668">
              <w:rPr>
                <w:rFonts w:eastAsia="Calibri" w:cs="Arial"/>
                <w:b/>
                <w:bCs/>
                <w:color w:val="4F81BD" w:themeColor="accent1"/>
                <w:sz w:val="20"/>
              </w:rPr>
              <w:t>% du total</w:t>
            </w:r>
          </w:p>
          <w:p w:rsidR="0092458E" w:rsidRPr="007F4668" w:rsidRDefault="0092458E" w:rsidP="00DF0748">
            <w:pPr>
              <w:pBdr>
                <w:top w:val="single" w:sz="6" w:space="1" w:color="auto"/>
                <w:bottom w:val="single" w:sz="6" w:space="1" w:color="auto"/>
              </w:pBdr>
              <w:spacing w:before="20" w:after="20"/>
              <w:jc w:val="right"/>
              <w:rPr>
                <w:rFonts w:eastAsia="Calibri" w:cs="Arial"/>
                <w:color w:val="000000" w:themeColor="text1"/>
                <w:sz w:val="20"/>
              </w:rPr>
            </w:pPr>
            <w:r w:rsidRPr="007F4668">
              <w:rPr>
                <w:rFonts w:eastAsia="Calibri" w:cs="Arial"/>
                <w:color w:val="000000" w:themeColor="text1"/>
                <w:sz w:val="20"/>
              </w:rPr>
              <w:t>3,2%</w:t>
            </w:r>
          </w:p>
          <w:p w:rsidR="0092458E" w:rsidRPr="007F4668" w:rsidRDefault="0092458E" w:rsidP="00DF0748">
            <w:pPr>
              <w:spacing w:before="20" w:after="20"/>
              <w:jc w:val="right"/>
              <w:rPr>
                <w:rFonts w:eastAsia="Calibri" w:cs="Arial"/>
                <w:color w:val="000000" w:themeColor="text1"/>
                <w:sz w:val="20"/>
              </w:rPr>
            </w:pPr>
            <w:r w:rsidRPr="007F4668">
              <w:rPr>
                <w:rFonts w:eastAsia="Calibri" w:cs="Arial"/>
                <w:color w:val="000000" w:themeColor="text1"/>
                <w:sz w:val="20"/>
              </w:rPr>
              <w:br/>
              <w:t>31,1%</w:t>
            </w:r>
          </w:p>
          <w:p w:rsidR="0092458E" w:rsidRPr="007F4668" w:rsidRDefault="0092458E" w:rsidP="00DF0748">
            <w:pPr>
              <w:spacing w:before="20" w:after="20"/>
              <w:jc w:val="right"/>
              <w:rPr>
                <w:rFonts w:eastAsia="Calibri" w:cs="Arial"/>
                <w:color w:val="000000" w:themeColor="text1"/>
                <w:sz w:val="20"/>
              </w:rPr>
            </w:pPr>
          </w:p>
          <w:p w:rsidR="0092458E" w:rsidRPr="007F4668" w:rsidRDefault="0092458E" w:rsidP="00DF0748">
            <w:pPr>
              <w:pBdr>
                <w:top w:val="single" w:sz="6" w:space="1" w:color="auto"/>
                <w:bottom w:val="single" w:sz="6" w:space="1" w:color="auto"/>
              </w:pBdr>
              <w:spacing w:before="20" w:after="20"/>
              <w:jc w:val="right"/>
              <w:rPr>
                <w:rFonts w:eastAsia="Calibri" w:cs="Arial"/>
                <w:color w:val="000000" w:themeColor="text1"/>
                <w:sz w:val="20"/>
              </w:rPr>
            </w:pPr>
            <w:r w:rsidRPr="007F4668">
              <w:rPr>
                <w:rFonts w:eastAsia="Calibri" w:cs="Arial"/>
                <w:color w:val="000000" w:themeColor="text1"/>
                <w:sz w:val="20"/>
              </w:rPr>
              <w:t>22,9%</w:t>
            </w:r>
          </w:p>
          <w:p w:rsidR="0092458E" w:rsidRPr="007F4668" w:rsidRDefault="0092458E" w:rsidP="00DF0748">
            <w:pPr>
              <w:pBdr>
                <w:top w:val="single" w:sz="6" w:space="1" w:color="auto"/>
                <w:bottom w:val="single" w:sz="6" w:space="1" w:color="auto"/>
              </w:pBdr>
              <w:spacing w:before="20" w:after="20"/>
              <w:jc w:val="right"/>
              <w:rPr>
                <w:rFonts w:eastAsia="Calibri" w:cs="Arial"/>
                <w:color w:val="000000" w:themeColor="text1"/>
                <w:sz w:val="20"/>
              </w:rPr>
            </w:pPr>
          </w:p>
          <w:p w:rsidR="0092458E" w:rsidRPr="007F4668" w:rsidRDefault="0092458E" w:rsidP="00DF0748">
            <w:pPr>
              <w:pBdr>
                <w:bottom w:val="single" w:sz="6" w:space="1" w:color="auto"/>
                <w:between w:val="single" w:sz="6" w:space="1" w:color="auto"/>
              </w:pBdr>
              <w:spacing w:before="20" w:after="20"/>
              <w:jc w:val="right"/>
              <w:rPr>
                <w:rFonts w:eastAsia="Calibri" w:cs="Arial"/>
                <w:color w:val="000000" w:themeColor="text1"/>
                <w:sz w:val="20"/>
              </w:rPr>
            </w:pPr>
            <w:r w:rsidRPr="007F4668">
              <w:rPr>
                <w:rFonts w:eastAsia="Calibri" w:cs="Arial"/>
                <w:color w:val="000000" w:themeColor="text1"/>
                <w:sz w:val="20"/>
              </w:rPr>
              <w:t>24,3%</w:t>
            </w:r>
          </w:p>
          <w:p w:rsidR="0092458E" w:rsidRPr="007F4668" w:rsidRDefault="0092458E" w:rsidP="00DF0748">
            <w:pPr>
              <w:pBdr>
                <w:bottom w:val="single" w:sz="6" w:space="1" w:color="auto"/>
                <w:between w:val="single" w:sz="6" w:space="1" w:color="auto"/>
              </w:pBdr>
              <w:spacing w:before="20" w:after="20"/>
              <w:jc w:val="right"/>
              <w:rPr>
                <w:rFonts w:eastAsia="Calibri" w:cs="Arial"/>
                <w:color w:val="000000" w:themeColor="text1"/>
                <w:sz w:val="20"/>
              </w:rPr>
            </w:pPr>
            <w:r w:rsidRPr="007F4668">
              <w:rPr>
                <w:rFonts w:eastAsia="Calibri" w:cs="Arial"/>
                <w:color w:val="000000" w:themeColor="text1"/>
                <w:sz w:val="20"/>
              </w:rPr>
              <w:t>7,2%</w:t>
            </w:r>
          </w:p>
          <w:p w:rsidR="0092458E" w:rsidRPr="007F4668" w:rsidRDefault="0092458E" w:rsidP="00DF0748">
            <w:pPr>
              <w:pBdr>
                <w:bottom w:val="single" w:sz="6" w:space="1" w:color="auto"/>
                <w:between w:val="single" w:sz="6" w:space="1" w:color="auto"/>
              </w:pBdr>
              <w:spacing w:before="20" w:after="20"/>
              <w:jc w:val="right"/>
              <w:rPr>
                <w:rFonts w:eastAsia="Calibri" w:cs="Arial"/>
                <w:color w:val="000000" w:themeColor="text1"/>
                <w:sz w:val="20"/>
              </w:rPr>
            </w:pPr>
            <w:r w:rsidRPr="007F4668">
              <w:rPr>
                <w:rFonts w:eastAsia="Calibri" w:cs="Arial"/>
                <w:color w:val="000000" w:themeColor="text1"/>
                <w:sz w:val="20"/>
              </w:rPr>
              <w:t>1,3%</w:t>
            </w:r>
          </w:p>
          <w:p w:rsidR="0092458E" w:rsidRPr="007F4668" w:rsidRDefault="0092458E" w:rsidP="00DF0748">
            <w:pPr>
              <w:pBdr>
                <w:bottom w:val="single" w:sz="6" w:space="1" w:color="auto"/>
                <w:between w:val="single" w:sz="6" w:space="1" w:color="auto"/>
              </w:pBdr>
              <w:spacing w:before="20" w:after="20"/>
              <w:jc w:val="right"/>
              <w:rPr>
                <w:rFonts w:eastAsia="Calibri" w:cs="Arial"/>
                <w:color w:val="000000" w:themeColor="text1"/>
                <w:sz w:val="20"/>
              </w:rPr>
            </w:pPr>
            <w:r w:rsidRPr="007F4668">
              <w:rPr>
                <w:rFonts w:eastAsia="Calibri" w:cs="Arial"/>
                <w:color w:val="000000" w:themeColor="text1"/>
                <w:sz w:val="20"/>
              </w:rPr>
              <w:t>0,6%</w:t>
            </w:r>
          </w:p>
          <w:p w:rsidR="0092458E" w:rsidRPr="007F4668" w:rsidRDefault="0092458E" w:rsidP="00DF0748">
            <w:pPr>
              <w:spacing w:before="20" w:after="20"/>
              <w:jc w:val="right"/>
              <w:rPr>
                <w:rFonts w:eastAsia="Calibri" w:cs="Arial"/>
                <w:color w:val="000000" w:themeColor="text1"/>
                <w:sz w:val="20"/>
              </w:rPr>
            </w:pPr>
            <w:r w:rsidRPr="007F4668">
              <w:rPr>
                <w:rFonts w:eastAsia="Calibri" w:cs="Arial"/>
                <w:color w:val="000000" w:themeColor="text1"/>
                <w:sz w:val="20"/>
              </w:rPr>
              <w:br/>
            </w:r>
          </w:p>
          <w:p w:rsidR="0092458E" w:rsidRPr="007F4668" w:rsidRDefault="0092458E" w:rsidP="00DF0748">
            <w:pPr>
              <w:spacing w:before="20" w:after="20"/>
              <w:jc w:val="right"/>
              <w:rPr>
                <w:rFonts w:eastAsia="Calibri" w:cs="Arial"/>
                <w:color w:val="000000" w:themeColor="text1"/>
                <w:sz w:val="20"/>
              </w:rPr>
            </w:pPr>
            <w:r w:rsidRPr="007F4668">
              <w:rPr>
                <w:rFonts w:eastAsia="Calibri" w:cs="Arial"/>
                <w:color w:val="000000" w:themeColor="text1"/>
                <w:sz w:val="20"/>
              </w:rPr>
              <w:br/>
            </w:r>
            <w:r w:rsidRPr="007F4668">
              <w:rPr>
                <w:rFonts w:eastAsia="Calibri" w:cs="Arial"/>
                <w:color w:val="000000" w:themeColor="text1"/>
                <w:sz w:val="20"/>
              </w:rPr>
              <w:br/>
            </w:r>
          </w:p>
          <w:p w:rsidR="0092458E" w:rsidRPr="007F4668" w:rsidRDefault="0092458E" w:rsidP="00DF0748">
            <w:pPr>
              <w:spacing w:before="20" w:after="20"/>
              <w:jc w:val="right"/>
              <w:rPr>
                <w:rFonts w:eastAsia="Calibri" w:cs="Arial"/>
                <w:color w:val="000000" w:themeColor="text1"/>
                <w:sz w:val="20"/>
              </w:rPr>
            </w:pPr>
          </w:p>
          <w:p w:rsidR="0092458E" w:rsidRPr="007F4668" w:rsidRDefault="0092458E" w:rsidP="00DF0748">
            <w:pPr>
              <w:spacing w:before="20" w:after="20"/>
              <w:jc w:val="right"/>
              <w:rPr>
                <w:rFonts w:eastAsia="Calibri" w:cs="Arial"/>
                <w:color w:val="000000" w:themeColor="text1"/>
                <w:sz w:val="20"/>
              </w:rPr>
            </w:pPr>
            <w:r w:rsidRPr="007F4668">
              <w:rPr>
                <w:rFonts w:eastAsia="Calibri" w:cs="Arial"/>
                <w:color w:val="000000" w:themeColor="text1"/>
                <w:sz w:val="20"/>
              </w:rPr>
              <w:br/>
            </w:r>
          </w:p>
          <w:p w:rsidR="0092458E" w:rsidRPr="007F4668" w:rsidRDefault="0092458E" w:rsidP="00DF0748">
            <w:pPr>
              <w:spacing w:before="20" w:after="20"/>
              <w:jc w:val="right"/>
              <w:rPr>
                <w:rFonts w:eastAsia="Calibri" w:cs="Arial"/>
                <w:color w:val="000000" w:themeColor="text1"/>
                <w:sz w:val="20"/>
              </w:rPr>
            </w:pPr>
          </w:p>
          <w:p w:rsidR="0092458E" w:rsidRPr="007F4668" w:rsidRDefault="0092458E" w:rsidP="00DF0748">
            <w:pPr>
              <w:spacing w:before="20" w:after="20"/>
              <w:jc w:val="right"/>
              <w:rPr>
                <w:rFonts w:eastAsia="Calibri" w:cs="Arial"/>
                <w:color w:val="000000" w:themeColor="text1"/>
                <w:sz w:val="20"/>
              </w:rPr>
            </w:pPr>
            <w:r w:rsidRPr="007F4668">
              <w:rPr>
                <w:rFonts w:eastAsia="Calibri" w:cs="Arial"/>
                <w:color w:val="000000" w:themeColor="text1"/>
                <w:sz w:val="20"/>
              </w:rPr>
              <w:br/>
            </w:r>
          </w:p>
          <w:p w:rsidR="0092458E" w:rsidRPr="007F4668" w:rsidRDefault="0092458E" w:rsidP="00DF0748">
            <w:pPr>
              <w:pBdr>
                <w:bottom w:val="single" w:sz="6" w:space="1" w:color="auto"/>
              </w:pBdr>
              <w:spacing w:before="20" w:after="20"/>
              <w:jc w:val="right"/>
              <w:rPr>
                <w:rFonts w:eastAsia="Calibri" w:cs="Arial"/>
                <w:color w:val="948A54" w:themeColor="background2" w:themeShade="80"/>
                <w:sz w:val="20"/>
              </w:rPr>
            </w:pPr>
            <w:r w:rsidRPr="007F4668">
              <w:rPr>
                <w:rFonts w:eastAsia="Calibri" w:cs="Arial"/>
                <w:color w:val="000000" w:themeColor="text1"/>
                <w:sz w:val="20"/>
              </w:rPr>
              <w:t>9,2%</w:t>
            </w:r>
          </w:p>
          <w:p w:rsidR="0092458E" w:rsidRPr="007F4668" w:rsidRDefault="0092458E" w:rsidP="00DF0748">
            <w:pPr>
              <w:spacing w:before="20" w:after="20"/>
              <w:rPr>
                <w:rFonts w:eastAsia="Calibri" w:cs="Arial"/>
                <w:b/>
                <w:bCs/>
                <w:color w:val="4F81BD" w:themeColor="accent1"/>
                <w:sz w:val="2"/>
                <w:szCs w:val="2"/>
              </w:rPr>
            </w:pPr>
          </w:p>
        </w:tc>
      </w:tr>
      <w:tr w:rsidR="0092458E" w:rsidRPr="007F4668" w:rsidTr="00DF0748">
        <w:tc>
          <w:tcPr>
            <w:tcW w:w="6555" w:type="dxa"/>
          </w:tcPr>
          <w:p w:rsidR="0092458E" w:rsidRPr="00F3043B" w:rsidRDefault="0092458E" w:rsidP="00DF0748">
            <w:pPr>
              <w:spacing w:before="80" w:after="20"/>
              <w:rPr>
                <w:rFonts w:eastAsia="Calibri" w:cs="Arial"/>
                <w:b/>
                <w:bCs/>
                <w:sz w:val="20"/>
                <w:lang w:val="fr-CH"/>
              </w:rPr>
            </w:pPr>
            <w:r w:rsidRPr="00F3043B">
              <w:rPr>
                <w:rFonts w:eastAsia="Calibri" w:cs="Arial"/>
                <w:color w:val="4F81BD" w:themeColor="accent1"/>
                <w:sz w:val="20"/>
                <w:lang w:val="fr-CH"/>
              </w:rPr>
              <w:t xml:space="preserve">E.1 </w:t>
            </w:r>
            <w:r w:rsidRPr="00F3043B">
              <w:rPr>
                <w:rFonts w:eastAsia="Calibri" w:cs="Arial"/>
                <w:b/>
                <w:bCs/>
                <w:sz w:val="20"/>
                <w:lang w:val="fr-CH"/>
              </w:rPr>
              <w:t>Veiller à l'utilisation efficace et efficiente des ressources humaines, financières et en capital et garantir un environnement de travail propice, sûr</w:t>
            </w:r>
          </w:p>
          <w:p w:rsidR="0092458E" w:rsidRPr="00F3043B" w:rsidRDefault="0092458E" w:rsidP="00DF0748">
            <w:pPr>
              <w:spacing w:before="80" w:after="20"/>
              <w:rPr>
                <w:rFonts w:eastAsia="Calibri" w:cs="Arial"/>
                <w:b/>
                <w:bCs/>
                <w:sz w:val="20"/>
                <w:lang w:val="fr-CH"/>
              </w:rPr>
            </w:pPr>
            <w:r w:rsidRPr="00F3043B">
              <w:rPr>
                <w:rFonts w:eastAsia="Calibri" w:cs="Arial"/>
                <w:color w:val="4F81BD" w:themeColor="accent1"/>
                <w:sz w:val="20"/>
                <w:lang w:val="fr-CH"/>
              </w:rPr>
              <w:t xml:space="preserve">E.2 </w:t>
            </w:r>
            <w:r w:rsidRPr="00F3043B">
              <w:rPr>
                <w:rFonts w:eastAsia="Calibri" w:cs="Arial"/>
                <w:b/>
                <w:bCs/>
                <w:sz w:val="20"/>
                <w:lang w:val="fr-CH"/>
              </w:rPr>
              <w:t>Veiller à l'efficacité et à l'accessibilité des infrastructures (conférences, réunions, documentation, publications et information)</w:t>
            </w:r>
          </w:p>
          <w:p w:rsidR="0092458E" w:rsidRPr="00F3043B" w:rsidRDefault="0092458E" w:rsidP="00DF0748">
            <w:pPr>
              <w:spacing w:before="80" w:after="20"/>
              <w:rPr>
                <w:rFonts w:eastAsia="Calibri" w:cs="Arial"/>
                <w:b/>
                <w:bCs/>
                <w:sz w:val="20"/>
                <w:lang w:val="fr-CH"/>
              </w:rPr>
            </w:pPr>
            <w:r w:rsidRPr="00F3043B">
              <w:rPr>
                <w:rFonts w:eastAsia="Calibri" w:cs="Arial"/>
                <w:color w:val="4F81BD" w:themeColor="accent1"/>
                <w:sz w:val="20"/>
                <w:lang w:val="fr-CH"/>
              </w:rPr>
              <w:t xml:space="preserve">E.3 </w:t>
            </w:r>
            <w:r w:rsidRPr="00F3043B">
              <w:rPr>
                <w:rFonts w:eastAsia="Calibri" w:cs="Arial"/>
                <w:b/>
                <w:bCs/>
                <w:sz w:val="20"/>
                <w:lang w:val="fr-CH"/>
              </w:rPr>
              <w:t>Fournir des services efficaces en ce qui concerne les membres, le protocole, la communication et la mobilisation des ressources</w:t>
            </w:r>
          </w:p>
          <w:p w:rsidR="0092458E" w:rsidRPr="00F3043B" w:rsidRDefault="0092458E" w:rsidP="00DF0748">
            <w:pPr>
              <w:spacing w:before="80" w:after="20"/>
              <w:rPr>
                <w:rFonts w:eastAsia="Calibri" w:cs="Arial"/>
                <w:b/>
                <w:bCs/>
                <w:sz w:val="20"/>
                <w:lang w:val="fr-CH"/>
              </w:rPr>
            </w:pPr>
            <w:r w:rsidRPr="00F3043B">
              <w:rPr>
                <w:rFonts w:eastAsia="Calibri" w:cs="Arial"/>
                <w:color w:val="4F81BD" w:themeColor="accent1"/>
                <w:sz w:val="20"/>
                <w:lang w:val="fr-CH"/>
              </w:rPr>
              <w:t xml:space="preserve">E.4 </w:t>
            </w:r>
            <w:r w:rsidRPr="00F3043B">
              <w:rPr>
                <w:rFonts w:eastAsia="Calibri" w:cs="Arial"/>
                <w:b/>
                <w:bCs/>
                <w:sz w:val="20"/>
                <w:lang w:val="fr-CH"/>
              </w:rPr>
              <w:t>Veiller à la planification, à la coordination et à l'exécution efficaces du plan stratégique et des plans opérationnels de l'Union</w:t>
            </w:r>
          </w:p>
          <w:p w:rsidR="0092458E" w:rsidRPr="00F3043B" w:rsidRDefault="0092458E" w:rsidP="00DF0748">
            <w:pPr>
              <w:spacing w:before="80" w:after="20"/>
              <w:rPr>
                <w:b/>
                <w:bCs/>
                <w:noProof/>
                <w:sz w:val="20"/>
                <w:lang w:val="fr-CH" w:eastAsia="zh-CN"/>
              </w:rPr>
            </w:pPr>
            <w:r w:rsidRPr="00F3043B">
              <w:rPr>
                <w:rFonts w:eastAsia="Calibri" w:cs="Arial"/>
                <w:color w:val="4F81BD" w:themeColor="accent1"/>
                <w:sz w:val="20"/>
                <w:lang w:val="fr-CH"/>
              </w:rPr>
              <w:t xml:space="preserve">E.5 </w:t>
            </w:r>
            <w:r w:rsidRPr="00F3043B">
              <w:rPr>
                <w:rFonts w:eastAsia="Calibri" w:cs="Arial"/>
                <w:b/>
                <w:bCs/>
                <w:sz w:val="20"/>
                <w:lang w:val="fr-CH"/>
              </w:rPr>
              <w:t>Veiller à l'efficacité et à l'efficience de la gouvernance de l'organisation (en interne et à l'extérieur)</w:t>
            </w:r>
          </w:p>
        </w:tc>
        <w:tc>
          <w:tcPr>
            <w:tcW w:w="708" w:type="dxa"/>
          </w:tcPr>
          <w:p w:rsidR="0092458E" w:rsidRPr="007F4668" w:rsidRDefault="0092458E" w:rsidP="00DF0748">
            <w:pPr>
              <w:spacing w:before="80" w:after="20"/>
              <w:ind w:left="-391"/>
              <w:jc w:val="right"/>
              <w:rPr>
                <w:b/>
                <w:bCs/>
                <w:noProof/>
                <w:color w:val="000000" w:themeColor="text1"/>
                <w:sz w:val="20"/>
                <w:lang w:eastAsia="zh-CN"/>
              </w:rPr>
            </w:pPr>
            <w:r w:rsidRPr="007F4668">
              <w:rPr>
                <w:b/>
                <w:bCs/>
                <w:noProof/>
                <w:color w:val="000000" w:themeColor="text1"/>
                <w:sz w:val="20"/>
                <w:lang w:eastAsia="zh-CN"/>
              </w:rPr>
              <w:t>36%</w:t>
            </w:r>
            <w:r w:rsidRPr="007F4668">
              <w:rPr>
                <w:b/>
                <w:bCs/>
                <w:noProof/>
                <w:color w:val="000000" w:themeColor="text1"/>
                <w:sz w:val="20"/>
                <w:lang w:eastAsia="zh-CN"/>
              </w:rPr>
              <w:br/>
            </w:r>
          </w:p>
          <w:p w:rsidR="0092458E" w:rsidRPr="007F4668" w:rsidRDefault="0092458E" w:rsidP="00DF0748">
            <w:pPr>
              <w:spacing w:before="80" w:after="20"/>
              <w:ind w:left="-391"/>
              <w:jc w:val="right"/>
              <w:rPr>
                <w:b/>
                <w:bCs/>
                <w:noProof/>
                <w:color w:val="000000" w:themeColor="text1"/>
                <w:sz w:val="20"/>
                <w:lang w:eastAsia="zh-CN"/>
              </w:rPr>
            </w:pPr>
            <w:r w:rsidRPr="007F4668">
              <w:rPr>
                <w:b/>
                <w:bCs/>
                <w:noProof/>
                <w:color w:val="000000" w:themeColor="text1"/>
                <w:sz w:val="20"/>
                <w:lang w:eastAsia="zh-CN"/>
              </w:rPr>
              <w:t>52%</w:t>
            </w:r>
            <w:r w:rsidRPr="007F4668">
              <w:rPr>
                <w:b/>
                <w:bCs/>
                <w:noProof/>
                <w:color w:val="000000" w:themeColor="text1"/>
                <w:sz w:val="20"/>
                <w:lang w:eastAsia="zh-CN"/>
              </w:rPr>
              <w:br/>
            </w:r>
          </w:p>
          <w:p w:rsidR="0092458E" w:rsidRPr="007F4668" w:rsidRDefault="0092458E" w:rsidP="00DF0748">
            <w:pPr>
              <w:spacing w:before="80" w:after="20"/>
              <w:ind w:left="-391"/>
              <w:jc w:val="right"/>
              <w:rPr>
                <w:b/>
                <w:bCs/>
                <w:noProof/>
                <w:color w:val="000000" w:themeColor="text1"/>
                <w:sz w:val="20"/>
                <w:lang w:eastAsia="zh-CN"/>
              </w:rPr>
            </w:pPr>
            <w:r w:rsidRPr="007F4668">
              <w:rPr>
                <w:b/>
                <w:bCs/>
                <w:noProof/>
                <w:color w:val="000000" w:themeColor="text1"/>
                <w:sz w:val="20"/>
                <w:lang w:eastAsia="zh-CN"/>
              </w:rPr>
              <w:t>3%</w:t>
            </w:r>
            <w:r w:rsidRPr="007F4668">
              <w:rPr>
                <w:b/>
                <w:bCs/>
                <w:noProof/>
                <w:color w:val="000000" w:themeColor="text1"/>
                <w:sz w:val="20"/>
                <w:lang w:eastAsia="zh-CN"/>
              </w:rPr>
              <w:br/>
            </w:r>
          </w:p>
          <w:p w:rsidR="0092458E" w:rsidRPr="007F4668" w:rsidRDefault="0092458E" w:rsidP="00DF0748">
            <w:pPr>
              <w:spacing w:before="80" w:after="20"/>
              <w:ind w:left="-391"/>
              <w:jc w:val="right"/>
              <w:rPr>
                <w:b/>
                <w:bCs/>
                <w:noProof/>
                <w:color w:val="000000" w:themeColor="text1"/>
                <w:sz w:val="20"/>
                <w:lang w:eastAsia="zh-CN"/>
              </w:rPr>
            </w:pPr>
            <w:r w:rsidRPr="007F4668">
              <w:rPr>
                <w:b/>
                <w:bCs/>
                <w:noProof/>
                <w:color w:val="000000" w:themeColor="text1"/>
                <w:sz w:val="20"/>
                <w:lang w:eastAsia="zh-CN"/>
              </w:rPr>
              <w:t>4%</w:t>
            </w:r>
            <w:r w:rsidRPr="007F4668">
              <w:rPr>
                <w:b/>
                <w:bCs/>
                <w:noProof/>
                <w:color w:val="000000" w:themeColor="text1"/>
                <w:sz w:val="20"/>
                <w:lang w:eastAsia="zh-CN"/>
              </w:rPr>
              <w:br/>
            </w:r>
          </w:p>
          <w:p w:rsidR="0092458E" w:rsidRPr="007F4668" w:rsidRDefault="0092458E" w:rsidP="00DF0748">
            <w:pPr>
              <w:spacing w:before="80" w:after="20"/>
              <w:ind w:left="-391"/>
              <w:jc w:val="right"/>
              <w:rPr>
                <w:b/>
                <w:bCs/>
                <w:noProof/>
                <w:sz w:val="20"/>
                <w:lang w:eastAsia="zh-CN"/>
              </w:rPr>
            </w:pPr>
            <w:r w:rsidRPr="007F4668">
              <w:rPr>
                <w:b/>
                <w:bCs/>
                <w:noProof/>
                <w:color w:val="000000" w:themeColor="text1"/>
                <w:sz w:val="20"/>
                <w:lang w:eastAsia="zh-CN"/>
              </w:rPr>
              <w:t>5%</w:t>
            </w:r>
          </w:p>
        </w:tc>
        <w:tc>
          <w:tcPr>
            <w:tcW w:w="6379" w:type="dxa"/>
            <w:vMerge/>
          </w:tcPr>
          <w:p w:rsidR="0092458E" w:rsidRPr="007F4668" w:rsidRDefault="0092458E" w:rsidP="00DF0748">
            <w:pPr>
              <w:spacing w:before="20" w:after="20"/>
              <w:rPr>
                <w:noProof/>
                <w:sz w:val="20"/>
                <w:lang w:eastAsia="zh-CN"/>
              </w:rPr>
            </w:pPr>
          </w:p>
        </w:tc>
        <w:tc>
          <w:tcPr>
            <w:tcW w:w="870" w:type="dxa"/>
            <w:vMerge/>
          </w:tcPr>
          <w:p w:rsidR="0092458E" w:rsidRPr="007F4668" w:rsidRDefault="0092458E" w:rsidP="00DF0748">
            <w:pPr>
              <w:spacing w:before="20" w:after="20"/>
              <w:rPr>
                <w:noProof/>
                <w:sz w:val="20"/>
                <w:lang w:eastAsia="zh-CN"/>
              </w:rPr>
            </w:pPr>
          </w:p>
        </w:tc>
      </w:tr>
    </w:tbl>
    <w:p w:rsidR="0092458E" w:rsidRDefault="0092458E" w:rsidP="00DF0748">
      <w:pPr>
        <w:tabs>
          <w:tab w:val="left" w:pos="7655"/>
          <w:tab w:val="left" w:pos="7797"/>
        </w:tabs>
        <w:spacing w:before="20" w:after="20"/>
        <w:ind w:left="7797" w:hanging="7797"/>
        <w:rPr>
          <w:sz w:val="20"/>
        </w:rPr>
      </w:pPr>
      <w:r>
        <w:rPr>
          <w:sz w:val="20"/>
        </w:rPr>
        <w:tab/>
      </w:r>
      <w:r>
        <w:rPr>
          <w:sz w:val="20"/>
        </w:rPr>
        <w:tab/>
      </w:r>
      <w:r>
        <w:rPr>
          <w:sz w:val="20"/>
        </w:rPr>
        <w:tab/>
      </w:r>
      <w:r>
        <w:rPr>
          <w:sz w:val="20"/>
        </w:rPr>
        <w:tab/>
      </w:r>
      <w:r>
        <w:rPr>
          <w:sz w:val="20"/>
        </w:rPr>
        <w:tab/>
      </w:r>
      <w:r>
        <w:rPr>
          <w:sz w:val="20"/>
        </w:rPr>
        <w:tab/>
        <w:t>*</w:t>
      </w:r>
      <w:r>
        <w:rPr>
          <w:sz w:val="20"/>
        </w:rPr>
        <w:tab/>
      </w:r>
      <w:r w:rsidRPr="007F4668">
        <w:rPr>
          <w:sz w:val="20"/>
        </w:rPr>
        <w:t>y compris ASHI (Assurance maladie après la cessation de service)</w:t>
      </w:r>
      <w:r>
        <w:rPr>
          <w:sz w:val="20"/>
        </w:rPr>
        <w:t xml:space="preserve"> et coûts des bâtiments</w:t>
      </w:r>
      <w:r w:rsidRPr="007F4668">
        <w:rPr>
          <w:sz w:val="20"/>
        </w:rPr>
        <w:t>.</w:t>
      </w:r>
    </w:p>
    <w:p w:rsidR="0092458E" w:rsidRPr="007F4668" w:rsidRDefault="0092458E" w:rsidP="00DF0748">
      <w:pPr>
        <w:spacing w:before="20" w:after="20"/>
        <w:ind w:left="6480" w:hanging="6480"/>
      </w:pPr>
      <w:r w:rsidRPr="007F4668">
        <w:br w:type="page"/>
      </w:r>
    </w:p>
    <w:p w:rsidR="0092458E" w:rsidRPr="007F4668" w:rsidRDefault="0092458E" w:rsidP="00DF0748">
      <w:pPr>
        <w:pStyle w:val="Heading2"/>
        <w:spacing w:after="120"/>
      </w:pPr>
      <w:r w:rsidRPr="007F4668">
        <w:lastRenderedPageBreak/>
        <w:t>3.6</w:t>
      </w:r>
      <w:r w:rsidRPr="007F4668">
        <w:tab/>
        <w:t>Ventilation des ressources entre les objectifs et les produits intersectoriels pour la période 2016-2019</w:t>
      </w:r>
    </w:p>
    <w:tbl>
      <w:tblPr>
        <w:tblW w:w="0" w:type="auto"/>
        <w:tblInd w:w="108" w:type="dxa"/>
        <w:tblLayout w:type="fixed"/>
        <w:tblLook w:val="0480" w:firstRow="0" w:lastRow="0" w:firstColumn="1" w:lastColumn="0" w:noHBand="0" w:noVBand="1"/>
      </w:tblPr>
      <w:tblGrid>
        <w:gridCol w:w="6413"/>
        <w:gridCol w:w="850"/>
        <w:gridCol w:w="5552"/>
        <w:gridCol w:w="870"/>
        <w:gridCol w:w="981"/>
      </w:tblGrid>
      <w:tr w:rsidR="0092458E" w:rsidRPr="007F4668" w:rsidTr="00DF0748">
        <w:tc>
          <w:tcPr>
            <w:tcW w:w="7263" w:type="dxa"/>
            <w:gridSpan w:val="2"/>
          </w:tcPr>
          <w:p w:rsidR="0092458E" w:rsidRPr="007F4668" w:rsidRDefault="0092458E" w:rsidP="00DF0748">
            <w:pPr>
              <w:spacing w:before="20" w:after="20"/>
              <w:rPr>
                <w:sz w:val="18"/>
                <w:szCs w:val="18"/>
              </w:rPr>
            </w:pPr>
            <w:r w:rsidRPr="007F4668">
              <w:rPr>
                <w:noProof/>
                <w:sz w:val="18"/>
                <w:szCs w:val="18"/>
                <w:lang w:val="en-US" w:eastAsia="zh-CN"/>
              </w:rPr>
              <w:drawing>
                <wp:inline distT="0" distB="0" distL="0" distR="0" wp14:anchorId="2CDB72A5" wp14:editId="79C9DE9B">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552" w:type="dxa"/>
            <w:vMerge w:val="restart"/>
          </w:tcPr>
          <w:p w:rsidR="0092458E" w:rsidRPr="00F3043B" w:rsidRDefault="0092458E" w:rsidP="00DF0748">
            <w:pPr>
              <w:spacing w:after="120"/>
              <w:rPr>
                <w:noProof/>
                <w:color w:val="4F81BD" w:themeColor="accent1"/>
                <w:szCs w:val="24"/>
                <w:lang w:val="fr-CH" w:eastAsia="zh-CN"/>
              </w:rPr>
            </w:pPr>
            <w:r w:rsidRPr="00F3043B">
              <w:rPr>
                <w:noProof/>
                <w:color w:val="4F81BD" w:themeColor="accent1"/>
                <w:szCs w:val="24"/>
                <w:lang w:val="fr-CH" w:eastAsia="zh-CN"/>
              </w:rPr>
              <w:t>Ventilation prévisionnelle des ressources par poduit</w:t>
            </w:r>
          </w:p>
          <w:p w:rsidR="0092458E" w:rsidRPr="00F3043B" w:rsidRDefault="0092458E" w:rsidP="00DF0748">
            <w:pPr>
              <w:pBdr>
                <w:top w:val="single" w:sz="6" w:space="1" w:color="auto"/>
                <w:bottom w:val="single" w:sz="6" w:space="1" w:color="auto"/>
              </w:pBdr>
              <w:spacing w:before="20" w:after="20"/>
              <w:rPr>
                <w:rFonts w:eastAsia="Calibri" w:cs="Arial"/>
                <w:sz w:val="18"/>
                <w:szCs w:val="18"/>
                <w:lang w:val="fr-CH"/>
              </w:rPr>
            </w:pPr>
            <w:r w:rsidRPr="00F3043B">
              <w:rPr>
                <w:b/>
                <w:bCs/>
                <w:noProof/>
                <w:color w:val="4F81BD" w:themeColor="accent1"/>
                <w:sz w:val="18"/>
                <w:szCs w:val="18"/>
                <w:lang w:val="fr-CH" w:eastAsia="zh-CN"/>
              </w:rPr>
              <w:t xml:space="preserve">I.1-1 </w:t>
            </w:r>
            <w:r w:rsidRPr="00F3043B">
              <w:rPr>
                <w:rFonts w:eastAsia="Calibri" w:cs="Arial"/>
                <w:sz w:val="18"/>
                <w:szCs w:val="18"/>
                <w:lang w:val="fr-CH"/>
              </w:rPr>
              <w:t>Conférences, forums, manifestations et réunions intersectoriels au niveau mondial offrant un cadre de discussion de haut niveau (par exemple CMTI, FMPT, SMSI, Journée mondiale des télécommunications et de la société de l'information, ITU Telecom)</w:t>
            </w:r>
          </w:p>
          <w:p w:rsidR="0092458E" w:rsidRPr="00F3043B" w:rsidRDefault="0092458E" w:rsidP="00DF0748">
            <w:pPr>
              <w:overflowPunct/>
              <w:autoSpaceDE/>
              <w:autoSpaceDN/>
              <w:adjustRightInd/>
              <w:spacing w:before="20" w:after="20"/>
              <w:textAlignment w:val="auto"/>
              <w:rPr>
                <w:noProof/>
                <w:sz w:val="18"/>
                <w:szCs w:val="18"/>
                <w:lang w:val="fr-CH" w:eastAsia="zh-CN"/>
              </w:rPr>
            </w:pPr>
            <w:r w:rsidRPr="00F3043B">
              <w:rPr>
                <w:rFonts w:eastAsia="Calibri" w:cs="Arial"/>
                <w:b/>
                <w:bCs/>
                <w:color w:val="4F81BD" w:themeColor="accent1"/>
                <w:sz w:val="18"/>
                <w:szCs w:val="18"/>
                <w:lang w:val="fr-CH"/>
              </w:rPr>
              <w:t>I.2-1</w:t>
            </w:r>
            <w:r w:rsidRPr="00F3043B">
              <w:rPr>
                <w:b/>
                <w:bCs/>
                <w:noProof/>
                <w:color w:val="4F81BD" w:themeColor="accent1"/>
                <w:sz w:val="18"/>
                <w:szCs w:val="18"/>
                <w:lang w:val="fr-CH" w:eastAsia="zh-CN"/>
              </w:rPr>
              <w:t xml:space="preserve"> </w:t>
            </w:r>
            <w:r w:rsidRPr="00F3043B">
              <w:rPr>
                <w:rFonts w:eastAsia="Calibri" w:cs="Arial"/>
                <w:sz w:val="18"/>
                <w:szCs w:val="18"/>
                <w:lang w:val="fr-CH"/>
              </w:rPr>
              <w:t xml:space="preserve">Echange </w:t>
            </w:r>
            <w:r w:rsidRPr="00F3043B">
              <w:rPr>
                <w:noProof/>
                <w:sz w:val="18"/>
                <w:szCs w:val="18"/>
                <w:lang w:val="fr-CH" w:eastAsia="zh-CN"/>
              </w:rPr>
              <w:t>de connaissances, création de réseaux de relations et partenariats</w:t>
            </w:r>
          </w:p>
          <w:p w:rsidR="0092458E" w:rsidRPr="00F3043B" w:rsidRDefault="0092458E" w:rsidP="00DF0748">
            <w:pPr>
              <w:pBdr>
                <w:bottom w:val="single" w:sz="4" w:space="1" w:color="auto"/>
              </w:pBdr>
              <w:overflowPunct/>
              <w:autoSpaceDE/>
              <w:autoSpaceDN/>
              <w:adjustRightInd/>
              <w:spacing w:before="20" w:after="20"/>
              <w:textAlignment w:val="auto"/>
              <w:rPr>
                <w:noProof/>
                <w:sz w:val="18"/>
                <w:szCs w:val="18"/>
                <w:lang w:val="fr-CH" w:eastAsia="zh-CN"/>
              </w:rPr>
            </w:pPr>
            <w:r w:rsidRPr="00F3043B">
              <w:rPr>
                <w:b/>
                <w:bCs/>
                <w:noProof/>
                <w:color w:val="4F81BD" w:themeColor="accent1"/>
                <w:sz w:val="18"/>
                <w:szCs w:val="18"/>
                <w:lang w:val="fr-CH" w:eastAsia="zh-CN"/>
              </w:rPr>
              <w:t xml:space="preserve">I.2-2 </w:t>
            </w:r>
            <w:r w:rsidRPr="00F3043B">
              <w:rPr>
                <w:noProof/>
                <w:sz w:val="18"/>
                <w:szCs w:val="18"/>
                <w:lang w:val="fr-CH" w:eastAsia="zh-CN"/>
              </w:rPr>
              <w:t>Mémorandums d'accord</w:t>
            </w:r>
          </w:p>
          <w:p w:rsidR="0092458E" w:rsidRPr="00F3043B" w:rsidRDefault="0092458E" w:rsidP="00DF0748">
            <w:pPr>
              <w:overflowPunct/>
              <w:autoSpaceDE/>
              <w:autoSpaceDN/>
              <w:adjustRightInd/>
              <w:spacing w:before="20" w:after="20"/>
              <w:textAlignment w:val="auto"/>
              <w:rPr>
                <w:b/>
                <w:bCs/>
                <w:noProof/>
                <w:color w:val="4F81BD" w:themeColor="accent1"/>
                <w:sz w:val="18"/>
                <w:szCs w:val="18"/>
                <w:lang w:val="fr-CH" w:eastAsia="zh-CN"/>
              </w:rPr>
            </w:pPr>
            <w:r w:rsidRPr="00F3043B">
              <w:rPr>
                <w:b/>
                <w:bCs/>
                <w:noProof/>
                <w:color w:val="4F81BD" w:themeColor="accent1"/>
                <w:sz w:val="18"/>
                <w:szCs w:val="18"/>
                <w:lang w:val="fr-CH" w:eastAsia="zh-CN"/>
              </w:rPr>
              <w:t xml:space="preserve">I.3-1 </w:t>
            </w:r>
            <w:r w:rsidRPr="00F3043B">
              <w:rPr>
                <w:noProof/>
                <w:sz w:val="18"/>
                <w:szCs w:val="18"/>
                <w:lang w:val="fr-CH" w:eastAsia="zh-CN"/>
              </w:rPr>
              <w:t>Initiatives et rapports intersectoriels sur les nouvelles tendances dans le secteur des télécommunications/TIC et autres initiatives analogues (y compris Les Nouvelles de l'UIT)</w:t>
            </w:r>
          </w:p>
          <w:p w:rsidR="0092458E" w:rsidRPr="00F3043B" w:rsidRDefault="0092458E" w:rsidP="00DF0748">
            <w:pPr>
              <w:pBdr>
                <w:top w:val="single" w:sz="6" w:space="1" w:color="auto"/>
                <w:bottom w:val="single" w:sz="6" w:space="1" w:color="auto"/>
              </w:pBdr>
              <w:overflowPunct/>
              <w:autoSpaceDE/>
              <w:autoSpaceDN/>
              <w:adjustRightInd/>
              <w:spacing w:before="20" w:after="20"/>
              <w:textAlignment w:val="auto"/>
              <w:rPr>
                <w:b/>
                <w:bCs/>
                <w:noProof/>
                <w:color w:val="4F81BD" w:themeColor="accent1"/>
                <w:sz w:val="20"/>
                <w:lang w:val="fr-CH" w:eastAsia="zh-CN"/>
              </w:rPr>
            </w:pPr>
            <w:r w:rsidRPr="00F3043B">
              <w:rPr>
                <w:b/>
                <w:bCs/>
                <w:noProof/>
                <w:color w:val="4F81BD" w:themeColor="accent1"/>
                <w:sz w:val="18"/>
                <w:szCs w:val="18"/>
                <w:lang w:val="fr-CH" w:eastAsia="zh-CN"/>
              </w:rPr>
              <w:t xml:space="preserve">I.4-1 </w:t>
            </w:r>
            <w:r w:rsidRPr="00F3043B">
              <w:rPr>
                <w:rFonts w:eastAsia="Calibri" w:cs="Arial"/>
                <w:sz w:val="18"/>
                <w:szCs w:val="18"/>
                <w:lang w:val="fr-CH"/>
              </w:rPr>
              <w:t>Rapports et autres contributions aux processus interinstitutions des Nations Unies, multilatéraux et intergouvernementaux</w:t>
            </w:r>
          </w:p>
          <w:p w:rsidR="0092458E" w:rsidRPr="00F3043B" w:rsidRDefault="0092458E" w:rsidP="00DF0748">
            <w:pPr>
              <w:overflowPunct/>
              <w:autoSpaceDE/>
              <w:autoSpaceDN/>
              <w:adjustRightInd/>
              <w:spacing w:before="20" w:after="20"/>
              <w:textAlignment w:val="auto"/>
              <w:rPr>
                <w:rFonts w:eastAsia="Calibri" w:cs="Arial"/>
                <w:sz w:val="18"/>
                <w:szCs w:val="18"/>
                <w:lang w:val="fr-CH"/>
              </w:rPr>
            </w:pPr>
            <w:r w:rsidRPr="00F3043B">
              <w:rPr>
                <w:b/>
                <w:bCs/>
                <w:noProof/>
                <w:color w:val="4F81BD" w:themeColor="accent1"/>
                <w:sz w:val="18"/>
                <w:szCs w:val="18"/>
                <w:lang w:val="fr-CH" w:eastAsia="zh-CN"/>
              </w:rPr>
              <w:t xml:space="preserve">I.5-1 </w:t>
            </w:r>
            <w:r w:rsidRPr="00F3043B">
              <w:rPr>
                <w:rFonts w:eastAsia="Calibri" w:cs="Arial"/>
                <w:sz w:val="18"/>
                <w:szCs w:val="18"/>
                <w:lang w:val="fr-CH"/>
              </w:rPr>
              <w:t>Rapports, lignes directrices et récapitulatifs concernant l'accessibilité des télécommunications/TIC</w:t>
            </w:r>
          </w:p>
          <w:p w:rsidR="0092458E" w:rsidRPr="00F3043B" w:rsidRDefault="0092458E" w:rsidP="00DF0748">
            <w:pPr>
              <w:overflowPunct/>
              <w:autoSpaceDE/>
              <w:autoSpaceDN/>
              <w:adjustRightInd/>
              <w:spacing w:before="20" w:after="20"/>
              <w:textAlignment w:val="auto"/>
              <w:rPr>
                <w:b/>
                <w:bCs/>
                <w:noProof/>
                <w:color w:val="4F81BD" w:themeColor="accent1"/>
                <w:sz w:val="18"/>
                <w:szCs w:val="18"/>
                <w:lang w:val="fr-CH" w:eastAsia="zh-CN"/>
              </w:rPr>
            </w:pPr>
            <w:r w:rsidRPr="00F3043B">
              <w:rPr>
                <w:b/>
                <w:bCs/>
                <w:noProof/>
                <w:color w:val="4F81BD" w:themeColor="accent1"/>
                <w:sz w:val="18"/>
                <w:szCs w:val="18"/>
                <w:lang w:val="fr-CH" w:eastAsia="zh-CN"/>
              </w:rPr>
              <w:t xml:space="preserve">I.5-2 </w:t>
            </w:r>
            <w:r w:rsidRPr="00F3043B">
              <w:rPr>
                <w:rFonts w:eastAsia="Calibri" w:cs="Arial"/>
                <w:sz w:val="18"/>
                <w:szCs w:val="18"/>
                <w:lang w:val="fr-CH"/>
              </w:rPr>
              <w:t>Mobilisation de ressources et de compétences techniques, par exemple, en encourageant une participation accrue des personnes handicapées et des personnes ayant des besoins particuliers aux réunions internationales et régionales</w:t>
            </w:r>
          </w:p>
          <w:p w:rsidR="0092458E" w:rsidRPr="00F3043B" w:rsidRDefault="0092458E" w:rsidP="00DF0748">
            <w:pPr>
              <w:overflowPunct/>
              <w:autoSpaceDE/>
              <w:autoSpaceDN/>
              <w:adjustRightInd/>
              <w:spacing w:before="20" w:after="20"/>
              <w:textAlignment w:val="auto"/>
              <w:rPr>
                <w:rFonts w:eastAsia="Calibri" w:cs="Arial"/>
                <w:sz w:val="18"/>
                <w:szCs w:val="18"/>
                <w:lang w:val="fr-CH"/>
              </w:rPr>
            </w:pPr>
            <w:r w:rsidRPr="00F3043B">
              <w:rPr>
                <w:b/>
                <w:bCs/>
                <w:noProof/>
                <w:color w:val="4F81BD" w:themeColor="accent1"/>
                <w:sz w:val="18"/>
                <w:szCs w:val="18"/>
                <w:lang w:val="fr-CH" w:eastAsia="zh-CN"/>
              </w:rPr>
              <w:t xml:space="preserve">I.5-3 </w:t>
            </w:r>
            <w:r w:rsidRPr="00F3043B">
              <w:rPr>
                <w:rFonts w:eastAsia="Calibri" w:cs="Arial"/>
                <w:sz w:val="18"/>
                <w:szCs w:val="18"/>
                <w:lang w:val="fr-CH"/>
              </w:rPr>
              <w:t>Poursuite de l'amélioration et de la mise en oeuvre de la politique de l'UIT en matière d'accessibilité et des plans connexes</w:t>
            </w:r>
          </w:p>
          <w:p w:rsidR="0092458E" w:rsidRPr="00F3043B" w:rsidRDefault="0092458E" w:rsidP="00DF0748">
            <w:pPr>
              <w:pBdr>
                <w:bottom w:val="single" w:sz="6" w:space="1" w:color="auto"/>
              </w:pBdr>
              <w:overflowPunct/>
              <w:autoSpaceDE/>
              <w:autoSpaceDN/>
              <w:adjustRightInd/>
              <w:spacing w:before="20" w:after="20"/>
              <w:textAlignment w:val="auto"/>
              <w:rPr>
                <w:rFonts w:eastAsia="Calibri" w:cs="Arial"/>
                <w:sz w:val="18"/>
                <w:szCs w:val="18"/>
                <w:lang w:val="fr-CH"/>
              </w:rPr>
            </w:pPr>
            <w:r w:rsidRPr="00F3043B">
              <w:rPr>
                <w:b/>
                <w:bCs/>
                <w:noProof/>
                <w:color w:val="4F81BD" w:themeColor="accent1"/>
                <w:sz w:val="18"/>
                <w:szCs w:val="18"/>
                <w:lang w:val="fr-CH" w:eastAsia="zh-CN"/>
              </w:rPr>
              <w:t xml:space="preserve">I.5-4 </w:t>
            </w:r>
            <w:r w:rsidRPr="00F3043B">
              <w:rPr>
                <w:rFonts w:eastAsia="Calibri" w:cs="Arial"/>
                <w:sz w:val="18"/>
                <w:szCs w:val="18"/>
                <w:lang w:val="fr-CH"/>
              </w:rPr>
              <w:t>Campagnes de sensibilisation, tant au niveau des Nations Unies qu'aux niveaux régional et national</w:t>
            </w:r>
          </w:p>
          <w:p w:rsidR="0092458E" w:rsidRPr="00F3043B" w:rsidRDefault="0092458E" w:rsidP="00DF0748">
            <w:pPr>
              <w:spacing w:before="20" w:after="20"/>
              <w:rPr>
                <w:rFonts w:eastAsia="Calibri" w:cs="Arial"/>
                <w:sz w:val="18"/>
                <w:szCs w:val="18"/>
                <w:lang w:val="fr-CH"/>
              </w:rPr>
            </w:pPr>
            <w:r w:rsidRPr="00F3043B">
              <w:rPr>
                <w:rFonts w:eastAsia="Calibri" w:cs="Arial"/>
                <w:b/>
                <w:bCs/>
                <w:color w:val="4F81BD" w:themeColor="accent1"/>
                <w:sz w:val="18"/>
                <w:szCs w:val="18"/>
                <w:lang w:val="fr-CH"/>
              </w:rPr>
              <w:t>PP</w:t>
            </w:r>
            <w:r w:rsidRPr="00F3043B">
              <w:rPr>
                <w:rFonts w:eastAsia="Calibri" w:cs="Arial"/>
                <w:sz w:val="18"/>
                <w:szCs w:val="18"/>
                <w:lang w:val="fr-CH"/>
              </w:rPr>
              <w:t>: Décisions, résolutions, recommandations et autres résultats des travaux de la Conférence de plénipotentiaires*</w:t>
            </w:r>
          </w:p>
          <w:p w:rsidR="0092458E" w:rsidRPr="00F3043B" w:rsidRDefault="0092458E" w:rsidP="00DF0748">
            <w:pPr>
              <w:spacing w:before="20" w:after="20"/>
              <w:rPr>
                <w:b/>
                <w:bCs/>
                <w:sz w:val="18"/>
                <w:szCs w:val="18"/>
                <w:lang w:val="fr-CH"/>
              </w:rPr>
            </w:pPr>
            <w:r w:rsidRPr="00F3043B">
              <w:rPr>
                <w:rFonts w:eastAsia="Calibri" w:cs="Arial"/>
                <w:b/>
                <w:bCs/>
                <w:color w:val="4F81BD" w:themeColor="accent1"/>
                <w:sz w:val="18"/>
                <w:szCs w:val="18"/>
                <w:lang w:val="fr-CH"/>
              </w:rPr>
              <w:t>Conseil/GTC</w:t>
            </w:r>
            <w:r w:rsidRPr="00F3043B">
              <w:rPr>
                <w:rFonts w:eastAsia="Calibri" w:cs="Arial"/>
                <w:sz w:val="18"/>
                <w:szCs w:val="18"/>
                <w:lang w:val="fr-CH"/>
              </w:rPr>
              <w:t>: Décisions et résolutions du Conseil et résultats des travaux des groupes de travail du Conseil*</w:t>
            </w:r>
          </w:p>
        </w:tc>
        <w:tc>
          <w:tcPr>
            <w:tcW w:w="870" w:type="dxa"/>
            <w:vMerge w:val="restart"/>
          </w:tcPr>
          <w:p w:rsidR="0092458E" w:rsidRPr="007F4668" w:rsidRDefault="0092458E" w:rsidP="00DF0748">
            <w:pPr>
              <w:overflowPunct/>
              <w:autoSpaceDE/>
              <w:autoSpaceDN/>
              <w:adjustRightInd/>
              <w:spacing w:before="20" w:after="80"/>
              <w:jc w:val="center"/>
              <w:textAlignment w:val="auto"/>
              <w:rPr>
                <w:rFonts w:eastAsia="Calibri" w:cs="Arial"/>
                <w:b/>
                <w:bCs/>
                <w:color w:val="4F81BD" w:themeColor="accent1"/>
                <w:sz w:val="18"/>
                <w:szCs w:val="18"/>
              </w:rPr>
            </w:pPr>
            <w:r w:rsidRPr="007F4668">
              <w:rPr>
                <w:rFonts w:eastAsia="Calibri" w:cs="Arial"/>
                <w:b/>
                <w:bCs/>
                <w:color w:val="4F81BD" w:themeColor="accent1"/>
                <w:sz w:val="18"/>
                <w:szCs w:val="18"/>
              </w:rPr>
              <w:t>% du total</w:t>
            </w:r>
          </w:p>
          <w:p w:rsidR="0092458E" w:rsidRPr="007F4668" w:rsidRDefault="0092458E" w:rsidP="00DF0748">
            <w:pPr>
              <w:pBdr>
                <w:top w:val="single" w:sz="6" w:space="1" w:color="auto"/>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28,2%</w:t>
            </w:r>
            <w:r w:rsidRPr="007F4668">
              <w:rPr>
                <w:noProof/>
                <w:sz w:val="18"/>
                <w:szCs w:val="18"/>
                <w:lang w:eastAsia="zh-CN"/>
              </w:rPr>
              <w:br/>
            </w:r>
            <w:r w:rsidRPr="007F4668">
              <w:rPr>
                <w:noProof/>
                <w:sz w:val="18"/>
                <w:szCs w:val="18"/>
                <w:lang w:eastAsia="zh-CN"/>
              </w:rPr>
              <w:br/>
            </w:r>
            <w:r w:rsidRPr="007F4668">
              <w:rPr>
                <w:noProof/>
                <w:sz w:val="18"/>
                <w:szCs w:val="18"/>
                <w:lang w:eastAsia="zh-CN"/>
              </w:rPr>
              <w:br/>
            </w:r>
          </w:p>
          <w:p w:rsidR="0092458E" w:rsidRPr="007F4668" w:rsidRDefault="0092458E" w:rsidP="00DF0748">
            <w:pPr>
              <w:overflowPunct/>
              <w:autoSpaceDE/>
              <w:autoSpaceDN/>
              <w:adjustRightInd/>
              <w:spacing w:before="20" w:after="20"/>
              <w:jc w:val="right"/>
              <w:textAlignment w:val="auto"/>
              <w:rPr>
                <w:noProof/>
                <w:sz w:val="18"/>
                <w:szCs w:val="18"/>
                <w:lang w:eastAsia="zh-CN"/>
              </w:rPr>
            </w:pPr>
            <w:r w:rsidRPr="007F4668">
              <w:rPr>
                <w:noProof/>
                <w:sz w:val="18"/>
                <w:szCs w:val="18"/>
                <w:lang w:eastAsia="zh-CN"/>
              </w:rPr>
              <w:t>22,8%</w:t>
            </w:r>
            <w:r w:rsidRPr="007F4668">
              <w:rPr>
                <w:noProof/>
                <w:sz w:val="18"/>
                <w:szCs w:val="18"/>
                <w:lang w:eastAsia="zh-CN"/>
              </w:rPr>
              <w:br/>
            </w:r>
          </w:p>
          <w:p w:rsidR="0092458E" w:rsidRPr="007F4668" w:rsidRDefault="0092458E" w:rsidP="00DF0748">
            <w:pPr>
              <w:pBdr>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1,2%</w:t>
            </w:r>
          </w:p>
          <w:p w:rsidR="0092458E" w:rsidRPr="007F4668" w:rsidRDefault="0092458E" w:rsidP="00DF0748">
            <w:pPr>
              <w:overflowPunct/>
              <w:autoSpaceDE/>
              <w:autoSpaceDN/>
              <w:adjustRightInd/>
              <w:spacing w:before="20" w:after="20"/>
              <w:jc w:val="right"/>
              <w:textAlignment w:val="auto"/>
              <w:rPr>
                <w:noProof/>
                <w:sz w:val="18"/>
                <w:szCs w:val="18"/>
                <w:lang w:eastAsia="zh-CN"/>
              </w:rPr>
            </w:pPr>
            <w:r w:rsidRPr="007F4668">
              <w:rPr>
                <w:noProof/>
                <w:sz w:val="18"/>
                <w:szCs w:val="18"/>
                <w:lang w:eastAsia="zh-CN"/>
              </w:rPr>
              <w:t>25,7%</w:t>
            </w:r>
            <w:r w:rsidRPr="007F4668">
              <w:rPr>
                <w:noProof/>
                <w:sz w:val="18"/>
                <w:szCs w:val="18"/>
                <w:lang w:eastAsia="zh-CN"/>
              </w:rPr>
              <w:br/>
            </w:r>
            <w:r w:rsidRPr="007F4668">
              <w:rPr>
                <w:noProof/>
                <w:sz w:val="18"/>
                <w:szCs w:val="18"/>
                <w:lang w:eastAsia="zh-CN"/>
              </w:rPr>
              <w:br/>
            </w:r>
          </w:p>
          <w:p w:rsidR="0092458E" w:rsidRPr="007F4668" w:rsidRDefault="0092458E" w:rsidP="00DF0748">
            <w:pPr>
              <w:pBdr>
                <w:top w:val="single" w:sz="6" w:space="1" w:color="auto"/>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13,2%</w:t>
            </w:r>
            <w:r w:rsidRPr="007F4668">
              <w:rPr>
                <w:noProof/>
                <w:sz w:val="18"/>
                <w:szCs w:val="18"/>
                <w:lang w:eastAsia="zh-CN"/>
              </w:rPr>
              <w:br/>
            </w:r>
          </w:p>
          <w:p w:rsidR="0092458E" w:rsidRPr="007F4668" w:rsidRDefault="0092458E" w:rsidP="00DF0748">
            <w:pPr>
              <w:pBdr>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3,6%</w:t>
            </w:r>
            <w:r w:rsidRPr="007F4668">
              <w:rPr>
                <w:noProof/>
                <w:sz w:val="18"/>
                <w:szCs w:val="18"/>
                <w:lang w:eastAsia="zh-CN"/>
              </w:rPr>
              <w:br/>
            </w:r>
          </w:p>
          <w:p w:rsidR="0092458E" w:rsidRPr="007F4668" w:rsidRDefault="0092458E" w:rsidP="00DF0748">
            <w:pPr>
              <w:pBdr>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1,2%</w:t>
            </w:r>
            <w:r w:rsidRPr="007F4668">
              <w:rPr>
                <w:noProof/>
                <w:sz w:val="18"/>
                <w:szCs w:val="18"/>
                <w:lang w:eastAsia="zh-CN"/>
              </w:rPr>
              <w:br/>
            </w:r>
            <w:r w:rsidRPr="007F4668">
              <w:rPr>
                <w:noProof/>
                <w:sz w:val="18"/>
                <w:szCs w:val="18"/>
                <w:lang w:eastAsia="zh-CN"/>
              </w:rPr>
              <w:br/>
            </w:r>
            <w:r w:rsidRPr="007F4668">
              <w:rPr>
                <w:noProof/>
                <w:sz w:val="18"/>
                <w:szCs w:val="18"/>
                <w:lang w:eastAsia="zh-CN"/>
              </w:rPr>
              <w:br/>
            </w:r>
          </w:p>
          <w:p w:rsidR="0092458E" w:rsidRPr="007F4668" w:rsidRDefault="0092458E" w:rsidP="00DF0748">
            <w:pPr>
              <w:pBdr>
                <w:bottom w:val="single" w:sz="6" w:space="1" w:color="auto"/>
              </w:pBdr>
              <w:overflowPunct/>
              <w:autoSpaceDE/>
              <w:autoSpaceDN/>
              <w:adjustRightInd/>
              <w:spacing w:before="20" w:after="20"/>
              <w:jc w:val="right"/>
              <w:textAlignment w:val="auto"/>
              <w:rPr>
                <w:rFonts w:eastAsia="Calibri" w:cs="Arial"/>
                <w:sz w:val="18"/>
                <w:szCs w:val="18"/>
              </w:rPr>
            </w:pPr>
            <w:r w:rsidRPr="007F4668">
              <w:rPr>
                <w:noProof/>
                <w:sz w:val="18"/>
                <w:szCs w:val="18"/>
                <w:lang w:eastAsia="zh-CN"/>
              </w:rPr>
              <w:t>0</w:t>
            </w:r>
            <w:r w:rsidRPr="007F4668">
              <w:rPr>
                <w:rFonts w:eastAsia="Calibri" w:cs="Arial"/>
                <w:sz w:val="18"/>
                <w:szCs w:val="18"/>
              </w:rPr>
              <w:t>,5%</w:t>
            </w:r>
            <w:r w:rsidRPr="007F4668">
              <w:rPr>
                <w:rFonts w:eastAsia="Calibri" w:cs="Arial"/>
                <w:sz w:val="18"/>
                <w:szCs w:val="18"/>
              </w:rPr>
              <w:br/>
            </w:r>
          </w:p>
          <w:p w:rsidR="0092458E" w:rsidRPr="007F4668" w:rsidRDefault="0092458E" w:rsidP="00DF0748">
            <w:pPr>
              <w:pBdr>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0,5%</w:t>
            </w:r>
            <w:r w:rsidRPr="007F4668">
              <w:rPr>
                <w:noProof/>
                <w:sz w:val="18"/>
                <w:szCs w:val="18"/>
                <w:lang w:eastAsia="zh-CN"/>
              </w:rPr>
              <w:br/>
            </w:r>
          </w:p>
          <w:p w:rsidR="0092458E" w:rsidRPr="007F4668" w:rsidRDefault="0092458E" w:rsidP="00DF0748">
            <w:pPr>
              <w:overflowPunct/>
              <w:autoSpaceDE/>
              <w:autoSpaceDN/>
              <w:adjustRightInd/>
              <w:spacing w:before="20" w:after="20"/>
              <w:jc w:val="right"/>
              <w:textAlignment w:val="auto"/>
              <w:rPr>
                <w:noProof/>
                <w:sz w:val="18"/>
                <w:szCs w:val="18"/>
                <w:lang w:eastAsia="zh-CN"/>
              </w:rPr>
            </w:pPr>
            <w:r w:rsidRPr="007F4668">
              <w:rPr>
                <w:noProof/>
                <w:sz w:val="18"/>
                <w:szCs w:val="18"/>
                <w:lang w:eastAsia="zh-CN"/>
              </w:rPr>
              <w:t>0,8%</w:t>
            </w:r>
            <w:r w:rsidRPr="007F4668">
              <w:rPr>
                <w:noProof/>
                <w:sz w:val="18"/>
                <w:szCs w:val="18"/>
                <w:lang w:eastAsia="zh-CN"/>
              </w:rPr>
              <w:br/>
            </w:r>
          </w:p>
          <w:p w:rsidR="0092458E" w:rsidRPr="007F4668" w:rsidRDefault="0092458E" w:rsidP="00DF0748">
            <w:pPr>
              <w:overflowPunct/>
              <w:autoSpaceDE/>
              <w:autoSpaceDN/>
              <w:adjustRightInd/>
              <w:spacing w:before="20" w:after="20"/>
              <w:jc w:val="right"/>
              <w:textAlignment w:val="auto"/>
              <w:rPr>
                <w:noProof/>
                <w:sz w:val="18"/>
                <w:szCs w:val="18"/>
                <w:lang w:eastAsia="zh-CN"/>
              </w:rPr>
            </w:pPr>
            <w:r w:rsidRPr="007F4668">
              <w:rPr>
                <w:noProof/>
                <w:sz w:val="18"/>
                <w:szCs w:val="18"/>
                <w:lang w:eastAsia="zh-CN"/>
              </w:rPr>
              <w:t>2,3%</w:t>
            </w:r>
          </w:p>
        </w:tc>
        <w:tc>
          <w:tcPr>
            <w:tcW w:w="981" w:type="dxa"/>
            <w:vMerge w:val="restart"/>
          </w:tcPr>
          <w:p w:rsidR="0092458E" w:rsidRPr="007F4668" w:rsidRDefault="0092458E" w:rsidP="00DF0748">
            <w:pPr>
              <w:overflowPunct/>
              <w:autoSpaceDE/>
              <w:autoSpaceDN/>
              <w:adjustRightInd/>
              <w:spacing w:before="20" w:after="80"/>
              <w:jc w:val="center"/>
              <w:textAlignment w:val="auto"/>
              <w:rPr>
                <w:rFonts w:eastAsia="Calibri" w:cs="Arial"/>
                <w:b/>
                <w:bCs/>
                <w:color w:val="4F81BD" w:themeColor="accent1"/>
                <w:sz w:val="18"/>
                <w:szCs w:val="18"/>
              </w:rPr>
            </w:pPr>
            <w:r w:rsidRPr="007F4668">
              <w:rPr>
                <w:rFonts w:eastAsia="Calibri" w:cs="Arial"/>
                <w:b/>
                <w:bCs/>
                <w:color w:val="4F81BD" w:themeColor="accent1"/>
                <w:sz w:val="18"/>
                <w:szCs w:val="18"/>
              </w:rPr>
              <w:t>% de l'objectif</w:t>
            </w:r>
          </w:p>
          <w:p w:rsidR="0092458E" w:rsidRPr="007F4668" w:rsidRDefault="0092458E" w:rsidP="00DF0748">
            <w:pPr>
              <w:pBdr>
                <w:top w:val="single" w:sz="6" w:space="1" w:color="auto"/>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96,9%</w:t>
            </w:r>
            <w:r w:rsidRPr="007F4668">
              <w:rPr>
                <w:noProof/>
                <w:sz w:val="18"/>
                <w:szCs w:val="18"/>
                <w:lang w:eastAsia="zh-CN"/>
              </w:rPr>
              <w:br/>
            </w:r>
            <w:r w:rsidRPr="007F4668">
              <w:rPr>
                <w:noProof/>
                <w:sz w:val="18"/>
                <w:szCs w:val="18"/>
                <w:lang w:eastAsia="zh-CN"/>
              </w:rPr>
              <w:br/>
            </w:r>
            <w:r w:rsidRPr="007F4668">
              <w:rPr>
                <w:noProof/>
                <w:sz w:val="18"/>
                <w:szCs w:val="18"/>
                <w:lang w:eastAsia="zh-CN"/>
              </w:rPr>
              <w:br/>
            </w:r>
          </w:p>
          <w:p w:rsidR="0092458E" w:rsidRPr="007F4668" w:rsidRDefault="0092458E" w:rsidP="00DF0748">
            <w:pPr>
              <w:overflowPunct/>
              <w:autoSpaceDE/>
              <w:autoSpaceDN/>
              <w:adjustRightInd/>
              <w:spacing w:before="20" w:after="20"/>
              <w:jc w:val="right"/>
              <w:textAlignment w:val="auto"/>
              <w:rPr>
                <w:noProof/>
                <w:sz w:val="18"/>
                <w:szCs w:val="18"/>
                <w:lang w:eastAsia="zh-CN"/>
              </w:rPr>
            </w:pPr>
            <w:r w:rsidRPr="007F4668">
              <w:rPr>
                <w:noProof/>
                <w:sz w:val="18"/>
                <w:szCs w:val="18"/>
                <w:lang w:eastAsia="zh-CN"/>
              </w:rPr>
              <w:t>92,2%</w:t>
            </w:r>
            <w:r w:rsidRPr="007F4668">
              <w:rPr>
                <w:noProof/>
                <w:sz w:val="18"/>
                <w:szCs w:val="18"/>
                <w:lang w:eastAsia="zh-CN"/>
              </w:rPr>
              <w:br/>
            </w:r>
          </w:p>
          <w:p w:rsidR="0092458E" w:rsidRPr="007F4668" w:rsidRDefault="0092458E" w:rsidP="00DF0748">
            <w:pPr>
              <w:pBdr>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4,7%</w:t>
            </w:r>
          </w:p>
          <w:p w:rsidR="0092458E" w:rsidRPr="007F4668" w:rsidRDefault="0092458E" w:rsidP="00DF0748">
            <w:pPr>
              <w:overflowPunct/>
              <w:autoSpaceDE/>
              <w:autoSpaceDN/>
              <w:adjustRightInd/>
              <w:spacing w:before="20" w:after="20"/>
              <w:jc w:val="right"/>
              <w:textAlignment w:val="auto"/>
              <w:rPr>
                <w:noProof/>
                <w:sz w:val="18"/>
                <w:szCs w:val="18"/>
                <w:lang w:eastAsia="zh-CN"/>
              </w:rPr>
            </w:pPr>
            <w:r w:rsidRPr="007F4668">
              <w:rPr>
                <w:noProof/>
                <w:sz w:val="18"/>
                <w:szCs w:val="18"/>
                <w:lang w:eastAsia="zh-CN"/>
              </w:rPr>
              <w:t>96,9%</w:t>
            </w:r>
            <w:r w:rsidRPr="007F4668">
              <w:rPr>
                <w:noProof/>
                <w:sz w:val="18"/>
                <w:szCs w:val="18"/>
                <w:lang w:eastAsia="zh-CN"/>
              </w:rPr>
              <w:br/>
            </w:r>
            <w:r w:rsidRPr="007F4668">
              <w:rPr>
                <w:noProof/>
                <w:sz w:val="18"/>
                <w:szCs w:val="18"/>
                <w:lang w:eastAsia="zh-CN"/>
              </w:rPr>
              <w:br/>
            </w:r>
          </w:p>
          <w:p w:rsidR="0092458E" w:rsidRPr="007F4668" w:rsidRDefault="0092458E" w:rsidP="00DF0748">
            <w:pPr>
              <w:pBdr>
                <w:top w:val="single" w:sz="6" w:space="1" w:color="auto"/>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96,9%</w:t>
            </w:r>
            <w:r w:rsidRPr="007F4668">
              <w:rPr>
                <w:noProof/>
                <w:sz w:val="18"/>
                <w:szCs w:val="18"/>
                <w:lang w:eastAsia="zh-CN"/>
              </w:rPr>
              <w:br/>
            </w:r>
          </w:p>
          <w:p w:rsidR="0092458E" w:rsidRPr="007F4668" w:rsidRDefault="0092458E" w:rsidP="00DF0748">
            <w:pPr>
              <w:pBdr>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59,8%</w:t>
            </w:r>
            <w:r w:rsidRPr="007F4668">
              <w:rPr>
                <w:noProof/>
                <w:sz w:val="18"/>
                <w:szCs w:val="18"/>
                <w:lang w:eastAsia="zh-CN"/>
              </w:rPr>
              <w:br/>
            </w:r>
          </w:p>
          <w:p w:rsidR="0092458E" w:rsidRPr="007F4668" w:rsidRDefault="0092458E" w:rsidP="00DF0748">
            <w:pPr>
              <w:pBdr>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20,5%</w:t>
            </w:r>
            <w:r w:rsidRPr="007F4668">
              <w:rPr>
                <w:noProof/>
                <w:sz w:val="18"/>
                <w:szCs w:val="18"/>
                <w:lang w:eastAsia="zh-CN"/>
              </w:rPr>
              <w:br/>
            </w:r>
            <w:r w:rsidRPr="007F4668">
              <w:rPr>
                <w:noProof/>
                <w:sz w:val="18"/>
                <w:szCs w:val="18"/>
                <w:lang w:eastAsia="zh-CN"/>
              </w:rPr>
              <w:br/>
            </w:r>
            <w:r w:rsidRPr="007F4668">
              <w:rPr>
                <w:noProof/>
                <w:sz w:val="18"/>
                <w:szCs w:val="18"/>
                <w:lang w:eastAsia="zh-CN"/>
              </w:rPr>
              <w:br/>
            </w:r>
          </w:p>
          <w:p w:rsidR="0092458E" w:rsidRPr="007F4668" w:rsidRDefault="0092458E" w:rsidP="00DF0748">
            <w:pPr>
              <w:pBdr>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8,3%</w:t>
            </w:r>
            <w:r w:rsidRPr="007F4668">
              <w:rPr>
                <w:noProof/>
                <w:sz w:val="18"/>
                <w:szCs w:val="18"/>
                <w:lang w:eastAsia="zh-CN"/>
              </w:rPr>
              <w:br/>
            </w:r>
          </w:p>
          <w:p w:rsidR="0092458E" w:rsidRPr="007F4668" w:rsidRDefault="0092458E" w:rsidP="00DF0748">
            <w:pPr>
              <w:pBdr>
                <w:bottom w:val="single" w:sz="6" w:space="1" w:color="auto"/>
              </w:pBdr>
              <w:overflowPunct/>
              <w:autoSpaceDE/>
              <w:autoSpaceDN/>
              <w:adjustRightInd/>
              <w:spacing w:before="20" w:after="20"/>
              <w:jc w:val="right"/>
              <w:textAlignment w:val="auto"/>
              <w:rPr>
                <w:noProof/>
                <w:sz w:val="18"/>
                <w:szCs w:val="18"/>
                <w:lang w:eastAsia="zh-CN"/>
              </w:rPr>
            </w:pPr>
            <w:r w:rsidRPr="007F4668">
              <w:rPr>
                <w:noProof/>
                <w:sz w:val="18"/>
                <w:szCs w:val="18"/>
                <w:lang w:eastAsia="zh-CN"/>
              </w:rPr>
              <w:t>8,3%</w:t>
            </w:r>
            <w:r w:rsidRPr="007F4668">
              <w:rPr>
                <w:noProof/>
                <w:sz w:val="18"/>
                <w:szCs w:val="18"/>
                <w:lang w:eastAsia="zh-CN"/>
              </w:rPr>
              <w:br/>
            </w:r>
          </w:p>
          <w:p w:rsidR="0092458E" w:rsidRPr="007F4668" w:rsidRDefault="0092458E" w:rsidP="00DF0748">
            <w:pPr>
              <w:overflowPunct/>
              <w:autoSpaceDE/>
              <w:autoSpaceDN/>
              <w:adjustRightInd/>
              <w:spacing w:before="20" w:after="20"/>
              <w:jc w:val="right"/>
              <w:textAlignment w:val="auto"/>
              <w:rPr>
                <w:noProof/>
                <w:sz w:val="18"/>
                <w:szCs w:val="18"/>
                <w:lang w:eastAsia="zh-CN"/>
              </w:rPr>
            </w:pPr>
            <w:r w:rsidRPr="007F4668">
              <w:rPr>
                <w:noProof/>
                <w:sz w:val="18"/>
                <w:szCs w:val="18"/>
                <w:lang w:eastAsia="zh-CN"/>
              </w:rPr>
              <w:t>0,8%</w:t>
            </w:r>
            <w:r w:rsidRPr="007F4668">
              <w:rPr>
                <w:noProof/>
                <w:sz w:val="18"/>
                <w:szCs w:val="18"/>
                <w:lang w:eastAsia="zh-CN"/>
              </w:rPr>
              <w:br/>
            </w:r>
          </w:p>
          <w:p w:rsidR="0092458E" w:rsidRPr="007F4668" w:rsidRDefault="0092458E" w:rsidP="00DF0748">
            <w:pPr>
              <w:overflowPunct/>
              <w:autoSpaceDE/>
              <w:autoSpaceDN/>
              <w:adjustRightInd/>
              <w:spacing w:before="20" w:after="20"/>
              <w:contextualSpacing/>
              <w:jc w:val="right"/>
              <w:textAlignment w:val="auto"/>
              <w:rPr>
                <w:noProof/>
                <w:sz w:val="18"/>
                <w:szCs w:val="18"/>
                <w:lang w:eastAsia="zh-CN"/>
              </w:rPr>
            </w:pPr>
            <w:r w:rsidRPr="007F4668">
              <w:rPr>
                <w:noProof/>
                <w:sz w:val="18"/>
                <w:szCs w:val="18"/>
                <w:lang w:eastAsia="zh-CN"/>
              </w:rPr>
              <w:t>2,3 %</w:t>
            </w:r>
          </w:p>
        </w:tc>
      </w:tr>
      <w:tr w:rsidR="0092458E" w:rsidRPr="007F4668" w:rsidTr="00DF0748">
        <w:tc>
          <w:tcPr>
            <w:tcW w:w="6413" w:type="dxa"/>
          </w:tcPr>
          <w:p w:rsidR="0092458E" w:rsidRPr="00F3043B" w:rsidRDefault="0092458E" w:rsidP="00DF0748">
            <w:pPr>
              <w:spacing w:before="20" w:after="20"/>
              <w:rPr>
                <w:noProof/>
                <w:color w:val="4F81BD" w:themeColor="accent1"/>
                <w:sz w:val="18"/>
                <w:szCs w:val="18"/>
                <w:lang w:val="fr-CH" w:eastAsia="zh-CN"/>
              </w:rPr>
            </w:pPr>
          </w:p>
          <w:p w:rsidR="0092458E" w:rsidRPr="00F3043B" w:rsidRDefault="0092458E" w:rsidP="00DF0748">
            <w:pPr>
              <w:spacing w:before="20" w:after="20"/>
              <w:rPr>
                <w:b/>
                <w:bCs/>
                <w:noProof/>
                <w:sz w:val="18"/>
                <w:szCs w:val="18"/>
                <w:lang w:val="fr-CH" w:eastAsia="zh-CN"/>
              </w:rPr>
            </w:pPr>
            <w:r w:rsidRPr="00F3043B">
              <w:rPr>
                <w:noProof/>
                <w:color w:val="4F81BD" w:themeColor="accent1"/>
                <w:sz w:val="18"/>
                <w:szCs w:val="18"/>
                <w:lang w:val="fr-CH" w:eastAsia="zh-CN"/>
              </w:rPr>
              <w:t xml:space="preserve">I.1 </w:t>
            </w:r>
            <w:r w:rsidRPr="00F3043B">
              <w:rPr>
                <w:b/>
                <w:bCs/>
                <w:noProof/>
                <w:sz w:val="18"/>
                <w:szCs w:val="18"/>
                <w:lang w:val="fr-CH" w:eastAsia="zh-CN"/>
              </w:rPr>
              <w:t>Renforcer le dialogue international entre les parties prenantes</w:t>
            </w:r>
          </w:p>
          <w:p w:rsidR="0092458E" w:rsidRPr="00F3043B" w:rsidRDefault="0092458E" w:rsidP="00DF0748">
            <w:pPr>
              <w:spacing w:before="20" w:after="20"/>
              <w:rPr>
                <w:b/>
                <w:bCs/>
                <w:noProof/>
                <w:sz w:val="18"/>
                <w:szCs w:val="18"/>
                <w:lang w:val="fr-CH" w:eastAsia="zh-CN"/>
              </w:rPr>
            </w:pPr>
            <w:r w:rsidRPr="00F3043B">
              <w:rPr>
                <w:noProof/>
                <w:color w:val="4F81BD" w:themeColor="accent1"/>
                <w:sz w:val="18"/>
                <w:szCs w:val="18"/>
                <w:lang w:val="fr-CH" w:eastAsia="zh-CN"/>
              </w:rPr>
              <w:t xml:space="preserve">I.2 </w:t>
            </w:r>
            <w:r w:rsidRPr="00F3043B">
              <w:rPr>
                <w:b/>
                <w:bCs/>
                <w:noProof/>
                <w:sz w:val="18"/>
                <w:szCs w:val="18"/>
                <w:lang w:val="fr-CH" w:eastAsia="zh-CN"/>
              </w:rPr>
              <w:t>Renforcer les partenariats et la coopération dans l'environnement des télécommunications/TIC</w:t>
            </w:r>
          </w:p>
          <w:p w:rsidR="0092458E" w:rsidRPr="00F3043B" w:rsidRDefault="0092458E" w:rsidP="00DF0748">
            <w:pPr>
              <w:spacing w:before="20" w:after="20"/>
              <w:rPr>
                <w:b/>
                <w:bCs/>
                <w:noProof/>
                <w:sz w:val="18"/>
                <w:szCs w:val="18"/>
                <w:lang w:val="fr-CH" w:eastAsia="zh-CN"/>
              </w:rPr>
            </w:pPr>
            <w:r w:rsidRPr="00F3043B">
              <w:rPr>
                <w:noProof/>
                <w:color w:val="4F81BD" w:themeColor="accent1"/>
                <w:sz w:val="18"/>
                <w:szCs w:val="18"/>
                <w:lang w:val="fr-CH" w:eastAsia="zh-CN"/>
              </w:rPr>
              <w:t xml:space="preserve">I.3 </w:t>
            </w:r>
            <w:r w:rsidRPr="00F3043B">
              <w:rPr>
                <w:b/>
                <w:bCs/>
                <w:noProof/>
                <w:sz w:val="18"/>
                <w:szCs w:val="18"/>
                <w:lang w:val="fr-CH" w:eastAsia="zh-CN"/>
              </w:rPr>
              <w:t>Améliorer l'identification et l'analyse des nouvelles tendances dans l'environnement des télécommunications/TIC</w:t>
            </w:r>
          </w:p>
          <w:p w:rsidR="0092458E" w:rsidRPr="00F3043B" w:rsidRDefault="0092458E" w:rsidP="00DF0748">
            <w:pPr>
              <w:spacing w:before="20" w:after="20"/>
              <w:rPr>
                <w:b/>
                <w:bCs/>
                <w:noProof/>
                <w:sz w:val="18"/>
                <w:szCs w:val="18"/>
                <w:lang w:val="fr-CH" w:eastAsia="zh-CN"/>
              </w:rPr>
            </w:pPr>
            <w:r w:rsidRPr="00F3043B">
              <w:rPr>
                <w:noProof/>
                <w:color w:val="4F81BD" w:themeColor="accent1"/>
                <w:sz w:val="18"/>
                <w:szCs w:val="18"/>
                <w:lang w:val="fr-CH" w:eastAsia="zh-CN"/>
              </w:rPr>
              <w:t xml:space="preserve">I.4 </w:t>
            </w:r>
            <w:r w:rsidRPr="00F3043B">
              <w:rPr>
                <w:b/>
                <w:bCs/>
                <w:noProof/>
                <w:sz w:val="18"/>
                <w:szCs w:val="18"/>
                <w:lang w:val="fr-CH" w:eastAsia="zh-CN"/>
              </w:rPr>
              <w:t>Promouvoir/mieux faire reconnaître (l'importance des) les télécommunications/TIC en tant que catalyseur essentiel du développement social, économique etécologiquement durable</w:t>
            </w:r>
          </w:p>
          <w:p w:rsidR="0092458E" w:rsidRPr="00F3043B" w:rsidRDefault="0092458E" w:rsidP="00DF0748">
            <w:pPr>
              <w:spacing w:before="20" w:after="20"/>
              <w:rPr>
                <w:b/>
                <w:bCs/>
                <w:noProof/>
                <w:sz w:val="18"/>
                <w:szCs w:val="18"/>
                <w:lang w:val="fr-CH" w:eastAsia="zh-CN"/>
              </w:rPr>
            </w:pPr>
            <w:r w:rsidRPr="00F3043B">
              <w:rPr>
                <w:noProof/>
                <w:color w:val="4F81BD" w:themeColor="accent1"/>
                <w:sz w:val="18"/>
                <w:szCs w:val="18"/>
                <w:lang w:val="fr-CH" w:eastAsia="zh-CN"/>
              </w:rPr>
              <w:t xml:space="preserve">I.5 </w:t>
            </w:r>
            <w:r w:rsidRPr="00F3043B">
              <w:rPr>
                <w:b/>
                <w:bCs/>
                <w:noProof/>
                <w:sz w:val="18"/>
                <w:szCs w:val="18"/>
                <w:lang w:val="fr-CH" w:eastAsia="zh-CN"/>
              </w:rPr>
              <w:t>Améliorer l'accès aux télécommunications/TIC pour les personnes handicapées et pour les personnes ayant des besoins particuliers</w:t>
            </w:r>
          </w:p>
        </w:tc>
        <w:tc>
          <w:tcPr>
            <w:tcW w:w="850" w:type="dxa"/>
          </w:tcPr>
          <w:p w:rsidR="0092458E" w:rsidRPr="00F3043B" w:rsidRDefault="0092458E" w:rsidP="00DF0748">
            <w:pPr>
              <w:spacing w:before="20" w:after="20"/>
              <w:jc w:val="right"/>
              <w:rPr>
                <w:noProof/>
                <w:color w:val="4F81BD" w:themeColor="accent1"/>
                <w:sz w:val="18"/>
                <w:szCs w:val="18"/>
                <w:lang w:val="fr-CH" w:eastAsia="zh-CN"/>
              </w:rPr>
            </w:pPr>
          </w:p>
          <w:p w:rsidR="0092458E" w:rsidRPr="007F4668" w:rsidRDefault="0092458E" w:rsidP="00DF0748">
            <w:pPr>
              <w:spacing w:before="20" w:after="20"/>
              <w:jc w:val="right"/>
              <w:rPr>
                <w:b/>
                <w:bCs/>
                <w:noProof/>
                <w:color w:val="000000" w:themeColor="text1"/>
                <w:sz w:val="18"/>
                <w:szCs w:val="18"/>
                <w:lang w:eastAsia="zh-CN"/>
              </w:rPr>
            </w:pPr>
            <w:r w:rsidRPr="007F4668">
              <w:rPr>
                <w:b/>
                <w:bCs/>
                <w:noProof/>
                <w:color w:val="000000" w:themeColor="text1"/>
                <w:sz w:val="18"/>
                <w:szCs w:val="18"/>
                <w:lang w:eastAsia="zh-CN"/>
              </w:rPr>
              <w:t>29%</w:t>
            </w:r>
          </w:p>
          <w:p w:rsidR="0092458E" w:rsidRPr="007F4668" w:rsidRDefault="0092458E" w:rsidP="00DF0748">
            <w:pPr>
              <w:spacing w:before="20" w:after="20"/>
              <w:jc w:val="right"/>
              <w:rPr>
                <w:b/>
                <w:bCs/>
                <w:noProof/>
                <w:color w:val="000000" w:themeColor="text1"/>
                <w:sz w:val="18"/>
                <w:szCs w:val="18"/>
                <w:lang w:eastAsia="zh-CN"/>
              </w:rPr>
            </w:pPr>
            <w:r w:rsidRPr="007F4668">
              <w:rPr>
                <w:b/>
                <w:bCs/>
                <w:noProof/>
                <w:color w:val="000000" w:themeColor="text1"/>
                <w:sz w:val="18"/>
                <w:szCs w:val="18"/>
                <w:lang w:eastAsia="zh-CN"/>
              </w:rPr>
              <w:t>25%</w:t>
            </w:r>
            <w:r w:rsidRPr="007F4668">
              <w:rPr>
                <w:b/>
                <w:bCs/>
                <w:noProof/>
                <w:color w:val="000000" w:themeColor="text1"/>
                <w:sz w:val="18"/>
                <w:szCs w:val="18"/>
                <w:lang w:eastAsia="zh-CN"/>
              </w:rPr>
              <w:br/>
            </w:r>
          </w:p>
          <w:p w:rsidR="0092458E" w:rsidRPr="007F4668" w:rsidRDefault="0092458E" w:rsidP="00DF0748">
            <w:pPr>
              <w:spacing w:before="20" w:after="20"/>
              <w:jc w:val="right"/>
              <w:rPr>
                <w:b/>
                <w:bCs/>
                <w:noProof/>
                <w:color w:val="000000" w:themeColor="text1"/>
                <w:sz w:val="18"/>
                <w:szCs w:val="18"/>
                <w:lang w:eastAsia="zh-CN"/>
              </w:rPr>
            </w:pPr>
            <w:r w:rsidRPr="007F4668">
              <w:rPr>
                <w:b/>
                <w:bCs/>
                <w:noProof/>
                <w:color w:val="000000" w:themeColor="text1"/>
                <w:sz w:val="18"/>
                <w:szCs w:val="18"/>
                <w:lang w:eastAsia="zh-CN"/>
              </w:rPr>
              <w:t>26%</w:t>
            </w:r>
            <w:r w:rsidRPr="007F4668">
              <w:rPr>
                <w:b/>
                <w:bCs/>
                <w:noProof/>
                <w:color w:val="000000" w:themeColor="text1"/>
                <w:sz w:val="18"/>
                <w:szCs w:val="18"/>
                <w:lang w:eastAsia="zh-CN"/>
              </w:rPr>
              <w:br/>
            </w:r>
          </w:p>
          <w:p w:rsidR="0092458E" w:rsidRPr="007F4668" w:rsidRDefault="0092458E" w:rsidP="00DF0748">
            <w:pPr>
              <w:spacing w:before="20" w:after="20"/>
              <w:jc w:val="right"/>
              <w:rPr>
                <w:b/>
                <w:bCs/>
                <w:noProof/>
                <w:color w:val="000000" w:themeColor="text1"/>
                <w:sz w:val="18"/>
                <w:szCs w:val="18"/>
                <w:lang w:eastAsia="zh-CN"/>
              </w:rPr>
            </w:pPr>
            <w:r w:rsidRPr="007F4668">
              <w:rPr>
                <w:b/>
                <w:bCs/>
                <w:noProof/>
                <w:color w:val="000000" w:themeColor="text1"/>
                <w:sz w:val="18"/>
                <w:szCs w:val="18"/>
                <w:lang w:eastAsia="zh-CN"/>
              </w:rPr>
              <w:br/>
            </w:r>
            <w:r w:rsidRPr="007F4668">
              <w:rPr>
                <w:b/>
                <w:bCs/>
                <w:noProof/>
                <w:color w:val="000000" w:themeColor="text1"/>
                <w:sz w:val="18"/>
                <w:szCs w:val="18"/>
                <w:lang w:eastAsia="zh-CN"/>
              </w:rPr>
              <w:br/>
              <w:t>14%</w:t>
            </w:r>
          </w:p>
          <w:p w:rsidR="0092458E" w:rsidRPr="007F4668" w:rsidRDefault="0092458E" w:rsidP="00DF0748">
            <w:pPr>
              <w:spacing w:before="20" w:after="20"/>
              <w:jc w:val="right"/>
              <w:rPr>
                <w:b/>
                <w:bCs/>
                <w:noProof/>
                <w:sz w:val="18"/>
                <w:szCs w:val="18"/>
                <w:lang w:eastAsia="zh-CN"/>
              </w:rPr>
            </w:pPr>
            <w:r w:rsidRPr="007F4668">
              <w:rPr>
                <w:b/>
                <w:bCs/>
                <w:noProof/>
                <w:color w:val="000000" w:themeColor="text1"/>
                <w:sz w:val="18"/>
                <w:szCs w:val="18"/>
                <w:lang w:eastAsia="zh-CN"/>
              </w:rPr>
              <w:t>6%</w:t>
            </w:r>
          </w:p>
        </w:tc>
        <w:tc>
          <w:tcPr>
            <w:tcW w:w="5552" w:type="dxa"/>
            <w:vMerge/>
          </w:tcPr>
          <w:p w:rsidR="0092458E" w:rsidRPr="007F4668" w:rsidRDefault="0092458E" w:rsidP="00DF0748">
            <w:pPr>
              <w:spacing w:before="20" w:after="20"/>
              <w:rPr>
                <w:noProof/>
                <w:sz w:val="18"/>
                <w:szCs w:val="18"/>
                <w:lang w:eastAsia="zh-CN"/>
              </w:rPr>
            </w:pPr>
          </w:p>
        </w:tc>
        <w:tc>
          <w:tcPr>
            <w:tcW w:w="870" w:type="dxa"/>
            <w:vMerge/>
          </w:tcPr>
          <w:p w:rsidR="0092458E" w:rsidRPr="007F4668" w:rsidRDefault="0092458E" w:rsidP="00DF0748">
            <w:pPr>
              <w:spacing w:before="20" w:after="20"/>
              <w:rPr>
                <w:noProof/>
                <w:sz w:val="18"/>
                <w:szCs w:val="18"/>
                <w:lang w:eastAsia="zh-CN"/>
              </w:rPr>
            </w:pPr>
          </w:p>
        </w:tc>
        <w:tc>
          <w:tcPr>
            <w:tcW w:w="981" w:type="dxa"/>
            <w:vMerge/>
          </w:tcPr>
          <w:p w:rsidR="0092458E" w:rsidRPr="007F4668" w:rsidRDefault="0092458E" w:rsidP="00DF0748">
            <w:pPr>
              <w:spacing w:before="20" w:after="20"/>
              <w:rPr>
                <w:noProof/>
                <w:sz w:val="18"/>
                <w:szCs w:val="18"/>
                <w:lang w:eastAsia="zh-CN"/>
              </w:rPr>
            </w:pPr>
          </w:p>
        </w:tc>
      </w:tr>
    </w:tbl>
    <w:p w:rsidR="0092458E" w:rsidRPr="007F4668" w:rsidRDefault="0092458E" w:rsidP="00DF0748">
      <w:pPr>
        <w:spacing w:before="20" w:after="20"/>
        <w:jc w:val="right"/>
      </w:pPr>
      <w:r>
        <w:rPr>
          <w:sz w:val="20"/>
        </w:rPr>
        <w:t>* Le c</w:t>
      </w:r>
      <w:r w:rsidRPr="007F4668">
        <w:rPr>
          <w:sz w:val="20"/>
        </w:rPr>
        <w:t xml:space="preserve">oût de ces produits </w:t>
      </w:r>
      <w:r>
        <w:rPr>
          <w:sz w:val="20"/>
        </w:rPr>
        <w:t xml:space="preserve">est </w:t>
      </w:r>
      <w:r w:rsidRPr="007F4668">
        <w:rPr>
          <w:sz w:val="20"/>
        </w:rPr>
        <w:t>imputé à tous les objectifs de l'Union.</w:t>
      </w:r>
    </w:p>
    <w:p w:rsidR="0092458E" w:rsidRPr="007F4668" w:rsidRDefault="0092458E" w:rsidP="00DF0748">
      <w:pPr>
        <w:spacing w:before="20" w:after="20"/>
      </w:pPr>
    </w:p>
    <w:p w:rsidR="0092458E" w:rsidRPr="007F4668" w:rsidRDefault="0092458E" w:rsidP="00DF0748">
      <w:pPr>
        <w:pStyle w:val="Heading1"/>
        <w:spacing w:before="20" w:after="20"/>
      </w:pPr>
      <w:r w:rsidRPr="007F4668">
        <w:br w:type="page"/>
      </w:r>
    </w:p>
    <w:p w:rsidR="0092458E" w:rsidRPr="007F4668" w:rsidRDefault="0092458E" w:rsidP="00DF0748">
      <w:pPr>
        <w:pStyle w:val="Heading1"/>
        <w:spacing w:before="20" w:after="20"/>
      </w:pPr>
      <w:r w:rsidRPr="007F4668">
        <w:lastRenderedPageBreak/>
        <w:t>4</w:t>
      </w:r>
      <w:r w:rsidRPr="007F4668">
        <w:tab/>
        <w:t>Analyse des risques</w:t>
      </w:r>
    </w:p>
    <w:p w:rsidR="0092458E" w:rsidRPr="007F4668" w:rsidRDefault="0092458E" w:rsidP="00DF0748">
      <w:pPr>
        <w:spacing w:after="120"/>
      </w:pPr>
      <w:r w:rsidRPr="007F4668">
        <w:t>Dans l'optique du passage de la stratégie à la mise en oeuvre, les risques opérationnels de premier niveau présentés dans le tableau ci-après ont été identifiés, analysés et évalués. Les Bureaux et chaque département géreront l'ensemble des risques associés aux résultats correspondants.</w:t>
      </w:r>
    </w:p>
    <w:tbl>
      <w:tblPr>
        <w:tblStyle w:val="GridTable4-Accent12"/>
        <w:tblW w:w="14170" w:type="dxa"/>
        <w:tblLayout w:type="fixed"/>
        <w:tblLook w:val="06A0" w:firstRow="1" w:lastRow="0" w:firstColumn="1" w:lastColumn="0" w:noHBand="1" w:noVBand="1"/>
      </w:tblPr>
      <w:tblGrid>
        <w:gridCol w:w="1656"/>
        <w:gridCol w:w="4836"/>
        <w:gridCol w:w="1158"/>
        <w:gridCol w:w="1276"/>
        <w:gridCol w:w="5244"/>
      </w:tblGrid>
      <w:tr w:rsidR="0092458E" w:rsidRPr="007F4668" w:rsidTr="00DF0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vAlign w:val="center"/>
          </w:tcPr>
          <w:p w:rsidR="0092458E" w:rsidRPr="007F4668" w:rsidRDefault="0092458E" w:rsidP="00DF0748">
            <w:pPr>
              <w:pStyle w:val="Tablehead"/>
              <w:spacing w:before="20" w:after="20"/>
              <w:rPr>
                <w:b/>
                <w:bCs w:val="0"/>
                <w:sz w:val="20"/>
              </w:rPr>
            </w:pPr>
            <w:r w:rsidRPr="007F4668">
              <w:rPr>
                <w:b/>
                <w:bCs w:val="0"/>
                <w:sz w:val="20"/>
              </w:rPr>
              <w:t>Perspective</w:t>
            </w:r>
          </w:p>
        </w:tc>
        <w:tc>
          <w:tcPr>
            <w:tcW w:w="4836" w:type="dxa"/>
            <w:vAlign w:val="center"/>
          </w:tcPr>
          <w:p w:rsidR="0092458E" w:rsidRPr="007F4668" w:rsidRDefault="0092458E" w:rsidP="00DF0748">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rPr>
            </w:pPr>
            <w:r w:rsidRPr="007F4668">
              <w:rPr>
                <w:b/>
                <w:bCs w:val="0"/>
                <w:sz w:val="20"/>
              </w:rPr>
              <w:t>Description des risques</w:t>
            </w:r>
          </w:p>
        </w:tc>
        <w:tc>
          <w:tcPr>
            <w:tcW w:w="1158" w:type="dxa"/>
            <w:vAlign w:val="center"/>
          </w:tcPr>
          <w:p w:rsidR="0092458E" w:rsidRPr="007F4668" w:rsidRDefault="0092458E" w:rsidP="00DF0748">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rPr>
            </w:pPr>
            <w:r w:rsidRPr="007F4668">
              <w:rPr>
                <w:b/>
                <w:bCs w:val="0"/>
                <w:sz w:val="20"/>
              </w:rPr>
              <w:t>Probabilité</w:t>
            </w:r>
          </w:p>
        </w:tc>
        <w:tc>
          <w:tcPr>
            <w:tcW w:w="1276" w:type="dxa"/>
            <w:vAlign w:val="center"/>
          </w:tcPr>
          <w:p w:rsidR="0092458E" w:rsidRPr="007F4668" w:rsidRDefault="0092458E" w:rsidP="00DF0748">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rPr>
            </w:pPr>
            <w:r w:rsidRPr="007F4668">
              <w:rPr>
                <w:b/>
                <w:bCs w:val="0"/>
                <w:sz w:val="20"/>
              </w:rPr>
              <w:t>Niveau d'incidence</w:t>
            </w:r>
          </w:p>
        </w:tc>
        <w:tc>
          <w:tcPr>
            <w:tcW w:w="5244" w:type="dxa"/>
            <w:vAlign w:val="center"/>
          </w:tcPr>
          <w:p w:rsidR="0092458E" w:rsidRPr="007F4668" w:rsidRDefault="0092458E" w:rsidP="00DF0748">
            <w:pPr>
              <w:pStyle w:val="Tablehead"/>
              <w:spacing w:before="20" w:after="20"/>
              <w:cnfStyle w:val="100000000000" w:firstRow="1" w:lastRow="0" w:firstColumn="0" w:lastColumn="0" w:oddVBand="0" w:evenVBand="0" w:oddHBand="0" w:evenHBand="0" w:firstRowFirstColumn="0" w:firstRowLastColumn="0" w:lastRowFirstColumn="0" w:lastRowLastColumn="0"/>
              <w:rPr>
                <w:sz w:val="20"/>
              </w:rPr>
            </w:pPr>
            <w:r w:rsidRPr="007F4668">
              <w:rPr>
                <w:b/>
                <w:bCs w:val="0"/>
                <w:sz w:val="20"/>
              </w:rPr>
              <w:t>Mesure d'atténuation</w:t>
            </w:r>
            <w:r w:rsidRPr="007F4668">
              <w:rPr>
                <w:rStyle w:val="FootnoteReference"/>
                <w:b/>
                <w:bCs w:val="0"/>
              </w:rPr>
              <w:footnoteReference w:id="2"/>
            </w:r>
          </w:p>
        </w:tc>
      </w:tr>
      <w:tr w:rsidR="0092458E" w:rsidRPr="007F4668" w:rsidTr="00DF0748">
        <w:tc>
          <w:tcPr>
            <w:cnfStyle w:val="001000000000" w:firstRow="0" w:lastRow="0" w:firstColumn="1" w:lastColumn="0" w:oddVBand="0" w:evenVBand="0" w:oddHBand="0" w:evenHBand="0" w:firstRowFirstColumn="0" w:firstRowLastColumn="0" w:lastRowFirstColumn="0" w:lastRowLastColumn="0"/>
            <w:tcW w:w="1656" w:type="dxa"/>
          </w:tcPr>
          <w:p w:rsidR="0092458E" w:rsidRPr="007F4668" w:rsidRDefault="0092458E" w:rsidP="00DF0748">
            <w:pPr>
              <w:pStyle w:val="Tabletext"/>
              <w:spacing w:before="20" w:after="20"/>
              <w:rPr>
                <w:sz w:val="20"/>
              </w:rPr>
            </w:pPr>
            <w:r w:rsidRPr="007F4668">
              <w:rPr>
                <w:sz w:val="20"/>
              </w:rPr>
              <w:t>Risques organisationnels</w:t>
            </w:r>
          </w:p>
        </w:tc>
        <w:tc>
          <w:tcPr>
            <w:tcW w:w="4836" w:type="dxa"/>
          </w:tcPr>
          <w:p w:rsidR="0092458E" w:rsidRPr="00F3043B" w:rsidRDefault="0092458E" w:rsidP="00DF0748">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F3043B">
              <w:rPr>
                <w:sz w:val="20"/>
                <w:lang w:val="fr-CH"/>
              </w:rPr>
              <w:t>Impossibilité physique d'organiser des réunions ou des manifestations ou de voyager. Impossibilité physique d'utiliser les locaux du siège (</w:t>
            </w:r>
            <w:r w:rsidRPr="00F3043B">
              <w:rPr>
                <w:i/>
                <w:iCs/>
                <w:sz w:val="20"/>
                <w:lang w:val="fr-CH"/>
              </w:rPr>
              <w:t>par exemple, il a fallu changer à la dernière minute le pays accueillant une manifestation en raison de l'instabilité politique régnant dans ce pays ou d'une crise majeure, par exemple une pandémie ou des problèmes de sécurité publique</w:t>
            </w:r>
            <w:r w:rsidRPr="00F3043B">
              <w:rPr>
                <w:sz w:val="20"/>
                <w:lang w:val="fr-CH"/>
              </w:rPr>
              <w:t>)</w:t>
            </w:r>
          </w:p>
        </w:tc>
        <w:tc>
          <w:tcPr>
            <w:tcW w:w="1158" w:type="dxa"/>
          </w:tcPr>
          <w:p w:rsidR="0092458E" w:rsidRPr="007F4668" w:rsidRDefault="0092458E" w:rsidP="00DF074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7F4668">
              <w:rPr>
                <w:sz w:val="20"/>
              </w:rPr>
              <w:t>faible</w:t>
            </w:r>
          </w:p>
        </w:tc>
        <w:tc>
          <w:tcPr>
            <w:tcW w:w="1276" w:type="dxa"/>
          </w:tcPr>
          <w:p w:rsidR="0092458E" w:rsidRPr="007F4668" w:rsidRDefault="0092458E" w:rsidP="00DF074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7F4668">
              <w:rPr>
                <w:sz w:val="20"/>
              </w:rPr>
              <w:t>élevé</w:t>
            </w:r>
          </w:p>
        </w:tc>
        <w:tc>
          <w:tcPr>
            <w:tcW w:w="5244" w:type="dxa"/>
          </w:tcPr>
          <w:p w:rsidR="0092458E" w:rsidRPr="00F3043B" w:rsidRDefault="0092458E" w:rsidP="00DF0748">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F3043B">
              <w:rPr>
                <w:rFonts w:eastAsia="Calibri" w:cs="Arial"/>
                <w:sz w:val="20"/>
                <w:lang w:val="fr-CH"/>
              </w:rPr>
              <w:t>–</w:t>
            </w:r>
            <w:r w:rsidRPr="00F3043B">
              <w:rPr>
                <w:rFonts w:eastAsia="Calibri" w:cs="Arial"/>
                <w:sz w:val="20"/>
                <w:lang w:val="fr-CH"/>
              </w:rPr>
              <w:tab/>
              <w:t xml:space="preserve">Renforcer les moyens de participation à distance </w:t>
            </w:r>
          </w:p>
          <w:p w:rsidR="0092458E" w:rsidRPr="00F3043B" w:rsidRDefault="0092458E" w:rsidP="00DF0748">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F3043B">
              <w:rPr>
                <w:rFonts w:eastAsia="Calibri" w:cs="Arial"/>
                <w:sz w:val="20"/>
                <w:lang w:val="fr-CH"/>
              </w:rPr>
              <w:t>–</w:t>
            </w:r>
            <w:r w:rsidRPr="00F3043B">
              <w:rPr>
                <w:rFonts w:eastAsia="Calibri" w:cs="Arial"/>
                <w:sz w:val="20"/>
                <w:lang w:val="fr-CH"/>
              </w:rPr>
              <w:tab/>
              <w:t>Plan de continuité des activités à l'échelle de l'UIT</w:t>
            </w:r>
          </w:p>
          <w:p w:rsidR="0092458E" w:rsidRPr="00F3043B" w:rsidRDefault="0092458E" w:rsidP="00DF0748">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F3043B">
              <w:rPr>
                <w:rFonts w:eastAsia="Calibri" w:cs="Arial"/>
                <w:sz w:val="20"/>
                <w:lang w:val="fr-CH"/>
              </w:rPr>
              <w:t>–</w:t>
            </w:r>
            <w:r w:rsidRPr="00F3043B">
              <w:rPr>
                <w:rFonts w:eastAsia="Calibri" w:cs="Arial"/>
                <w:sz w:val="20"/>
                <w:lang w:val="fr-CH"/>
              </w:rPr>
              <w:tab/>
              <w:t xml:space="preserve">Renforcer le rôle des bureaux régionaux </w:t>
            </w:r>
          </w:p>
        </w:tc>
      </w:tr>
      <w:tr w:rsidR="0092458E" w:rsidRPr="007F4668" w:rsidTr="00DF0748">
        <w:tc>
          <w:tcPr>
            <w:cnfStyle w:val="001000000000" w:firstRow="0" w:lastRow="0" w:firstColumn="1" w:lastColumn="0" w:oddVBand="0" w:evenVBand="0" w:oddHBand="0" w:evenHBand="0" w:firstRowFirstColumn="0" w:firstRowLastColumn="0" w:lastRowFirstColumn="0" w:lastRowLastColumn="0"/>
            <w:tcW w:w="1656" w:type="dxa"/>
          </w:tcPr>
          <w:p w:rsidR="0092458E" w:rsidRPr="007F4668" w:rsidRDefault="0092458E" w:rsidP="00DF0748">
            <w:pPr>
              <w:pStyle w:val="Tabletext"/>
              <w:spacing w:before="20" w:after="20"/>
              <w:rPr>
                <w:sz w:val="20"/>
              </w:rPr>
            </w:pPr>
            <w:r w:rsidRPr="007F4668">
              <w:rPr>
                <w:sz w:val="20"/>
              </w:rPr>
              <w:t>Risques liés à l'infrastructure</w:t>
            </w:r>
          </w:p>
        </w:tc>
        <w:tc>
          <w:tcPr>
            <w:tcW w:w="4836" w:type="dxa"/>
          </w:tcPr>
          <w:p w:rsidR="0092458E" w:rsidRPr="00F3043B" w:rsidRDefault="0092458E" w:rsidP="00DF0748">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F3043B">
              <w:rPr>
                <w:sz w:val="20"/>
                <w:lang w:val="fr-CH"/>
              </w:rPr>
              <w:t>Dysfonctionnement des services TIC (</w:t>
            </w:r>
            <w:r w:rsidRPr="00F3043B">
              <w:rPr>
                <w:i/>
                <w:iCs/>
                <w:sz w:val="20"/>
                <w:lang w:val="fr-CH"/>
              </w:rPr>
              <w:t>par exemple, indisponibilité du réseau pendant une période suffisamment longue pour perturber les activités</w:t>
            </w:r>
            <w:r w:rsidRPr="00F3043B">
              <w:rPr>
                <w:sz w:val="20"/>
                <w:lang w:val="fr-CH"/>
              </w:rPr>
              <w:t>)</w:t>
            </w:r>
          </w:p>
        </w:tc>
        <w:tc>
          <w:tcPr>
            <w:tcW w:w="1158" w:type="dxa"/>
          </w:tcPr>
          <w:p w:rsidR="0092458E" w:rsidRPr="007F4668" w:rsidRDefault="0092458E" w:rsidP="00DF074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7F4668">
              <w:rPr>
                <w:sz w:val="20"/>
              </w:rPr>
              <w:t>faible</w:t>
            </w:r>
          </w:p>
        </w:tc>
        <w:tc>
          <w:tcPr>
            <w:tcW w:w="1276" w:type="dxa"/>
          </w:tcPr>
          <w:p w:rsidR="0092458E" w:rsidRPr="007F4668" w:rsidRDefault="0092458E" w:rsidP="00DF074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7F4668">
              <w:rPr>
                <w:sz w:val="20"/>
              </w:rPr>
              <w:t>élevé</w:t>
            </w:r>
          </w:p>
        </w:tc>
        <w:tc>
          <w:tcPr>
            <w:tcW w:w="5244" w:type="dxa"/>
          </w:tcPr>
          <w:p w:rsidR="0092458E" w:rsidRPr="00F3043B" w:rsidRDefault="0092458E" w:rsidP="00DF0748">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F3043B">
              <w:rPr>
                <w:rFonts w:eastAsia="Calibri" w:cs="Arial"/>
                <w:sz w:val="20"/>
                <w:lang w:val="fr-CH"/>
              </w:rPr>
              <w:t>–</w:t>
            </w:r>
            <w:r w:rsidRPr="00F3043B">
              <w:rPr>
                <w:rFonts w:eastAsia="Calibri" w:cs="Arial"/>
                <w:sz w:val="20"/>
                <w:lang w:val="fr-CH"/>
              </w:rPr>
              <w:tab/>
              <w:t xml:space="preserve">Plan de continuité des activités des services informatiques </w:t>
            </w:r>
          </w:p>
        </w:tc>
      </w:tr>
      <w:tr w:rsidR="0092458E" w:rsidRPr="007F4668" w:rsidTr="00DF0748">
        <w:tc>
          <w:tcPr>
            <w:cnfStyle w:val="001000000000" w:firstRow="0" w:lastRow="0" w:firstColumn="1" w:lastColumn="0" w:oddVBand="0" w:evenVBand="0" w:oddHBand="0" w:evenHBand="0" w:firstRowFirstColumn="0" w:firstRowLastColumn="0" w:lastRowFirstColumn="0" w:lastRowLastColumn="0"/>
            <w:tcW w:w="1656" w:type="dxa"/>
          </w:tcPr>
          <w:p w:rsidR="0092458E" w:rsidRPr="00F3043B" w:rsidRDefault="0092458E" w:rsidP="00DF0748">
            <w:pPr>
              <w:pStyle w:val="Tabletext"/>
              <w:spacing w:before="20" w:after="20"/>
              <w:rPr>
                <w:sz w:val="20"/>
                <w:lang w:val="fr-CH"/>
              </w:rPr>
            </w:pPr>
            <w:r w:rsidRPr="00F3043B">
              <w:rPr>
                <w:sz w:val="20"/>
                <w:lang w:val="fr-CH"/>
              </w:rPr>
              <w:t>Risques liés aux parties prenantes/</w:t>
            </w:r>
            <w:r w:rsidRPr="00F3043B">
              <w:rPr>
                <w:sz w:val="20"/>
                <w:lang w:val="fr-CH"/>
              </w:rPr>
              <w:br/>
              <w:t xml:space="preserve">partenaires </w:t>
            </w:r>
          </w:p>
        </w:tc>
        <w:tc>
          <w:tcPr>
            <w:tcW w:w="4836" w:type="dxa"/>
          </w:tcPr>
          <w:p w:rsidR="0092458E" w:rsidRPr="00F3043B" w:rsidRDefault="0092458E" w:rsidP="00DF0748">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F3043B">
              <w:rPr>
                <w:sz w:val="20"/>
                <w:lang w:val="fr-CH"/>
              </w:rPr>
              <w:t>Caractère imprévisible de la demande</w:t>
            </w:r>
          </w:p>
        </w:tc>
        <w:tc>
          <w:tcPr>
            <w:tcW w:w="1158" w:type="dxa"/>
          </w:tcPr>
          <w:p w:rsidR="0092458E" w:rsidRPr="007F4668" w:rsidRDefault="0092458E" w:rsidP="00DF074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7F4668">
              <w:rPr>
                <w:sz w:val="20"/>
              </w:rPr>
              <w:t>moyenne</w:t>
            </w:r>
          </w:p>
        </w:tc>
        <w:tc>
          <w:tcPr>
            <w:tcW w:w="1276" w:type="dxa"/>
          </w:tcPr>
          <w:p w:rsidR="0092458E" w:rsidRPr="007F4668" w:rsidRDefault="0092458E" w:rsidP="00DF074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7F4668">
              <w:rPr>
                <w:sz w:val="20"/>
              </w:rPr>
              <w:t>moyen</w:t>
            </w:r>
          </w:p>
        </w:tc>
        <w:tc>
          <w:tcPr>
            <w:tcW w:w="5244" w:type="dxa"/>
          </w:tcPr>
          <w:p w:rsidR="0092458E" w:rsidRPr="00F3043B" w:rsidRDefault="0092458E" w:rsidP="00DF0748">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sz w:val="20"/>
                <w:lang w:val="fr-CH"/>
              </w:rPr>
            </w:pPr>
            <w:r w:rsidRPr="00F3043B">
              <w:rPr>
                <w:rFonts w:eastAsia="Calibri" w:cs="Arial"/>
                <w:sz w:val="20"/>
                <w:lang w:val="fr-CH"/>
              </w:rPr>
              <w:t>–</w:t>
            </w:r>
            <w:r w:rsidRPr="00F3043B">
              <w:rPr>
                <w:rFonts w:eastAsia="Calibri" w:cs="Arial"/>
                <w:sz w:val="20"/>
                <w:lang w:val="fr-CH"/>
              </w:rPr>
              <w:tab/>
              <w:t>Collaboration avec les membres (Conseil) pour suivre/renforcer/mettre en application les règles régissant la soumission des documents aux conférences (décrire/évaluer clairement l'incidence économique du caractère imprévisible de la demande).</w:t>
            </w:r>
          </w:p>
        </w:tc>
      </w:tr>
      <w:tr w:rsidR="0092458E" w:rsidRPr="007F4668" w:rsidTr="00DF0748">
        <w:tc>
          <w:tcPr>
            <w:cnfStyle w:val="001000000000" w:firstRow="0" w:lastRow="0" w:firstColumn="1" w:lastColumn="0" w:oddVBand="0" w:evenVBand="0" w:oddHBand="0" w:evenHBand="0" w:firstRowFirstColumn="0" w:firstRowLastColumn="0" w:lastRowFirstColumn="0" w:lastRowLastColumn="0"/>
            <w:tcW w:w="1656" w:type="dxa"/>
          </w:tcPr>
          <w:p w:rsidR="0092458E" w:rsidRPr="00F3043B" w:rsidRDefault="0092458E" w:rsidP="00DF0748">
            <w:pPr>
              <w:pStyle w:val="Tabletext"/>
              <w:spacing w:before="20" w:after="20"/>
              <w:rPr>
                <w:sz w:val="20"/>
                <w:lang w:val="fr-CH"/>
              </w:rPr>
            </w:pPr>
            <w:r w:rsidRPr="00F3043B">
              <w:rPr>
                <w:sz w:val="20"/>
                <w:lang w:val="fr-CH"/>
              </w:rPr>
              <w:t>Risques liés aux ressources humaines</w:t>
            </w:r>
          </w:p>
        </w:tc>
        <w:tc>
          <w:tcPr>
            <w:tcW w:w="4836" w:type="dxa"/>
          </w:tcPr>
          <w:p w:rsidR="0092458E" w:rsidRPr="00F3043B" w:rsidRDefault="0092458E" w:rsidP="00DF0748">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F3043B">
              <w:rPr>
                <w:sz w:val="20"/>
                <w:lang w:val="fr-CH"/>
              </w:rPr>
              <w:t>Manque de personnel/de compétences pour des tâches essentielles</w:t>
            </w:r>
          </w:p>
        </w:tc>
        <w:tc>
          <w:tcPr>
            <w:tcW w:w="1158" w:type="dxa"/>
          </w:tcPr>
          <w:p w:rsidR="0092458E" w:rsidRPr="007F4668" w:rsidRDefault="0092458E" w:rsidP="00DF074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7F4668">
              <w:rPr>
                <w:sz w:val="20"/>
              </w:rPr>
              <w:t>moyenne</w:t>
            </w:r>
          </w:p>
        </w:tc>
        <w:tc>
          <w:tcPr>
            <w:tcW w:w="1276" w:type="dxa"/>
          </w:tcPr>
          <w:p w:rsidR="0092458E" w:rsidRPr="007F4668" w:rsidRDefault="0092458E" w:rsidP="00DF074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7F4668">
              <w:rPr>
                <w:sz w:val="20"/>
              </w:rPr>
              <w:t>moyen</w:t>
            </w:r>
          </w:p>
        </w:tc>
        <w:tc>
          <w:tcPr>
            <w:tcW w:w="5244" w:type="dxa"/>
          </w:tcPr>
          <w:p w:rsidR="0092458E" w:rsidRPr="00F3043B" w:rsidRDefault="0092458E" w:rsidP="00DF0748">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F3043B">
              <w:rPr>
                <w:rFonts w:eastAsia="Calibri" w:cs="Arial"/>
                <w:sz w:val="20"/>
                <w:lang w:val="fr-CH"/>
              </w:rPr>
              <w:t>–</w:t>
            </w:r>
            <w:r w:rsidRPr="00F3043B">
              <w:rPr>
                <w:rFonts w:eastAsia="Calibri" w:cs="Arial"/>
                <w:sz w:val="20"/>
                <w:lang w:val="fr-CH"/>
              </w:rPr>
              <w:tab/>
              <w:t>Plan stratégique pour les ressources humaines/formation, évolution de carrière, remplacement des fonctionnaires prenant un départ anticipé à la retraite (dans le cas de fonctionnaires hautement qualifiés)</w:t>
            </w:r>
          </w:p>
          <w:p w:rsidR="0092458E" w:rsidRPr="00F3043B" w:rsidRDefault="0092458E" w:rsidP="00DF0748">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sz w:val="20"/>
                <w:lang w:val="fr-CH"/>
              </w:rPr>
            </w:pPr>
            <w:r w:rsidRPr="00F3043B">
              <w:rPr>
                <w:rFonts w:eastAsia="Calibri" w:cs="Arial"/>
                <w:sz w:val="20"/>
                <w:lang w:val="fr-CH"/>
              </w:rPr>
              <w:t>–</w:t>
            </w:r>
            <w:r w:rsidRPr="00F3043B">
              <w:rPr>
                <w:rFonts w:eastAsia="Calibri" w:cs="Arial"/>
                <w:sz w:val="20"/>
                <w:lang w:val="fr-CH"/>
              </w:rPr>
              <w:tab/>
              <w:t xml:space="preserve">Plan de continuité des activités à l'échelle de l'UIT. </w:t>
            </w:r>
          </w:p>
        </w:tc>
      </w:tr>
      <w:tr w:rsidR="0092458E" w:rsidRPr="007F4668" w:rsidTr="00DF0748">
        <w:tc>
          <w:tcPr>
            <w:cnfStyle w:val="001000000000" w:firstRow="0" w:lastRow="0" w:firstColumn="1" w:lastColumn="0" w:oddVBand="0" w:evenVBand="0" w:oddHBand="0" w:evenHBand="0" w:firstRowFirstColumn="0" w:firstRowLastColumn="0" w:lastRowFirstColumn="0" w:lastRowLastColumn="0"/>
            <w:tcW w:w="1656" w:type="dxa"/>
          </w:tcPr>
          <w:p w:rsidR="0092458E" w:rsidRPr="007F4668" w:rsidRDefault="0092458E" w:rsidP="00DF0748">
            <w:pPr>
              <w:pStyle w:val="Tabletext"/>
              <w:spacing w:before="20" w:after="20"/>
              <w:rPr>
                <w:sz w:val="20"/>
              </w:rPr>
            </w:pPr>
            <w:r w:rsidRPr="007F4668">
              <w:rPr>
                <w:sz w:val="20"/>
              </w:rPr>
              <w:t>Risques financiers</w:t>
            </w:r>
          </w:p>
        </w:tc>
        <w:tc>
          <w:tcPr>
            <w:tcW w:w="4836" w:type="dxa"/>
          </w:tcPr>
          <w:p w:rsidR="0092458E" w:rsidRPr="00F3043B" w:rsidRDefault="0092458E" w:rsidP="00DF0748">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F3043B">
              <w:rPr>
                <w:sz w:val="20"/>
                <w:lang w:val="fr-CH"/>
              </w:rPr>
              <w:t>Inefficacité des dépenses</w:t>
            </w:r>
          </w:p>
          <w:p w:rsidR="0092458E" w:rsidRPr="00F3043B" w:rsidRDefault="0092458E" w:rsidP="00DF0748">
            <w:pPr>
              <w:pStyle w:val="Tabletext"/>
              <w:spacing w:before="20" w:after="20"/>
              <w:cnfStyle w:val="000000000000" w:firstRow="0" w:lastRow="0" w:firstColumn="0" w:lastColumn="0" w:oddVBand="0" w:evenVBand="0" w:oddHBand="0" w:evenHBand="0" w:firstRowFirstColumn="0" w:firstRowLastColumn="0" w:lastRowFirstColumn="0" w:lastRowLastColumn="0"/>
              <w:rPr>
                <w:sz w:val="20"/>
                <w:lang w:val="fr-CH"/>
              </w:rPr>
            </w:pPr>
            <w:r w:rsidRPr="00F3043B">
              <w:rPr>
                <w:sz w:val="20"/>
                <w:lang w:val="fr-CH"/>
              </w:rPr>
              <w:t>Impossibilité pour les membres de s'acquitter de leurs contributions mises en recouvrement</w:t>
            </w:r>
          </w:p>
        </w:tc>
        <w:tc>
          <w:tcPr>
            <w:tcW w:w="1158" w:type="dxa"/>
          </w:tcPr>
          <w:p w:rsidR="0092458E" w:rsidRPr="007F4668" w:rsidRDefault="0092458E" w:rsidP="00DF074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7F4668">
              <w:rPr>
                <w:sz w:val="20"/>
              </w:rPr>
              <w:t>moyenne</w:t>
            </w:r>
          </w:p>
        </w:tc>
        <w:tc>
          <w:tcPr>
            <w:tcW w:w="1276" w:type="dxa"/>
          </w:tcPr>
          <w:p w:rsidR="0092458E" w:rsidRPr="007F4668" w:rsidRDefault="0092458E" w:rsidP="00DF0748">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rPr>
            </w:pPr>
            <w:r w:rsidRPr="007F4668">
              <w:rPr>
                <w:sz w:val="20"/>
              </w:rPr>
              <w:t>élevé</w:t>
            </w:r>
          </w:p>
        </w:tc>
        <w:tc>
          <w:tcPr>
            <w:tcW w:w="5244" w:type="dxa"/>
          </w:tcPr>
          <w:p w:rsidR="0092458E" w:rsidRPr="00F3043B" w:rsidRDefault="0092458E" w:rsidP="00DF0748">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F3043B">
              <w:rPr>
                <w:rFonts w:eastAsia="Calibri" w:cs="Arial"/>
                <w:sz w:val="20"/>
                <w:lang w:val="fr-CH"/>
              </w:rPr>
              <w:t>–</w:t>
            </w:r>
            <w:r w:rsidRPr="00F3043B">
              <w:rPr>
                <w:rFonts w:eastAsia="Calibri" w:cs="Arial"/>
                <w:sz w:val="20"/>
                <w:lang w:val="fr-CH"/>
              </w:rPr>
              <w:tab/>
              <w:t>Système/mécanisme de contrôle interne</w:t>
            </w:r>
          </w:p>
          <w:p w:rsidR="0092458E" w:rsidRPr="00F3043B" w:rsidRDefault="0092458E" w:rsidP="00DF0748">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F3043B">
              <w:rPr>
                <w:rFonts w:eastAsia="Calibri" w:cs="Arial"/>
                <w:sz w:val="20"/>
                <w:lang w:val="fr-CH"/>
              </w:rPr>
              <w:t>–</w:t>
            </w:r>
            <w:r w:rsidRPr="00F3043B">
              <w:rPr>
                <w:rFonts w:eastAsia="Calibri" w:cs="Arial"/>
                <w:sz w:val="20"/>
                <w:lang w:val="fr-CH"/>
              </w:rPr>
              <w:tab/>
              <w:t>Collaboration très tôt avec les Etats Membres (aussi bien au siège qu'à travers les bureaux régionaux</w:t>
            </w:r>
          </w:p>
          <w:p w:rsidR="0092458E" w:rsidRPr="00F3043B" w:rsidRDefault="0092458E" w:rsidP="00DF0748">
            <w:pPr>
              <w:pStyle w:val="Tabletext"/>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eastAsia="Calibri" w:cs="Arial"/>
                <w:sz w:val="20"/>
                <w:lang w:val="fr-CH"/>
              </w:rPr>
            </w:pPr>
            <w:r w:rsidRPr="00F3043B">
              <w:rPr>
                <w:rFonts w:eastAsia="Calibri" w:cs="Arial"/>
                <w:sz w:val="20"/>
                <w:lang w:val="fr-CH"/>
              </w:rPr>
              <w:t>–</w:t>
            </w:r>
            <w:r w:rsidRPr="00F3043B">
              <w:rPr>
                <w:rFonts w:eastAsia="Calibri" w:cs="Arial"/>
                <w:sz w:val="20"/>
                <w:lang w:val="fr-CH"/>
              </w:rPr>
              <w:tab/>
              <w:t>Mise en oeuvre d'un système de contrôle et d'évaluation</w:t>
            </w:r>
          </w:p>
        </w:tc>
      </w:tr>
    </w:tbl>
    <w:p w:rsidR="0092458E" w:rsidRPr="007F4668" w:rsidRDefault="0092458E" w:rsidP="00DF0748">
      <w:pPr>
        <w:pStyle w:val="Heading1"/>
      </w:pPr>
      <w:r w:rsidRPr="007F4668">
        <w:br w:type="page"/>
      </w:r>
    </w:p>
    <w:p w:rsidR="0092458E" w:rsidRPr="007F4668" w:rsidRDefault="0092458E" w:rsidP="00DF0748">
      <w:pPr>
        <w:pStyle w:val="Heading1"/>
      </w:pPr>
      <w:r w:rsidRPr="007F4668">
        <w:lastRenderedPageBreak/>
        <w:t>5</w:t>
      </w:r>
      <w:r w:rsidRPr="007F4668">
        <w:tab/>
        <w:t>Catalyseurs des buts et objectifs sectoriels et int</w:t>
      </w:r>
      <w:r>
        <w:t>ersectoriels pour la période 2016-2019</w:t>
      </w:r>
      <w:r w:rsidRPr="007F4668">
        <w:t xml:space="preserve"> </w:t>
      </w:r>
    </w:p>
    <w:p w:rsidR="0092458E" w:rsidRPr="007F4668" w:rsidRDefault="0092458E" w:rsidP="00DF0748">
      <w:r w:rsidRPr="007F4668">
        <w:t xml:space="preserve">Les Tableaux ci-après présentent les catalyseurs mis en oeuvre afin d'atteindre les buts et les objectifs stratégiques de l'Union ainsi que les indicateurs correspondants permettant d'évaluer la mise en oeuvre de ces catalyseurs au niveau de l'organisation (les départements mentionnés dans la colonne Moyen de mesure sont responsables de la fourniture des données et pas uniquement des résultats). </w:t>
      </w:r>
    </w:p>
    <w:p w:rsidR="0092458E" w:rsidRPr="007F4668" w:rsidRDefault="0092458E" w:rsidP="00DF0748">
      <w:pPr>
        <w:pStyle w:val="Heading2"/>
        <w:spacing w:after="120"/>
      </w:pPr>
      <w:r w:rsidRPr="007F4668">
        <w:t>5.1</w:t>
      </w:r>
      <w:r w:rsidRPr="007F4668">
        <w:tab/>
        <w:t>E.1 Veiller à l'utilisation efficace et efficiente des ressources humaines, financières et en capital et garantir un environnement de travail propice, sûr</w:t>
      </w:r>
    </w:p>
    <w:tbl>
      <w:tblPr>
        <w:tblStyle w:val="GridTable4-Accent12"/>
        <w:tblW w:w="14596" w:type="dxa"/>
        <w:tblLook w:val="0620" w:firstRow="1" w:lastRow="0" w:firstColumn="0" w:lastColumn="0" w:noHBand="1" w:noVBand="1"/>
      </w:tblPr>
      <w:tblGrid>
        <w:gridCol w:w="2405"/>
        <w:gridCol w:w="8505"/>
        <w:gridCol w:w="3686"/>
      </w:tblGrid>
      <w:tr w:rsidR="0092458E" w:rsidRPr="007F4668" w:rsidTr="00DF0748">
        <w:trPr>
          <w:cnfStyle w:val="100000000000" w:firstRow="1" w:lastRow="0" w:firstColumn="0" w:lastColumn="0" w:oddVBand="0" w:evenVBand="0" w:oddHBand="0" w:evenHBand="0" w:firstRowFirstColumn="0" w:firstRowLastColumn="0" w:lastRowFirstColumn="0" w:lastRowLastColumn="0"/>
        </w:trPr>
        <w:tc>
          <w:tcPr>
            <w:tcW w:w="2405" w:type="dxa"/>
          </w:tcPr>
          <w:p w:rsidR="0092458E" w:rsidRPr="007F4668" w:rsidRDefault="0092458E" w:rsidP="00DF0748">
            <w:pPr>
              <w:spacing w:before="20" w:after="20"/>
              <w:rPr>
                <w:sz w:val="22"/>
              </w:rPr>
            </w:pPr>
            <w:r w:rsidRPr="007F4668">
              <w:rPr>
                <w:sz w:val="22"/>
              </w:rPr>
              <w:t>Résultat</w:t>
            </w:r>
          </w:p>
        </w:tc>
        <w:tc>
          <w:tcPr>
            <w:tcW w:w="8505" w:type="dxa"/>
          </w:tcPr>
          <w:p w:rsidR="0092458E" w:rsidRPr="00F3043B" w:rsidRDefault="0092458E" w:rsidP="00DF0748">
            <w:pPr>
              <w:spacing w:before="20" w:after="20"/>
              <w:rPr>
                <w:sz w:val="22"/>
                <w:lang w:val="fr-CH"/>
              </w:rPr>
            </w:pPr>
            <w:r w:rsidRPr="00F3043B">
              <w:rPr>
                <w:sz w:val="22"/>
                <w:lang w:val="fr-CH"/>
              </w:rPr>
              <w:t>Indicateur de résultat (valeur actuelle – valeur d'ici à 2020</w:t>
            </w:r>
            <w:r w:rsidRPr="00F3043B">
              <w:rPr>
                <w:b w:val="0"/>
                <w:bCs w:val="0"/>
                <w:sz w:val="22"/>
                <w:lang w:val="fr-CH"/>
              </w:rPr>
              <w:t>)</w:t>
            </w:r>
          </w:p>
        </w:tc>
        <w:tc>
          <w:tcPr>
            <w:tcW w:w="3686" w:type="dxa"/>
          </w:tcPr>
          <w:p w:rsidR="0092458E" w:rsidRPr="007F4668" w:rsidRDefault="0092458E" w:rsidP="00DF0748">
            <w:pPr>
              <w:spacing w:before="20" w:after="20"/>
              <w:rPr>
                <w:sz w:val="22"/>
              </w:rPr>
            </w:pPr>
            <w:r w:rsidRPr="007F4668">
              <w:rPr>
                <w:sz w:val="22"/>
              </w:rPr>
              <w:t>Moyen de mesure</w:t>
            </w:r>
          </w:p>
        </w:tc>
      </w:tr>
      <w:tr w:rsidR="0092458E" w:rsidRPr="007F4668" w:rsidTr="00DF0748">
        <w:trPr>
          <w:trHeight w:val="478"/>
        </w:trPr>
        <w:tc>
          <w:tcPr>
            <w:tcW w:w="2405" w:type="dxa"/>
            <w:vMerge w:val="restart"/>
          </w:tcPr>
          <w:p w:rsidR="0092458E" w:rsidRPr="00F3043B" w:rsidRDefault="0092458E" w:rsidP="00DF0748">
            <w:pPr>
              <w:spacing w:before="20" w:after="20"/>
              <w:rPr>
                <w:rFonts w:eastAsia="Calibri" w:cs="Arial"/>
                <w:sz w:val="22"/>
                <w:lang w:val="fr-CH"/>
              </w:rPr>
            </w:pPr>
            <w:r w:rsidRPr="00F3043B">
              <w:rPr>
                <w:rFonts w:eastAsia="Calibri" w:cs="Arial"/>
                <w:b/>
                <w:bCs/>
                <w:color w:val="4F81BD" w:themeColor="accent1"/>
                <w:sz w:val="22"/>
                <w:lang w:val="fr-CH"/>
              </w:rPr>
              <w:t>E.1</w:t>
            </w:r>
            <w:r w:rsidRPr="00F3043B">
              <w:rPr>
                <w:rFonts w:eastAsia="Calibri" w:cs="Arial"/>
                <w:sz w:val="22"/>
                <w:lang w:val="fr-CH"/>
              </w:rPr>
              <w:t>: Utilisation efficace et efficiente des ressources humaines, financières et en capital et garantir un environnement de travail propice, sûr et sécurisé</w:t>
            </w:r>
          </w:p>
        </w:tc>
        <w:tc>
          <w:tcPr>
            <w:tcW w:w="8505" w:type="dxa"/>
          </w:tcPr>
          <w:p w:rsidR="0092458E" w:rsidRPr="00F3043B" w:rsidRDefault="0092458E" w:rsidP="00DF0748">
            <w:pPr>
              <w:spacing w:before="20" w:after="20"/>
              <w:rPr>
                <w:sz w:val="22"/>
                <w:lang w:val="fr-CH"/>
              </w:rPr>
            </w:pPr>
            <w:r w:rsidRPr="00F3043B">
              <w:rPr>
                <w:sz w:val="22"/>
                <w:lang w:val="fr-CH"/>
              </w:rPr>
              <w:t>Niveau de satisfaction des fonctionnaires</w:t>
            </w:r>
          </w:p>
          <w:p w:rsidR="0092458E" w:rsidRPr="00F3043B" w:rsidRDefault="0092458E" w:rsidP="00DF0748">
            <w:pPr>
              <w:spacing w:before="20" w:after="20"/>
              <w:rPr>
                <w:sz w:val="22"/>
                <w:lang w:val="fr-CH"/>
              </w:rPr>
            </w:pPr>
            <w:r w:rsidRPr="00F3043B">
              <w:rPr>
                <w:sz w:val="22"/>
                <w:lang w:val="fr-CH"/>
              </w:rPr>
              <w:t>Pourcentage de professionnelles femmes retenues à chaque étape de la procédure de recrutement (pourcentage cible: 33%, conformément à l'Annexe 2 de la Res.48)</w:t>
            </w:r>
          </w:p>
        </w:tc>
        <w:tc>
          <w:tcPr>
            <w:tcW w:w="3686" w:type="dxa"/>
          </w:tcPr>
          <w:p w:rsidR="0092458E" w:rsidRPr="00F3043B" w:rsidRDefault="0092458E" w:rsidP="00DF0748">
            <w:pPr>
              <w:spacing w:before="20" w:after="20"/>
              <w:rPr>
                <w:sz w:val="22"/>
                <w:lang w:val="fr-CH"/>
              </w:rPr>
            </w:pPr>
            <w:r w:rsidRPr="00F3043B">
              <w:rPr>
                <w:sz w:val="22"/>
                <w:lang w:val="fr-CH"/>
              </w:rPr>
              <w:t>Enquête auprès du personnel</w:t>
            </w:r>
            <w:r w:rsidRPr="007F4668">
              <w:rPr>
                <w:rStyle w:val="FootnoteReference"/>
              </w:rPr>
              <w:footnoteReference w:id="3"/>
            </w:r>
          </w:p>
          <w:p w:rsidR="0092458E" w:rsidRPr="00F3043B" w:rsidRDefault="0092458E" w:rsidP="00DF0748">
            <w:pPr>
              <w:spacing w:before="20" w:after="20"/>
              <w:rPr>
                <w:sz w:val="22"/>
                <w:lang w:val="fr-CH"/>
              </w:rPr>
            </w:pPr>
            <w:r w:rsidRPr="00F3043B">
              <w:rPr>
                <w:sz w:val="22"/>
                <w:lang w:val="fr-CH"/>
              </w:rPr>
              <w:t>Données fournies par le Département de la gestion des ressources humaines</w:t>
            </w:r>
          </w:p>
        </w:tc>
      </w:tr>
      <w:tr w:rsidR="0092458E" w:rsidRPr="007F4668" w:rsidTr="00DF0748">
        <w:trPr>
          <w:trHeight w:val="571"/>
        </w:trPr>
        <w:tc>
          <w:tcPr>
            <w:tcW w:w="2405" w:type="dxa"/>
            <w:vMerge/>
          </w:tcPr>
          <w:p w:rsidR="0092458E" w:rsidRPr="00F3043B" w:rsidRDefault="0092458E" w:rsidP="00DF0748">
            <w:pPr>
              <w:spacing w:before="20" w:after="20"/>
              <w:rPr>
                <w:rFonts w:eastAsia="Calibri" w:cs="Arial"/>
                <w:b/>
                <w:bCs/>
                <w:color w:val="4F81BD" w:themeColor="accent1"/>
                <w:sz w:val="22"/>
                <w:lang w:val="fr-CH"/>
              </w:rPr>
            </w:pPr>
          </w:p>
        </w:tc>
        <w:tc>
          <w:tcPr>
            <w:tcW w:w="8505" w:type="dxa"/>
          </w:tcPr>
          <w:p w:rsidR="0092458E" w:rsidRPr="00F3043B" w:rsidRDefault="0092458E" w:rsidP="00DF0748">
            <w:pPr>
              <w:spacing w:before="20" w:after="20"/>
              <w:rPr>
                <w:sz w:val="22"/>
                <w:lang w:val="fr-CH"/>
              </w:rPr>
            </w:pPr>
            <w:r w:rsidRPr="00F3043B">
              <w:rPr>
                <w:sz w:val="22"/>
                <w:lang w:val="fr-CH"/>
              </w:rPr>
              <w:t>Suivi de la mise en oeuvre du budget (2014: pas de dépassement des dépenses; objectif 2020: pas de dépassement des dépenses)</w:t>
            </w:r>
          </w:p>
          <w:p w:rsidR="0092458E" w:rsidRPr="00F3043B" w:rsidRDefault="0092458E" w:rsidP="00DF0748">
            <w:pPr>
              <w:spacing w:before="20" w:after="20"/>
              <w:rPr>
                <w:sz w:val="22"/>
                <w:lang w:val="fr-CH"/>
              </w:rPr>
            </w:pPr>
            <w:r w:rsidRPr="00F3043B">
              <w:rPr>
                <w:sz w:val="22"/>
                <w:lang w:val="fr-CH"/>
              </w:rPr>
              <w:t>Respect des normes IPSAS (ou audit annuel des comptes résultant en une opinion sans réserve) (2014: certification par le vérificateur extérieur des comptes; objectif 2020: certification par le vérificateur extérieur des comptes)</w:t>
            </w:r>
          </w:p>
          <w:p w:rsidR="0092458E" w:rsidRPr="00F3043B" w:rsidRDefault="0092458E" w:rsidP="00DF0748">
            <w:pPr>
              <w:spacing w:before="20" w:after="20"/>
              <w:rPr>
                <w:sz w:val="22"/>
                <w:lang w:val="fr-CH"/>
              </w:rPr>
            </w:pPr>
            <w:r w:rsidRPr="00F3043B">
              <w:rPr>
                <w:sz w:val="22"/>
                <w:lang w:val="fr-CH"/>
              </w:rPr>
              <w:t>Application des lignes directrices en matière de marchés publics et de voyages (2014: lignes directrices de l'UIT et bonnes pratiques des Nations Unies en place; objectif 2020: lignes directrices de l'UIT et bonnes pratiques des Nations Unies en place)</w:t>
            </w:r>
          </w:p>
        </w:tc>
        <w:tc>
          <w:tcPr>
            <w:tcW w:w="3686" w:type="dxa"/>
          </w:tcPr>
          <w:p w:rsidR="0092458E" w:rsidRPr="00F3043B" w:rsidRDefault="0092458E" w:rsidP="00DF0748">
            <w:pPr>
              <w:spacing w:before="20" w:after="20"/>
              <w:rPr>
                <w:sz w:val="22"/>
                <w:lang w:val="fr-CH"/>
              </w:rPr>
            </w:pPr>
            <w:r w:rsidRPr="00F3043B">
              <w:rPr>
                <w:sz w:val="22"/>
                <w:lang w:val="fr-CH"/>
              </w:rPr>
              <w:t>Rapports issus des audits</w:t>
            </w:r>
          </w:p>
          <w:p w:rsidR="0092458E" w:rsidRPr="00F3043B" w:rsidRDefault="0092458E" w:rsidP="00DF0748">
            <w:pPr>
              <w:spacing w:before="20" w:after="20"/>
              <w:rPr>
                <w:sz w:val="22"/>
                <w:lang w:val="fr-CH"/>
              </w:rPr>
            </w:pPr>
            <w:r w:rsidRPr="00F3043B">
              <w:rPr>
                <w:sz w:val="22"/>
                <w:lang w:val="fr-CH"/>
              </w:rPr>
              <w:t xml:space="preserve">Données fournies par le Département de la gestion des ressources humaines </w:t>
            </w:r>
          </w:p>
        </w:tc>
      </w:tr>
      <w:tr w:rsidR="0092458E" w:rsidRPr="007F4668" w:rsidTr="00DF0748">
        <w:trPr>
          <w:trHeight w:val="570"/>
        </w:trPr>
        <w:tc>
          <w:tcPr>
            <w:tcW w:w="2405" w:type="dxa"/>
            <w:vMerge/>
          </w:tcPr>
          <w:p w:rsidR="0092458E" w:rsidRPr="00F3043B" w:rsidRDefault="0092458E" w:rsidP="00DF0748">
            <w:pPr>
              <w:spacing w:before="20" w:after="20"/>
              <w:rPr>
                <w:rFonts w:eastAsia="Calibri" w:cs="Arial"/>
                <w:b/>
                <w:bCs/>
                <w:color w:val="4F81BD" w:themeColor="accent1"/>
                <w:sz w:val="22"/>
                <w:lang w:val="fr-CH"/>
              </w:rPr>
            </w:pPr>
          </w:p>
        </w:tc>
        <w:tc>
          <w:tcPr>
            <w:tcW w:w="8505" w:type="dxa"/>
          </w:tcPr>
          <w:p w:rsidR="0092458E" w:rsidRPr="00F3043B" w:rsidRDefault="0092458E" w:rsidP="00DF0748">
            <w:pPr>
              <w:spacing w:before="20" w:after="20"/>
              <w:rPr>
                <w:sz w:val="22"/>
                <w:lang w:val="fr-CH"/>
              </w:rPr>
            </w:pPr>
            <w:r w:rsidRPr="00F3043B">
              <w:rPr>
                <w:sz w:val="22"/>
                <w:lang w:val="fr-CH"/>
              </w:rPr>
              <w:t xml:space="preserve">Nombre de parties prenantes/clients qui signalent une blessure ou un incident lié au travail </w:t>
            </w:r>
            <w:r w:rsidRPr="00F3043B">
              <w:rPr>
                <w:sz w:val="22"/>
                <w:lang w:val="fr-CH"/>
              </w:rPr>
              <w:br/>
              <w:t>(2014: &lt; 2%, objectif 2020: &lt;2%)</w:t>
            </w:r>
          </w:p>
        </w:tc>
        <w:tc>
          <w:tcPr>
            <w:tcW w:w="3686" w:type="dxa"/>
          </w:tcPr>
          <w:p w:rsidR="0092458E" w:rsidRPr="00F3043B" w:rsidRDefault="0092458E" w:rsidP="00DF0748">
            <w:pPr>
              <w:spacing w:before="20" w:after="20"/>
              <w:rPr>
                <w:sz w:val="22"/>
                <w:lang w:val="fr-CH"/>
              </w:rPr>
            </w:pPr>
            <w:r w:rsidRPr="00F3043B">
              <w:rPr>
                <w:sz w:val="22"/>
                <w:lang w:val="fr-CH"/>
              </w:rPr>
              <w:t>Base de données des incidents</w:t>
            </w:r>
          </w:p>
        </w:tc>
      </w:tr>
      <w:tr w:rsidR="0092458E" w:rsidRPr="007F4668" w:rsidTr="00DF0748">
        <w:trPr>
          <w:trHeight w:val="570"/>
        </w:trPr>
        <w:tc>
          <w:tcPr>
            <w:tcW w:w="2405" w:type="dxa"/>
            <w:vMerge/>
          </w:tcPr>
          <w:p w:rsidR="0092458E" w:rsidRPr="00F3043B" w:rsidRDefault="0092458E" w:rsidP="00DF0748">
            <w:pPr>
              <w:spacing w:before="20" w:after="20"/>
              <w:rPr>
                <w:rFonts w:eastAsia="Calibri" w:cs="Arial"/>
                <w:b/>
                <w:bCs/>
                <w:color w:val="4F81BD" w:themeColor="accent1"/>
                <w:sz w:val="22"/>
                <w:lang w:val="fr-CH"/>
              </w:rPr>
            </w:pPr>
          </w:p>
        </w:tc>
        <w:tc>
          <w:tcPr>
            <w:tcW w:w="8505" w:type="dxa"/>
          </w:tcPr>
          <w:p w:rsidR="0092458E" w:rsidRPr="00F3043B" w:rsidRDefault="0092458E" w:rsidP="00DF0748">
            <w:pPr>
              <w:spacing w:before="20" w:after="20"/>
              <w:rPr>
                <w:sz w:val="22"/>
                <w:lang w:val="fr-CH"/>
              </w:rPr>
            </w:pPr>
            <w:r w:rsidRPr="00F3043B">
              <w:rPr>
                <w:sz w:val="22"/>
                <w:lang w:val="fr-CH"/>
              </w:rPr>
              <w:t>Nombre de parties prenantes/clients en mission officielle qui ont enregistré leur voyage dans le système DSS TRIP des Nations Unies (objectif 2020: 100% des parties prenantes/clients en mission officielle ont enregistré leur voyage dans le système TRIP et ont suivi les formations de sûreté et de sécurité.)</w:t>
            </w:r>
          </w:p>
        </w:tc>
        <w:tc>
          <w:tcPr>
            <w:tcW w:w="3686" w:type="dxa"/>
          </w:tcPr>
          <w:p w:rsidR="0092458E" w:rsidRPr="00F3043B" w:rsidRDefault="0092458E" w:rsidP="00DF0748">
            <w:pPr>
              <w:spacing w:before="20" w:after="20"/>
              <w:rPr>
                <w:sz w:val="22"/>
                <w:lang w:val="fr-CH"/>
              </w:rPr>
            </w:pPr>
            <w:r w:rsidRPr="00F3043B">
              <w:rPr>
                <w:sz w:val="22"/>
                <w:lang w:val="fr-CH"/>
              </w:rPr>
              <w:t xml:space="preserve">Base de données des formations sur la sûreté et sécurité pour les voyages en mission officielle </w:t>
            </w:r>
          </w:p>
          <w:p w:rsidR="0092458E" w:rsidRPr="00F3043B" w:rsidRDefault="0092458E" w:rsidP="00DF0748">
            <w:pPr>
              <w:spacing w:before="20" w:after="20"/>
              <w:rPr>
                <w:sz w:val="22"/>
                <w:lang w:val="fr-CH"/>
              </w:rPr>
            </w:pPr>
            <w:r w:rsidRPr="00F3043B">
              <w:rPr>
                <w:sz w:val="22"/>
                <w:lang w:val="fr-CH"/>
              </w:rPr>
              <w:t xml:space="preserve">Système DSS TRIP des NU et site web UNSIMIN </w:t>
            </w:r>
          </w:p>
        </w:tc>
      </w:tr>
    </w:tbl>
    <w:p w:rsidR="0092458E" w:rsidRPr="007F4668" w:rsidRDefault="0092458E" w:rsidP="00DF0748">
      <w:pPr>
        <w:pStyle w:val="Heading2"/>
      </w:pPr>
      <w:r w:rsidRPr="007F4668">
        <w:br w:type="page"/>
      </w:r>
    </w:p>
    <w:p w:rsidR="0092458E" w:rsidRPr="007F4668" w:rsidRDefault="0092458E" w:rsidP="00DF0748">
      <w:pPr>
        <w:pStyle w:val="Heading2"/>
        <w:spacing w:after="120"/>
      </w:pPr>
      <w:r w:rsidRPr="007F4668">
        <w:lastRenderedPageBreak/>
        <w:t>5.2</w:t>
      </w:r>
      <w:r w:rsidRPr="007F4668">
        <w:tab/>
        <w:t>E.2 Veiller à l'efficacité et à l'accessibilité des infrastructures (conférences, réunions, documentation, publications et information)</w:t>
      </w:r>
    </w:p>
    <w:tbl>
      <w:tblPr>
        <w:tblStyle w:val="GridTable4-Accent12"/>
        <w:tblW w:w="14596" w:type="dxa"/>
        <w:tblLook w:val="0620" w:firstRow="1" w:lastRow="0" w:firstColumn="0" w:lastColumn="0" w:noHBand="1" w:noVBand="1"/>
      </w:tblPr>
      <w:tblGrid>
        <w:gridCol w:w="3114"/>
        <w:gridCol w:w="8221"/>
        <w:gridCol w:w="3261"/>
      </w:tblGrid>
      <w:tr w:rsidR="0092458E" w:rsidRPr="007F4668" w:rsidTr="00DF0748">
        <w:trPr>
          <w:cnfStyle w:val="100000000000" w:firstRow="1" w:lastRow="0" w:firstColumn="0" w:lastColumn="0" w:oddVBand="0" w:evenVBand="0" w:oddHBand="0" w:evenHBand="0" w:firstRowFirstColumn="0" w:firstRowLastColumn="0" w:lastRowFirstColumn="0" w:lastRowLastColumn="0"/>
        </w:trPr>
        <w:tc>
          <w:tcPr>
            <w:tcW w:w="3114" w:type="dxa"/>
          </w:tcPr>
          <w:p w:rsidR="0092458E" w:rsidRPr="007F4668" w:rsidRDefault="0092458E" w:rsidP="00DF0748">
            <w:pPr>
              <w:spacing w:before="20" w:after="20"/>
              <w:rPr>
                <w:sz w:val="22"/>
              </w:rPr>
            </w:pPr>
            <w:r w:rsidRPr="007F4668">
              <w:rPr>
                <w:sz w:val="22"/>
              </w:rPr>
              <w:t>Résultat</w:t>
            </w:r>
          </w:p>
        </w:tc>
        <w:tc>
          <w:tcPr>
            <w:tcW w:w="8221" w:type="dxa"/>
          </w:tcPr>
          <w:p w:rsidR="0092458E" w:rsidRPr="00F3043B" w:rsidRDefault="0092458E" w:rsidP="00DF0748">
            <w:pPr>
              <w:spacing w:before="20" w:after="20"/>
              <w:rPr>
                <w:sz w:val="22"/>
                <w:lang w:val="fr-CH"/>
              </w:rPr>
            </w:pPr>
            <w:r w:rsidRPr="00F3043B">
              <w:rPr>
                <w:sz w:val="22"/>
                <w:lang w:val="fr-CH"/>
              </w:rPr>
              <w:t>Indicateur de résultat (valeur actuelle – valeur d'ici à 2020</w:t>
            </w:r>
            <w:r w:rsidRPr="00F3043B">
              <w:rPr>
                <w:b w:val="0"/>
                <w:bCs w:val="0"/>
                <w:sz w:val="22"/>
                <w:lang w:val="fr-CH"/>
              </w:rPr>
              <w:t>)</w:t>
            </w:r>
          </w:p>
        </w:tc>
        <w:tc>
          <w:tcPr>
            <w:tcW w:w="3261" w:type="dxa"/>
          </w:tcPr>
          <w:p w:rsidR="0092458E" w:rsidRPr="007F4668" w:rsidRDefault="0092458E" w:rsidP="00DF0748">
            <w:pPr>
              <w:spacing w:before="20" w:after="20"/>
              <w:rPr>
                <w:sz w:val="22"/>
              </w:rPr>
            </w:pPr>
            <w:r w:rsidRPr="007F4668">
              <w:rPr>
                <w:sz w:val="22"/>
              </w:rPr>
              <w:t>Moyen de mesure</w:t>
            </w:r>
          </w:p>
        </w:tc>
      </w:tr>
      <w:tr w:rsidR="0092458E" w:rsidRPr="007F4668" w:rsidTr="00DF0748">
        <w:trPr>
          <w:trHeight w:val="164"/>
        </w:trPr>
        <w:tc>
          <w:tcPr>
            <w:tcW w:w="3114" w:type="dxa"/>
            <w:vMerge w:val="restart"/>
          </w:tcPr>
          <w:p w:rsidR="0092458E" w:rsidRPr="00F3043B" w:rsidRDefault="0092458E" w:rsidP="00DF0748">
            <w:pPr>
              <w:spacing w:before="20" w:after="20"/>
              <w:rPr>
                <w:rFonts w:eastAsia="Calibri" w:cs="Arial"/>
                <w:sz w:val="22"/>
                <w:lang w:val="fr-CH"/>
              </w:rPr>
            </w:pPr>
            <w:r w:rsidRPr="00F3043B">
              <w:rPr>
                <w:rFonts w:eastAsia="Calibri" w:cs="Arial"/>
                <w:b/>
                <w:bCs/>
                <w:color w:val="4F81BD" w:themeColor="accent1"/>
                <w:sz w:val="22"/>
                <w:lang w:val="fr-CH"/>
              </w:rPr>
              <w:t>E.2</w:t>
            </w:r>
            <w:r w:rsidRPr="00F3043B">
              <w:rPr>
                <w:rFonts w:eastAsia="Calibri" w:cs="Arial"/>
                <w:sz w:val="22"/>
                <w:lang w:val="fr-CH"/>
              </w:rPr>
              <w:t>: Efficacité et accessibilité des infrastructures (conférences, réunions, documentation, publications et information)</w:t>
            </w:r>
          </w:p>
        </w:tc>
        <w:tc>
          <w:tcPr>
            <w:tcW w:w="8221" w:type="dxa"/>
          </w:tcPr>
          <w:p w:rsidR="0092458E" w:rsidRPr="00F3043B" w:rsidRDefault="0092458E" w:rsidP="00DF0748">
            <w:pPr>
              <w:spacing w:before="20" w:after="20"/>
              <w:rPr>
                <w:sz w:val="22"/>
                <w:lang w:val="fr-CH"/>
              </w:rPr>
            </w:pPr>
            <w:r w:rsidRPr="00F3043B">
              <w:rPr>
                <w:sz w:val="22"/>
                <w:lang w:val="fr-CH"/>
              </w:rPr>
              <w:t>Satisfaction des utilisateurs concernant les manifestations et les réunions</w:t>
            </w:r>
          </w:p>
          <w:p w:rsidR="0092458E" w:rsidRPr="00F3043B" w:rsidRDefault="0092458E" w:rsidP="00DF0748">
            <w:pPr>
              <w:spacing w:before="20" w:after="20"/>
              <w:rPr>
                <w:sz w:val="22"/>
                <w:lang w:val="fr-CH"/>
              </w:rPr>
            </w:pPr>
            <w:r w:rsidRPr="00F3043B">
              <w:rPr>
                <w:sz w:val="22"/>
                <w:lang w:val="fr-CH"/>
              </w:rPr>
              <w:t>Satisfaction des utilisateurs concernant les publications</w:t>
            </w:r>
          </w:p>
        </w:tc>
        <w:tc>
          <w:tcPr>
            <w:tcW w:w="3261" w:type="dxa"/>
          </w:tcPr>
          <w:p w:rsidR="0092458E" w:rsidRPr="00F3043B" w:rsidRDefault="0092458E" w:rsidP="00DF0748">
            <w:pPr>
              <w:spacing w:before="20" w:after="20"/>
              <w:rPr>
                <w:sz w:val="22"/>
                <w:lang w:val="fr-CH"/>
              </w:rPr>
            </w:pPr>
            <w:r w:rsidRPr="00F3043B">
              <w:rPr>
                <w:sz w:val="22"/>
                <w:lang w:val="fr-CH"/>
              </w:rPr>
              <w:t>Enquête de satisfaction des utilisateurs</w:t>
            </w:r>
            <w:r w:rsidRPr="007F4668">
              <w:rPr>
                <w:rStyle w:val="FootnoteReference"/>
              </w:rPr>
              <w:footnoteReference w:id="4"/>
            </w:r>
          </w:p>
        </w:tc>
      </w:tr>
      <w:tr w:rsidR="0092458E" w:rsidRPr="007F4668" w:rsidTr="00DF0748">
        <w:trPr>
          <w:trHeight w:val="342"/>
        </w:trPr>
        <w:tc>
          <w:tcPr>
            <w:tcW w:w="3114" w:type="dxa"/>
            <w:vMerge/>
          </w:tcPr>
          <w:p w:rsidR="0092458E" w:rsidRPr="00F3043B" w:rsidRDefault="0092458E" w:rsidP="00DF0748">
            <w:pPr>
              <w:spacing w:before="20" w:after="20"/>
              <w:rPr>
                <w:rFonts w:eastAsia="Calibri" w:cs="Arial"/>
                <w:b/>
                <w:bCs/>
                <w:color w:val="4F81BD" w:themeColor="accent1"/>
                <w:sz w:val="22"/>
                <w:lang w:val="fr-CH"/>
              </w:rPr>
            </w:pPr>
          </w:p>
        </w:tc>
        <w:tc>
          <w:tcPr>
            <w:tcW w:w="8221" w:type="dxa"/>
          </w:tcPr>
          <w:p w:rsidR="0092458E" w:rsidRPr="00F3043B" w:rsidRDefault="0092458E" w:rsidP="00DF0748">
            <w:pPr>
              <w:spacing w:before="20" w:after="20"/>
              <w:rPr>
                <w:sz w:val="22"/>
                <w:lang w:val="fr-CH"/>
              </w:rPr>
            </w:pPr>
            <w:r w:rsidRPr="00F3043B">
              <w:rPr>
                <w:sz w:val="22"/>
                <w:lang w:val="fr-CH"/>
              </w:rPr>
              <w:t xml:space="preserve">Disponibilité et fonctionnalité des services TIC (2014: disponibilité de 99% de tous les services TIC, objectif: maintenir une disponibilité de plus de 99%) </w:t>
            </w:r>
          </w:p>
        </w:tc>
        <w:tc>
          <w:tcPr>
            <w:tcW w:w="3261" w:type="dxa"/>
          </w:tcPr>
          <w:p w:rsidR="0092458E" w:rsidRPr="007F4668" w:rsidRDefault="0092458E" w:rsidP="00DF0748">
            <w:pPr>
              <w:spacing w:before="20" w:after="20"/>
              <w:rPr>
                <w:sz w:val="22"/>
              </w:rPr>
            </w:pPr>
            <w:r w:rsidRPr="007F4668">
              <w:rPr>
                <w:sz w:val="22"/>
              </w:rPr>
              <w:t>Catalogue des services TIC</w:t>
            </w:r>
          </w:p>
        </w:tc>
      </w:tr>
      <w:tr w:rsidR="0092458E" w:rsidRPr="007F4668" w:rsidTr="00DF0748">
        <w:trPr>
          <w:trHeight w:val="341"/>
        </w:trPr>
        <w:tc>
          <w:tcPr>
            <w:tcW w:w="3114" w:type="dxa"/>
            <w:vMerge/>
          </w:tcPr>
          <w:p w:rsidR="0092458E" w:rsidRPr="007F4668" w:rsidRDefault="0092458E" w:rsidP="00DF0748">
            <w:pPr>
              <w:spacing w:before="20" w:after="20"/>
              <w:rPr>
                <w:rFonts w:eastAsia="Calibri" w:cs="Arial"/>
                <w:b/>
                <w:bCs/>
                <w:color w:val="4F81BD" w:themeColor="accent1"/>
                <w:sz w:val="22"/>
              </w:rPr>
            </w:pPr>
          </w:p>
        </w:tc>
        <w:tc>
          <w:tcPr>
            <w:tcW w:w="8221" w:type="dxa"/>
          </w:tcPr>
          <w:p w:rsidR="0092458E" w:rsidRPr="00F3043B" w:rsidRDefault="0092458E" w:rsidP="00DF0748">
            <w:pPr>
              <w:spacing w:before="20" w:after="20"/>
              <w:rPr>
                <w:sz w:val="22"/>
                <w:lang w:val="fr-CH"/>
              </w:rPr>
            </w:pPr>
            <w:r w:rsidRPr="00F3043B">
              <w:rPr>
                <w:sz w:val="22"/>
                <w:lang w:val="fr-CH"/>
              </w:rPr>
              <w:t>Satisfaction des utilisateurs en ce qui concerne les services TIC (% d'utilisateurs satisfaits/très satisfaits à définir dans la prochaine enquête; objectif: augmentation de 5% du taux de satisfaction d'ici à 2020)</w:t>
            </w:r>
          </w:p>
        </w:tc>
        <w:tc>
          <w:tcPr>
            <w:tcW w:w="3261" w:type="dxa"/>
          </w:tcPr>
          <w:p w:rsidR="0092458E" w:rsidRPr="00F3043B" w:rsidRDefault="0092458E" w:rsidP="00DF0748">
            <w:pPr>
              <w:spacing w:before="20" w:after="20"/>
              <w:rPr>
                <w:sz w:val="22"/>
                <w:vertAlign w:val="superscript"/>
                <w:lang w:val="fr-CH"/>
              </w:rPr>
            </w:pPr>
            <w:r w:rsidRPr="00F3043B">
              <w:rPr>
                <w:sz w:val="22"/>
                <w:lang w:val="fr-CH"/>
              </w:rPr>
              <w:t>Enquête de satisfaction des utilisateurs</w:t>
            </w:r>
            <w:r w:rsidRPr="00F3043B">
              <w:rPr>
                <w:sz w:val="26"/>
                <w:szCs w:val="26"/>
                <w:vertAlign w:val="superscript"/>
                <w:lang w:val="fr-CH"/>
              </w:rPr>
              <w:t>4</w:t>
            </w:r>
          </w:p>
        </w:tc>
      </w:tr>
    </w:tbl>
    <w:p w:rsidR="0092458E" w:rsidRPr="007F4668" w:rsidRDefault="0092458E" w:rsidP="00DF0748">
      <w:pPr>
        <w:pStyle w:val="Heading2"/>
        <w:spacing w:after="120"/>
      </w:pPr>
      <w:r w:rsidRPr="007F4668">
        <w:t>5.3</w:t>
      </w:r>
      <w:r w:rsidRPr="007F4668">
        <w:tab/>
        <w:t>E.3 Fournir des services efficaces en ce qui concerne les membres, le protocole, la communication et la mobilisation des ressources</w:t>
      </w:r>
    </w:p>
    <w:tbl>
      <w:tblPr>
        <w:tblStyle w:val="GridTable4-Accent12"/>
        <w:tblW w:w="14596" w:type="dxa"/>
        <w:tblLook w:val="0620" w:firstRow="1" w:lastRow="0" w:firstColumn="0" w:lastColumn="0" w:noHBand="1" w:noVBand="1"/>
      </w:tblPr>
      <w:tblGrid>
        <w:gridCol w:w="3114"/>
        <w:gridCol w:w="8221"/>
        <w:gridCol w:w="3261"/>
      </w:tblGrid>
      <w:tr w:rsidR="0092458E" w:rsidRPr="007F4668" w:rsidTr="00DF0748">
        <w:trPr>
          <w:cnfStyle w:val="100000000000" w:firstRow="1" w:lastRow="0" w:firstColumn="0" w:lastColumn="0" w:oddVBand="0" w:evenVBand="0" w:oddHBand="0" w:evenHBand="0" w:firstRowFirstColumn="0" w:firstRowLastColumn="0" w:lastRowFirstColumn="0" w:lastRowLastColumn="0"/>
        </w:trPr>
        <w:tc>
          <w:tcPr>
            <w:tcW w:w="3114" w:type="dxa"/>
          </w:tcPr>
          <w:p w:rsidR="0092458E" w:rsidRPr="007F4668" w:rsidRDefault="0092458E" w:rsidP="00DF0748">
            <w:pPr>
              <w:spacing w:before="20" w:after="20"/>
              <w:rPr>
                <w:sz w:val="22"/>
              </w:rPr>
            </w:pPr>
            <w:r w:rsidRPr="007F4668">
              <w:rPr>
                <w:sz w:val="22"/>
              </w:rPr>
              <w:t>Résultat</w:t>
            </w:r>
          </w:p>
        </w:tc>
        <w:tc>
          <w:tcPr>
            <w:tcW w:w="8221" w:type="dxa"/>
          </w:tcPr>
          <w:p w:rsidR="0092458E" w:rsidRPr="00F3043B" w:rsidRDefault="0092458E" w:rsidP="00DF0748">
            <w:pPr>
              <w:spacing w:before="20" w:after="20"/>
              <w:rPr>
                <w:sz w:val="22"/>
                <w:lang w:val="fr-CH"/>
              </w:rPr>
            </w:pPr>
            <w:r w:rsidRPr="00F3043B">
              <w:rPr>
                <w:sz w:val="22"/>
                <w:lang w:val="fr-CH"/>
              </w:rPr>
              <w:t>Indicateur de résultat (valeur actuelle – valeur d'ici à 2020</w:t>
            </w:r>
            <w:r w:rsidRPr="00F3043B">
              <w:rPr>
                <w:b w:val="0"/>
                <w:bCs w:val="0"/>
                <w:sz w:val="22"/>
                <w:lang w:val="fr-CH"/>
              </w:rPr>
              <w:t>)</w:t>
            </w:r>
          </w:p>
        </w:tc>
        <w:tc>
          <w:tcPr>
            <w:tcW w:w="3261" w:type="dxa"/>
          </w:tcPr>
          <w:p w:rsidR="0092458E" w:rsidRPr="007F4668" w:rsidRDefault="0092458E" w:rsidP="00DF0748">
            <w:pPr>
              <w:spacing w:before="20" w:after="20"/>
              <w:rPr>
                <w:sz w:val="22"/>
              </w:rPr>
            </w:pPr>
            <w:r w:rsidRPr="007F4668">
              <w:rPr>
                <w:sz w:val="22"/>
              </w:rPr>
              <w:t>Moyen de mesure</w:t>
            </w:r>
          </w:p>
        </w:tc>
      </w:tr>
      <w:tr w:rsidR="0092458E" w:rsidRPr="007F4668" w:rsidTr="00DF0748">
        <w:trPr>
          <w:trHeight w:val="342"/>
        </w:trPr>
        <w:tc>
          <w:tcPr>
            <w:tcW w:w="3114" w:type="dxa"/>
            <w:vMerge w:val="restart"/>
          </w:tcPr>
          <w:p w:rsidR="0092458E" w:rsidRPr="00F3043B" w:rsidRDefault="0092458E" w:rsidP="00DF0748">
            <w:pPr>
              <w:spacing w:before="20" w:after="20"/>
              <w:rPr>
                <w:rFonts w:eastAsia="Calibri" w:cs="Arial"/>
                <w:sz w:val="22"/>
                <w:lang w:val="fr-CH"/>
              </w:rPr>
            </w:pPr>
            <w:r w:rsidRPr="00F3043B">
              <w:rPr>
                <w:rFonts w:eastAsia="Calibri" w:cs="Arial"/>
                <w:b/>
                <w:bCs/>
                <w:color w:val="4F81BD" w:themeColor="accent1"/>
                <w:sz w:val="22"/>
                <w:lang w:val="fr-CH"/>
              </w:rPr>
              <w:t>E.3</w:t>
            </w:r>
            <w:r w:rsidRPr="00F3043B">
              <w:rPr>
                <w:rFonts w:eastAsia="Calibri" w:cs="Arial"/>
                <w:sz w:val="22"/>
                <w:lang w:val="fr-CH"/>
              </w:rPr>
              <w:t>: Services efficaces en ce qui concerne les membres, le protocole, la communication et la mobilisation des ressources</w:t>
            </w:r>
          </w:p>
        </w:tc>
        <w:tc>
          <w:tcPr>
            <w:tcW w:w="8221" w:type="dxa"/>
          </w:tcPr>
          <w:p w:rsidR="0092458E" w:rsidRPr="00F3043B" w:rsidRDefault="0092458E" w:rsidP="00DF0748">
            <w:pPr>
              <w:spacing w:before="20" w:after="20"/>
              <w:rPr>
                <w:sz w:val="22"/>
                <w:lang w:val="fr-CH"/>
              </w:rPr>
            </w:pPr>
            <w:r w:rsidRPr="00F3043B">
              <w:rPr>
                <w:sz w:val="22"/>
                <w:lang w:val="fr-CH"/>
              </w:rPr>
              <w:t xml:space="preserve">Satisfaction des membres (2014: 93% des utilisateurs TIES participant – satisfaits/très satisfaits </w:t>
            </w:r>
          </w:p>
          <w:p w:rsidR="0092458E" w:rsidRPr="00F3043B" w:rsidRDefault="0092458E" w:rsidP="00DF0748">
            <w:pPr>
              <w:spacing w:before="20" w:after="20"/>
              <w:rPr>
                <w:sz w:val="22"/>
                <w:lang w:val="fr-CH"/>
              </w:rPr>
            </w:pPr>
            <w:r w:rsidRPr="00F3043B">
              <w:rPr>
                <w:sz w:val="22"/>
                <w:lang w:val="fr-CH"/>
              </w:rPr>
              <w:t>Objectif: maintenir un taux de satisfaction des membres de plus de 90% chaque année)</w:t>
            </w:r>
          </w:p>
        </w:tc>
        <w:tc>
          <w:tcPr>
            <w:tcW w:w="3261" w:type="dxa"/>
          </w:tcPr>
          <w:p w:rsidR="0092458E" w:rsidRPr="007F4668" w:rsidRDefault="0092458E" w:rsidP="00DF0748">
            <w:pPr>
              <w:spacing w:before="20" w:after="20"/>
              <w:rPr>
                <w:sz w:val="22"/>
              </w:rPr>
            </w:pPr>
            <w:r w:rsidRPr="007F4668">
              <w:rPr>
                <w:sz w:val="22"/>
              </w:rPr>
              <w:t>Enquête auprès des membres</w:t>
            </w:r>
          </w:p>
        </w:tc>
      </w:tr>
      <w:tr w:rsidR="0092458E" w:rsidRPr="007F4668" w:rsidTr="00DF0748">
        <w:trPr>
          <w:trHeight w:val="341"/>
        </w:trPr>
        <w:tc>
          <w:tcPr>
            <w:tcW w:w="3114" w:type="dxa"/>
            <w:vMerge/>
          </w:tcPr>
          <w:p w:rsidR="0092458E" w:rsidRPr="007F4668" w:rsidRDefault="0092458E" w:rsidP="00DF0748">
            <w:pPr>
              <w:spacing w:before="20" w:after="20"/>
              <w:rPr>
                <w:rFonts w:eastAsia="Calibri" w:cs="Arial"/>
                <w:b/>
                <w:bCs/>
                <w:color w:val="4F81BD" w:themeColor="accent1"/>
                <w:sz w:val="22"/>
              </w:rPr>
            </w:pPr>
          </w:p>
        </w:tc>
        <w:tc>
          <w:tcPr>
            <w:tcW w:w="8221" w:type="dxa"/>
          </w:tcPr>
          <w:p w:rsidR="0092458E" w:rsidRPr="007F4668" w:rsidRDefault="0092458E" w:rsidP="00DF0748">
            <w:pPr>
              <w:spacing w:before="20" w:after="20"/>
              <w:rPr>
                <w:sz w:val="22"/>
              </w:rPr>
            </w:pPr>
            <w:r w:rsidRPr="00F3043B">
              <w:rPr>
                <w:sz w:val="22"/>
                <w:lang w:val="fr-CH"/>
              </w:rPr>
              <w:t xml:space="preserve">Nombre de membres (y compris établissements universitaires) (2014: Membres de Secteur: 567; Associés: 164; et établissements universitaires: 88. </w:t>
            </w:r>
            <w:r w:rsidRPr="007F4668">
              <w:rPr>
                <w:sz w:val="22"/>
              </w:rPr>
              <w:t>Objectif 2020: croissance de 15% du nombre total de membres)</w:t>
            </w:r>
          </w:p>
        </w:tc>
        <w:tc>
          <w:tcPr>
            <w:tcW w:w="3261" w:type="dxa"/>
          </w:tcPr>
          <w:p w:rsidR="0092458E" w:rsidRPr="007F4668" w:rsidRDefault="0092458E" w:rsidP="00DF0748">
            <w:pPr>
              <w:spacing w:before="20" w:after="20"/>
              <w:rPr>
                <w:sz w:val="22"/>
              </w:rPr>
            </w:pPr>
            <w:r w:rsidRPr="007F4668">
              <w:rPr>
                <w:sz w:val="22"/>
              </w:rPr>
              <w:t xml:space="preserve">Données fournies par SPM </w:t>
            </w:r>
          </w:p>
        </w:tc>
      </w:tr>
      <w:tr w:rsidR="0092458E" w:rsidRPr="007F4668" w:rsidTr="00DF0748">
        <w:trPr>
          <w:trHeight w:val="109"/>
        </w:trPr>
        <w:tc>
          <w:tcPr>
            <w:tcW w:w="3114" w:type="dxa"/>
            <w:vMerge/>
          </w:tcPr>
          <w:p w:rsidR="0092458E" w:rsidRPr="007F4668" w:rsidRDefault="0092458E" w:rsidP="00DF0748">
            <w:pPr>
              <w:spacing w:before="20" w:after="20"/>
              <w:rPr>
                <w:rFonts w:eastAsia="Calibri" w:cs="Arial"/>
                <w:b/>
                <w:bCs/>
                <w:color w:val="4F81BD" w:themeColor="accent1"/>
                <w:sz w:val="22"/>
              </w:rPr>
            </w:pPr>
          </w:p>
        </w:tc>
        <w:tc>
          <w:tcPr>
            <w:tcW w:w="8221" w:type="dxa"/>
          </w:tcPr>
          <w:p w:rsidR="0092458E" w:rsidRPr="00F3043B" w:rsidRDefault="0092458E" w:rsidP="00DF0748">
            <w:pPr>
              <w:spacing w:before="20" w:after="20"/>
              <w:rPr>
                <w:sz w:val="22"/>
                <w:lang w:val="fr-CH"/>
              </w:rPr>
            </w:pPr>
            <w:r w:rsidRPr="00F3043B">
              <w:rPr>
                <w:sz w:val="22"/>
                <w:lang w:val="fr-CH"/>
              </w:rPr>
              <w:t xml:space="preserve">Volume d'articles dans les médias neutres/positifs faisant référence à l'UIT </w:t>
            </w:r>
          </w:p>
          <w:p w:rsidR="0092458E" w:rsidRPr="00F3043B" w:rsidRDefault="0092458E" w:rsidP="00DF0748">
            <w:pPr>
              <w:spacing w:before="20" w:after="20"/>
              <w:rPr>
                <w:sz w:val="22"/>
                <w:lang w:val="fr-CH"/>
              </w:rPr>
            </w:pPr>
            <w:r w:rsidRPr="00F3043B">
              <w:rPr>
                <w:sz w:val="22"/>
                <w:lang w:val="fr-CH"/>
              </w:rPr>
              <w:t xml:space="preserve">Niveau de collaboration à travers les principaux canaux numériques de l'UIT </w:t>
            </w:r>
          </w:p>
          <w:p w:rsidR="0092458E" w:rsidRPr="007F4668" w:rsidRDefault="0092458E" w:rsidP="00DF0748">
            <w:pPr>
              <w:spacing w:before="20" w:after="20"/>
              <w:rPr>
                <w:sz w:val="22"/>
              </w:rPr>
            </w:pPr>
            <w:r w:rsidRPr="007F4668">
              <w:rPr>
                <w:sz w:val="22"/>
              </w:rPr>
              <w:t>Satisfaction accrue des membres</w:t>
            </w:r>
            <w:r w:rsidRPr="007F4668">
              <w:rPr>
                <w:rStyle w:val="FootnoteReference"/>
              </w:rPr>
              <w:footnoteReference w:id="5"/>
            </w:r>
          </w:p>
        </w:tc>
        <w:tc>
          <w:tcPr>
            <w:tcW w:w="3261" w:type="dxa"/>
          </w:tcPr>
          <w:p w:rsidR="0092458E" w:rsidRPr="00F3043B" w:rsidRDefault="0092458E" w:rsidP="00DF0748">
            <w:pPr>
              <w:spacing w:before="20" w:after="20"/>
              <w:rPr>
                <w:sz w:val="22"/>
                <w:lang w:val="fr-CH"/>
              </w:rPr>
            </w:pPr>
            <w:bookmarkStart w:id="11" w:name="_Ref412451736"/>
            <w:r w:rsidRPr="00F3043B">
              <w:rPr>
                <w:sz w:val="22"/>
                <w:lang w:val="fr-CH"/>
              </w:rPr>
              <w:t>Outil de contrôle des médias</w:t>
            </w:r>
            <w:bookmarkEnd w:id="11"/>
            <w:r w:rsidRPr="007F4668">
              <w:rPr>
                <w:rStyle w:val="FootnoteReference"/>
              </w:rPr>
              <w:footnoteReference w:id="6"/>
            </w:r>
          </w:p>
          <w:p w:rsidR="0092458E" w:rsidRPr="00F3043B" w:rsidRDefault="0092458E" w:rsidP="00DF0748">
            <w:pPr>
              <w:spacing w:before="20" w:after="20"/>
              <w:rPr>
                <w:sz w:val="22"/>
                <w:lang w:val="fr-CH"/>
              </w:rPr>
            </w:pPr>
            <w:r w:rsidRPr="00F3043B">
              <w:rPr>
                <w:sz w:val="22"/>
                <w:lang w:val="fr-CH"/>
              </w:rPr>
              <w:t>Intelligence économique</w:t>
            </w:r>
            <w:r w:rsidRPr="00F3043B">
              <w:rPr>
                <w:sz w:val="26"/>
                <w:szCs w:val="26"/>
                <w:vertAlign w:val="superscript"/>
                <w:lang w:val="fr-CH"/>
              </w:rPr>
              <w:t>6</w:t>
            </w:r>
          </w:p>
          <w:p w:rsidR="0092458E" w:rsidRPr="00F3043B" w:rsidRDefault="0092458E" w:rsidP="00DF0748">
            <w:pPr>
              <w:spacing w:before="20" w:after="20"/>
              <w:rPr>
                <w:sz w:val="22"/>
                <w:lang w:val="fr-CH"/>
              </w:rPr>
            </w:pPr>
            <w:r w:rsidRPr="00F3043B">
              <w:rPr>
                <w:sz w:val="22"/>
                <w:lang w:val="fr-CH"/>
              </w:rPr>
              <w:t>Enquête auprès des membres</w:t>
            </w:r>
            <w:r w:rsidRPr="00F3043B">
              <w:rPr>
                <w:sz w:val="26"/>
                <w:szCs w:val="26"/>
                <w:vertAlign w:val="superscript"/>
                <w:lang w:val="fr-CH"/>
              </w:rPr>
              <w:t>6</w:t>
            </w:r>
          </w:p>
        </w:tc>
      </w:tr>
      <w:tr w:rsidR="0092458E" w:rsidRPr="007F4668" w:rsidTr="00DF0748">
        <w:trPr>
          <w:trHeight w:val="109"/>
        </w:trPr>
        <w:tc>
          <w:tcPr>
            <w:tcW w:w="3114" w:type="dxa"/>
            <w:vMerge/>
          </w:tcPr>
          <w:p w:rsidR="0092458E" w:rsidRPr="00F3043B" w:rsidRDefault="0092458E" w:rsidP="00DF0748">
            <w:pPr>
              <w:spacing w:before="20" w:after="20"/>
              <w:rPr>
                <w:rFonts w:eastAsia="Calibri" w:cs="Arial"/>
                <w:b/>
                <w:bCs/>
                <w:color w:val="4F81BD" w:themeColor="accent1"/>
                <w:sz w:val="22"/>
                <w:lang w:val="fr-CH"/>
              </w:rPr>
            </w:pPr>
          </w:p>
        </w:tc>
        <w:tc>
          <w:tcPr>
            <w:tcW w:w="8221" w:type="dxa"/>
          </w:tcPr>
          <w:p w:rsidR="0092458E" w:rsidRPr="00F3043B" w:rsidRDefault="0092458E" w:rsidP="00DF0748">
            <w:pPr>
              <w:spacing w:before="20" w:after="20"/>
              <w:rPr>
                <w:sz w:val="22"/>
                <w:lang w:val="fr-CH"/>
              </w:rPr>
            </w:pPr>
            <w:r w:rsidRPr="00F3043B">
              <w:rPr>
                <w:sz w:val="22"/>
                <w:lang w:val="fr-CH"/>
              </w:rPr>
              <w:t>Recettes totales (conformément au Plan financier pour la période 2016-2019)</w:t>
            </w:r>
          </w:p>
        </w:tc>
        <w:tc>
          <w:tcPr>
            <w:tcW w:w="3261" w:type="dxa"/>
          </w:tcPr>
          <w:p w:rsidR="0092458E" w:rsidRPr="00F3043B" w:rsidRDefault="0092458E" w:rsidP="00DF0748">
            <w:pPr>
              <w:spacing w:before="20" w:after="20"/>
              <w:rPr>
                <w:sz w:val="22"/>
                <w:lang w:val="fr-CH"/>
              </w:rPr>
            </w:pPr>
            <w:r w:rsidRPr="00F3043B">
              <w:rPr>
                <w:sz w:val="22"/>
                <w:lang w:val="fr-CH"/>
              </w:rPr>
              <w:t xml:space="preserve">Données fournies par le Département de la gestion des ressources financières </w:t>
            </w:r>
          </w:p>
        </w:tc>
      </w:tr>
    </w:tbl>
    <w:p w:rsidR="0092458E" w:rsidRPr="007F4668" w:rsidRDefault="0092458E" w:rsidP="00DF0748">
      <w:pPr>
        <w:pStyle w:val="Heading2"/>
      </w:pPr>
      <w:r w:rsidRPr="007F4668">
        <w:br w:type="page"/>
      </w:r>
    </w:p>
    <w:p w:rsidR="0092458E" w:rsidRPr="007F4668" w:rsidRDefault="0092458E" w:rsidP="00DF0748">
      <w:pPr>
        <w:pStyle w:val="Heading2"/>
        <w:spacing w:after="120"/>
      </w:pPr>
      <w:r w:rsidRPr="007F4668">
        <w:lastRenderedPageBreak/>
        <w:t>5.4</w:t>
      </w:r>
      <w:r w:rsidRPr="007F4668">
        <w:tab/>
        <w:t>E.4 Veiller à la planification, à la coordination et à l'exécution efficaces du plan stratégique et des plans opérationnels de l'Union</w:t>
      </w:r>
    </w:p>
    <w:tbl>
      <w:tblPr>
        <w:tblStyle w:val="GridTable4-Accent12"/>
        <w:tblW w:w="14596" w:type="dxa"/>
        <w:tblLook w:val="0620" w:firstRow="1" w:lastRow="0" w:firstColumn="0" w:lastColumn="0" w:noHBand="1" w:noVBand="1"/>
      </w:tblPr>
      <w:tblGrid>
        <w:gridCol w:w="3114"/>
        <w:gridCol w:w="8221"/>
        <w:gridCol w:w="3261"/>
      </w:tblGrid>
      <w:tr w:rsidR="0092458E" w:rsidRPr="00CC34B6" w:rsidTr="00DF0748">
        <w:trPr>
          <w:cnfStyle w:val="100000000000" w:firstRow="1" w:lastRow="0" w:firstColumn="0" w:lastColumn="0" w:oddVBand="0" w:evenVBand="0" w:oddHBand="0" w:evenHBand="0" w:firstRowFirstColumn="0" w:firstRowLastColumn="0" w:lastRowFirstColumn="0" w:lastRowLastColumn="0"/>
        </w:trPr>
        <w:tc>
          <w:tcPr>
            <w:tcW w:w="3114" w:type="dxa"/>
          </w:tcPr>
          <w:p w:rsidR="0092458E" w:rsidRPr="00CC34B6" w:rsidRDefault="0092458E" w:rsidP="00DF0748">
            <w:pPr>
              <w:spacing w:before="20" w:after="20"/>
              <w:rPr>
                <w:sz w:val="22"/>
              </w:rPr>
            </w:pPr>
            <w:r w:rsidRPr="00CC34B6">
              <w:rPr>
                <w:sz w:val="22"/>
              </w:rPr>
              <w:t>Résultat</w:t>
            </w:r>
          </w:p>
        </w:tc>
        <w:tc>
          <w:tcPr>
            <w:tcW w:w="8221" w:type="dxa"/>
          </w:tcPr>
          <w:p w:rsidR="0092458E" w:rsidRPr="00F3043B" w:rsidRDefault="0092458E" w:rsidP="00DF0748">
            <w:pPr>
              <w:spacing w:before="20" w:after="20"/>
              <w:rPr>
                <w:sz w:val="22"/>
                <w:lang w:val="fr-CH"/>
              </w:rPr>
            </w:pPr>
            <w:r w:rsidRPr="00F3043B">
              <w:rPr>
                <w:sz w:val="22"/>
                <w:lang w:val="fr-CH"/>
              </w:rPr>
              <w:t>Indicateur de résultat (valeur actuelle – valeur d'ici à 2020</w:t>
            </w:r>
            <w:r w:rsidRPr="00F3043B">
              <w:rPr>
                <w:b w:val="0"/>
                <w:bCs w:val="0"/>
                <w:sz w:val="22"/>
                <w:lang w:val="fr-CH"/>
              </w:rPr>
              <w:t>)</w:t>
            </w:r>
          </w:p>
        </w:tc>
        <w:tc>
          <w:tcPr>
            <w:tcW w:w="3261" w:type="dxa"/>
          </w:tcPr>
          <w:p w:rsidR="0092458E" w:rsidRPr="00CC34B6" w:rsidRDefault="0092458E" w:rsidP="00DF0748">
            <w:pPr>
              <w:spacing w:before="20" w:after="20"/>
              <w:rPr>
                <w:sz w:val="22"/>
              </w:rPr>
            </w:pPr>
            <w:r w:rsidRPr="00CC34B6">
              <w:rPr>
                <w:sz w:val="22"/>
              </w:rPr>
              <w:t>Moyen de mesure</w:t>
            </w:r>
          </w:p>
        </w:tc>
      </w:tr>
      <w:tr w:rsidR="0092458E" w:rsidRPr="00CC34B6" w:rsidTr="00DF0748">
        <w:trPr>
          <w:trHeight w:val="578"/>
        </w:trPr>
        <w:tc>
          <w:tcPr>
            <w:tcW w:w="3114" w:type="dxa"/>
          </w:tcPr>
          <w:p w:rsidR="0092458E" w:rsidRPr="00F3043B" w:rsidRDefault="0092458E" w:rsidP="00DF0748">
            <w:pPr>
              <w:spacing w:before="20" w:after="20"/>
              <w:rPr>
                <w:rFonts w:eastAsia="Calibri" w:cs="Arial"/>
                <w:sz w:val="22"/>
                <w:lang w:val="fr-CH"/>
              </w:rPr>
            </w:pPr>
            <w:r w:rsidRPr="00F3043B">
              <w:rPr>
                <w:rFonts w:eastAsia="Calibri" w:cs="Arial"/>
                <w:b/>
                <w:bCs/>
                <w:color w:val="4F81BD" w:themeColor="accent1"/>
                <w:sz w:val="22"/>
                <w:lang w:val="fr-CH"/>
              </w:rPr>
              <w:t>E.4</w:t>
            </w:r>
            <w:r w:rsidRPr="00F3043B">
              <w:rPr>
                <w:rFonts w:eastAsia="Calibri" w:cs="Arial"/>
                <w:sz w:val="22"/>
                <w:lang w:val="fr-CH"/>
              </w:rPr>
              <w:t>: Planification, coordination et exécution efficaces du plan stratégique et des plans opérationnels de l'Union</w:t>
            </w:r>
          </w:p>
        </w:tc>
        <w:tc>
          <w:tcPr>
            <w:tcW w:w="8221" w:type="dxa"/>
          </w:tcPr>
          <w:p w:rsidR="0092458E" w:rsidRPr="00F3043B" w:rsidRDefault="0092458E" w:rsidP="00DF0748">
            <w:pPr>
              <w:spacing w:before="20" w:after="20"/>
              <w:rPr>
                <w:sz w:val="22"/>
                <w:lang w:val="fr-CH"/>
              </w:rPr>
            </w:pPr>
            <w:r w:rsidRPr="00F3043B">
              <w:rPr>
                <w:sz w:val="22"/>
                <w:lang w:val="fr-CH"/>
              </w:rPr>
              <w:t>Pourcentage des cibles/résultats atteints ou en cours de réalisation</w:t>
            </w:r>
          </w:p>
        </w:tc>
        <w:tc>
          <w:tcPr>
            <w:tcW w:w="3261" w:type="dxa"/>
          </w:tcPr>
          <w:p w:rsidR="0092458E" w:rsidRPr="00F3043B" w:rsidRDefault="0092458E" w:rsidP="00DF0748">
            <w:pPr>
              <w:spacing w:before="20" w:after="20"/>
              <w:rPr>
                <w:sz w:val="22"/>
                <w:lang w:val="fr-CH"/>
              </w:rPr>
            </w:pPr>
            <w:r w:rsidRPr="00F3043B">
              <w:rPr>
                <w:sz w:val="22"/>
                <w:lang w:val="fr-CH"/>
              </w:rPr>
              <w:t>Mise en oeuvre du plan stratégique</w:t>
            </w:r>
          </w:p>
          <w:p w:rsidR="0092458E" w:rsidRPr="00F3043B" w:rsidRDefault="0092458E" w:rsidP="00DF0748">
            <w:pPr>
              <w:spacing w:before="20" w:after="20"/>
              <w:rPr>
                <w:sz w:val="22"/>
                <w:lang w:val="fr-CH"/>
              </w:rPr>
            </w:pPr>
            <w:r w:rsidRPr="00F3043B">
              <w:rPr>
                <w:sz w:val="22"/>
                <w:lang w:val="fr-CH"/>
              </w:rPr>
              <w:t>Rapport/données fournies par SPM</w:t>
            </w:r>
            <w:r>
              <w:rPr>
                <w:rStyle w:val="FootnoteReference"/>
              </w:rPr>
              <w:footnoteReference w:id="7"/>
            </w:r>
          </w:p>
        </w:tc>
      </w:tr>
    </w:tbl>
    <w:p w:rsidR="0092458E" w:rsidRPr="007F4668" w:rsidRDefault="0092458E" w:rsidP="00DF0748">
      <w:pPr>
        <w:pStyle w:val="Heading2"/>
        <w:spacing w:after="120"/>
      </w:pPr>
      <w:r w:rsidRPr="007F4668">
        <w:t>5.5</w:t>
      </w:r>
      <w:r w:rsidRPr="007F4668">
        <w:tab/>
        <w:t>E.5 Veiller à l'efficacité et à l'efficience de la gouvernance de l'organisation (en interne et à l'extérieur)</w:t>
      </w:r>
    </w:p>
    <w:tbl>
      <w:tblPr>
        <w:tblStyle w:val="GridTable4-Accent12"/>
        <w:tblW w:w="14596" w:type="dxa"/>
        <w:tblLook w:val="0620" w:firstRow="1" w:lastRow="0" w:firstColumn="0" w:lastColumn="0" w:noHBand="1" w:noVBand="1"/>
      </w:tblPr>
      <w:tblGrid>
        <w:gridCol w:w="3114"/>
        <w:gridCol w:w="8221"/>
        <w:gridCol w:w="3261"/>
      </w:tblGrid>
      <w:tr w:rsidR="0092458E" w:rsidRPr="00CC34B6" w:rsidTr="00DF0748">
        <w:trPr>
          <w:cnfStyle w:val="100000000000" w:firstRow="1" w:lastRow="0" w:firstColumn="0" w:lastColumn="0" w:oddVBand="0" w:evenVBand="0" w:oddHBand="0" w:evenHBand="0" w:firstRowFirstColumn="0" w:firstRowLastColumn="0" w:lastRowFirstColumn="0" w:lastRowLastColumn="0"/>
        </w:trPr>
        <w:tc>
          <w:tcPr>
            <w:tcW w:w="3114" w:type="dxa"/>
          </w:tcPr>
          <w:p w:rsidR="0092458E" w:rsidRPr="00CC34B6" w:rsidRDefault="0092458E" w:rsidP="00DF0748">
            <w:pPr>
              <w:spacing w:before="20" w:after="20"/>
              <w:rPr>
                <w:sz w:val="22"/>
              </w:rPr>
            </w:pPr>
            <w:r w:rsidRPr="00CC34B6">
              <w:rPr>
                <w:sz w:val="22"/>
              </w:rPr>
              <w:t>Résultat</w:t>
            </w:r>
          </w:p>
        </w:tc>
        <w:tc>
          <w:tcPr>
            <w:tcW w:w="8221" w:type="dxa"/>
          </w:tcPr>
          <w:p w:rsidR="0092458E" w:rsidRPr="00F3043B" w:rsidRDefault="0092458E" w:rsidP="00DF0748">
            <w:pPr>
              <w:spacing w:before="20" w:after="20"/>
              <w:rPr>
                <w:sz w:val="22"/>
                <w:lang w:val="fr-CH"/>
              </w:rPr>
            </w:pPr>
            <w:r w:rsidRPr="00F3043B">
              <w:rPr>
                <w:sz w:val="22"/>
                <w:lang w:val="fr-CH"/>
              </w:rPr>
              <w:t>Indicateur de résultat (valeur actuelle – valeur d'ici à 2020</w:t>
            </w:r>
            <w:r w:rsidRPr="00F3043B">
              <w:rPr>
                <w:b w:val="0"/>
                <w:bCs w:val="0"/>
                <w:sz w:val="22"/>
                <w:lang w:val="fr-CH"/>
              </w:rPr>
              <w:t>)</w:t>
            </w:r>
          </w:p>
        </w:tc>
        <w:tc>
          <w:tcPr>
            <w:tcW w:w="3261" w:type="dxa"/>
          </w:tcPr>
          <w:p w:rsidR="0092458E" w:rsidRPr="00CC34B6" w:rsidRDefault="0092458E" w:rsidP="00DF0748">
            <w:pPr>
              <w:spacing w:before="20" w:after="20"/>
              <w:rPr>
                <w:sz w:val="22"/>
              </w:rPr>
            </w:pPr>
            <w:r w:rsidRPr="00CC34B6">
              <w:rPr>
                <w:sz w:val="22"/>
              </w:rPr>
              <w:t>Moyen de mesure</w:t>
            </w:r>
          </w:p>
        </w:tc>
      </w:tr>
      <w:tr w:rsidR="0092458E" w:rsidRPr="00CC34B6" w:rsidTr="00DF0748">
        <w:trPr>
          <w:trHeight w:val="376"/>
        </w:trPr>
        <w:tc>
          <w:tcPr>
            <w:tcW w:w="3114" w:type="dxa"/>
            <w:vMerge w:val="restart"/>
          </w:tcPr>
          <w:p w:rsidR="0092458E" w:rsidRPr="00F3043B" w:rsidRDefault="0092458E" w:rsidP="00DF0748">
            <w:pPr>
              <w:spacing w:before="20" w:after="20"/>
              <w:rPr>
                <w:rFonts w:eastAsia="Calibri" w:cs="Arial"/>
                <w:sz w:val="22"/>
                <w:lang w:val="fr-CH"/>
              </w:rPr>
            </w:pPr>
            <w:r w:rsidRPr="00F3043B">
              <w:rPr>
                <w:rFonts w:eastAsia="Calibri" w:cs="Arial"/>
                <w:b/>
                <w:bCs/>
                <w:color w:val="4F81BD" w:themeColor="accent1"/>
                <w:sz w:val="22"/>
                <w:lang w:val="fr-CH"/>
              </w:rPr>
              <w:t>E.5</w:t>
            </w:r>
            <w:r w:rsidRPr="00F3043B">
              <w:rPr>
                <w:rFonts w:eastAsia="Calibri" w:cs="Arial"/>
                <w:sz w:val="22"/>
                <w:lang w:val="fr-CH"/>
              </w:rPr>
              <w:t>: Efficacité et efficience de la gouvernance de l'organisation (en interne et à l'extérieur)</w:t>
            </w:r>
          </w:p>
        </w:tc>
        <w:tc>
          <w:tcPr>
            <w:tcW w:w="8221" w:type="dxa"/>
          </w:tcPr>
          <w:p w:rsidR="0092458E" w:rsidRPr="00F3043B" w:rsidRDefault="0092458E" w:rsidP="00DF0748">
            <w:pPr>
              <w:spacing w:before="20" w:after="20"/>
              <w:rPr>
                <w:sz w:val="22"/>
                <w:lang w:val="fr-CH"/>
              </w:rPr>
            </w:pPr>
            <w:r w:rsidRPr="00F3043B">
              <w:rPr>
                <w:sz w:val="22"/>
                <w:lang w:val="fr-CH"/>
              </w:rPr>
              <w:t>Niveau de mise en oeuvre des décisions des organes directeurs</w:t>
            </w:r>
          </w:p>
        </w:tc>
        <w:tc>
          <w:tcPr>
            <w:tcW w:w="3261" w:type="dxa"/>
          </w:tcPr>
          <w:p w:rsidR="0092458E" w:rsidRPr="00CC34B6" w:rsidRDefault="0092458E" w:rsidP="00DF0748">
            <w:pPr>
              <w:spacing w:before="20" w:after="20"/>
              <w:rPr>
                <w:sz w:val="22"/>
              </w:rPr>
            </w:pPr>
            <w:r w:rsidRPr="00CC34B6">
              <w:rPr>
                <w:sz w:val="22"/>
              </w:rPr>
              <w:t>Données fournies par SPM</w:t>
            </w:r>
            <w:r>
              <w:rPr>
                <w:sz w:val="22"/>
                <w:vertAlign w:val="superscript"/>
              </w:rPr>
              <w:t>6</w:t>
            </w:r>
          </w:p>
        </w:tc>
      </w:tr>
      <w:tr w:rsidR="0092458E" w:rsidRPr="00CC34B6" w:rsidTr="00DF0748">
        <w:trPr>
          <w:trHeight w:val="70"/>
        </w:trPr>
        <w:tc>
          <w:tcPr>
            <w:tcW w:w="3114" w:type="dxa"/>
            <w:vMerge/>
          </w:tcPr>
          <w:p w:rsidR="0092458E" w:rsidRPr="00CC34B6" w:rsidRDefault="0092458E" w:rsidP="00DF0748">
            <w:pPr>
              <w:spacing w:before="20" w:after="20"/>
              <w:rPr>
                <w:rFonts w:eastAsia="Calibri" w:cs="Arial"/>
                <w:b/>
                <w:bCs/>
                <w:color w:val="4F81BD" w:themeColor="accent1"/>
                <w:sz w:val="22"/>
              </w:rPr>
            </w:pPr>
          </w:p>
        </w:tc>
        <w:tc>
          <w:tcPr>
            <w:tcW w:w="8221" w:type="dxa"/>
          </w:tcPr>
          <w:p w:rsidR="0092458E" w:rsidRPr="00F3043B" w:rsidRDefault="0092458E" w:rsidP="00DF0748">
            <w:pPr>
              <w:spacing w:before="20" w:after="20"/>
              <w:rPr>
                <w:sz w:val="22"/>
                <w:lang w:val="fr-CH"/>
              </w:rPr>
            </w:pPr>
            <w:r w:rsidRPr="00F3043B">
              <w:rPr>
                <w:sz w:val="22"/>
                <w:lang w:val="fr-CH"/>
              </w:rPr>
              <w:t>Réactivité de la direction aux conclusions et recommandations des audits</w:t>
            </w:r>
          </w:p>
        </w:tc>
        <w:tc>
          <w:tcPr>
            <w:tcW w:w="3261" w:type="dxa"/>
          </w:tcPr>
          <w:p w:rsidR="0092458E" w:rsidRPr="00F3043B" w:rsidRDefault="0092458E" w:rsidP="00DF0748">
            <w:pPr>
              <w:spacing w:before="20" w:after="20"/>
              <w:rPr>
                <w:sz w:val="22"/>
                <w:lang w:val="fr-CH"/>
              </w:rPr>
            </w:pPr>
            <w:r w:rsidRPr="00F3043B">
              <w:rPr>
                <w:sz w:val="22"/>
                <w:lang w:val="fr-CH"/>
              </w:rPr>
              <w:t>Données sur le suivi donné aux recommandations issues des audits</w:t>
            </w:r>
            <w:r w:rsidRPr="00F3043B">
              <w:rPr>
                <w:sz w:val="22"/>
                <w:vertAlign w:val="superscript"/>
                <w:lang w:val="fr-CH"/>
              </w:rPr>
              <w:t>6</w:t>
            </w:r>
          </w:p>
        </w:tc>
      </w:tr>
    </w:tbl>
    <w:p w:rsidR="0092458E" w:rsidRPr="007F4668" w:rsidRDefault="0092458E" w:rsidP="00DF0748">
      <w:pPr>
        <w:pStyle w:val="Heading1"/>
      </w:pPr>
      <w:r w:rsidRPr="007F4668">
        <w:br w:type="page"/>
      </w:r>
    </w:p>
    <w:p w:rsidR="0092458E" w:rsidRPr="007F4668" w:rsidRDefault="0092458E" w:rsidP="00DF0748">
      <w:pPr>
        <w:pStyle w:val="Heading1"/>
      </w:pPr>
      <w:r w:rsidRPr="007F4668">
        <w:lastRenderedPageBreak/>
        <w:t>6</w:t>
      </w:r>
      <w:r w:rsidRPr="007F4668">
        <w:tab/>
        <w:t>Objectifs, résultats et produits intersectoriels pour la période 2016-2019</w:t>
      </w:r>
    </w:p>
    <w:p w:rsidR="0092458E" w:rsidRPr="007F4668" w:rsidRDefault="0092458E" w:rsidP="00DF0748">
      <w:pPr>
        <w:pStyle w:val="Heading2"/>
        <w:spacing w:after="120"/>
      </w:pPr>
      <w:r w:rsidRPr="007F4668">
        <w:t>6.1</w:t>
      </w:r>
      <w:r w:rsidRPr="007F4668">
        <w:tab/>
        <w:t>I1 Renforcer le dialogue international entre les parties prenantes</w:t>
      </w:r>
    </w:p>
    <w:tbl>
      <w:tblPr>
        <w:tblStyle w:val="GridTable4-Accent12"/>
        <w:tblW w:w="14596" w:type="dxa"/>
        <w:tblLook w:val="06A0" w:firstRow="1" w:lastRow="0" w:firstColumn="1" w:lastColumn="0" w:noHBand="1" w:noVBand="1"/>
      </w:tblPr>
      <w:tblGrid>
        <w:gridCol w:w="3681"/>
        <w:gridCol w:w="8363"/>
        <w:gridCol w:w="2552"/>
      </w:tblGrid>
      <w:tr w:rsidR="0092458E" w:rsidRPr="00CC34B6" w:rsidTr="00DF0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92458E" w:rsidRPr="00CC34B6" w:rsidRDefault="0092458E" w:rsidP="00DF0748">
            <w:pPr>
              <w:spacing w:before="20" w:after="20"/>
              <w:rPr>
                <w:sz w:val="22"/>
              </w:rPr>
            </w:pPr>
            <w:r w:rsidRPr="00CC34B6">
              <w:rPr>
                <w:sz w:val="22"/>
              </w:rPr>
              <w:t>Résultat</w:t>
            </w:r>
          </w:p>
        </w:tc>
        <w:tc>
          <w:tcPr>
            <w:tcW w:w="8363" w:type="dxa"/>
          </w:tcPr>
          <w:p w:rsidR="0092458E" w:rsidRPr="00F3043B" w:rsidRDefault="0092458E" w:rsidP="00DF0748">
            <w:pPr>
              <w:spacing w:before="20" w:after="20"/>
              <w:cnfStyle w:val="100000000000" w:firstRow="1" w:lastRow="0" w:firstColumn="0" w:lastColumn="0" w:oddVBand="0" w:evenVBand="0" w:oddHBand="0" w:evenHBand="0" w:firstRowFirstColumn="0" w:firstRowLastColumn="0" w:lastRowFirstColumn="0" w:lastRowLastColumn="0"/>
              <w:rPr>
                <w:sz w:val="22"/>
                <w:lang w:val="fr-CH"/>
              </w:rPr>
            </w:pPr>
            <w:r w:rsidRPr="00F3043B">
              <w:rPr>
                <w:sz w:val="22"/>
                <w:lang w:val="fr-CH"/>
              </w:rPr>
              <w:t>Indicateur de résultat (valeur actuelle – valeur d'ici à 2020)</w:t>
            </w:r>
          </w:p>
        </w:tc>
        <w:tc>
          <w:tcPr>
            <w:tcW w:w="2552" w:type="dxa"/>
          </w:tcPr>
          <w:p w:rsidR="0092458E" w:rsidRPr="00CC34B6" w:rsidRDefault="0092458E" w:rsidP="00DF0748">
            <w:pPr>
              <w:spacing w:before="20" w:after="20"/>
              <w:cnfStyle w:val="100000000000" w:firstRow="1" w:lastRow="0" w:firstColumn="0" w:lastColumn="0" w:oddVBand="0" w:evenVBand="0" w:oddHBand="0" w:evenHBand="0" w:firstRowFirstColumn="0" w:firstRowLastColumn="0" w:lastRowFirstColumn="0" w:lastRowLastColumn="0"/>
              <w:rPr>
                <w:sz w:val="22"/>
              </w:rPr>
            </w:pPr>
            <w:r w:rsidRPr="00CC34B6">
              <w:rPr>
                <w:sz w:val="22"/>
              </w:rPr>
              <w:t>Moyen de mesure</w:t>
            </w:r>
          </w:p>
        </w:tc>
      </w:tr>
      <w:tr w:rsidR="0092458E" w:rsidRPr="00CC34B6" w:rsidTr="00DF0748">
        <w:trPr>
          <w:trHeight w:val="465"/>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92458E" w:rsidRPr="00F3043B" w:rsidRDefault="0092458E" w:rsidP="00DF0748">
            <w:pPr>
              <w:spacing w:before="60" w:after="60"/>
              <w:rPr>
                <w:rFonts w:eastAsia="Calibri" w:cs="Arial"/>
                <w:b w:val="0"/>
                <w:bCs w:val="0"/>
                <w:sz w:val="22"/>
                <w:lang w:val="fr-CH"/>
              </w:rPr>
            </w:pPr>
            <w:r w:rsidRPr="00F3043B">
              <w:rPr>
                <w:rFonts w:eastAsia="Calibri" w:cs="Arial"/>
                <w:color w:val="4F81BD" w:themeColor="accent1"/>
                <w:sz w:val="22"/>
                <w:lang w:val="fr-CH"/>
              </w:rPr>
              <w:t>I.1-1</w:t>
            </w:r>
            <w:r w:rsidRPr="00F3043B">
              <w:rPr>
                <w:rFonts w:eastAsia="Calibri" w:cs="Arial"/>
                <w:sz w:val="22"/>
                <w:lang w:val="fr-CH"/>
              </w:rPr>
              <w:t xml:space="preserve">: </w:t>
            </w:r>
            <w:r w:rsidRPr="00F3043B">
              <w:rPr>
                <w:rFonts w:eastAsia="Calibri" w:cs="Arial"/>
                <w:b w:val="0"/>
                <w:bCs w:val="0"/>
                <w:sz w:val="22"/>
                <w:lang w:val="fr-CH"/>
              </w:rPr>
              <w:t>Renforcement de la collaboration entre les parties prenantes concernées, afin d'accroître l'efficacité de l'environnement des télécommunications/TIC</w:t>
            </w:r>
          </w:p>
        </w:tc>
        <w:tc>
          <w:tcPr>
            <w:tcW w:w="8363" w:type="dxa"/>
          </w:tcPr>
          <w:p w:rsidR="0092458E" w:rsidRPr="00F3043B" w:rsidRDefault="0092458E" w:rsidP="00DF0748">
            <w:pPr>
              <w:spacing w:before="60" w:after="60"/>
              <w:cnfStyle w:val="000000000000" w:firstRow="0" w:lastRow="0" w:firstColumn="0" w:lastColumn="0" w:oddVBand="0" w:evenVBand="0" w:oddHBand="0" w:evenHBand="0" w:firstRowFirstColumn="0" w:firstRowLastColumn="0" w:lastRowFirstColumn="0" w:lastRowLastColumn="0"/>
              <w:rPr>
                <w:sz w:val="22"/>
                <w:lang w:val="fr-CH"/>
              </w:rPr>
            </w:pPr>
            <w:r w:rsidRPr="00F3043B">
              <w:rPr>
                <w:sz w:val="22"/>
                <w:lang w:val="fr-CH"/>
              </w:rPr>
              <w:t>Proportion d'initiatives conjointes par rapport au nombre total d'initiatives</w:t>
            </w:r>
          </w:p>
        </w:tc>
        <w:tc>
          <w:tcPr>
            <w:tcW w:w="2552" w:type="dxa"/>
          </w:tcPr>
          <w:p w:rsidR="0092458E" w:rsidRPr="00CC34B6" w:rsidRDefault="0092458E" w:rsidP="00DF0748">
            <w:pPr>
              <w:spacing w:before="60" w:after="60"/>
              <w:cnfStyle w:val="000000000000" w:firstRow="0" w:lastRow="0" w:firstColumn="0" w:lastColumn="0" w:oddVBand="0" w:evenVBand="0" w:oddHBand="0" w:evenHBand="0" w:firstRowFirstColumn="0" w:firstRowLastColumn="0" w:lastRowFirstColumn="0" w:lastRowLastColumn="0"/>
              <w:rPr>
                <w:sz w:val="22"/>
              </w:rPr>
            </w:pPr>
            <w:r>
              <w:rPr>
                <w:sz w:val="22"/>
              </w:rPr>
              <w:t>Données fournies par </w:t>
            </w:r>
            <w:r w:rsidRPr="00CC34B6">
              <w:rPr>
                <w:sz w:val="22"/>
              </w:rPr>
              <w:t>SPM</w:t>
            </w:r>
            <w:r>
              <w:rPr>
                <w:rStyle w:val="FootnoteReference"/>
              </w:rPr>
              <w:footnoteReference w:id="8"/>
            </w:r>
          </w:p>
        </w:tc>
      </w:tr>
      <w:tr w:rsidR="0092458E" w:rsidRPr="00CC34B6" w:rsidTr="00DF0748">
        <w:trPr>
          <w:trHeight w:val="465"/>
        </w:trPr>
        <w:tc>
          <w:tcPr>
            <w:cnfStyle w:val="001000000000" w:firstRow="0" w:lastRow="0" w:firstColumn="1" w:lastColumn="0" w:oddVBand="0" w:evenVBand="0" w:oddHBand="0" w:evenHBand="0" w:firstRowFirstColumn="0" w:firstRowLastColumn="0" w:lastRowFirstColumn="0" w:lastRowLastColumn="0"/>
            <w:tcW w:w="3681" w:type="dxa"/>
            <w:vMerge/>
          </w:tcPr>
          <w:p w:rsidR="0092458E" w:rsidRPr="00CC34B6" w:rsidRDefault="0092458E" w:rsidP="00DF0748">
            <w:pPr>
              <w:spacing w:before="20" w:after="20"/>
              <w:rPr>
                <w:rFonts w:eastAsia="Calibri" w:cs="Arial"/>
                <w:color w:val="4F81BD" w:themeColor="accent1"/>
                <w:sz w:val="22"/>
              </w:rPr>
            </w:pPr>
          </w:p>
        </w:tc>
        <w:tc>
          <w:tcPr>
            <w:tcW w:w="8363" w:type="dxa"/>
          </w:tcPr>
          <w:p w:rsidR="0092458E" w:rsidRPr="00F3043B" w:rsidRDefault="0092458E" w:rsidP="00DF0748">
            <w:pPr>
              <w:spacing w:before="60" w:after="60"/>
              <w:cnfStyle w:val="000000000000" w:firstRow="0" w:lastRow="0" w:firstColumn="0" w:lastColumn="0" w:oddVBand="0" w:evenVBand="0" w:oddHBand="0" w:evenHBand="0" w:firstRowFirstColumn="0" w:firstRowLastColumn="0" w:lastRowFirstColumn="0" w:lastRowLastColumn="0"/>
              <w:rPr>
                <w:sz w:val="22"/>
                <w:lang w:val="fr-CH"/>
              </w:rPr>
            </w:pPr>
            <w:r w:rsidRPr="00F3043B">
              <w:rPr>
                <w:sz w:val="22"/>
                <w:lang w:val="fr-CH"/>
              </w:rPr>
              <w:t xml:space="preserve">Nombre de pays/parties prenantes représentés/niveau de représentation (processus du SMSI/Telecom) </w:t>
            </w:r>
          </w:p>
        </w:tc>
        <w:tc>
          <w:tcPr>
            <w:tcW w:w="2552" w:type="dxa"/>
          </w:tcPr>
          <w:p w:rsidR="0092458E" w:rsidRPr="00F3043B" w:rsidRDefault="0092458E" w:rsidP="00DF0748">
            <w:pPr>
              <w:spacing w:before="60" w:after="60"/>
              <w:cnfStyle w:val="000000000000" w:firstRow="0" w:lastRow="0" w:firstColumn="0" w:lastColumn="0" w:oddVBand="0" w:evenVBand="0" w:oddHBand="0" w:evenHBand="0" w:firstRowFirstColumn="0" w:firstRowLastColumn="0" w:lastRowFirstColumn="0" w:lastRowLastColumn="0"/>
              <w:rPr>
                <w:sz w:val="22"/>
                <w:lang w:val="fr-CH"/>
              </w:rPr>
            </w:pPr>
            <w:r w:rsidRPr="00F3043B">
              <w:rPr>
                <w:sz w:val="22"/>
                <w:lang w:val="fr-CH"/>
              </w:rPr>
              <w:t>Données sur le SMSI, Telecom</w:t>
            </w:r>
            <w:r w:rsidRPr="00F3043B">
              <w:rPr>
                <w:sz w:val="22"/>
                <w:vertAlign w:val="superscript"/>
                <w:lang w:val="fr-CH"/>
              </w:rPr>
              <w:t>8</w:t>
            </w:r>
          </w:p>
        </w:tc>
      </w:tr>
      <w:tr w:rsidR="0092458E" w:rsidRPr="00CC34B6" w:rsidTr="00DF0748">
        <w:trPr>
          <w:trHeight w:val="465"/>
        </w:trPr>
        <w:tc>
          <w:tcPr>
            <w:cnfStyle w:val="001000000000" w:firstRow="0" w:lastRow="0" w:firstColumn="1" w:lastColumn="0" w:oddVBand="0" w:evenVBand="0" w:oddHBand="0" w:evenHBand="0" w:firstRowFirstColumn="0" w:firstRowLastColumn="0" w:lastRowFirstColumn="0" w:lastRowLastColumn="0"/>
            <w:tcW w:w="3681" w:type="dxa"/>
            <w:vMerge/>
          </w:tcPr>
          <w:p w:rsidR="0092458E" w:rsidRPr="00F3043B" w:rsidRDefault="0092458E" w:rsidP="00DF0748">
            <w:pPr>
              <w:spacing w:before="20" w:after="20"/>
              <w:rPr>
                <w:rFonts w:eastAsia="Calibri" w:cs="Arial"/>
                <w:color w:val="4F81BD" w:themeColor="accent1"/>
                <w:sz w:val="22"/>
                <w:lang w:val="fr-CH"/>
              </w:rPr>
            </w:pPr>
          </w:p>
        </w:tc>
        <w:tc>
          <w:tcPr>
            <w:tcW w:w="8363" w:type="dxa"/>
          </w:tcPr>
          <w:p w:rsidR="0092458E" w:rsidRPr="00F3043B" w:rsidRDefault="0092458E" w:rsidP="00DF0748">
            <w:pPr>
              <w:spacing w:before="60" w:after="60"/>
              <w:cnfStyle w:val="000000000000" w:firstRow="0" w:lastRow="0" w:firstColumn="0" w:lastColumn="0" w:oddVBand="0" w:evenVBand="0" w:oddHBand="0" w:evenHBand="0" w:firstRowFirstColumn="0" w:firstRowLastColumn="0" w:lastRowFirstColumn="0" w:lastRowLastColumn="0"/>
              <w:rPr>
                <w:sz w:val="22"/>
                <w:lang w:val="fr-CH"/>
              </w:rPr>
            </w:pPr>
            <w:r w:rsidRPr="00F3043B">
              <w:rPr>
                <w:sz w:val="22"/>
                <w:lang w:val="fr-CH"/>
              </w:rPr>
              <w:t xml:space="preserve">Niveau de l'indicateur de collaboration entre les parties prenantes concernées (SMSI et Telecom) </w:t>
            </w:r>
          </w:p>
        </w:tc>
        <w:tc>
          <w:tcPr>
            <w:tcW w:w="2552" w:type="dxa"/>
          </w:tcPr>
          <w:p w:rsidR="0092458E" w:rsidRPr="00F3043B" w:rsidRDefault="0092458E" w:rsidP="00DF0748">
            <w:pPr>
              <w:spacing w:before="60" w:after="60"/>
              <w:cnfStyle w:val="000000000000" w:firstRow="0" w:lastRow="0" w:firstColumn="0" w:lastColumn="0" w:oddVBand="0" w:evenVBand="0" w:oddHBand="0" w:evenHBand="0" w:firstRowFirstColumn="0" w:firstRowLastColumn="0" w:lastRowFirstColumn="0" w:lastRowLastColumn="0"/>
              <w:rPr>
                <w:sz w:val="22"/>
                <w:lang w:val="fr-CH"/>
              </w:rPr>
            </w:pPr>
            <w:r w:rsidRPr="00F3043B">
              <w:rPr>
                <w:sz w:val="22"/>
                <w:lang w:val="fr-CH"/>
              </w:rPr>
              <w:t>Données sur le SMSI, Telecom</w:t>
            </w:r>
            <w:r w:rsidRPr="00F3043B">
              <w:rPr>
                <w:sz w:val="22"/>
                <w:vertAlign w:val="superscript"/>
                <w:lang w:val="fr-CH"/>
              </w:rPr>
              <w:t>8</w:t>
            </w:r>
          </w:p>
        </w:tc>
      </w:tr>
    </w:tbl>
    <w:p w:rsidR="0092458E" w:rsidRPr="007F4668" w:rsidRDefault="0092458E" w:rsidP="00DF0748">
      <w:pPr>
        <w:spacing w:before="20" w:after="20"/>
        <w:rPr>
          <w:sz w:val="28"/>
          <w:szCs w:val="28"/>
        </w:rPr>
      </w:pPr>
    </w:p>
    <w:tbl>
      <w:tblPr>
        <w:tblStyle w:val="GridTable4-Accent12"/>
        <w:tblW w:w="14596" w:type="dxa"/>
        <w:tblLayout w:type="fixed"/>
        <w:tblLook w:val="0620" w:firstRow="1" w:lastRow="0" w:firstColumn="0" w:lastColumn="0" w:noHBand="1" w:noVBand="1"/>
      </w:tblPr>
      <w:tblGrid>
        <w:gridCol w:w="9493"/>
        <w:gridCol w:w="1275"/>
        <w:gridCol w:w="1418"/>
        <w:gridCol w:w="1276"/>
        <w:gridCol w:w="1134"/>
      </w:tblGrid>
      <w:tr w:rsidR="0092458E" w:rsidRPr="00CC34B6" w:rsidTr="00DF0748">
        <w:trPr>
          <w:cnfStyle w:val="100000000000" w:firstRow="1" w:lastRow="0" w:firstColumn="0" w:lastColumn="0" w:oddVBand="0" w:evenVBand="0" w:oddHBand="0" w:evenHBand="0" w:firstRowFirstColumn="0" w:firstRowLastColumn="0" w:lastRowFirstColumn="0" w:lastRowLastColumn="0"/>
        </w:trPr>
        <w:tc>
          <w:tcPr>
            <w:tcW w:w="9493" w:type="dxa"/>
          </w:tcPr>
          <w:p w:rsidR="0092458E" w:rsidRPr="00CC34B6" w:rsidRDefault="0092458E" w:rsidP="00DF0748">
            <w:pPr>
              <w:spacing w:before="20" w:after="20"/>
              <w:rPr>
                <w:sz w:val="22"/>
              </w:rPr>
            </w:pPr>
            <w:r w:rsidRPr="00CC34B6">
              <w:rPr>
                <w:sz w:val="22"/>
              </w:rPr>
              <w:t>Produit</w:t>
            </w:r>
          </w:p>
        </w:tc>
        <w:tc>
          <w:tcPr>
            <w:tcW w:w="5103" w:type="dxa"/>
            <w:gridSpan w:val="4"/>
          </w:tcPr>
          <w:p w:rsidR="0092458E" w:rsidRPr="00F3043B" w:rsidRDefault="0092458E" w:rsidP="00DF0748">
            <w:pPr>
              <w:spacing w:before="20" w:after="20"/>
              <w:jc w:val="center"/>
              <w:rPr>
                <w:sz w:val="22"/>
                <w:lang w:val="fr-CH"/>
              </w:rPr>
            </w:pPr>
            <w:bookmarkStart w:id="12" w:name="_Ref409707249"/>
            <w:r w:rsidRPr="00F3043B">
              <w:rPr>
                <w:sz w:val="22"/>
                <w:lang w:val="fr-CH"/>
              </w:rPr>
              <w:t>Ressources financières</w:t>
            </w:r>
            <w:bookmarkEnd w:id="12"/>
            <w:r>
              <w:rPr>
                <w:rStyle w:val="FootnoteReference"/>
              </w:rPr>
              <w:footnoteReference w:id="9"/>
            </w:r>
            <w:r w:rsidRPr="00F3043B">
              <w:rPr>
                <w:sz w:val="22"/>
                <w:lang w:val="fr-CH"/>
              </w:rPr>
              <w:t xml:space="preserve"> (en milliers CHF)</w:t>
            </w:r>
          </w:p>
        </w:tc>
      </w:tr>
      <w:tr w:rsidR="0092458E" w:rsidRPr="00CC34B6" w:rsidTr="00DF0748">
        <w:tc>
          <w:tcPr>
            <w:tcW w:w="9493" w:type="dxa"/>
          </w:tcPr>
          <w:p w:rsidR="0092458E" w:rsidRPr="00F3043B" w:rsidRDefault="0092458E" w:rsidP="00DF0748">
            <w:pPr>
              <w:spacing w:before="20" w:after="20"/>
              <w:rPr>
                <w:sz w:val="22"/>
                <w:lang w:val="fr-CH"/>
              </w:rPr>
            </w:pPr>
          </w:p>
        </w:tc>
        <w:tc>
          <w:tcPr>
            <w:tcW w:w="1275" w:type="dxa"/>
          </w:tcPr>
          <w:p w:rsidR="0092458E" w:rsidRPr="00CC34B6" w:rsidRDefault="0092458E" w:rsidP="00DF0748">
            <w:pPr>
              <w:spacing w:before="20" w:after="20"/>
              <w:jc w:val="center"/>
              <w:rPr>
                <w:b/>
                <w:bCs/>
                <w:color w:val="4F81BD" w:themeColor="accent1"/>
                <w:sz w:val="22"/>
              </w:rPr>
            </w:pPr>
            <w:r w:rsidRPr="00CC34B6">
              <w:rPr>
                <w:b/>
                <w:bCs/>
                <w:color w:val="4F81BD" w:themeColor="accent1"/>
                <w:sz w:val="22"/>
              </w:rPr>
              <w:t>2016</w:t>
            </w:r>
          </w:p>
        </w:tc>
        <w:tc>
          <w:tcPr>
            <w:tcW w:w="1418" w:type="dxa"/>
          </w:tcPr>
          <w:p w:rsidR="0092458E" w:rsidRPr="00CC34B6" w:rsidRDefault="0092458E" w:rsidP="00DF0748">
            <w:pPr>
              <w:spacing w:before="20" w:after="20"/>
              <w:jc w:val="center"/>
              <w:rPr>
                <w:b/>
                <w:bCs/>
                <w:color w:val="4F81BD" w:themeColor="accent1"/>
                <w:sz w:val="22"/>
              </w:rPr>
            </w:pPr>
            <w:r w:rsidRPr="00CC34B6">
              <w:rPr>
                <w:b/>
                <w:bCs/>
                <w:color w:val="4F81BD" w:themeColor="accent1"/>
                <w:sz w:val="22"/>
              </w:rPr>
              <w:t>2017</w:t>
            </w:r>
          </w:p>
        </w:tc>
        <w:tc>
          <w:tcPr>
            <w:tcW w:w="1276" w:type="dxa"/>
          </w:tcPr>
          <w:p w:rsidR="0092458E" w:rsidRPr="00CC34B6" w:rsidRDefault="0092458E" w:rsidP="00DF0748">
            <w:pPr>
              <w:spacing w:before="20" w:after="20"/>
              <w:jc w:val="center"/>
              <w:rPr>
                <w:b/>
                <w:bCs/>
                <w:color w:val="4F81BD" w:themeColor="accent1"/>
                <w:sz w:val="22"/>
              </w:rPr>
            </w:pPr>
            <w:r w:rsidRPr="00CC34B6">
              <w:rPr>
                <w:b/>
                <w:bCs/>
                <w:color w:val="4F81BD" w:themeColor="accent1"/>
                <w:sz w:val="22"/>
              </w:rPr>
              <w:t>2018</w:t>
            </w:r>
          </w:p>
        </w:tc>
        <w:tc>
          <w:tcPr>
            <w:tcW w:w="1134" w:type="dxa"/>
          </w:tcPr>
          <w:p w:rsidR="0092458E" w:rsidRPr="00CC34B6" w:rsidRDefault="0092458E" w:rsidP="00DF0748">
            <w:pPr>
              <w:spacing w:before="20" w:after="20"/>
              <w:jc w:val="center"/>
              <w:rPr>
                <w:b/>
                <w:bCs/>
                <w:color w:val="4F81BD" w:themeColor="accent1"/>
                <w:sz w:val="22"/>
              </w:rPr>
            </w:pPr>
            <w:r w:rsidRPr="00CC34B6">
              <w:rPr>
                <w:b/>
                <w:bCs/>
                <w:color w:val="4F81BD" w:themeColor="accent1"/>
                <w:sz w:val="22"/>
              </w:rPr>
              <w:t>2019</w:t>
            </w:r>
          </w:p>
        </w:tc>
      </w:tr>
      <w:tr w:rsidR="0092458E" w:rsidRPr="00CC34B6" w:rsidTr="00DF0748">
        <w:tc>
          <w:tcPr>
            <w:tcW w:w="9493" w:type="dxa"/>
          </w:tcPr>
          <w:p w:rsidR="0092458E" w:rsidRPr="00F3043B" w:rsidRDefault="0092458E" w:rsidP="00DF0748">
            <w:pPr>
              <w:spacing w:before="60" w:after="60"/>
              <w:contextualSpacing/>
              <w:rPr>
                <w:rFonts w:eastAsia="Calibri" w:cs="Arial"/>
                <w:sz w:val="22"/>
                <w:lang w:val="fr-CH"/>
              </w:rPr>
            </w:pPr>
            <w:r w:rsidRPr="00F3043B">
              <w:rPr>
                <w:rFonts w:eastAsia="Calibri" w:cs="Arial"/>
                <w:b/>
                <w:bCs/>
                <w:color w:val="4F81BD" w:themeColor="accent1"/>
                <w:sz w:val="22"/>
                <w:lang w:val="fr-CH"/>
              </w:rPr>
              <w:t>I.1-1</w:t>
            </w:r>
            <w:r w:rsidRPr="00F3043B">
              <w:rPr>
                <w:rFonts w:eastAsia="Calibri" w:cs="Arial"/>
                <w:sz w:val="22"/>
                <w:lang w:val="fr-CH"/>
              </w:rPr>
              <w:t>: Conférences, forums, manifestations et réunions intersectoriels au niveau mondial offrant un cadre de discussion de haut niveau (par exemple CMTI, FMPT, SMSI, Journée mondiale des télécommunications et de la société de l'information, ITU Telecom)</w:t>
            </w:r>
            <w:r>
              <w:rPr>
                <w:rStyle w:val="FootnoteReference"/>
                <w:rFonts w:eastAsia="Calibri" w:cs="Arial"/>
              </w:rPr>
              <w:footnoteReference w:id="10"/>
            </w:r>
          </w:p>
        </w:tc>
        <w:tc>
          <w:tcPr>
            <w:tcW w:w="1275" w:type="dxa"/>
            <w:tcMar>
              <w:right w:w="454" w:type="dxa"/>
            </w:tcMar>
            <w:vAlign w:val="center"/>
          </w:tcPr>
          <w:p w:rsidR="0092458E" w:rsidRPr="00CC34B6" w:rsidRDefault="0092458E" w:rsidP="00DF0748">
            <w:pPr>
              <w:spacing w:before="60" w:after="60"/>
              <w:jc w:val="right"/>
              <w:rPr>
                <w:i/>
                <w:iCs/>
                <w:color w:val="948A54" w:themeColor="background2" w:themeShade="80"/>
                <w:sz w:val="22"/>
              </w:rPr>
            </w:pPr>
            <w:r w:rsidRPr="00CC34B6">
              <w:rPr>
                <w:i/>
                <w:iCs/>
                <w:color w:val="767171"/>
                <w:sz w:val="22"/>
              </w:rPr>
              <w:t>2 993</w:t>
            </w:r>
          </w:p>
        </w:tc>
        <w:tc>
          <w:tcPr>
            <w:tcW w:w="1418" w:type="dxa"/>
            <w:tcMar>
              <w:right w:w="454" w:type="dxa"/>
            </w:tcMar>
            <w:vAlign w:val="center"/>
          </w:tcPr>
          <w:p w:rsidR="0092458E" w:rsidRPr="00CC34B6" w:rsidRDefault="0092458E" w:rsidP="00DF0748">
            <w:pPr>
              <w:spacing w:before="60" w:after="60"/>
              <w:jc w:val="right"/>
              <w:rPr>
                <w:color w:val="948A54" w:themeColor="background2" w:themeShade="80"/>
                <w:sz w:val="22"/>
              </w:rPr>
            </w:pPr>
            <w:r w:rsidRPr="00CC34B6">
              <w:rPr>
                <w:i/>
                <w:iCs/>
                <w:color w:val="767171"/>
                <w:sz w:val="22"/>
              </w:rPr>
              <w:t>3 455</w:t>
            </w:r>
          </w:p>
        </w:tc>
        <w:tc>
          <w:tcPr>
            <w:tcW w:w="1276" w:type="dxa"/>
            <w:vAlign w:val="center"/>
          </w:tcPr>
          <w:p w:rsidR="0092458E" w:rsidRPr="00CC34B6" w:rsidRDefault="0092458E" w:rsidP="00DF0748">
            <w:pPr>
              <w:spacing w:before="60" w:after="60"/>
              <w:jc w:val="center"/>
              <w:rPr>
                <w:color w:val="948A54" w:themeColor="background2" w:themeShade="80"/>
                <w:sz w:val="22"/>
              </w:rPr>
            </w:pPr>
            <w:r>
              <w:rPr>
                <w:sz w:val="22"/>
              </w:rPr>
              <w:t>sans objet</w:t>
            </w:r>
          </w:p>
        </w:tc>
        <w:tc>
          <w:tcPr>
            <w:tcW w:w="1134" w:type="dxa"/>
            <w:vAlign w:val="center"/>
          </w:tcPr>
          <w:p w:rsidR="0092458E" w:rsidRPr="00CC34B6" w:rsidRDefault="0092458E" w:rsidP="00DF0748">
            <w:pPr>
              <w:spacing w:before="60" w:after="60"/>
              <w:jc w:val="center"/>
              <w:rPr>
                <w:color w:val="948A54" w:themeColor="background2" w:themeShade="80"/>
                <w:sz w:val="22"/>
              </w:rPr>
            </w:pPr>
            <w:r>
              <w:rPr>
                <w:sz w:val="22"/>
              </w:rPr>
              <w:t>sans objet</w:t>
            </w:r>
          </w:p>
        </w:tc>
      </w:tr>
      <w:tr w:rsidR="0092458E" w:rsidRPr="00CC34B6" w:rsidTr="00DF0748">
        <w:tc>
          <w:tcPr>
            <w:tcW w:w="9493" w:type="dxa"/>
          </w:tcPr>
          <w:p w:rsidR="0092458E" w:rsidRPr="00F3043B" w:rsidRDefault="0092458E" w:rsidP="00DF0748">
            <w:pPr>
              <w:spacing w:before="60" w:after="60"/>
              <w:contextualSpacing/>
              <w:rPr>
                <w:rFonts w:eastAsia="Calibri" w:cs="Arial"/>
                <w:b/>
                <w:bCs/>
                <w:color w:val="4F81BD" w:themeColor="accent1"/>
                <w:sz w:val="22"/>
                <w:lang w:val="fr-CH"/>
              </w:rPr>
            </w:pPr>
            <w:r w:rsidRPr="00F3043B">
              <w:rPr>
                <w:rFonts w:eastAsia="Calibri" w:cs="Arial"/>
                <w:sz w:val="22"/>
                <w:lang w:val="fr-CH"/>
              </w:rPr>
              <w:t>Imputation des coûts à la Conférence de plénipotentiaires et aux activités du Conseil (</w:t>
            </w:r>
            <w:r w:rsidRPr="00F3043B">
              <w:rPr>
                <w:rFonts w:eastAsia="Calibri" w:cs="Arial"/>
                <w:b/>
                <w:bCs/>
                <w:color w:val="4F81BD" w:themeColor="accent1"/>
                <w:sz w:val="22"/>
                <w:lang w:val="fr-CH"/>
              </w:rPr>
              <w:t>PP</w:t>
            </w:r>
            <w:r w:rsidRPr="00F3043B">
              <w:rPr>
                <w:rFonts w:eastAsia="Calibri" w:cs="Arial"/>
                <w:sz w:val="22"/>
                <w:lang w:val="fr-CH"/>
              </w:rPr>
              <w:t xml:space="preserve">, </w:t>
            </w:r>
            <w:r w:rsidRPr="00F3043B">
              <w:rPr>
                <w:rFonts w:eastAsia="Calibri" w:cs="Arial"/>
                <w:b/>
                <w:bCs/>
                <w:color w:val="4F81BD" w:themeColor="accent1"/>
                <w:sz w:val="22"/>
                <w:lang w:val="fr-CH"/>
              </w:rPr>
              <w:t>Conseil/GTC</w:t>
            </w:r>
            <w:r w:rsidRPr="00F3043B">
              <w:rPr>
                <w:rFonts w:eastAsia="Calibri" w:cs="Arial"/>
                <w:sz w:val="22"/>
                <w:lang w:val="fr-CH"/>
              </w:rPr>
              <w:t>)</w:t>
            </w:r>
          </w:p>
        </w:tc>
        <w:tc>
          <w:tcPr>
            <w:tcW w:w="1275" w:type="dxa"/>
            <w:tcMar>
              <w:right w:w="454" w:type="dxa"/>
            </w:tcMar>
            <w:vAlign w:val="center"/>
          </w:tcPr>
          <w:p w:rsidR="0092458E" w:rsidRPr="00CC34B6" w:rsidRDefault="0092458E" w:rsidP="00DF0748">
            <w:pPr>
              <w:spacing w:before="60" w:after="60"/>
              <w:jc w:val="right"/>
              <w:rPr>
                <w:sz w:val="22"/>
                <w:highlight w:val="yellow"/>
              </w:rPr>
            </w:pPr>
            <w:r w:rsidRPr="00CC34B6">
              <w:rPr>
                <w:i/>
                <w:iCs/>
                <w:color w:val="767171"/>
                <w:sz w:val="22"/>
              </w:rPr>
              <w:t>96</w:t>
            </w:r>
          </w:p>
        </w:tc>
        <w:tc>
          <w:tcPr>
            <w:tcW w:w="1418" w:type="dxa"/>
            <w:tcMar>
              <w:right w:w="454" w:type="dxa"/>
            </w:tcMar>
            <w:vAlign w:val="center"/>
          </w:tcPr>
          <w:p w:rsidR="0092458E" w:rsidRPr="00CC34B6" w:rsidRDefault="0092458E" w:rsidP="00DF0748">
            <w:pPr>
              <w:spacing w:before="60" w:after="60"/>
              <w:jc w:val="right"/>
              <w:rPr>
                <w:sz w:val="22"/>
                <w:highlight w:val="yellow"/>
              </w:rPr>
            </w:pPr>
            <w:r w:rsidRPr="00CC34B6">
              <w:rPr>
                <w:i/>
                <w:iCs/>
                <w:color w:val="767171"/>
                <w:sz w:val="22"/>
              </w:rPr>
              <w:t>121</w:t>
            </w:r>
          </w:p>
        </w:tc>
        <w:tc>
          <w:tcPr>
            <w:tcW w:w="1276" w:type="dxa"/>
            <w:vAlign w:val="center"/>
          </w:tcPr>
          <w:p w:rsidR="0092458E" w:rsidRPr="00CC34B6" w:rsidRDefault="0092458E" w:rsidP="00DF0748">
            <w:pPr>
              <w:spacing w:before="60" w:after="60"/>
              <w:jc w:val="center"/>
              <w:rPr>
                <w:sz w:val="22"/>
              </w:rPr>
            </w:pPr>
            <w:r>
              <w:rPr>
                <w:sz w:val="22"/>
              </w:rPr>
              <w:t>sans objet</w:t>
            </w:r>
          </w:p>
        </w:tc>
        <w:tc>
          <w:tcPr>
            <w:tcW w:w="1134" w:type="dxa"/>
            <w:vAlign w:val="center"/>
          </w:tcPr>
          <w:p w:rsidR="0092458E" w:rsidRPr="00CC34B6" w:rsidRDefault="0092458E" w:rsidP="00DF0748">
            <w:pPr>
              <w:spacing w:before="60" w:after="60"/>
              <w:jc w:val="center"/>
              <w:rPr>
                <w:sz w:val="22"/>
              </w:rPr>
            </w:pPr>
            <w:r>
              <w:rPr>
                <w:sz w:val="22"/>
              </w:rPr>
              <w:t>sans objet</w:t>
            </w:r>
          </w:p>
        </w:tc>
      </w:tr>
      <w:tr w:rsidR="0092458E" w:rsidRPr="00CC34B6" w:rsidTr="00DF0748">
        <w:tc>
          <w:tcPr>
            <w:tcW w:w="9493" w:type="dxa"/>
          </w:tcPr>
          <w:p w:rsidR="0092458E" w:rsidRPr="00CC34B6" w:rsidRDefault="0092458E" w:rsidP="00DF0748">
            <w:pPr>
              <w:spacing w:before="60" w:after="60" w:line="216" w:lineRule="auto"/>
              <w:ind w:right="113"/>
              <w:rPr>
                <w:b/>
                <w:bCs/>
                <w:noProof/>
                <w:color w:val="4F81BD" w:themeColor="accent1"/>
                <w:sz w:val="22"/>
                <w:lang w:eastAsia="zh-CN"/>
              </w:rPr>
            </w:pPr>
            <w:r w:rsidRPr="00CC34B6">
              <w:rPr>
                <w:b/>
                <w:bCs/>
                <w:noProof/>
                <w:color w:val="4F81BD" w:themeColor="accent1"/>
                <w:sz w:val="22"/>
                <w:lang w:eastAsia="zh-CN"/>
              </w:rPr>
              <w:t>Total pour l'objectif I.1</w:t>
            </w:r>
          </w:p>
        </w:tc>
        <w:tc>
          <w:tcPr>
            <w:tcW w:w="1275" w:type="dxa"/>
            <w:tcMar>
              <w:right w:w="454" w:type="dxa"/>
            </w:tcMar>
            <w:vAlign w:val="center"/>
          </w:tcPr>
          <w:p w:rsidR="0092458E" w:rsidRPr="00CC34B6" w:rsidRDefault="0092458E" w:rsidP="00DF0748">
            <w:pPr>
              <w:spacing w:before="60" w:after="60"/>
              <w:jc w:val="right"/>
              <w:rPr>
                <w:b/>
                <w:bCs/>
                <w:sz w:val="22"/>
                <w:highlight w:val="yellow"/>
              </w:rPr>
            </w:pPr>
            <w:r w:rsidRPr="00CC34B6">
              <w:rPr>
                <w:b/>
                <w:bCs/>
                <w:i/>
                <w:iCs/>
                <w:color w:val="767171"/>
                <w:sz w:val="22"/>
              </w:rPr>
              <w:t>3 089</w:t>
            </w:r>
          </w:p>
        </w:tc>
        <w:tc>
          <w:tcPr>
            <w:tcW w:w="1418" w:type="dxa"/>
            <w:tcMar>
              <w:right w:w="454" w:type="dxa"/>
            </w:tcMar>
            <w:vAlign w:val="center"/>
          </w:tcPr>
          <w:p w:rsidR="0092458E" w:rsidRPr="00CC34B6" w:rsidRDefault="0092458E" w:rsidP="00DF0748">
            <w:pPr>
              <w:spacing w:before="60" w:after="60"/>
              <w:jc w:val="right"/>
              <w:rPr>
                <w:b/>
                <w:bCs/>
                <w:sz w:val="22"/>
                <w:highlight w:val="yellow"/>
              </w:rPr>
            </w:pPr>
            <w:r w:rsidRPr="00CC34B6">
              <w:rPr>
                <w:b/>
                <w:bCs/>
                <w:i/>
                <w:iCs/>
                <w:color w:val="767171"/>
                <w:sz w:val="22"/>
              </w:rPr>
              <w:t>3 576</w:t>
            </w:r>
          </w:p>
        </w:tc>
        <w:tc>
          <w:tcPr>
            <w:tcW w:w="1276" w:type="dxa"/>
            <w:vAlign w:val="center"/>
          </w:tcPr>
          <w:p w:rsidR="0092458E" w:rsidRPr="00CC34B6" w:rsidRDefault="0092458E" w:rsidP="00DF0748">
            <w:pPr>
              <w:spacing w:before="60" w:after="60"/>
              <w:jc w:val="center"/>
              <w:rPr>
                <w:sz w:val="22"/>
              </w:rPr>
            </w:pPr>
            <w:r>
              <w:rPr>
                <w:sz w:val="22"/>
              </w:rPr>
              <w:t>sans objet</w:t>
            </w:r>
          </w:p>
        </w:tc>
        <w:tc>
          <w:tcPr>
            <w:tcW w:w="1134" w:type="dxa"/>
            <w:vAlign w:val="center"/>
          </w:tcPr>
          <w:p w:rsidR="0092458E" w:rsidRPr="00CC34B6" w:rsidRDefault="0092458E" w:rsidP="00DF0748">
            <w:pPr>
              <w:spacing w:before="60" w:after="60"/>
              <w:jc w:val="center"/>
              <w:rPr>
                <w:sz w:val="22"/>
              </w:rPr>
            </w:pPr>
            <w:r>
              <w:rPr>
                <w:sz w:val="22"/>
              </w:rPr>
              <w:t>sans objet</w:t>
            </w:r>
          </w:p>
        </w:tc>
      </w:tr>
    </w:tbl>
    <w:p w:rsidR="0092458E" w:rsidRPr="007F4668" w:rsidRDefault="0092458E" w:rsidP="00DF0748">
      <w:pPr>
        <w:pStyle w:val="Heading2"/>
      </w:pPr>
      <w:r w:rsidRPr="007F4668">
        <w:br w:type="page"/>
      </w:r>
    </w:p>
    <w:p w:rsidR="0092458E" w:rsidRPr="007F4668" w:rsidRDefault="0092458E" w:rsidP="00DF0748">
      <w:pPr>
        <w:pStyle w:val="Heading2"/>
        <w:spacing w:after="120"/>
      </w:pPr>
      <w:r w:rsidRPr="007F4668">
        <w:lastRenderedPageBreak/>
        <w:t>6.2</w:t>
      </w:r>
      <w:r w:rsidRPr="007F4668">
        <w:tab/>
        <w:t>I.2 Renforcer les partenariats et la coopération dans l'environnement des télécommunications/TIC</w:t>
      </w:r>
    </w:p>
    <w:tbl>
      <w:tblPr>
        <w:tblStyle w:val="GridTable4-Accent12"/>
        <w:tblW w:w="14596" w:type="dxa"/>
        <w:tblLook w:val="06A0" w:firstRow="1" w:lastRow="0" w:firstColumn="1" w:lastColumn="0" w:noHBand="1" w:noVBand="1"/>
      </w:tblPr>
      <w:tblGrid>
        <w:gridCol w:w="5665"/>
        <w:gridCol w:w="6521"/>
        <w:gridCol w:w="2410"/>
      </w:tblGrid>
      <w:tr w:rsidR="0092458E" w:rsidRPr="00EF0052" w:rsidTr="00DF0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rsidR="0092458E" w:rsidRPr="00EF0052" w:rsidRDefault="0092458E" w:rsidP="00DF0748">
            <w:pPr>
              <w:spacing w:before="20" w:after="20"/>
              <w:rPr>
                <w:sz w:val="22"/>
              </w:rPr>
            </w:pPr>
            <w:r w:rsidRPr="00EF0052">
              <w:rPr>
                <w:sz w:val="22"/>
              </w:rPr>
              <w:t>Résultat</w:t>
            </w:r>
          </w:p>
        </w:tc>
        <w:tc>
          <w:tcPr>
            <w:tcW w:w="6521" w:type="dxa"/>
          </w:tcPr>
          <w:p w:rsidR="0092458E" w:rsidRPr="00F3043B" w:rsidRDefault="0092458E" w:rsidP="00DF0748">
            <w:pPr>
              <w:spacing w:before="20" w:after="20"/>
              <w:cnfStyle w:val="100000000000" w:firstRow="1" w:lastRow="0" w:firstColumn="0" w:lastColumn="0" w:oddVBand="0" w:evenVBand="0" w:oddHBand="0" w:evenHBand="0" w:firstRowFirstColumn="0" w:firstRowLastColumn="0" w:lastRowFirstColumn="0" w:lastRowLastColumn="0"/>
              <w:rPr>
                <w:sz w:val="22"/>
                <w:lang w:val="fr-CH"/>
              </w:rPr>
            </w:pPr>
            <w:r w:rsidRPr="00F3043B">
              <w:rPr>
                <w:sz w:val="22"/>
                <w:lang w:val="fr-CH"/>
              </w:rPr>
              <w:t>Indicateur de résultat (valeur actuelle – valeur d'ici à 2020)</w:t>
            </w:r>
          </w:p>
        </w:tc>
        <w:tc>
          <w:tcPr>
            <w:tcW w:w="2410" w:type="dxa"/>
          </w:tcPr>
          <w:p w:rsidR="0092458E" w:rsidRPr="00EF0052" w:rsidRDefault="0092458E" w:rsidP="00DF0748">
            <w:pPr>
              <w:spacing w:before="20" w:after="20"/>
              <w:cnfStyle w:val="100000000000" w:firstRow="1" w:lastRow="0" w:firstColumn="0" w:lastColumn="0" w:oddVBand="0" w:evenVBand="0" w:oddHBand="0" w:evenHBand="0" w:firstRowFirstColumn="0" w:firstRowLastColumn="0" w:lastRowFirstColumn="0" w:lastRowLastColumn="0"/>
              <w:rPr>
                <w:sz w:val="22"/>
              </w:rPr>
            </w:pPr>
            <w:r w:rsidRPr="00EF0052">
              <w:rPr>
                <w:sz w:val="22"/>
              </w:rPr>
              <w:t>Moyen de mesure</w:t>
            </w:r>
          </w:p>
        </w:tc>
      </w:tr>
      <w:tr w:rsidR="0092458E" w:rsidRPr="00EF0052" w:rsidTr="00DF0748">
        <w:tc>
          <w:tcPr>
            <w:cnfStyle w:val="001000000000" w:firstRow="0" w:lastRow="0" w:firstColumn="1" w:lastColumn="0" w:oddVBand="0" w:evenVBand="0" w:oddHBand="0" w:evenHBand="0" w:firstRowFirstColumn="0" w:firstRowLastColumn="0" w:lastRowFirstColumn="0" w:lastRowLastColumn="0"/>
            <w:tcW w:w="5665" w:type="dxa"/>
          </w:tcPr>
          <w:p w:rsidR="0092458E" w:rsidRPr="00F3043B" w:rsidRDefault="0092458E" w:rsidP="00DF0748">
            <w:pPr>
              <w:spacing w:before="20" w:after="20"/>
              <w:rPr>
                <w:rFonts w:eastAsia="Calibri" w:cs="Arial"/>
                <w:b w:val="0"/>
                <w:bCs w:val="0"/>
                <w:sz w:val="22"/>
                <w:lang w:val="fr-CH"/>
              </w:rPr>
            </w:pPr>
            <w:r w:rsidRPr="00F3043B">
              <w:rPr>
                <w:rFonts w:eastAsia="Calibri" w:cs="Arial"/>
                <w:color w:val="4F81BD" w:themeColor="accent1"/>
                <w:sz w:val="22"/>
                <w:lang w:val="fr-CH"/>
              </w:rPr>
              <w:t>I.2-1</w:t>
            </w:r>
            <w:r w:rsidRPr="00F3043B">
              <w:rPr>
                <w:rFonts w:eastAsia="Calibri" w:cs="Arial"/>
                <w:sz w:val="22"/>
                <w:lang w:val="fr-CH"/>
              </w:rPr>
              <w:t xml:space="preserve">: </w:t>
            </w:r>
            <w:r w:rsidRPr="00F3043B">
              <w:rPr>
                <w:rFonts w:eastAsia="Calibri" w:cs="Arial"/>
                <w:b w:val="0"/>
                <w:bCs w:val="0"/>
                <w:sz w:val="22"/>
                <w:lang w:val="fr-CH"/>
              </w:rPr>
              <w:t>Renforcement des synergies nées des partenariats concernant les télécommunications/TIC</w:t>
            </w:r>
          </w:p>
        </w:tc>
        <w:tc>
          <w:tcPr>
            <w:tcW w:w="6521" w:type="dxa"/>
          </w:tcPr>
          <w:p w:rsidR="0092458E" w:rsidRPr="00F3043B" w:rsidRDefault="0092458E" w:rsidP="00DF0748">
            <w:pPr>
              <w:spacing w:before="20" w:after="20"/>
              <w:cnfStyle w:val="000000000000" w:firstRow="0" w:lastRow="0" w:firstColumn="0" w:lastColumn="0" w:oddVBand="0" w:evenVBand="0" w:oddHBand="0" w:evenHBand="0" w:firstRowFirstColumn="0" w:firstRowLastColumn="0" w:lastRowFirstColumn="0" w:lastRowLastColumn="0"/>
              <w:rPr>
                <w:color w:val="948A54" w:themeColor="background2" w:themeShade="80"/>
                <w:sz w:val="22"/>
                <w:lang w:val="fr-CH"/>
              </w:rPr>
            </w:pPr>
            <w:r w:rsidRPr="00F3043B">
              <w:rPr>
                <w:sz w:val="22"/>
                <w:lang w:val="fr-CH"/>
              </w:rPr>
              <w:t xml:space="preserve">Nombre de partenariats/accords de coopération et mémorandums d'accord qui génèrent des activités contribuant à la mise en oeuvre du Plan stratégique </w:t>
            </w:r>
          </w:p>
        </w:tc>
        <w:tc>
          <w:tcPr>
            <w:tcW w:w="2410" w:type="dxa"/>
          </w:tcPr>
          <w:p w:rsidR="0092458E" w:rsidRPr="00F3043B" w:rsidRDefault="0092458E" w:rsidP="00DF0748">
            <w:pPr>
              <w:spacing w:before="20" w:after="20"/>
              <w:cnfStyle w:val="000000000000" w:firstRow="0" w:lastRow="0" w:firstColumn="0" w:lastColumn="0" w:oddVBand="0" w:evenVBand="0" w:oddHBand="0" w:evenHBand="0" w:firstRowFirstColumn="0" w:firstRowLastColumn="0" w:lastRowFirstColumn="0" w:lastRowLastColumn="0"/>
              <w:rPr>
                <w:color w:val="948A54" w:themeColor="background2" w:themeShade="80"/>
                <w:sz w:val="22"/>
                <w:lang w:val="fr-CH"/>
              </w:rPr>
            </w:pPr>
            <w:r w:rsidRPr="00F3043B">
              <w:rPr>
                <w:sz w:val="22"/>
                <w:lang w:val="fr-CH"/>
              </w:rPr>
              <w:t>Données sur le SMSI, Telecom</w:t>
            </w:r>
            <w:r w:rsidRPr="00F3043B">
              <w:rPr>
                <w:sz w:val="22"/>
                <w:vertAlign w:val="superscript"/>
                <w:lang w:val="fr-CH"/>
              </w:rPr>
              <w:t>8</w:t>
            </w:r>
          </w:p>
        </w:tc>
      </w:tr>
    </w:tbl>
    <w:p w:rsidR="0092458E" w:rsidRPr="007F4668" w:rsidRDefault="0092458E" w:rsidP="00DF0748">
      <w:pPr>
        <w:spacing w:before="20" w:after="20"/>
        <w:rPr>
          <w:sz w:val="2"/>
          <w:szCs w:val="2"/>
        </w:rPr>
      </w:pPr>
    </w:p>
    <w:tbl>
      <w:tblPr>
        <w:tblStyle w:val="GridTable4-Accent12"/>
        <w:tblW w:w="14596" w:type="dxa"/>
        <w:tblLayout w:type="fixed"/>
        <w:tblLook w:val="0620" w:firstRow="1" w:lastRow="0" w:firstColumn="0" w:lastColumn="0" w:noHBand="1" w:noVBand="1"/>
      </w:tblPr>
      <w:tblGrid>
        <w:gridCol w:w="9776"/>
        <w:gridCol w:w="1276"/>
        <w:gridCol w:w="1134"/>
        <w:gridCol w:w="1276"/>
        <w:gridCol w:w="1134"/>
      </w:tblGrid>
      <w:tr w:rsidR="0092458E" w:rsidRPr="00EF0052" w:rsidTr="00DF0748">
        <w:trPr>
          <w:cnfStyle w:val="100000000000" w:firstRow="1" w:lastRow="0" w:firstColumn="0" w:lastColumn="0" w:oddVBand="0" w:evenVBand="0" w:oddHBand="0" w:evenHBand="0" w:firstRowFirstColumn="0" w:firstRowLastColumn="0" w:lastRowFirstColumn="0" w:lastRowLastColumn="0"/>
        </w:trPr>
        <w:tc>
          <w:tcPr>
            <w:tcW w:w="9776" w:type="dxa"/>
          </w:tcPr>
          <w:p w:rsidR="0092458E" w:rsidRPr="00EF0052" w:rsidRDefault="0092458E" w:rsidP="00DF0748">
            <w:pPr>
              <w:spacing w:before="20" w:after="20"/>
              <w:rPr>
                <w:sz w:val="22"/>
              </w:rPr>
            </w:pPr>
            <w:r w:rsidRPr="00EF0052">
              <w:rPr>
                <w:sz w:val="22"/>
              </w:rPr>
              <w:t>Produit</w:t>
            </w:r>
          </w:p>
        </w:tc>
        <w:tc>
          <w:tcPr>
            <w:tcW w:w="4820" w:type="dxa"/>
            <w:gridSpan w:val="4"/>
          </w:tcPr>
          <w:p w:rsidR="0092458E" w:rsidRPr="00F3043B" w:rsidRDefault="0092458E" w:rsidP="00DF0748">
            <w:pPr>
              <w:spacing w:before="20" w:after="20"/>
              <w:jc w:val="center"/>
              <w:rPr>
                <w:sz w:val="22"/>
                <w:lang w:val="fr-CH"/>
              </w:rPr>
            </w:pPr>
            <w:r w:rsidRPr="00F3043B">
              <w:rPr>
                <w:sz w:val="22"/>
                <w:lang w:val="fr-CH"/>
              </w:rPr>
              <w:t>Ressources financières</w:t>
            </w:r>
            <w:r>
              <w:rPr>
                <w:rStyle w:val="FootnoteReference"/>
              </w:rPr>
              <w:footnoteReference w:id="11"/>
            </w:r>
            <w:r w:rsidRPr="00F3043B">
              <w:rPr>
                <w:sz w:val="22"/>
                <w:lang w:val="fr-CH"/>
              </w:rPr>
              <w:t xml:space="preserve"> (en milliers CHF)</w:t>
            </w:r>
          </w:p>
        </w:tc>
      </w:tr>
      <w:tr w:rsidR="0092458E" w:rsidRPr="00EF0052" w:rsidTr="00DF0748">
        <w:tc>
          <w:tcPr>
            <w:tcW w:w="9776" w:type="dxa"/>
          </w:tcPr>
          <w:p w:rsidR="0092458E" w:rsidRPr="00F3043B" w:rsidRDefault="0092458E" w:rsidP="00DF0748">
            <w:pPr>
              <w:spacing w:before="20" w:after="20"/>
              <w:rPr>
                <w:sz w:val="22"/>
                <w:lang w:val="fr-CH"/>
              </w:rPr>
            </w:pPr>
          </w:p>
        </w:tc>
        <w:tc>
          <w:tcPr>
            <w:tcW w:w="1276" w:type="dxa"/>
          </w:tcPr>
          <w:p w:rsidR="0092458E" w:rsidRPr="00EF0052" w:rsidRDefault="0092458E" w:rsidP="00DF0748">
            <w:pPr>
              <w:spacing w:before="20" w:after="20"/>
              <w:jc w:val="center"/>
              <w:rPr>
                <w:b/>
                <w:bCs/>
                <w:color w:val="4F81BD" w:themeColor="accent1"/>
                <w:sz w:val="22"/>
              </w:rPr>
            </w:pPr>
            <w:r w:rsidRPr="00EF0052">
              <w:rPr>
                <w:b/>
                <w:bCs/>
                <w:color w:val="4F81BD" w:themeColor="accent1"/>
                <w:sz w:val="22"/>
              </w:rPr>
              <w:t>2016</w:t>
            </w:r>
          </w:p>
        </w:tc>
        <w:tc>
          <w:tcPr>
            <w:tcW w:w="1134" w:type="dxa"/>
          </w:tcPr>
          <w:p w:rsidR="0092458E" w:rsidRPr="00EF0052" w:rsidRDefault="0092458E" w:rsidP="00DF0748">
            <w:pPr>
              <w:spacing w:before="20" w:after="20"/>
              <w:jc w:val="center"/>
              <w:rPr>
                <w:b/>
                <w:bCs/>
                <w:color w:val="4F81BD" w:themeColor="accent1"/>
                <w:sz w:val="22"/>
              </w:rPr>
            </w:pPr>
            <w:r w:rsidRPr="00EF0052">
              <w:rPr>
                <w:b/>
                <w:bCs/>
                <w:color w:val="4F81BD" w:themeColor="accent1"/>
                <w:sz w:val="22"/>
              </w:rPr>
              <w:t>2017</w:t>
            </w:r>
          </w:p>
        </w:tc>
        <w:tc>
          <w:tcPr>
            <w:tcW w:w="1276" w:type="dxa"/>
          </w:tcPr>
          <w:p w:rsidR="0092458E" w:rsidRPr="00EF0052" w:rsidRDefault="0092458E" w:rsidP="00DF0748">
            <w:pPr>
              <w:spacing w:before="20" w:after="20"/>
              <w:jc w:val="center"/>
              <w:rPr>
                <w:b/>
                <w:bCs/>
                <w:color w:val="4F81BD" w:themeColor="accent1"/>
                <w:sz w:val="22"/>
              </w:rPr>
            </w:pPr>
            <w:r w:rsidRPr="00EF0052">
              <w:rPr>
                <w:b/>
                <w:bCs/>
                <w:color w:val="4F81BD" w:themeColor="accent1"/>
                <w:sz w:val="22"/>
              </w:rPr>
              <w:t>2018</w:t>
            </w:r>
          </w:p>
        </w:tc>
        <w:tc>
          <w:tcPr>
            <w:tcW w:w="1134" w:type="dxa"/>
          </w:tcPr>
          <w:p w:rsidR="0092458E" w:rsidRPr="00EF0052" w:rsidRDefault="0092458E" w:rsidP="00DF0748">
            <w:pPr>
              <w:spacing w:before="20" w:after="20"/>
              <w:jc w:val="center"/>
              <w:rPr>
                <w:b/>
                <w:bCs/>
                <w:color w:val="4F81BD" w:themeColor="accent1"/>
                <w:sz w:val="22"/>
              </w:rPr>
            </w:pPr>
            <w:r w:rsidRPr="00EF0052">
              <w:rPr>
                <w:b/>
                <w:bCs/>
                <w:color w:val="4F81BD" w:themeColor="accent1"/>
                <w:sz w:val="22"/>
              </w:rPr>
              <w:t>2019</w:t>
            </w:r>
          </w:p>
        </w:tc>
      </w:tr>
      <w:tr w:rsidR="0092458E" w:rsidRPr="00EF0052" w:rsidTr="00DF0748">
        <w:tc>
          <w:tcPr>
            <w:tcW w:w="9776" w:type="dxa"/>
          </w:tcPr>
          <w:p w:rsidR="0092458E" w:rsidRPr="00F3043B" w:rsidRDefault="0092458E" w:rsidP="00DF0748">
            <w:pPr>
              <w:spacing w:before="20" w:after="20"/>
              <w:contextualSpacing/>
              <w:rPr>
                <w:rFonts w:eastAsia="Calibri" w:cs="Arial"/>
                <w:sz w:val="22"/>
                <w:lang w:val="fr-CH"/>
              </w:rPr>
            </w:pPr>
            <w:r w:rsidRPr="00F3043B">
              <w:rPr>
                <w:rFonts w:eastAsia="Calibri" w:cs="Arial"/>
                <w:b/>
                <w:bCs/>
                <w:color w:val="4F81BD" w:themeColor="accent1"/>
                <w:sz w:val="22"/>
                <w:lang w:val="fr-CH"/>
              </w:rPr>
              <w:t>I.2-1</w:t>
            </w:r>
            <w:r w:rsidRPr="00F3043B">
              <w:rPr>
                <w:b/>
                <w:bCs/>
                <w:noProof/>
                <w:color w:val="4F81BD" w:themeColor="accent1"/>
                <w:sz w:val="22"/>
                <w:lang w:val="fr-CH" w:eastAsia="zh-CN"/>
              </w:rPr>
              <w:t xml:space="preserve"> </w:t>
            </w:r>
            <w:r w:rsidRPr="00F3043B">
              <w:rPr>
                <w:rFonts w:eastAsia="Calibri" w:cs="Arial"/>
                <w:sz w:val="22"/>
                <w:lang w:val="fr-CH"/>
              </w:rPr>
              <w:t>Echange de connaissances, création de réseaux de relations et partenariats</w:t>
            </w:r>
          </w:p>
        </w:tc>
        <w:tc>
          <w:tcPr>
            <w:tcW w:w="1276" w:type="dxa"/>
            <w:tcMar>
              <w:right w:w="454" w:type="dxa"/>
            </w:tcMar>
            <w:vAlign w:val="center"/>
          </w:tcPr>
          <w:p w:rsidR="0092458E" w:rsidRPr="00EF0052" w:rsidRDefault="0092458E" w:rsidP="00DF0748">
            <w:pPr>
              <w:spacing w:before="20" w:after="20"/>
              <w:jc w:val="right"/>
              <w:rPr>
                <w:sz w:val="22"/>
              </w:rPr>
            </w:pPr>
            <w:r w:rsidRPr="00EF0052">
              <w:rPr>
                <w:i/>
                <w:iCs/>
                <w:color w:val="767171"/>
                <w:sz w:val="22"/>
              </w:rPr>
              <w:t>2 418</w:t>
            </w:r>
          </w:p>
        </w:tc>
        <w:tc>
          <w:tcPr>
            <w:tcW w:w="1134" w:type="dxa"/>
            <w:tcMar>
              <w:right w:w="454" w:type="dxa"/>
            </w:tcMar>
            <w:vAlign w:val="center"/>
          </w:tcPr>
          <w:p w:rsidR="0092458E" w:rsidRPr="00EF0052" w:rsidRDefault="0092458E" w:rsidP="00DF0748">
            <w:pPr>
              <w:spacing w:before="20" w:after="20"/>
              <w:jc w:val="right"/>
              <w:rPr>
                <w:sz w:val="22"/>
              </w:rPr>
            </w:pPr>
            <w:r w:rsidRPr="00EF0052">
              <w:rPr>
                <w:i/>
                <w:iCs/>
                <w:color w:val="767171"/>
                <w:sz w:val="22"/>
              </w:rPr>
              <w:t>2 417</w:t>
            </w:r>
          </w:p>
        </w:tc>
        <w:tc>
          <w:tcPr>
            <w:tcW w:w="1276" w:type="dxa"/>
            <w:vAlign w:val="center"/>
          </w:tcPr>
          <w:p w:rsidR="0092458E" w:rsidRPr="00EF0052" w:rsidRDefault="0092458E" w:rsidP="00DF0748">
            <w:pPr>
              <w:spacing w:before="20" w:after="20"/>
              <w:jc w:val="center"/>
              <w:rPr>
                <w:sz w:val="22"/>
              </w:rPr>
            </w:pPr>
            <w:r>
              <w:rPr>
                <w:sz w:val="22"/>
              </w:rPr>
              <w:t>sans objet</w:t>
            </w:r>
          </w:p>
        </w:tc>
        <w:tc>
          <w:tcPr>
            <w:tcW w:w="1134" w:type="dxa"/>
            <w:vAlign w:val="center"/>
          </w:tcPr>
          <w:p w:rsidR="0092458E" w:rsidRPr="00EF0052" w:rsidRDefault="0092458E" w:rsidP="00DF0748">
            <w:pPr>
              <w:spacing w:before="20" w:after="20"/>
              <w:jc w:val="center"/>
              <w:rPr>
                <w:sz w:val="22"/>
              </w:rPr>
            </w:pPr>
            <w:r>
              <w:rPr>
                <w:sz w:val="22"/>
              </w:rPr>
              <w:t>sans objet</w:t>
            </w:r>
          </w:p>
        </w:tc>
      </w:tr>
      <w:tr w:rsidR="0092458E" w:rsidRPr="00EF0052" w:rsidTr="00DF0748">
        <w:tc>
          <w:tcPr>
            <w:tcW w:w="9776" w:type="dxa"/>
          </w:tcPr>
          <w:p w:rsidR="0092458E" w:rsidRPr="00EF0052" w:rsidRDefault="0092458E" w:rsidP="00DF0748">
            <w:pPr>
              <w:spacing w:before="20" w:after="20"/>
              <w:contextualSpacing/>
              <w:rPr>
                <w:rFonts w:eastAsia="Calibri" w:cs="Arial"/>
                <w:b/>
                <w:bCs/>
                <w:color w:val="4F81BD" w:themeColor="accent1"/>
                <w:sz w:val="22"/>
              </w:rPr>
            </w:pPr>
            <w:r w:rsidRPr="00EF0052">
              <w:rPr>
                <w:rFonts w:eastAsia="Calibri" w:cs="Arial"/>
                <w:b/>
                <w:bCs/>
                <w:color w:val="4F81BD" w:themeColor="accent1"/>
                <w:sz w:val="22"/>
              </w:rPr>
              <w:t>I.2-2</w:t>
            </w:r>
            <w:r w:rsidRPr="00EF0052">
              <w:rPr>
                <w:b/>
                <w:bCs/>
                <w:noProof/>
                <w:color w:val="4F81BD" w:themeColor="accent1"/>
                <w:sz w:val="22"/>
                <w:lang w:eastAsia="zh-CN"/>
              </w:rPr>
              <w:t xml:space="preserve"> </w:t>
            </w:r>
            <w:r w:rsidRPr="00EF0052">
              <w:rPr>
                <w:rFonts w:eastAsia="Calibri" w:cs="Arial"/>
                <w:sz w:val="22"/>
              </w:rPr>
              <w:t>Mémorandums d'accord</w:t>
            </w:r>
          </w:p>
        </w:tc>
        <w:tc>
          <w:tcPr>
            <w:tcW w:w="1276" w:type="dxa"/>
            <w:tcMar>
              <w:right w:w="454" w:type="dxa"/>
            </w:tcMar>
            <w:vAlign w:val="center"/>
          </w:tcPr>
          <w:p w:rsidR="0092458E" w:rsidRPr="00EF0052" w:rsidRDefault="0092458E" w:rsidP="00DF0748">
            <w:pPr>
              <w:spacing w:before="20" w:after="20"/>
              <w:jc w:val="right"/>
              <w:rPr>
                <w:sz w:val="22"/>
              </w:rPr>
            </w:pPr>
            <w:r w:rsidRPr="00EF0052">
              <w:rPr>
                <w:i/>
                <w:iCs/>
                <w:color w:val="767171"/>
                <w:sz w:val="22"/>
              </w:rPr>
              <w:t>122</w:t>
            </w:r>
          </w:p>
        </w:tc>
        <w:tc>
          <w:tcPr>
            <w:tcW w:w="1134" w:type="dxa"/>
            <w:tcMar>
              <w:right w:w="454" w:type="dxa"/>
            </w:tcMar>
            <w:vAlign w:val="center"/>
          </w:tcPr>
          <w:p w:rsidR="0092458E" w:rsidRPr="00EF0052" w:rsidRDefault="0092458E" w:rsidP="00DF0748">
            <w:pPr>
              <w:spacing w:before="20" w:after="20"/>
              <w:jc w:val="right"/>
              <w:rPr>
                <w:sz w:val="22"/>
              </w:rPr>
            </w:pPr>
            <w:r w:rsidRPr="00EF0052">
              <w:rPr>
                <w:i/>
                <w:iCs/>
                <w:color w:val="767171"/>
                <w:sz w:val="22"/>
              </w:rPr>
              <w:t>122</w:t>
            </w:r>
          </w:p>
        </w:tc>
        <w:tc>
          <w:tcPr>
            <w:tcW w:w="1276" w:type="dxa"/>
            <w:vAlign w:val="center"/>
          </w:tcPr>
          <w:p w:rsidR="0092458E" w:rsidRPr="00EF0052" w:rsidRDefault="0092458E" w:rsidP="00DF0748">
            <w:pPr>
              <w:spacing w:before="20" w:after="20"/>
              <w:jc w:val="center"/>
              <w:rPr>
                <w:sz w:val="22"/>
              </w:rPr>
            </w:pPr>
            <w:r>
              <w:rPr>
                <w:sz w:val="22"/>
              </w:rPr>
              <w:t>sans objet</w:t>
            </w:r>
          </w:p>
        </w:tc>
        <w:tc>
          <w:tcPr>
            <w:tcW w:w="1134" w:type="dxa"/>
            <w:vAlign w:val="center"/>
          </w:tcPr>
          <w:p w:rsidR="0092458E" w:rsidRPr="00EF0052" w:rsidRDefault="0092458E" w:rsidP="00DF0748">
            <w:pPr>
              <w:spacing w:before="20" w:after="20"/>
              <w:jc w:val="center"/>
              <w:rPr>
                <w:sz w:val="22"/>
              </w:rPr>
            </w:pPr>
            <w:r>
              <w:rPr>
                <w:sz w:val="22"/>
              </w:rPr>
              <w:t>sans objet</w:t>
            </w:r>
          </w:p>
        </w:tc>
      </w:tr>
      <w:tr w:rsidR="0092458E" w:rsidRPr="00EF0052" w:rsidTr="00DF0748">
        <w:tc>
          <w:tcPr>
            <w:tcW w:w="9776" w:type="dxa"/>
          </w:tcPr>
          <w:p w:rsidR="0092458E" w:rsidRPr="00F3043B" w:rsidRDefault="0092458E" w:rsidP="00DF0748">
            <w:pPr>
              <w:spacing w:before="20" w:after="20"/>
              <w:contextualSpacing/>
              <w:rPr>
                <w:b/>
                <w:bCs/>
                <w:noProof/>
                <w:color w:val="4F81BD" w:themeColor="accent1"/>
                <w:sz w:val="22"/>
                <w:lang w:val="fr-CH" w:eastAsia="zh-CN"/>
              </w:rPr>
            </w:pPr>
            <w:r w:rsidRPr="00F3043B">
              <w:rPr>
                <w:rFonts w:eastAsia="Calibri" w:cs="Arial"/>
                <w:sz w:val="22"/>
                <w:lang w:val="fr-CH"/>
              </w:rPr>
              <w:t>Imputation des coûts à la Conférence de plénipotentiaires et aux activités du Conseil (</w:t>
            </w:r>
            <w:r w:rsidRPr="00F3043B">
              <w:rPr>
                <w:rFonts w:eastAsia="Calibri" w:cs="Arial"/>
                <w:b/>
                <w:bCs/>
                <w:color w:val="4F81BD" w:themeColor="accent1"/>
                <w:sz w:val="22"/>
                <w:lang w:val="fr-CH"/>
              </w:rPr>
              <w:t>PP</w:t>
            </w:r>
            <w:r w:rsidRPr="00F3043B">
              <w:rPr>
                <w:rFonts w:eastAsia="Calibri" w:cs="Arial"/>
                <w:sz w:val="22"/>
                <w:lang w:val="fr-CH"/>
              </w:rPr>
              <w:t xml:space="preserve">, </w:t>
            </w:r>
            <w:r w:rsidRPr="00F3043B">
              <w:rPr>
                <w:rFonts w:eastAsia="Calibri" w:cs="Arial"/>
                <w:b/>
                <w:bCs/>
                <w:color w:val="4F81BD" w:themeColor="accent1"/>
                <w:sz w:val="22"/>
                <w:lang w:val="fr-CH"/>
              </w:rPr>
              <w:t>Conseil/GTC</w:t>
            </w:r>
            <w:r w:rsidRPr="00F3043B">
              <w:rPr>
                <w:rFonts w:eastAsia="Calibri" w:cs="Arial"/>
                <w:sz w:val="22"/>
                <w:lang w:val="fr-CH"/>
              </w:rPr>
              <w:t>)</w:t>
            </w:r>
          </w:p>
        </w:tc>
        <w:tc>
          <w:tcPr>
            <w:tcW w:w="1276" w:type="dxa"/>
            <w:tcMar>
              <w:right w:w="454" w:type="dxa"/>
            </w:tcMar>
            <w:vAlign w:val="center"/>
          </w:tcPr>
          <w:p w:rsidR="0092458E" w:rsidRPr="00EF0052" w:rsidRDefault="0092458E" w:rsidP="00DF0748">
            <w:pPr>
              <w:spacing w:before="20" w:after="20"/>
              <w:jc w:val="right"/>
              <w:rPr>
                <w:sz w:val="22"/>
              </w:rPr>
            </w:pPr>
            <w:r w:rsidRPr="00EF0052">
              <w:rPr>
                <w:i/>
                <w:iCs/>
                <w:color w:val="767171"/>
                <w:sz w:val="22"/>
              </w:rPr>
              <w:t>81</w:t>
            </w:r>
          </w:p>
        </w:tc>
        <w:tc>
          <w:tcPr>
            <w:tcW w:w="1134" w:type="dxa"/>
            <w:tcMar>
              <w:right w:w="454" w:type="dxa"/>
            </w:tcMar>
            <w:vAlign w:val="center"/>
          </w:tcPr>
          <w:p w:rsidR="0092458E" w:rsidRPr="00EF0052" w:rsidRDefault="0092458E" w:rsidP="00DF0748">
            <w:pPr>
              <w:spacing w:before="20" w:after="20"/>
              <w:jc w:val="right"/>
              <w:rPr>
                <w:sz w:val="22"/>
              </w:rPr>
            </w:pPr>
            <w:r w:rsidRPr="00EF0052">
              <w:rPr>
                <w:i/>
                <w:iCs/>
                <w:color w:val="767171"/>
                <w:sz w:val="22"/>
              </w:rPr>
              <w:t>89</w:t>
            </w:r>
          </w:p>
        </w:tc>
        <w:tc>
          <w:tcPr>
            <w:tcW w:w="1276" w:type="dxa"/>
          </w:tcPr>
          <w:p w:rsidR="0092458E" w:rsidRPr="00EF0052" w:rsidRDefault="0092458E" w:rsidP="00DF0748">
            <w:pPr>
              <w:spacing w:before="20" w:after="20"/>
              <w:jc w:val="center"/>
              <w:rPr>
                <w:sz w:val="22"/>
              </w:rPr>
            </w:pPr>
            <w:r>
              <w:rPr>
                <w:sz w:val="22"/>
              </w:rPr>
              <w:t>sans objet</w:t>
            </w:r>
          </w:p>
        </w:tc>
        <w:tc>
          <w:tcPr>
            <w:tcW w:w="1134" w:type="dxa"/>
          </w:tcPr>
          <w:p w:rsidR="0092458E" w:rsidRPr="00EF0052" w:rsidRDefault="0092458E" w:rsidP="00DF0748">
            <w:pPr>
              <w:spacing w:before="20" w:after="20"/>
              <w:jc w:val="center"/>
              <w:rPr>
                <w:sz w:val="22"/>
              </w:rPr>
            </w:pPr>
            <w:r>
              <w:rPr>
                <w:sz w:val="22"/>
              </w:rPr>
              <w:t>sans objet</w:t>
            </w:r>
          </w:p>
        </w:tc>
      </w:tr>
      <w:tr w:rsidR="0092458E" w:rsidRPr="00EF0052" w:rsidTr="00DF0748">
        <w:tc>
          <w:tcPr>
            <w:tcW w:w="9776" w:type="dxa"/>
          </w:tcPr>
          <w:p w:rsidR="0092458E" w:rsidRPr="00EF0052" w:rsidRDefault="0092458E" w:rsidP="00DF0748">
            <w:pPr>
              <w:spacing w:before="20" w:after="20" w:line="216" w:lineRule="auto"/>
              <w:ind w:right="113"/>
              <w:rPr>
                <w:b/>
                <w:bCs/>
                <w:noProof/>
                <w:color w:val="4F81BD" w:themeColor="accent1"/>
                <w:sz w:val="22"/>
                <w:lang w:eastAsia="zh-CN"/>
              </w:rPr>
            </w:pPr>
            <w:r w:rsidRPr="00EF0052">
              <w:rPr>
                <w:b/>
                <w:bCs/>
                <w:noProof/>
                <w:color w:val="4F81BD" w:themeColor="accent1"/>
                <w:sz w:val="22"/>
                <w:lang w:eastAsia="zh-CN"/>
              </w:rPr>
              <w:t>Total pour l'objectif I.2</w:t>
            </w:r>
          </w:p>
        </w:tc>
        <w:tc>
          <w:tcPr>
            <w:tcW w:w="1276" w:type="dxa"/>
            <w:tcMar>
              <w:right w:w="454" w:type="dxa"/>
            </w:tcMar>
            <w:vAlign w:val="center"/>
          </w:tcPr>
          <w:p w:rsidR="0092458E" w:rsidRPr="00EF0052" w:rsidRDefault="0092458E" w:rsidP="00DF0748">
            <w:pPr>
              <w:spacing w:before="20" w:after="20"/>
              <w:jc w:val="right"/>
              <w:rPr>
                <w:b/>
                <w:bCs/>
                <w:sz w:val="22"/>
              </w:rPr>
            </w:pPr>
            <w:r w:rsidRPr="00EF0052">
              <w:rPr>
                <w:b/>
                <w:bCs/>
                <w:i/>
                <w:iCs/>
                <w:color w:val="767171"/>
                <w:sz w:val="22"/>
              </w:rPr>
              <w:t>2 621</w:t>
            </w:r>
          </w:p>
        </w:tc>
        <w:tc>
          <w:tcPr>
            <w:tcW w:w="1134" w:type="dxa"/>
            <w:tcMar>
              <w:right w:w="454" w:type="dxa"/>
            </w:tcMar>
            <w:vAlign w:val="center"/>
          </w:tcPr>
          <w:p w:rsidR="0092458E" w:rsidRPr="00EF0052" w:rsidRDefault="0092458E" w:rsidP="00DF0748">
            <w:pPr>
              <w:spacing w:before="20" w:after="20"/>
              <w:jc w:val="right"/>
              <w:rPr>
                <w:b/>
                <w:bCs/>
                <w:sz w:val="22"/>
              </w:rPr>
            </w:pPr>
            <w:r w:rsidRPr="00EF0052">
              <w:rPr>
                <w:b/>
                <w:bCs/>
                <w:i/>
                <w:iCs/>
                <w:color w:val="767171"/>
                <w:sz w:val="22"/>
              </w:rPr>
              <w:t>2 628</w:t>
            </w:r>
          </w:p>
        </w:tc>
        <w:tc>
          <w:tcPr>
            <w:tcW w:w="1276" w:type="dxa"/>
            <w:vAlign w:val="center"/>
          </w:tcPr>
          <w:p w:rsidR="0092458E" w:rsidRPr="00EF0052" w:rsidRDefault="0092458E" w:rsidP="00DF0748">
            <w:pPr>
              <w:spacing w:before="20" w:after="20"/>
              <w:jc w:val="center"/>
              <w:rPr>
                <w:sz w:val="22"/>
              </w:rPr>
            </w:pPr>
            <w:r>
              <w:rPr>
                <w:sz w:val="22"/>
              </w:rPr>
              <w:t>sans objet</w:t>
            </w:r>
          </w:p>
        </w:tc>
        <w:tc>
          <w:tcPr>
            <w:tcW w:w="1134" w:type="dxa"/>
            <w:vAlign w:val="center"/>
          </w:tcPr>
          <w:p w:rsidR="0092458E" w:rsidRPr="00EF0052" w:rsidRDefault="0092458E" w:rsidP="00DF0748">
            <w:pPr>
              <w:spacing w:before="20" w:after="20"/>
              <w:jc w:val="center"/>
              <w:rPr>
                <w:sz w:val="22"/>
              </w:rPr>
            </w:pPr>
            <w:r>
              <w:rPr>
                <w:sz w:val="22"/>
              </w:rPr>
              <w:t>sans objet</w:t>
            </w:r>
          </w:p>
        </w:tc>
      </w:tr>
    </w:tbl>
    <w:p w:rsidR="0092458E" w:rsidRDefault="0092458E" w:rsidP="00DF0748"/>
    <w:p w:rsidR="0092458E" w:rsidRDefault="0092458E" w:rsidP="00DF0748">
      <w:r>
        <w:br w:type="page"/>
      </w:r>
    </w:p>
    <w:p w:rsidR="0092458E" w:rsidRPr="007F4668" w:rsidRDefault="0092458E" w:rsidP="00DF0748">
      <w:pPr>
        <w:pStyle w:val="Heading2"/>
        <w:spacing w:after="120"/>
      </w:pPr>
      <w:r w:rsidRPr="007F4668">
        <w:lastRenderedPageBreak/>
        <w:t>6.3</w:t>
      </w:r>
      <w:r w:rsidRPr="007F4668">
        <w:tab/>
        <w:t xml:space="preserve">I.3 Améliorer l'identification et l'analyse des nouvelles tendances dans l'environnement des télécommunications/TIC </w:t>
      </w:r>
    </w:p>
    <w:tbl>
      <w:tblPr>
        <w:tblStyle w:val="GridTable4-Accent12"/>
        <w:tblW w:w="14596" w:type="dxa"/>
        <w:tblLook w:val="06A0" w:firstRow="1" w:lastRow="0" w:firstColumn="1" w:lastColumn="0" w:noHBand="1" w:noVBand="1"/>
      </w:tblPr>
      <w:tblGrid>
        <w:gridCol w:w="6658"/>
        <w:gridCol w:w="5528"/>
        <w:gridCol w:w="2410"/>
      </w:tblGrid>
      <w:tr w:rsidR="0092458E" w:rsidRPr="00EF0052" w:rsidTr="00DF0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rsidR="0092458E" w:rsidRPr="00EF0052" w:rsidRDefault="0092458E" w:rsidP="00DF0748">
            <w:pPr>
              <w:spacing w:before="20" w:after="20"/>
              <w:rPr>
                <w:sz w:val="22"/>
              </w:rPr>
            </w:pPr>
            <w:r w:rsidRPr="00EF0052">
              <w:rPr>
                <w:sz w:val="22"/>
              </w:rPr>
              <w:t>Résultat</w:t>
            </w:r>
          </w:p>
        </w:tc>
        <w:tc>
          <w:tcPr>
            <w:tcW w:w="5528" w:type="dxa"/>
          </w:tcPr>
          <w:p w:rsidR="0092458E" w:rsidRPr="00F3043B" w:rsidRDefault="0092458E" w:rsidP="00DF0748">
            <w:pPr>
              <w:spacing w:before="20" w:after="20"/>
              <w:cnfStyle w:val="100000000000" w:firstRow="1" w:lastRow="0" w:firstColumn="0" w:lastColumn="0" w:oddVBand="0" w:evenVBand="0" w:oddHBand="0" w:evenHBand="0" w:firstRowFirstColumn="0" w:firstRowLastColumn="0" w:lastRowFirstColumn="0" w:lastRowLastColumn="0"/>
              <w:rPr>
                <w:sz w:val="22"/>
                <w:lang w:val="fr-CH"/>
              </w:rPr>
            </w:pPr>
            <w:r w:rsidRPr="00F3043B">
              <w:rPr>
                <w:sz w:val="22"/>
                <w:lang w:val="fr-CH"/>
              </w:rPr>
              <w:t>Indicateur de résultat (valeur actuelle – valeur d'ici à 2020</w:t>
            </w:r>
            <w:r w:rsidRPr="00F3043B">
              <w:rPr>
                <w:b w:val="0"/>
                <w:bCs w:val="0"/>
                <w:sz w:val="22"/>
                <w:lang w:val="fr-CH"/>
              </w:rPr>
              <w:t>)</w:t>
            </w:r>
          </w:p>
        </w:tc>
        <w:tc>
          <w:tcPr>
            <w:tcW w:w="2410" w:type="dxa"/>
          </w:tcPr>
          <w:p w:rsidR="0092458E" w:rsidRPr="00EF0052" w:rsidRDefault="0092458E" w:rsidP="00DF0748">
            <w:pPr>
              <w:spacing w:before="20" w:after="20"/>
              <w:cnfStyle w:val="100000000000" w:firstRow="1" w:lastRow="0" w:firstColumn="0" w:lastColumn="0" w:oddVBand="0" w:evenVBand="0" w:oddHBand="0" w:evenHBand="0" w:firstRowFirstColumn="0" w:firstRowLastColumn="0" w:lastRowFirstColumn="0" w:lastRowLastColumn="0"/>
              <w:rPr>
                <w:sz w:val="22"/>
              </w:rPr>
            </w:pPr>
            <w:r w:rsidRPr="00EF0052">
              <w:rPr>
                <w:sz w:val="22"/>
              </w:rPr>
              <w:t>Moyen de mesure</w:t>
            </w:r>
          </w:p>
        </w:tc>
      </w:tr>
      <w:tr w:rsidR="0092458E" w:rsidRPr="00EF0052" w:rsidTr="00DF0748">
        <w:tc>
          <w:tcPr>
            <w:cnfStyle w:val="001000000000" w:firstRow="0" w:lastRow="0" w:firstColumn="1" w:lastColumn="0" w:oddVBand="0" w:evenVBand="0" w:oddHBand="0" w:evenHBand="0" w:firstRowFirstColumn="0" w:firstRowLastColumn="0" w:lastRowFirstColumn="0" w:lastRowLastColumn="0"/>
            <w:tcW w:w="6658" w:type="dxa"/>
          </w:tcPr>
          <w:p w:rsidR="0092458E" w:rsidRPr="00F3043B" w:rsidRDefault="0092458E" w:rsidP="00DF0748">
            <w:pPr>
              <w:spacing w:before="20" w:after="20"/>
              <w:rPr>
                <w:rFonts w:eastAsia="Calibri" w:cs="Arial"/>
                <w:b w:val="0"/>
                <w:bCs w:val="0"/>
                <w:sz w:val="22"/>
                <w:lang w:val="fr-CH"/>
              </w:rPr>
            </w:pPr>
            <w:r w:rsidRPr="00F3043B">
              <w:rPr>
                <w:rFonts w:eastAsia="Calibri" w:cs="Arial"/>
                <w:bCs w:val="0"/>
                <w:color w:val="4F81BD" w:themeColor="accent1"/>
                <w:sz w:val="22"/>
                <w:lang w:val="fr-CH"/>
              </w:rPr>
              <w:t>I.3-1</w:t>
            </w:r>
            <w:r w:rsidRPr="00F3043B">
              <w:rPr>
                <w:rFonts w:eastAsia="Calibri" w:cs="Arial"/>
                <w:b w:val="0"/>
                <w:sz w:val="22"/>
                <w:lang w:val="fr-CH"/>
              </w:rPr>
              <w:t>: Identification et analyse rapides des nouvelles tendances des télécommunications/TIC et création de nouveaux domaines d'activité liés à ces nouvelles tendances</w:t>
            </w:r>
          </w:p>
        </w:tc>
        <w:tc>
          <w:tcPr>
            <w:tcW w:w="5528" w:type="dxa"/>
          </w:tcPr>
          <w:p w:rsidR="0092458E" w:rsidRPr="00F3043B" w:rsidRDefault="0092458E" w:rsidP="00DF0748">
            <w:pPr>
              <w:spacing w:before="20" w:after="20"/>
              <w:cnfStyle w:val="000000000000" w:firstRow="0" w:lastRow="0" w:firstColumn="0" w:lastColumn="0" w:oddVBand="0" w:evenVBand="0" w:oddHBand="0" w:evenHBand="0" w:firstRowFirstColumn="0" w:firstRowLastColumn="0" w:lastRowFirstColumn="0" w:lastRowLastColumn="0"/>
              <w:rPr>
                <w:sz w:val="22"/>
                <w:lang w:val="fr-CH"/>
              </w:rPr>
            </w:pPr>
            <w:r w:rsidRPr="00F3043B">
              <w:rPr>
                <w:sz w:val="22"/>
                <w:lang w:val="fr-CH"/>
              </w:rPr>
              <w:t xml:space="preserve">Pourcentage de tendances stratégiques analysées et donnant lieu à des mesures de suivi (par exemple commissions d'études) </w:t>
            </w:r>
          </w:p>
        </w:tc>
        <w:tc>
          <w:tcPr>
            <w:tcW w:w="2410" w:type="dxa"/>
          </w:tcPr>
          <w:p w:rsidR="0092458E" w:rsidRPr="00EF0052" w:rsidRDefault="0092458E" w:rsidP="00DF0748">
            <w:pPr>
              <w:spacing w:before="20" w:after="20"/>
              <w:cnfStyle w:val="000000000000" w:firstRow="0" w:lastRow="0" w:firstColumn="0" w:lastColumn="0" w:oddVBand="0" w:evenVBand="0" w:oddHBand="0" w:evenHBand="0" w:firstRowFirstColumn="0" w:firstRowLastColumn="0" w:lastRowFirstColumn="0" w:lastRowLastColumn="0"/>
              <w:rPr>
                <w:sz w:val="22"/>
              </w:rPr>
            </w:pPr>
            <w:r>
              <w:rPr>
                <w:sz w:val="22"/>
              </w:rPr>
              <w:t>Données fournies par </w:t>
            </w:r>
            <w:r w:rsidRPr="00EF0052">
              <w:rPr>
                <w:sz w:val="22"/>
              </w:rPr>
              <w:t>SPM</w:t>
            </w:r>
            <w:r>
              <w:rPr>
                <w:rStyle w:val="FootnoteReference"/>
              </w:rPr>
              <w:footnoteReference w:id="12"/>
            </w:r>
          </w:p>
        </w:tc>
      </w:tr>
    </w:tbl>
    <w:p w:rsidR="0092458E" w:rsidRPr="007F4668" w:rsidRDefault="0092458E" w:rsidP="00DF0748">
      <w:pPr>
        <w:spacing w:before="20" w:after="20"/>
        <w:rPr>
          <w:sz w:val="2"/>
          <w:szCs w:val="2"/>
        </w:rPr>
      </w:pPr>
    </w:p>
    <w:tbl>
      <w:tblPr>
        <w:tblStyle w:val="GridTable4-Accent12"/>
        <w:tblW w:w="14596" w:type="dxa"/>
        <w:tblLayout w:type="fixed"/>
        <w:tblLook w:val="0620" w:firstRow="1" w:lastRow="0" w:firstColumn="0" w:lastColumn="0" w:noHBand="1" w:noVBand="1"/>
      </w:tblPr>
      <w:tblGrid>
        <w:gridCol w:w="9776"/>
        <w:gridCol w:w="1276"/>
        <w:gridCol w:w="1276"/>
        <w:gridCol w:w="1134"/>
        <w:gridCol w:w="1134"/>
      </w:tblGrid>
      <w:tr w:rsidR="0092458E" w:rsidRPr="00EF0052" w:rsidTr="00DF0748">
        <w:trPr>
          <w:cnfStyle w:val="100000000000" w:firstRow="1" w:lastRow="0" w:firstColumn="0" w:lastColumn="0" w:oddVBand="0" w:evenVBand="0" w:oddHBand="0" w:evenHBand="0" w:firstRowFirstColumn="0" w:firstRowLastColumn="0" w:lastRowFirstColumn="0" w:lastRowLastColumn="0"/>
        </w:trPr>
        <w:tc>
          <w:tcPr>
            <w:tcW w:w="9776" w:type="dxa"/>
          </w:tcPr>
          <w:p w:rsidR="0092458E" w:rsidRPr="00EF0052" w:rsidRDefault="0092458E" w:rsidP="00DF0748">
            <w:pPr>
              <w:spacing w:before="20" w:after="20"/>
              <w:rPr>
                <w:sz w:val="22"/>
              </w:rPr>
            </w:pPr>
            <w:r w:rsidRPr="00EF0052">
              <w:rPr>
                <w:sz w:val="22"/>
              </w:rPr>
              <w:t>Produit</w:t>
            </w:r>
          </w:p>
        </w:tc>
        <w:tc>
          <w:tcPr>
            <w:tcW w:w="4820" w:type="dxa"/>
            <w:gridSpan w:val="4"/>
          </w:tcPr>
          <w:p w:rsidR="0092458E" w:rsidRPr="00F3043B" w:rsidRDefault="0092458E" w:rsidP="00DF0748">
            <w:pPr>
              <w:spacing w:before="20" w:after="20"/>
              <w:jc w:val="center"/>
              <w:rPr>
                <w:sz w:val="22"/>
                <w:lang w:val="fr-CH"/>
              </w:rPr>
            </w:pPr>
            <w:r w:rsidRPr="00F3043B">
              <w:rPr>
                <w:sz w:val="22"/>
                <w:lang w:val="fr-CH"/>
              </w:rPr>
              <w:t>Ressources financières</w:t>
            </w:r>
            <w:r>
              <w:rPr>
                <w:rStyle w:val="FootnoteReference"/>
              </w:rPr>
              <w:footnoteReference w:id="13"/>
            </w:r>
            <w:r w:rsidRPr="00F3043B">
              <w:rPr>
                <w:sz w:val="22"/>
                <w:lang w:val="fr-CH"/>
              </w:rPr>
              <w:t xml:space="preserve"> (en milliers CHF)</w:t>
            </w:r>
          </w:p>
        </w:tc>
      </w:tr>
      <w:tr w:rsidR="0092458E" w:rsidRPr="00EF0052" w:rsidTr="00DF0748">
        <w:tc>
          <w:tcPr>
            <w:tcW w:w="9776" w:type="dxa"/>
          </w:tcPr>
          <w:p w:rsidR="0092458E" w:rsidRPr="00F3043B" w:rsidRDefault="0092458E" w:rsidP="00DF0748">
            <w:pPr>
              <w:spacing w:before="20" w:after="20"/>
              <w:rPr>
                <w:sz w:val="22"/>
                <w:lang w:val="fr-CH"/>
              </w:rPr>
            </w:pPr>
          </w:p>
        </w:tc>
        <w:tc>
          <w:tcPr>
            <w:tcW w:w="1276" w:type="dxa"/>
          </w:tcPr>
          <w:p w:rsidR="0092458E" w:rsidRPr="00EF0052" w:rsidRDefault="0092458E" w:rsidP="00DF0748">
            <w:pPr>
              <w:spacing w:before="20" w:after="20"/>
              <w:jc w:val="center"/>
              <w:rPr>
                <w:b/>
                <w:bCs/>
                <w:color w:val="4F81BD" w:themeColor="accent1"/>
                <w:sz w:val="22"/>
              </w:rPr>
            </w:pPr>
            <w:r w:rsidRPr="00EF0052">
              <w:rPr>
                <w:b/>
                <w:bCs/>
                <w:color w:val="4F81BD" w:themeColor="accent1"/>
                <w:sz w:val="22"/>
              </w:rPr>
              <w:t>2016</w:t>
            </w:r>
          </w:p>
        </w:tc>
        <w:tc>
          <w:tcPr>
            <w:tcW w:w="1276" w:type="dxa"/>
          </w:tcPr>
          <w:p w:rsidR="0092458E" w:rsidRPr="00EF0052" w:rsidRDefault="0092458E" w:rsidP="00DF0748">
            <w:pPr>
              <w:spacing w:before="20" w:after="20"/>
              <w:jc w:val="center"/>
              <w:rPr>
                <w:b/>
                <w:bCs/>
                <w:color w:val="4F81BD" w:themeColor="accent1"/>
                <w:sz w:val="22"/>
              </w:rPr>
            </w:pPr>
            <w:r w:rsidRPr="00EF0052">
              <w:rPr>
                <w:b/>
                <w:bCs/>
                <w:color w:val="4F81BD" w:themeColor="accent1"/>
                <w:sz w:val="22"/>
              </w:rPr>
              <w:t>2017</w:t>
            </w:r>
          </w:p>
        </w:tc>
        <w:tc>
          <w:tcPr>
            <w:tcW w:w="1134" w:type="dxa"/>
          </w:tcPr>
          <w:p w:rsidR="0092458E" w:rsidRPr="00EF0052" w:rsidRDefault="0092458E" w:rsidP="00DF0748">
            <w:pPr>
              <w:spacing w:before="20" w:after="20"/>
              <w:jc w:val="center"/>
              <w:rPr>
                <w:b/>
                <w:bCs/>
                <w:color w:val="4F81BD" w:themeColor="accent1"/>
                <w:sz w:val="22"/>
              </w:rPr>
            </w:pPr>
            <w:r w:rsidRPr="00EF0052">
              <w:rPr>
                <w:b/>
                <w:bCs/>
                <w:color w:val="4F81BD" w:themeColor="accent1"/>
                <w:sz w:val="22"/>
              </w:rPr>
              <w:t>2018</w:t>
            </w:r>
          </w:p>
        </w:tc>
        <w:tc>
          <w:tcPr>
            <w:tcW w:w="1134" w:type="dxa"/>
          </w:tcPr>
          <w:p w:rsidR="0092458E" w:rsidRPr="00EF0052" w:rsidRDefault="0092458E" w:rsidP="00DF0748">
            <w:pPr>
              <w:spacing w:before="20" w:after="20"/>
              <w:jc w:val="center"/>
              <w:rPr>
                <w:b/>
                <w:bCs/>
                <w:color w:val="4F81BD" w:themeColor="accent1"/>
                <w:sz w:val="22"/>
              </w:rPr>
            </w:pPr>
            <w:r w:rsidRPr="00EF0052">
              <w:rPr>
                <w:b/>
                <w:bCs/>
                <w:color w:val="4F81BD" w:themeColor="accent1"/>
                <w:sz w:val="22"/>
              </w:rPr>
              <w:t>2019</w:t>
            </w:r>
          </w:p>
        </w:tc>
      </w:tr>
      <w:tr w:rsidR="0092458E" w:rsidRPr="00EF0052" w:rsidTr="00DF0748">
        <w:tc>
          <w:tcPr>
            <w:tcW w:w="9776" w:type="dxa"/>
          </w:tcPr>
          <w:p w:rsidR="0092458E" w:rsidRPr="00F3043B" w:rsidRDefault="0092458E" w:rsidP="00DF0748">
            <w:pPr>
              <w:spacing w:before="20" w:after="20"/>
              <w:contextualSpacing/>
              <w:rPr>
                <w:rFonts w:eastAsia="Calibri" w:cs="Arial"/>
                <w:sz w:val="22"/>
                <w:lang w:val="fr-CH"/>
              </w:rPr>
            </w:pPr>
            <w:r w:rsidRPr="00F3043B">
              <w:rPr>
                <w:b/>
                <w:bCs/>
                <w:noProof/>
                <w:color w:val="4F81BD" w:themeColor="accent1"/>
                <w:sz w:val="22"/>
                <w:lang w:val="fr-CH" w:eastAsia="zh-CN"/>
              </w:rPr>
              <w:t xml:space="preserve">I.3-1 </w:t>
            </w:r>
            <w:r w:rsidRPr="00F3043B">
              <w:rPr>
                <w:rFonts w:eastAsia="Calibri" w:cs="Arial"/>
                <w:sz w:val="22"/>
                <w:lang w:val="fr-CH"/>
              </w:rPr>
              <w:t>Initiatives et rapports intersectoriels sur les nouvelles tendances dans le secteur des télécommunications/TIC et autres initiatives analogues (y compris Les Nouvelles de l'UIT)</w:t>
            </w:r>
          </w:p>
        </w:tc>
        <w:tc>
          <w:tcPr>
            <w:tcW w:w="1276" w:type="dxa"/>
            <w:tcMar>
              <w:right w:w="227" w:type="dxa"/>
            </w:tcMar>
            <w:vAlign w:val="center"/>
          </w:tcPr>
          <w:p w:rsidR="0092458E" w:rsidRPr="00EF0052" w:rsidRDefault="0092458E" w:rsidP="00DF0748">
            <w:pPr>
              <w:spacing w:before="20" w:after="20"/>
              <w:jc w:val="right"/>
              <w:rPr>
                <w:sz w:val="22"/>
              </w:rPr>
            </w:pPr>
            <w:r w:rsidRPr="00EF0052">
              <w:rPr>
                <w:i/>
                <w:iCs/>
                <w:color w:val="767171"/>
                <w:sz w:val="22"/>
              </w:rPr>
              <w:t>2 721</w:t>
            </w:r>
          </w:p>
        </w:tc>
        <w:tc>
          <w:tcPr>
            <w:tcW w:w="1276" w:type="dxa"/>
            <w:tcMar>
              <w:right w:w="227" w:type="dxa"/>
            </w:tcMar>
            <w:vAlign w:val="center"/>
          </w:tcPr>
          <w:p w:rsidR="0092458E" w:rsidRPr="00EF0052" w:rsidRDefault="0092458E" w:rsidP="00DF0748">
            <w:pPr>
              <w:spacing w:before="20" w:after="20"/>
              <w:jc w:val="right"/>
              <w:rPr>
                <w:sz w:val="22"/>
              </w:rPr>
            </w:pPr>
            <w:r w:rsidRPr="00EF0052">
              <w:rPr>
                <w:i/>
                <w:iCs/>
                <w:color w:val="767171"/>
                <w:sz w:val="22"/>
              </w:rPr>
              <w:t>2 722</w:t>
            </w:r>
          </w:p>
        </w:tc>
        <w:tc>
          <w:tcPr>
            <w:tcW w:w="1134" w:type="dxa"/>
            <w:vAlign w:val="center"/>
          </w:tcPr>
          <w:p w:rsidR="0092458E" w:rsidRPr="00EF0052" w:rsidRDefault="0092458E" w:rsidP="00DF0748">
            <w:pPr>
              <w:spacing w:before="20" w:after="20"/>
              <w:jc w:val="center"/>
              <w:rPr>
                <w:sz w:val="22"/>
              </w:rPr>
            </w:pPr>
            <w:r>
              <w:rPr>
                <w:sz w:val="22"/>
              </w:rPr>
              <w:t>sans objet</w:t>
            </w:r>
          </w:p>
        </w:tc>
        <w:tc>
          <w:tcPr>
            <w:tcW w:w="1134" w:type="dxa"/>
            <w:vAlign w:val="center"/>
          </w:tcPr>
          <w:p w:rsidR="0092458E" w:rsidRPr="00EF0052" w:rsidRDefault="0092458E" w:rsidP="00DF0748">
            <w:pPr>
              <w:spacing w:before="20" w:after="20"/>
              <w:jc w:val="center"/>
              <w:rPr>
                <w:sz w:val="22"/>
              </w:rPr>
            </w:pPr>
            <w:r>
              <w:rPr>
                <w:sz w:val="22"/>
              </w:rPr>
              <w:t>sans objet</w:t>
            </w:r>
          </w:p>
        </w:tc>
      </w:tr>
      <w:tr w:rsidR="0092458E" w:rsidRPr="00EF0052" w:rsidTr="00DF0748">
        <w:tc>
          <w:tcPr>
            <w:tcW w:w="9776" w:type="dxa"/>
          </w:tcPr>
          <w:p w:rsidR="0092458E" w:rsidRPr="00F3043B" w:rsidRDefault="0092458E" w:rsidP="00DF0748">
            <w:pPr>
              <w:spacing w:before="20" w:after="20"/>
              <w:contextualSpacing/>
              <w:rPr>
                <w:rFonts w:eastAsia="Calibri" w:cs="Arial"/>
                <w:b/>
                <w:bCs/>
                <w:color w:val="4F81BD" w:themeColor="accent1"/>
                <w:sz w:val="22"/>
                <w:lang w:val="fr-CH"/>
              </w:rPr>
            </w:pPr>
            <w:r w:rsidRPr="00F3043B">
              <w:rPr>
                <w:rFonts w:eastAsia="Calibri" w:cs="Arial"/>
                <w:sz w:val="22"/>
                <w:lang w:val="fr-CH"/>
              </w:rPr>
              <w:t>Imputation des coûts à la Conférence de plénipotentiaires et aux activités du Conseil (</w:t>
            </w:r>
            <w:r w:rsidRPr="00F3043B">
              <w:rPr>
                <w:rFonts w:eastAsia="Calibri" w:cs="Arial"/>
                <w:b/>
                <w:bCs/>
                <w:color w:val="4F81BD" w:themeColor="accent1"/>
                <w:sz w:val="22"/>
                <w:lang w:val="fr-CH"/>
              </w:rPr>
              <w:t>PP</w:t>
            </w:r>
            <w:r w:rsidRPr="00F3043B">
              <w:rPr>
                <w:rFonts w:eastAsia="Calibri" w:cs="Arial"/>
                <w:sz w:val="22"/>
                <w:lang w:val="fr-CH"/>
              </w:rPr>
              <w:t xml:space="preserve">, </w:t>
            </w:r>
            <w:r w:rsidRPr="00F3043B">
              <w:rPr>
                <w:rFonts w:eastAsia="Calibri" w:cs="Arial"/>
                <w:b/>
                <w:bCs/>
                <w:color w:val="4F81BD" w:themeColor="accent1"/>
                <w:sz w:val="22"/>
                <w:lang w:val="fr-CH"/>
              </w:rPr>
              <w:t>Conseil/GTC</w:t>
            </w:r>
            <w:r w:rsidRPr="00F3043B">
              <w:rPr>
                <w:rFonts w:eastAsia="Calibri" w:cs="Arial"/>
                <w:sz w:val="22"/>
                <w:lang w:val="fr-CH"/>
              </w:rPr>
              <w:t>)</w:t>
            </w:r>
          </w:p>
        </w:tc>
        <w:tc>
          <w:tcPr>
            <w:tcW w:w="1276" w:type="dxa"/>
            <w:tcMar>
              <w:right w:w="227" w:type="dxa"/>
            </w:tcMar>
            <w:vAlign w:val="center"/>
          </w:tcPr>
          <w:p w:rsidR="0092458E" w:rsidRPr="00EF0052" w:rsidRDefault="0092458E" w:rsidP="00DF0748">
            <w:pPr>
              <w:spacing w:before="20" w:after="20"/>
              <w:jc w:val="right"/>
              <w:rPr>
                <w:sz w:val="22"/>
              </w:rPr>
            </w:pPr>
            <w:r w:rsidRPr="00EF0052">
              <w:rPr>
                <w:i/>
                <w:iCs/>
                <w:color w:val="767171"/>
                <w:sz w:val="22"/>
              </w:rPr>
              <w:t>87</w:t>
            </w:r>
          </w:p>
        </w:tc>
        <w:tc>
          <w:tcPr>
            <w:tcW w:w="1276" w:type="dxa"/>
            <w:tcMar>
              <w:right w:w="227" w:type="dxa"/>
            </w:tcMar>
            <w:vAlign w:val="center"/>
          </w:tcPr>
          <w:p w:rsidR="0092458E" w:rsidRPr="00EF0052" w:rsidRDefault="0092458E" w:rsidP="00DF0748">
            <w:pPr>
              <w:spacing w:before="20" w:after="20"/>
              <w:jc w:val="right"/>
              <w:rPr>
                <w:sz w:val="22"/>
              </w:rPr>
            </w:pPr>
            <w:r w:rsidRPr="00EF0052">
              <w:rPr>
                <w:i/>
                <w:iCs/>
                <w:color w:val="767171"/>
                <w:sz w:val="22"/>
              </w:rPr>
              <w:t>95</w:t>
            </w:r>
          </w:p>
        </w:tc>
        <w:tc>
          <w:tcPr>
            <w:tcW w:w="1134" w:type="dxa"/>
          </w:tcPr>
          <w:p w:rsidR="0092458E" w:rsidRPr="00EF0052" w:rsidRDefault="0092458E" w:rsidP="00DF0748">
            <w:pPr>
              <w:spacing w:before="20" w:after="20"/>
              <w:jc w:val="center"/>
              <w:rPr>
                <w:sz w:val="22"/>
              </w:rPr>
            </w:pPr>
            <w:r>
              <w:rPr>
                <w:sz w:val="22"/>
              </w:rPr>
              <w:t>sans objet</w:t>
            </w:r>
          </w:p>
        </w:tc>
        <w:tc>
          <w:tcPr>
            <w:tcW w:w="1134" w:type="dxa"/>
          </w:tcPr>
          <w:p w:rsidR="0092458E" w:rsidRPr="00EF0052" w:rsidRDefault="0092458E" w:rsidP="00DF0748">
            <w:pPr>
              <w:spacing w:before="20" w:after="20"/>
              <w:jc w:val="center"/>
              <w:rPr>
                <w:sz w:val="22"/>
              </w:rPr>
            </w:pPr>
            <w:r>
              <w:rPr>
                <w:sz w:val="22"/>
              </w:rPr>
              <w:t>sans objet</w:t>
            </w:r>
          </w:p>
        </w:tc>
      </w:tr>
      <w:tr w:rsidR="0092458E" w:rsidRPr="00EF0052" w:rsidTr="00DF0748">
        <w:tc>
          <w:tcPr>
            <w:tcW w:w="9776" w:type="dxa"/>
          </w:tcPr>
          <w:p w:rsidR="0092458E" w:rsidRPr="00EF0052" w:rsidRDefault="0092458E" w:rsidP="00DF0748">
            <w:pPr>
              <w:spacing w:before="20" w:after="20" w:line="216" w:lineRule="auto"/>
              <w:ind w:right="113"/>
              <w:rPr>
                <w:b/>
                <w:bCs/>
                <w:noProof/>
                <w:color w:val="4F81BD" w:themeColor="accent1"/>
                <w:sz w:val="22"/>
                <w:lang w:eastAsia="zh-CN"/>
              </w:rPr>
            </w:pPr>
            <w:r w:rsidRPr="00EF0052">
              <w:rPr>
                <w:b/>
                <w:bCs/>
                <w:noProof/>
                <w:color w:val="4F81BD" w:themeColor="accent1"/>
                <w:sz w:val="22"/>
                <w:lang w:eastAsia="zh-CN"/>
              </w:rPr>
              <w:t>Total pour l'objectif I.3</w:t>
            </w:r>
          </w:p>
        </w:tc>
        <w:tc>
          <w:tcPr>
            <w:tcW w:w="1276" w:type="dxa"/>
            <w:tcMar>
              <w:right w:w="227" w:type="dxa"/>
            </w:tcMar>
            <w:vAlign w:val="center"/>
          </w:tcPr>
          <w:p w:rsidR="0092458E" w:rsidRPr="00EF0052" w:rsidRDefault="0092458E" w:rsidP="00DF0748">
            <w:pPr>
              <w:spacing w:before="20" w:after="20"/>
              <w:jc w:val="right"/>
              <w:rPr>
                <w:b/>
                <w:bCs/>
                <w:sz w:val="22"/>
              </w:rPr>
            </w:pPr>
            <w:r w:rsidRPr="00EF0052">
              <w:rPr>
                <w:b/>
                <w:bCs/>
                <w:i/>
                <w:iCs/>
                <w:color w:val="767171"/>
                <w:sz w:val="22"/>
              </w:rPr>
              <w:t>2 808</w:t>
            </w:r>
          </w:p>
        </w:tc>
        <w:tc>
          <w:tcPr>
            <w:tcW w:w="1276" w:type="dxa"/>
            <w:tcMar>
              <w:right w:w="227" w:type="dxa"/>
            </w:tcMar>
            <w:vAlign w:val="center"/>
          </w:tcPr>
          <w:p w:rsidR="0092458E" w:rsidRPr="00EF0052" w:rsidRDefault="0092458E" w:rsidP="00DF0748">
            <w:pPr>
              <w:spacing w:before="20" w:after="20"/>
              <w:jc w:val="right"/>
              <w:rPr>
                <w:b/>
                <w:bCs/>
                <w:sz w:val="22"/>
              </w:rPr>
            </w:pPr>
            <w:r w:rsidRPr="00EF0052">
              <w:rPr>
                <w:b/>
                <w:bCs/>
                <w:i/>
                <w:iCs/>
                <w:color w:val="767171"/>
                <w:sz w:val="22"/>
              </w:rPr>
              <w:t>2 817</w:t>
            </w:r>
          </w:p>
        </w:tc>
        <w:tc>
          <w:tcPr>
            <w:tcW w:w="1134" w:type="dxa"/>
            <w:vAlign w:val="center"/>
          </w:tcPr>
          <w:p w:rsidR="0092458E" w:rsidRPr="00EF0052" w:rsidRDefault="0092458E" w:rsidP="00DF0748">
            <w:pPr>
              <w:spacing w:before="20" w:after="20"/>
              <w:jc w:val="center"/>
              <w:rPr>
                <w:sz w:val="22"/>
              </w:rPr>
            </w:pPr>
            <w:r>
              <w:rPr>
                <w:sz w:val="22"/>
              </w:rPr>
              <w:t>sans objet</w:t>
            </w:r>
          </w:p>
        </w:tc>
        <w:tc>
          <w:tcPr>
            <w:tcW w:w="1134" w:type="dxa"/>
            <w:vAlign w:val="center"/>
          </w:tcPr>
          <w:p w:rsidR="0092458E" w:rsidRPr="00EF0052" w:rsidRDefault="0092458E" w:rsidP="00DF0748">
            <w:pPr>
              <w:spacing w:before="20" w:after="20"/>
              <w:jc w:val="center"/>
              <w:rPr>
                <w:sz w:val="22"/>
              </w:rPr>
            </w:pPr>
            <w:r>
              <w:rPr>
                <w:sz w:val="22"/>
              </w:rPr>
              <w:t>sans objet</w:t>
            </w:r>
          </w:p>
        </w:tc>
      </w:tr>
    </w:tbl>
    <w:p w:rsidR="0092458E" w:rsidRDefault="0092458E" w:rsidP="00DF0748">
      <w:pPr>
        <w:pStyle w:val="Heading2"/>
        <w:spacing w:after="120"/>
      </w:pPr>
      <w:r>
        <w:br w:type="page"/>
      </w:r>
    </w:p>
    <w:p w:rsidR="0092458E" w:rsidRPr="007F4668" w:rsidRDefault="0092458E" w:rsidP="00DF0748">
      <w:pPr>
        <w:pStyle w:val="Heading2"/>
        <w:spacing w:after="120"/>
      </w:pPr>
      <w:r w:rsidRPr="007F4668">
        <w:lastRenderedPageBreak/>
        <w:t>6.4</w:t>
      </w:r>
      <w:r w:rsidRPr="007F4668">
        <w:tab/>
        <w:t>I4 Promouvoir/mieux faire reconnaître (l'importance des) les télécommunications/TIC en tant que catalyseur essentiel du développement social, économique et écologiquement durable</w:t>
      </w:r>
    </w:p>
    <w:tbl>
      <w:tblPr>
        <w:tblStyle w:val="GridTable4-Accent12"/>
        <w:tblW w:w="14596" w:type="dxa"/>
        <w:tblLook w:val="0620" w:firstRow="1" w:lastRow="0" w:firstColumn="0" w:lastColumn="0" w:noHBand="1" w:noVBand="1"/>
      </w:tblPr>
      <w:tblGrid>
        <w:gridCol w:w="7083"/>
        <w:gridCol w:w="4961"/>
        <w:gridCol w:w="2552"/>
      </w:tblGrid>
      <w:tr w:rsidR="0092458E" w:rsidRPr="008204EA" w:rsidTr="00DF0748">
        <w:trPr>
          <w:cnfStyle w:val="100000000000" w:firstRow="1" w:lastRow="0" w:firstColumn="0" w:lastColumn="0" w:oddVBand="0" w:evenVBand="0" w:oddHBand="0" w:evenHBand="0" w:firstRowFirstColumn="0" w:firstRowLastColumn="0" w:lastRowFirstColumn="0" w:lastRowLastColumn="0"/>
        </w:trPr>
        <w:tc>
          <w:tcPr>
            <w:tcW w:w="7083" w:type="dxa"/>
          </w:tcPr>
          <w:p w:rsidR="0092458E" w:rsidRPr="008204EA" w:rsidRDefault="0092458E" w:rsidP="00DF0748">
            <w:pPr>
              <w:spacing w:before="20" w:after="20"/>
              <w:rPr>
                <w:sz w:val="22"/>
              </w:rPr>
            </w:pPr>
            <w:r w:rsidRPr="008204EA">
              <w:rPr>
                <w:sz w:val="22"/>
              </w:rPr>
              <w:t>Résultat</w:t>
            </w:r>
          </w:p>
        </w:tc>
        <w:tc>
          <w:tcPr>
            <w:tcW w:w="4961" w:type="dxa"/>
          </w:tcPr>
          <w:p w:rsidR="0092458E" w:rsidRPr="00F3043B" w:rsidRDefault="0092458E" w:rsidP="00DF0748">
            <w:pPr>
              <w:spacing w:before="20" w:after="20"/>
              <w:rPr>
                <w:sz w:val="22"/>
                <w:lang w:val="fr-CH"/>
              </w:rPr>
            </w:pPr>
            <w:r w:rsidRPr="00F3043B">
              <w:rPr>
                <w:sz w:val="22"/>
                <w:lang w:val="fr-CH"/>
              </w:rPr>
              <w:t>Indicateur de résultat (valeur actuelle – valeur d'ici à 2020)</w:t>
            </w:r>
          </w:p>
        </w:tc>
        <w:tc>
          <w:tcPr>
            <w:tcW w:w="2552" w:type="dxa"/>
          </w:tcPr>
          <w:p w:rsidR="0092458E" w:rsidRPr="008204EA" w:rsidRDefault="0092458E" w:rsidP="00DF0748">
            <w:pPr>
              <w:spacing w:before="20" w:after="20"/>
              <w:rPr>
                <w:sz w:val="22"/>
              </w:rPr>
            </w:pPr>
            <w:r w:rsidRPr="008204EA">
              <w:rPr>
                <w:sz w:val="22"/>
              </w:rPr>
              <w:t>Moyen de mesure</w:t>
            </w:r>
          </w:p>
        </w:tc>
      </w:tr>
      <w:tr w:rsidR="0092458E" w:rsidRPr="008204EA" w:rsidTr="00DF0748">
        <w:tc>
          <w:tcPr>
            <w:tcW w:w="7083" w:type="dxa"/>
          </w:tcPr>
          <w:p w:rsidR="0092458E" w:rsidRPr="00F3043B" w:rsidRDefault="0092458E" w:rsidP="00DF0748">
            <w:pPr>
              <w:spacing w:before="20" w:after="20"/>
              <w:rPr>
                <w:rFonts w:eastAsia="Calibri" w:cs="Arial"/>
                <w:b/>
                <w:bCs/>
                <w:sz w:val="22"/>
                <w:lang w:val="fr-CH"/>
              </w:rPr>
            </w:pPr>
            <w:r w:rsidRPr="00F3043B">
              <w:rPr>
                <w:rFonts w:eastAsia="Calibri" w:cs="Arial"/>
                <w:b/>
                <w:bCs/>
                <w:color w:val="4F81BD" w:themeColor="accent1"/>
                <w:sz w:val="22"/>
                <w:lang w:val="fr-CH"/>
              </w:rPr>
              <w:t>I.4-1</w:t>
            </w:r>
            <w:r w:rsidRPr="00F3043B">
              <w:rPr>
                <w:rFonts w:eastAsia="Calibri" w:cs="Arial"/>
                <w:sz w:val="22"/>
                <w:lang w:val="fr-CH"/>
              </w:rPr>
              <w:t xml:space="preserve">: </w:t>
            </w:r>
            <w:r w:rsidRPr="00F3043B">
              <w:rPr>
                <w:rFonts w:cs="Calibri"/>
                <w:sz w:val="22"/>
                <w:lang w:val="fr-CH"/>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p>
        </w:tc>
        <w:tc>
          <w:tcPr>
            <w:tcW w:w="4961" w:type="dxa"/>
          </w:tcPr>
          <w:p w:rsidR="0092458E" w:rsidRPr="00F3043B" w:rsidRDefault="0092458E" w:rsidP="00DF0748">
            <w:pPr>
              <w:spacing w:before="20" w:after="20"/>
              <w:rPr>
                <w:sz w:val="22"/>
                <w:lang w:val="fr-CH"/>
              </w:rPr>
            </w:pPr>
            <w:r w:rsidRPr="00F3043B">
              <w:rPr>
                <w:sz w:val="22"/>
                <w:lang w:val="fr-CH"/>
              </w:rPr>
              <w:t>Nombre de documents des NU faisant référence aux TIC et aux TIC au service du développement qui ont été entérinés par le Conseil économique et social des Nations Unies ou par les commissions de l'Assemblée générale des Nations Unies – Commission 1 (Désarmement et sécurité internationale) Commission 2 (Questions économiques et sociales) et Commission 3 (Questions culturelles et humanitaires)</w:t>
            </w:r>
          </w:p>
        </w:tc>
        <w:tc>
          <w:tcPr>
            <w:tcW w:w="2552" w:type="dxa"/>
          </w:tcPr>
          <w:p w:rsidR="0092458E" w:rsidRPr="008204EA" w:rsidRDefault="0092458E" w:rsidP="00DF0748">
            <w:pPr>
              <w:spacing w:before="20" w:after="20"/>
              <w:rPr>
                <w:sz w:val="22"/>
              </w:rPr>
            </w:pPr>
            <w:r>
              <w:rPr>
                <w:sz w:val="22"/>
              </w:rPr>
              <w:t>Données fournies par </w:t>
            </w:r>
            <w:r w:rsidRPr="008204EA">
              <w:rPr>
                <w:sz w:val="22"/>
              </w:rPr>
              <w:t>SPM</w:t>
            </w:r>
            <w:r w:rsidRPr="008204EA">
              <w:rPr>
                <w:sz w:val="22"/>
                <w:vertAlign w:val="superscript"/>
              </w:rPr>
              <w:t>12</w:t>
            </w:r>
          </w:p>
        </w:tc>
      </w:tr>
    </w:tbl>
    <w:p w:rsidR="0092458E" w:rsidRPr="007F4668" w:rsidRDefault="0092458E" w:rsidP="00DF0748">
      <w:pPr>
        <w:spacing w:before="20" w:after="20"/>
        <w:rPr>
          <w:sz w:val="2"/>
          <w:szCs w:val="2"/>
        </w:rPr>
      </w:pPr>
    </w:p>
    <w:tbl>
      <w:tblPr>
        <w:tblStyle w:val="GridTable4-Accent12"/>
        <w:tblW w:w="14596" w:type="dxa"/>
        <w:tblLayout w:type="fixed"/>
        <w:tblLook w:val="0620" w:firstRow="1" w:lastRow="0" w:firstColumn="0" w:lastColumn="0" w:noHBand="1" w:noVBand="1"/>
      </w:tblPr>
      <w:tblGrid>
        <w:gridCol w:w="9493"/>
        <w:gridCol w:w="1559"/>
        <w:gridCol w:w="1134"/>
        <w:gridCol w:w="1276"/>
        <w:gridCol w:w="1134"/>
      </w:tblGrid>
      <w:tr w:rsidR="0092458E" w:rsidRPr="008204EA" w:rsidTr="00DF0748">
        <w:trPr>
          <w:cnfStyle w:val="100000000000" w:firstRow="1" w:lastRow="0" w:firstColumn="0" w:lastColumn="0" w:oddVBand="0" w:evenVBand="0" w:oddHBand="0" w:evenHBand="0" w:firstRowFirstColumn="0" w:firstRowLastColumn="0" w:lastRowFirstColumn="0" w:lastRowLastColumn="0"/>
        </w:trPr>
        <w:tc>
          <w:tcPr>
            <w:tcW w:w="9493" w:type="dxa"/>
          </w:tcPr>
          <w:p w:rsidR="0092458E" w:rsidRPr="008204EA" w:rsidRDefault="0092458E" w:rsidP="00DF0748">
            <w:pPr>
              <w:spacing w:before="20" w:after="20"/>
              <w:rPr>
                <w:sz w:val="22"/>
              </w:rPr>
            </w:pPr>
            <w:r w:rsidRPr="008204EA">
              <w:rPr>
                <w:sz w:val="22"/>
              </w:rPr>
              <w:t>Produit</w:t>
            </w:r>
          </w:p>
        </w:tc>
        <w:tc>
          <w:tcPr>
            <w:tcW w:w="5103" w:type="dxa"/>
            <w:gridSpan w:val="4"/>
          </w:tcPr>
          <w:p w:rsidR="0092458E" w:rsidRPr="00F3043B" w:rsidRDefault="0092458E" w:rsidP="00DF0748">
            <w:pPr>
              <w:spacing w:before="20" w:after="20"/>
              <w:jc w:val="center"/>
              <w:rPr>
                <w:sz w:val="22"/>
                <w:lang w:val="fr-CH"/>
              </w:rPr>
            </w:pPr>
            <w:r w:rsidRPr="00F3043B">
              <w:rPr>
                <w:sz w:val="22"/>
                <w:lang w:val="fr-CH"/>
              </w:rPr>
              <w:t>Ressources financières</w:t>
            </w:r>
            <w:r>
              <w:rPr>
                <w:rStyle w:val="FootnoteReference"/>
              </w:rPr>
              <w:footnoteReference w:id="14"/>
            </w:r>
            <w:r w:rsidRPr="00F3043B">
              <w:rPr>
                <w:sz w:val="22"/>
                <w:lang w:val="fr-CH"/>
              </w:rPr>
              <w:t xml:space="preserve"> </w:t>
            </w:r>
            <w:r w:rsidRPr="00F3043B">
              <w:rPr>
                <w:b w:val="0"/>
                <w:bCs w:val="0"/>
                <w:sz w:val="22"/>
                <w:lang w:val="fr-CH"/>
              </w:rPr>
              <w:t>(en milliers CHF)</w:t>
            </w:r>
          </w:p>
        </w:tc>
      </w:tr>
      <w:tr w:rsidR="0092458E" w:rsidRPr="008204EA" w:rsidTr="00DF0748">
        <w:tc>
          <w:tcPr>
            <w:tcW w:w="9493" w:type="dxa"/>
          </w:tcPr>
          <w:p w:rsidR="0092458E" w:rsidRPr="00F3043B" w:rsidRDefault="0092458E" w:rsidP="00DF0748">
            <w:pPr>
              <w:spacing w:before="20" w:after="20"/>
              <w:rPr>
                <w:sz w:val="22"/>
                <w:lang w:val="fr-CH"/>
              </w:rPr>
            </w:pPr>
          </w:p>
        </w:tc>
        <w:tc>
          <w:tcPr>
            <w:tcW w:w="1559" w:type="dxa"/>
          </w:tcPr>
          <w:p w:rsidR="0092458E" w:rsidRPr="008204EA" w:rsidRDefault="0092458E" w:rsidP="00DF0748">
            <w:pPr>
              <w:spacing w:before="20" w:after="20"/>
              <w:jc w:val="center"/>
              <w:rPr>
                <w:b/>
                <w:bCs/>
                <w:color w:val="4F81BD" w:themeColor="accent1"/>
                <w:sz w:val="22"/>
              </w:rPr>
            </w:pPr>
            <w:r w:rsidRPr="008204EA">
              <w:rPr>
                <w:b/>
                <w:bCs/>
                <w:color w:val="4F81BD" w:themeColor="accent1"/>
                <w:sz w:val="22"/>
              </w:rPr>
              <w:t>2016</w:t>
            </w:r>
          </w:p>
        </w:tc>
        <w:tc>
          <w:tcPr>
            <w:tcW w:w="1134" w:type="dxa"/>
          </w:tcPr>
          <w:p w:rsidR="0092458E" w:rsidRPr="008204EA" w:rsidRDefault="0092458E" w:rsidP="00DF0748">
            <w:pPr>
              <w:spacing w:before="20" w:after="20"/>
              <w:jc w:val="center"/>
              <w:rPr>
                <w:b/>
                <w:bCs/>
                <w:color w:val="4F81BD" w:themeColor="accent1"/>
                <w:sz w:val="22"/>
              </w:rPr>
            </w:pPr>
            <w:r w:rsidRPr="008204EA">
              <w:rPr>
                <w:b/>
                <w:bCs/>
                <w:color w:val="4F81BD" w:themeColor="accent1"/>
                <w:sz w:val="22"/>
              </w:rPr>
              <w:t>2017</w:t>
            </w:r>
          </w:p>
        </w:tc>
        <w:tc>
          <w:tcPr>
            <w:tcW w:w="1276" w:type="dxa"/>
          </w:tcPr>
          <w:p w:rsidR="0092458E" w:rsidRPr="008204EA" w:rsidRDefault="0092458E" w:rsidP="00DF0748">
            <w:pPr>
              <w:spacing w:before="20" w:after="20"/>
              <w:jc w:val="center"/>
              <w:rPr>
                <w:b/>
                <w:bCs/>
                <w:color w:val="4F81BD" w:themeColor="accent1"/>
                <w:sz w:val="22"/>
              </w:rPr>
            </w:pPr>
            <w:r w:rsidRPr="008204EA">
              <w:rPr>
                <w:b/>
                <w:bCs/>
                <w:color w:val="4F81BD" w:themeColor="accent1"/>
                <w:sz w:val="22"/>
              </w:rPr>
              <w:t>2018</w:t>
            </w:r>
          </w:p>
        </w:tc>
        <w:tc>
          <w:tcPr>
            <w:tcW w:w="1134" w:type="dxa"/>
          </w:tcPr>
          <w:p w:rsidR="0092458E" w:rsidRPr="008204EA" w:rsidRDefault="0092458E" w:rsidP="00DF0748">
            <w:pPr>
              <w:spacing w:before="20" w:after="20"/>
              <w:jc w:val="center"/>
              <w:rPr>
                <w:b/>
                <w:bCs/>
                <w:color w:val="4F81BD" w:themeColor="accent1"/>
                <w:sz w:val="22"/>
              </w:rPr>
            </w:pPr>
            <w:r w:rsidRPr="008204EA">
              <w:rPr>
                <w:b/>
                <w:bCs/>
                <w:color w:val="4F81BD" w:themeColor="accent1"/>
                <w:sz w:val="22"/>
              </w:rPr>
              <w:t>2019</w:t>
            </w:r>
          </w:p>
        </w:tc>
      </w:tr>
      <w:tr w:rsidR="0092458E" w:rsidRPr="008204EA" w:rsidTr="00DF0748">
        <w:tc>
          <w:tcPr>
            <w:tcW w:w="9493" w:type="dxa"/>
          </w:tcPr>
          <w:p w:rsidR="0092458E" w:rsidRPr="00F3043B" w:rsidRDefault="0092458E" w:rsidP="00DF0748">
            <w:pPr>
              <w:spacing w:before="20" w:after="20"/>
              <w:contextualSpacing/>
              <w:rPr>
                <w:rFonts w:eastAsia="Calibri" w:cs="Arial"/>
                <w:sz w:val="22"/>
                <w:lang w:val="fr-CH"/>
              </w:rPr>
            </w:pPr>
            <w:r w:rsidRPr="00F3043B">
              <w:rPr>
                <w:rFonts w:eastAsia="Calibri" w:cs="Arial"/>
                <w:b/>
                <w:bCs/>
                <w:color w:val="4F81BD" w:themeColor="accent1"/>
                <w:sz w:val="22"/>
                <w:lang w:val="fr-CH"/>
              </w:rPr>
              <w:t>I.4-1</w:t>
            </w:r>
            <w:r w:rsidRPr="00F3043B">
              <w:rPr>
                <w:sz w:val="22"/>
                <w:lang w:val="fr-CH"/>
              </w:rPr>
              <w:t xml:space="preserve"> </w:t>
            </w:r>
            <w:r w:rsidRPr="00F3043B">
              <w:rPr>
                <w:rFonts w:eastAsia="Calibri" w:cs="Arial"/>
                <w:sz w:val="22"/>
                <w:lang w:val="fr-CH"/>
              </w:rPr>
              <w:t>Rapports et autres contributions aux processus interinstitutions des Nations Unies, multilatéraux et intergouvernementaux</w:t>
            </w:r>
          </w:p>
        </w:tc>
        <w:tc>
          <w:tcPr>
            <w:tcW w:w="1559" w:type="dxa"/>
            <w:tcMar>
              <w:right w:w="227" w:type="dxa"/>
            </w:tcMar>
            <w:vAlign w:val="center"/>
          </w:tcPr>
          <w:p w:rsidR="0092458E" w:rsidRPr="008204EA" w:rsidRDefault="0092458E" w:rsidP="00DF0748">
            <w:pPr>
              <w:spacing w:before="20" w:after="20"/>
              <w:jc w:val="right"/>
              <w:rPr>
                <w:sz w:val="22"/>
              </w:rPr>
            </w:pPr>
            <w:r w:rsidRPr="008204EA">
              <w:rPr>
                <w:i/>
                <w:iCs/>
                <w:color w:val="767171"/>
                <w:sz w:val="22"/>
              </w:rPr>
              <w:t>1 404</w:t>
            </w:r>
          </w:p>
        </w:tc>
        <w:tc>
          <w:tcPr>
            <w:tcW w:w="1134" w:type="dxa"/>
            <w:tcMar>
              <w:right w:w="227" w:type="dxa"/>
            </w:tcMar>
            <w:vAlign w:val="center"/>
          </w:tcPr>
          <w:p w:rsidR="0092458E" w:rsidRPr="008204EA" w:rsidRDefault="0092458E" w:rsidP="00DF0748">
            <w:pPr>
              <w:spacing w:before="20" w:after="20"/>
              <w:jc w:val="right"/>
              <w:rPr>
                <w:sz w:val="22"/>
              </w:rPr>
            </w:pPr>
            <w:r w:rsidRPr="008204EA">
              <w:rPr>
                <w:i/>
                <w:iCs/>
                <w:color w:val="767171"/>
                <w:sz w:val="22"/>
              </w:rPr>
              <w:t>1,379</w:t>
            </w:r>
          </w:p>
        </w:tc>
        <w:tc>
          <w:tcPr>
            <w:tcW w:w="1276" w:type="dxa"/>
            <w:vAlign w:val="center"/>
          </w:tcPr>
          <w:p w:rsidR="0092458E" w:rsidRPr="008204EA" w:rsidRDefault="0092458E" w:rsidP="00DF0748">
            <w:pPr>
              <w:spacing w:before="20" w:after="20"/>
              <w:jc w:val="center"/>
              <w:rPr>
                <w:sz w:val="22"/>
              </w:rPr>
            </w:pPr>
            <w:r w:rsidRPr="008204EA">
              <w:rPr>
                <w:sz w:val="22"/>
              </w:rPr>
              <w:t>sans objet</w:t>
            </w:r>
          </w:p>
        </w:tc>
        <w:tc>
          <w:tcPr>
            <w:tcW w:w="1134" w:type="dxa"/>
            <w:vAlign w:val="center"/>
          </w:tcPr>
          <w:p w:rsidR="0092458E" w:rsidRPr="008204EA" w:rsidRDefault="0092458E" w:rsidP="00DF0748">
            <w:pPr>
              <w:spacing w:before="20" w:after="20"/>
              <w:jc w:val="center"/>
              <w:rPr>
                <w:sz w:val="22"/>
              </w:rPr>
            </w:pPr>
            <w:r w:rsidRPr="008204EA">
              <w:rPr>
                <w:sz w:val="22"/>
              </w:rPr>
              <w:t>sans objet</w:t>
            </w:r>
          </w:p>
        </w:tc>
      </w:tr>
      <w:tr w:rsidR="0092458E" w:rsidRPr="008204EA" w:rsidTr="00DF0748">
        <w:tc>
          <w:tcPr>
            <w:tcW w:w="9493" w:type="dxa"/>
          </w:tcPr>
          <w:p w:rsidR="0092458E" w:rsidRPr="00F3043B" w:rsidRDefault="0092458E" w:rsidP="00DF0748">
            <w:pPr>
              <w:spacing w:before="20" w:after="20"/>
              <w:contextualSpacing/>
              <w:rPr>
                <w:rFonts w:eastAsia="Calibri" w:cs="Arial"/>
                <w:b/>
                <w:bCs/>
                <w:color w:val="4F81BD" w:themeColor="accent1"/>
                <w:sz w:val="22"/>
                <w:lang w:val="fr-CH"/>
              </w:rPr>
            </w:pPr>
            <w:r w:rsidRPr="00F3043B">
              <w:rPr>
                <w:rFonts w:eastAsia="Calibri" w:cs="Arial"/>
                <w:sz w:val="22"/>
                <w:lang w:val="fr-CH"/>
              </w:rPr>
              <w:t>Imputation des coûts à la Conférence de plénipotentiaires et aux activités du Conseil (</w:t>
            </w:r>
            <w:r w:rsidRPr="00F3043B">
              <w:rPr>
                <w:rFonts w:eastAsia="Calibri" w:cs="Arial"/>
                <w:b/>
                <w:bCs/>
                <w:color w:val="4F81BD" w:themeColor="accent1"/>
                <w:sz w:val="22"/>
                <w:lang w:val="fr-CH"/>
              </w:rPr>
              <w:t>PP</w:t>
            </w:r>
            <w:r w:rsidRPr="00F3043B">
              <w:rPr>
                <w:rFonts w:eastAsia="Calibri" w:cs="Arial"/>
                <w:sz w:val="22"/>
                <w:lang w:val="fr-CH"/>
              </w:rPr>
              <w:t xml:space="preserve">, </w:t>
            </w:r>
            <w:r w:rsidRPr="00F3043B">
              <w:rPr>
                <w:rFonts w:eastAsia="Calibri" w:cs="Arial"/>
                <w:b/>
                <w:bCs/>
                <w:color w:val="4F81BD" w:themeColor="accent1"/>
                <w:sz w:val="22"/>
                <w:lang w:val="fr-CH"/>
              </w:rPr>
              <w:t>Conseil/GTC</w:t>
            </w:r>
            <w:r w:rsidRPr="00F3043B">
              <w:rPr>
                <w:rFonts w:eastAsia="Calibri" w:cs="Arial"/>
                <w:sz w:val="22"/>
                <w:lang w:val="fr-CH"/>
              </w:rPr>
              <w:t>)</w:t>
            </w:r>
          </w:p>
        </w:tc>
        <w:tc>
          <w:tcPr>
            <w:tcW w:w="1559" w:type="dxa"/>
            <w:tcMar>
              <w:right w:w="227" w:type="dxa"/>
            </w:tcMar>
            <w:vAlign w:val="center"/>
          </w:tcPr>
          <w:p w:rsidR="0092458E" w:rsidRPr="008204EA" w:rsidRDefault="0092458E" w:rsidP="00DF0748">
            <w:pPr>
              <w:spacing w:before="20" w:after="20"/>
              <w:jc w:val="right"/>
              <w:rPr>
                <w:sz w:val="22"/>
              </w:rPr>
            </w:pPr>
            <w:r w:rsidRPr="008204EA">
              <w:rPr>
                <w:i/>
                <w:iCs/>
                <w:color w:val="767171"/>
                <w:sz w:val="22"/>
              </w:rPr>
              <w:t>45</w:t>
            </w:r>
          </w:p>
        </w:tc>
        <w:tc>
          <w:tcPr>
            <w:tcW w:w="1134" w:type="dxa"/>
            <w:tcMar>
              <w:right w:w="227" w:type="dxa"/>
            </w:tcMar>
            <w:vAlign w:val="center"/>
          </w:tcPr>
          <w:p w:rsidR="0092458E" w:rsidRPr="008204EA" w:rsidRDefault="0092458E" w:rsidP="00DF0748">
            <w:pPr>
              <w:spacing w:before="20" w:after="20"/>
              <w:jc w:val="right"/>
              <w:rPr>
                <w:sz w:val="22"/>
              </w:rPr>
            </w:pPr>
            <w:r w:rsidRPr="008204EA">
              <w:rPr>
                <w:i/>
                <w:iCs/>
                <w:color w:val="767171"/>
                <w:sz w:val="22"/>
              </w:rPr>
              <w:t>48</w:t>
            </w:r>
          </w:p>
        </w:tc>
        <w:tc>
          <w:tcPr>
            <w:tcW w:w="1276" w:type="dxa"/>
          </w:tcPr>
          <w:p w:rsidR="0092458E" w:rsidRPr="008204EA" w:rsidRDefault="0092458E" w:rsidP="00DF0748">
            <w:pPr>
              <w:spacing w:before="20" w:after="20"/>
              <w:jc w:val="center"/>
              <w:rPr>
                <w:sz w:val="22"/>
              </w:rPr>
            </w:pPr>
            <w:r w:rsidRPr="008204EA">
              <w:rPr>
                <w:sz w:val="22"/>
              </w:rPr>
              <w:t>sans objet</w:t>
            </w:r>
          </w:p>
        </w:tc>
        <w:tc>
          <w:tcPr>
            <w:tcW w:w="1134" w:type="dxa"/>
          </w:tcPr>
          <w:p w:rsidR="0092458E" w:rsidRPr="008204EA" w:rsidRDefault="0092458E" w:rsidP="00DF0748">
            <w:pPr>
              <w:spacing w:before="20" w:after="20"/>
              <w:jc w:val="center"/>
              <w:rPr>
                <w:sz w:val="22"/>
              </w:rPr>
            </w:pPr>
            <w:r w:rsidRPr="008204EA">
              <w:rPr>
                <w:sz w:val="22"/>
              </w:rPr>
              <w:t>sans objet</w:t>
            </w:r>
          </w:p>
        </w:tc>
      </w:tr>
      <w:tr w:rsidR="0092458E" w:rsidRPr="008204EA" w:rsidTr="00DF0748">
        <w:tc>
          <w:tcPr>
            <w:tcW w:w="9493" w:type="dxa"/>
          </w:tcPr>
          <w:p w:rsidR="0092458E" w:rsidRPr="008204EA" w:rsidRDefault="0092458E" w:rsidP="00DF0748">
            <w:pPr>
              <w:spacing w:before="20" w:after="20" w:line="216" w:lineRule="auto"/>
              <w:ind w:right="113"/>
              <w:rPr>
                <w:b/>
                <w:bCs/>
                <w:noProof/>
                <w:color w:val="4F81BD" w:themeColor="accent1"/>
                <w:sz w:val="22"/>
                <w:lang w:eastAsia="zh-CN"/>
              </w:rPr>
            </w:pPr>
            <w:r w:rsidRPr="008204EA">
              <w:rPr>
                <w:b/>
                <w:bCs/>
                <w:noProof/>
                <w:color w:val="4F81BD" w:themeColor="accent1"/>
                <w:sz w:val="22"/>
                <w:lang w:eastAsia="zh-CN"/>
              </w:rPr>
              <w:t>Total pour l'objectif I.4</w:t>
            </w:r>
          </w:p>
        </w:tc>
        <w:tc>
          <w:tcPr>
            <w:tcW w:w="1559" w:type="dxa"/>
            <w:tcMar>
              <w:right w:w="227" w:type="dxa"/>
            </w:tcMar>
            <w:vAlign w:val="center"/>
          </w:tcPr>
          <w:p w:rsidR="0092458E" w:rsidRPr="008204EA" w:rsidRDefault="0092458E" w:rsidP="00DF0748">
            <w:pPr>
              <w:spacing w:before="20" w:after="20"/>
              <w:jc w:val="right"/>
              <w:rPr>
                <w:b/>
                <w:bCs/>
                <w:sz w:val="22"/>
              </w:rPr>
            </w:pPr>
            <w:r w:rsidRPr="008204EA">
              <w:rPr>
                <w:b/>
                <w:bCs/>
                <w:i/>
                <w:iCs/>
                <w:color w:val="767171"/>
                <w:sz w:val="22"/>
              </w:rPr>
              <w:t>1 449</w:t>
            </w:r>
          </w:p>
        </w:tc>
        <w:tc>
          <w:tcPr>
            <w:tcW w:w="1134" w:type="dxa"/>
            <w:tcMar>
              <w:right w:w="227" w:type="dxa"/>
            </w:tcMar>
            <w:vAlign w:val="center"/>
          </w:tcPr>
          <w:p w:rsidR="0092458E" w:rsidRPr="008204EA" w:rsidRDefault="0092458E" w:rsidP="00DF0748">
            <w:pPr>
              <w:spacing w:before="20" w:after="20"/>
              <w:jc w:val="right"/>
              <w:rPr>
                <w:b/>
                <w:bCs/>
                <w:sz w:val="22"/>
              </w:rPr>
            </w:pPr>
            <w:r w:rsidRPr="008204EA">
              <w:rPr>
                <w:b/>
                <w:bCs/>
                <w:i/>
                <w:iCs/>
                <w:color w:val="767171"/>
                <w:sz w:val="22"/>
              </w:rPr>
              <w:t>1 427</w:t>
            </w:r>
          </w:p>
        </w:tc>
        <w:tc>
          <w:tcPr>
            <w:tcW w:w="1276" w:type="dxa"/>
            <w:vAlign w:val="center"/>
          </w:tcPr>
          <w:p w:rsidR="0092458E" w:rsidRPr="008204EA" w:rsidRDefault="0092458E" w:rsidP="00DF0748">
            <w:pPr>
              <w:spacing w:before="20" w:after="20"/>
              <w:jc w:val="center"/>
              <w:rPr>
                <w:b/>
                <w:bCs/>
                <w:sz w:val="22"/>
              </w:rPr>
            </w:pPr>
            <w:r w:rsidRPr="008204EA">
              <w:rPr>
                <w:sz w:val="22"/>
              </w:rPr>
              <w:t>sans objet</w:t>
            </w:r>
          </w:p>
        </w:tc>
        <w:tc>
          <w:tcPr>
            <w:tcW w:w="1134" w:type="dxa"/>
            <w:vAlign w:val="center"/>
          </w:tcPr>
          <w:p w:rsidR="0092458E" w:rsidRPr="008204EA" w:rsidRDefault="0092458E" w:rsidP="00DF0748">
            <w:pPr>
              <w:spacing w:before="20" w:after="20"/>
              <w:jc w:val="center"/>
              <w:rPr>
                <w:b/>
                <w:bCs/>
                <w:sz w:val="22"/>
              </w:rPr>
            </w:pPr>
            <w:r w:rsidRPr="008204EA">
              <w:rPr>
                <w:sz w:val="22"/>
              </w:rPr>
              <w:t>sans objet</w:t>
            </w:r>
          </w:p>
        </w:tc>
      </w:tr>
    </w:tbl>
    <w:p w:rsidR="0092458E" w:rsidRPr="007F4668" w:rsidRDefault="0092458E">
      <w:pPr>
        <w:overflowPunct/>
        <w:autoSpaceDE/>
        <w:autoSpaceDN/>
        <w:adjustRightInd/>
        <w:spacing w:before="0"/>
        <w:textAlignment w:val="auto"/>
        <w:rPr>
          <w:b/>
        </w:rPr>
      </w:pPr>
    </w:p>
    <w:p w:rsidR="0092458E" w:rsidRPr="007F4668" w:rsidRDefault="0092458E" w:rsidP="00DF0748">
      <w:pPr>
        <w:pStyle w:val="Heading2"/>
        <w:spacing w:after="120"/>
      </w:pPr>
      <w:r w:rsidRPr="007F4668">
        <w:br w:type="page"/>
      </w:r>
    </w:p>
    <w:p w:rsidR="0092458E" w:rsidRPr="007F4668" w:rsidRDefault="0092458E" w:rsidP="00DF0748">
      <w:pPr>
        <w:pStyle w:val="Heading2"/>
        <w:spacing w:after="120"/>
      </w:pPr>
      <w:r w:rsidRPr="007F4668">
        <w:lastRenderedPageBreak/>
        <w:t>6.5</w:t>
      </w:r>
      <w:r w:rsidRPr="007F4668">
        <w:tab/>
        <w:t>I5 Améliorer l'accès aux télécommunications/TIC pour les personnes handicapées et pour les personnes ayant des besoins particuliers</w:t>
      </w:r>
    </w:p>
    <w:tbl>
      <w:tblPr>
        <w:tblStyle w:val="GridTable4-Accent12"/>
        <w:tblW w:w="14596" w:type="dxa"/>
        <w:tblLook w:val="0620" w:firstRow="1" w:lastRow="0" w:firstColumn="0" w:lastColumn="0" w:noHBand="1" w:noVBand="1"/>
      </w:tblPr>
      <w:tblGrid>
        <w:gridCol w:w="5949"/>
        <w:gridCol w:w="6095"/>
        <w:gridCol w:w="2552"/>
      </w:tblGrid>
      <w:tr w:rsidR="0092458E" w:rsidRPr="006D3733" w:rsidTr="00DF0748">
        <w:trPr>
          <w:cnfStyle w:val="100000000000" w:firstRow="1" w:lastRow="0" w:firstColumn="0" w:lastColumn="0" w:oddVBand="0" w:evenVBand="0" w:oddHBand="0" w:evenHBand="0" w:firstRowFirstColumn="0" w:firstRowLastColumn="0" w:lastRowFirstColumn="0" w:lastRowLastColumn="0"/>
        </w:trPr>
        <w:tc>
          <w:tcPr>
            <w:tcW w:w="5949" w:type="dxa"/>
          </w:tcPr>
          <w:p w:rsidR="0092458E" w:rsidRPr="006D3733" w:rsidRDefault="0092458E" w:rsidP="00DF0748">
            <w:pPr>
              <w:spacing w:before="20" w:after="20"/>
              <w:rPr>
                <w:sz w:val="22"/>
              </w:rPr>
            </w:pPr>
            <w:r w:rsidRPr="006D3733">
              <w:rPr>
                <w:sz w:val="22"/>
              </w:rPr>
              <w:t>Résultat</w:t>
            </w:r>
          </w:p>
        </w:tc>
        <w:tc>
          <w:tcPr>
            <w:tcW w:w="6095" w:type="dxa"/>
          </w:tcPr>
          <w:p w:rsidR="0092458E" w:rsidRPr="00F3043B" w:rsidRDefault="0092458E" w:rsidP="00DF0748">
            <w:pPr>
              <w:spacing w:before="20" w:after="20"/>
              <w:rPr>
                <w:sz w:val="22"/>
                <w:lang w:val="fr-CH"/>
              </w:rPr>
            </w:pPr>
            <w:r w:rsidRPr="00F3043B">
              <w:rPr>
                <w:sz w:val="22"/>
                <w:lang w:val="fr-CH"/>
              </w:rPr>
              <w:t>Indicateur de résultat (valeur actuelle – valeur d'ici à 2020</w:t>
            </w:r>
            <w:r w:rsidRPr="00F3043B">
              <w:rPr>
                <w:b w:val="0"/>
                <w:bCs w:val="0"/>
                <w:sz w:val="22"/>
                <w:lang w:val="fr-CH"/>
              </w:rPr>
              <w:t>)</w:t>
            </w:r>
          </w:p>
        </w:tc>
        <w:tc>
          <w:tcPr>
            <w:tcW w:w="2552" w:type="dxa"/>
          </w:tcPr>
          <w:p w:rsidR="0092458E" w:rsidRPr="006D3733" w:rsidRDefault="0092458E" w:rsidP="00DF0748">
            <w:pPr>
              <w:spacing w:before="20" w:after="20"/>
              <w:rPr>
                <w:sz w:val="22"/>
              </w:rPr>
            </w:pPr>
            <w:r w:rsidRPr="006D3733">
              <w:rPr>
                <w:sz w:val="22"/>
              </w:rPr>
              <w:t>Moyen de mesure</w:t>
            </w:r>
          </w:p>
        </w:tc>
      </w:tr>
      <w:tr w:rsidR="0092458E" w:rsidRPr="006D3733" w:rsidTr="00DF0748">
        <w:tc>
          <w:tcPr>
            <w:tcW w:w="5949" w:type="dxa"/>
          </w:tcPr>
          <w:p w:rsidR="0092458E" w:rsidRPr="00F3043B" w:rsidRDefault="0092458E" w:rsidP="00DF0748">
            <w:pPr>
              <w:spacing w:before="20" w:after="20"/>
              <w:rPr>
                <w:rFonts w:eastAsia="Calibri" w:cs="Arial"/>
                <w:b/>
                <w:bCs/>
                <w:sz w:val="22"/>
                <w:lang w:val="fr-CH"/>
              </w:rPr>
            </w:pPr>
            <w:r w:rsidRPr="00F3043B">
              <w:rPr>
                <w:rFonts w:eastAsia="Calibri" w:cs="Arial"/>
                <w:b/>
                <w:bCs/>
                <w:color w:val="4F81BD" w:themeColor="accent1"/>
                <w:sz w:val="22"/>
                <w:lang w:val="fr-CH"/>
              </w:rPr>
              <w:t xml:space="preserve">I.5-1: </w:t>
            </w:r>
            <w:r w:rsidRPr="00F3043B">
              <w:rPr>
                <w:rFonts w:cs="Calibri"/>
                <w:sz w:val="22"/>
                <w:lang w:val="fr-CH"/>
              </w:rPr>
              <w:t>Disponibilité accrue d'équipements, de services et d'applications de télécommunication/TIC conformes aux principes de conception universelle</w:t>
            </w:r>
          </w:p>
        </w:tc>
        <w:tc>
          <w:tcPr>
            <w:tcW w:w="6095" w:type="dxa"/>
          </w:tcPr>
          <w:p w:rsidR="0092458E" w:rsidRPr="00F3043B" w:rsidRDefault="0092458E" w:rsidP="00DF0748">
            <w:pPr>
              <w:spacing w:before="20" w:after="20"/>
              <w:rPr>
                <w:color w:val="948A54" w:themeColor="background2" w:themeShade="80"/>
                <w:sz w:val="22"/>
                <w:lang w:val="fr-CH"/>
              </w:rPr>
            </w:pPr>
            <w:r w:rsidRPr="00F3043B">
              <w:rPr>
                <w:rFonts w:eastAsia="Calibri" w:cs="Arial"/>
                <w:sz w:val="22"/>
                <w:lang w:val="fr-CH"/>
              </w:rPr>
              <w:t>Nombre de fois où les lignes directrices relatives à la conception universelle ont été respectées/prises en compte dans les spécifications des besoins</w:t>
            </w:r>
          </w:p>
        </w:tc>
        <w:tc>
          <w:tcPr>
            <w:tcW w:w="2552" w:type="dxa"/>
          </w:tcPr>
          <w:p w:rsidR="0092458E" w:rsidRPr="006D3733" w:rsidRDefault="0092458E" w:rsidP="00DF0748">
            <w:pPr>
              <w:spacing w:before="20" w:after="20"/>
              <w:rPr>
                <w:color w:val="948A54" w:themeColor="background2" w:themeShade="80"/>
                <w:sz w:val="22"/>
              </w:rPr>
            </w:pPr>
            <w:r w:rsidRPr="006D3733">
              <w:rPr>
                <w:sz w:val="22"/>
              </w:rPr>
              <w:t>Références à l'UIT Recommandations</w:t>
            </w:r>
            <w:r>
              <w:rPr>
                <w:rStyle w:val="FootnoteReference"/>
              </w:rPr>
              <w:footnoteReference w:id="15"/>
            </w:r>
          </w:p>
        </w:tc>
      </w:tr>
      <w:tr w:rsidR="0092458E" w:rsidRPr="006D3733" w:rsidTr="00DF0748">
        <w:tc>
          <w:tcPr>
            <w:tcW w:w="5949" w:type="dxa"/>
          </w:tcPr>
          <w:p w:rsidR="0092458E" w:rsidRPr="00F3043B" w:rsidRDefault="0092458E" w:rsidP="00DF0748">
            <w:pPr>
              <w:spacing w:before="20" w:after="20"/>
              <w:rPr>
                <w:rFonts w:eastAsia="Calibri" w:cs="Arial"/>
                <w:bCs/>
                <w:color w:val="4F81BD" w:themeColor="accent1"/>
                <w:sz w:val="22"/>
                <w:lang w:val="fr-CH"/>
              </w:rPr>
            </w:pPr>
            <w:r w:rsidRPr="00F3043B">
              <w:rPr>
                <w:rFonts w:eastAsia="Calibri" w:cs="Arial"/>
                <w:b/>
                <w:bCs/>
                <w:color w:val="4F81BD" w:themeColor="accent1"/>
                <w:sz w:val="22"/>
                <w:lang w:val="fr-CH"/>
              </w:rPr>
              <w:t xml:space="preserve">I.5-2: </w:t>
            </w:r>
            <w:r w:rsidRPr="00F3043B">
              <w:rPr>
                <w:rFonts w:cs="Calibri"/>
                <w:sz w:val="22"/>
                <w:lang w:val="fr-CH"/>
              </w:rPr>
              <w:t>Renforcement de la participation des organisations de personnes handicapées et de personnes ayant des besoins particuliers aux travaux de l'Union</w:t>
            </w:r>
          </w:p>
        </w:tc>
        <w:tc>
          <w:tcPr>
            <w:tcW w:w="6095" w:type="dxa"/>
          </w:tcPr>
          <w:p w:rsidR="0092458E" w:rsidRPr="00F3043B" w:rsidRDefault="0092458E" w:rsidP="00DF0748">
            <w:pPr>
              <w:spacing w:before="20" w:after="20"/>
              <w:rPr>
                <w:sz w:val="22"/>
                <w:highlight w:val="cyan"/>
                <w:lang w:val="fr-CH"/>
              </w:rPr>
            </w:pPr>
            <w:r w:rsidRPr="00F3043B">
              <w:rPr>
                <w:sz w:val="22"/>
                <w:lang w:val="fr-CH"/>
              </w:rPr>
              <w:t>Nombre d'organisations de personnes handicapées et de personnes ayant des besoins particuliers qui contribuent aux travaux de l'UIT en participant à ses activités (réunions, soumission de contributions, informations en retour concernant les publications de l'UIT, etc.)</w:t>
            </w:r>
          </w:p>
        </w:tc>
        <w:tc>
          <w:tcPr>
            <w:tcW w:w="2552" w:type="dxa"/>
          </w:tcPr>
          <w:p w:rsidR="0092458E" w:rsidRPr="006D3733" w:rsidRDefault="0092458E" w:rsidP="00DF0748">
            <w:pPr>
              <w:spacing w:before="20" w:after="20"/>
              <w:rPr>
                <w:sz w:val="22"/>
              </w:rPr>
            </w:pPr>
            <w:r>
              <w:rPr>
                <w:sz w:val="22"/>
              </w:rPr>
              <w:t>Données fournies par </w:t>
            </w:r>
            <w:r w:rsidRPr="006D3733">
              <w:rPr>
                <w:sz w:val="22"/>
              </w:rPr>
              <w:t>SPM</w:t>
            </w:r>
            <w:r w:rsidRPr="006D3733">
              <w:rPr>
                <w:sz w:val="22"/>
                <w:vertAlign w:val="superscript"/>
              </w:rPr>
              <w:t>15</w:t>
            </w:r>
          </w:p>
        </w:tc>
      </w:tr>
      <w:tr w:rsidR="0092458E" w:rsidRPr="006D3733" w:rsidTr="00DF0748">
        <w:tc>
          <w:tcPr>
            <w:tcW w:w="5949" w:type="dxa"/>
          </w:tcPr>
          <w:p w:rsidR="0092458E" w:rsidRPr="00F3043B" w:rsidRDefault="0092458E" w:rsidP="00DF0748">
            <w:pPr>
              <w:spacing w:before="20" w:after="20"/>
              <w:rPr>
                <w:rFonts w:eastAsia="Calibri" w:cs="Arial"/>
                <w:bCs/>
                <w:color w:val="4F81BD" w:themeColor="accent1"/>
                <w:sz w:val="22"/>
                <w:lang w:val="fr-CH"/>
              </w:rPr>
            </w:pPr>
            <w:r w:rsidRPr="00F3043B">
              <w:rPr>
                <w:rFonts w:eastAsia="Calibri" w:cs="Arial"/>
                <w:b/>
                <w:bCs/>
                <w:color w:val="4F81BD" w:themeColor="accent1"/>
                <w:sz w:val="22"/>
                <w:lang w:val="fr-CH"/>
              </w:rPr>
              <w:t xml:space="preserve">I.5-3: </w:t>
            </w:r>
            <w:r w:rsidRPr="00F3043B">
              <w:rPr>
                <w:rFonts w:cs="Calibri"/>
                <w:sz w:val="22"/>
                <w:lang w:val="fr-CH"/>
              </w:rPr>
              <w:t>Sensibilisation accrue, y compris par une reconnaissance multilatérale et intergouvernementale, à la nécessité d'améliorer l'accès aux télécommunications/TIC pour les personnes handicapées et pour les personnes ayant des besoins particuliers</w:t>
            </w:r>
          </w:p>
        </w:tc>
        <w:tc>
          <w:tcPr>
            <w:tcW w:w="6095" w:type="dxa"/>
          </w:tcPr>
          <w:p w:rsidR="0092458E" w:rsidRPr="00F3043B" w:rsidRDefault="0092458E" w:rsidP="00DF0748">
            <w:pPr>
              <w:spacing w:before="20" w:after="20"/>
              <w:rPr>
                <w:sz w:val="22"/>
                <w:lang w:val="fr-CH"/>
              </w:rPr>
            </w:pPr>
            <w:r w:rsidRPr="00F3043B">
              <w:rPr>
                <w:sz w:val="22"/>
                <w:lang w:val="fr-CH"/>
              </w:rPr>
              <w:t xml:space="preserve">Nombre de pays ayant une politique en matière d'accessibilité </w:t>
            </w:r>
          </w:p>
          <w:p w:rsidR="0092458E" w:rsidRPr="00F3043B" w:rsidRDefault="0092458E" w:rsidP="00DF0748">
            <w:pPr>
              <w:spacing w:before="20" w:after="20"/>
              <w:rPr>
                <w:sz w:val="22"/>
                <w:highlight w:val="cyan"/>
                <w:lang w:val="fr-CH"/>
              </w:rPr>
            </w:pPr>
            <w:r w:rsidRPr="00F3043B">
              <w:rPr>
                <w:sz w:val="22"/>
                <w:lang w:val="fr-CH"/>
              </w:rPr>
              <w:t xml:space="preserve">Nombre de pays progressant en vue de l'adoption d'un plan relatif à l'accessibilité </w:t>
            </w:r>
          </w:p>
        </w:tc>
        <w:tc>
          <w:tcPr>
            <w:tcW w:w="2552" w:type="dxa"/>
          </w:tcPr>
          <w:p w:rsidR="0092458E" w:rsidRPr="00F3043B" w:rsidRDefault="0092458E" w:rsidP="00DF0748">
            <w:pPr>
              <w:spacing w:before="20" w:after="20"/>
              <w:rPr>
                <w:sz w:val="22"/>
                <w:lang w:val="fr-CH"/>
              </w:rPr>
            </w:pPr>
            <w:r w:rsidRPr="00F3043B">
              <w:rPr>
                <w:sz w:val="22"/>
                <w:lang w:val="fr-CH"/>
              </w:rPr>
              <w:t>Données du BDT (Rapport "Mesurer la société de l'information")</w:t>
            </w:r>
          </w:p>
        </w:tc>
      </w:tr>
    </w:tbl>
    <w:p w:rsidR="0092458E" w:rsidRPr="007F4668" w:rsidRDefault="0092458E" w:rsidP="00DF0748">
      <w:pPr>
        <w:spacing w:before="20" w:after="20"/>
        <w:rPr>
          <w:sz w:val="2"/>
          <w:szCs w:val="2"/>
        </w:rPr>
      </w:pPr>
    </w:p>
    <w:tbl>
      <w:tblPr>
        <w:tblStyle w:val="GridTable4-Accent12"/>
        <w:tblW w:w="14596" w:type="dxa"/>
        <w:tblLayout w:type="fixed"/>
        <w:tblLook w:val="0620" w:firstRow="1" w:lastRow="0" w:firstColumn="0" w:lastColumn="0" w:noHBand="1" w:noVBand="1"/>
      </w:tblPr>
      <w:tblGrid>
        <w:gridCol w:w="9918"/>
        <w:gridCol w:w="1134"/>
        <w:gridCol w:w="1276"/>
        <w:gridCol w:w="1134"/>
        <w:gridCol w:w="1134"/>
      </w:tblGrid>
      <w:tr w:rsidR="0092458E" w:rsidRPr="006D3733" w:rsidTr="00DF0748">
        <w:trPr>
          <w:cnfStyle w:val="100000000000" w:firstRow="1" w:lastRow="0" w:firstColumn="0" w:lastColumn="0" w:oddVBand="0" w:evenVBand="0" w:oddHBand="0" w:evenHBand="0" w:firstRowFirstColumn="0" w:firstRowLastColumn="0" w:lastRowFirstColumn="0" w:lastRowLastColumn="0"/>
        </w:trPr>
        <w:tc>
          <w:tcPr>
            <w:tcW w:w="9918" w:type="dxa"/>
          </w:tcPr>
          <w:p w:rsidR="0092458E" w:rsidRPr="006D3733" w:rsidRDefault="0092458E" w:rsidP="00DF0748">
            <w:pPr>
              <w:spacing w:before="20" w:after="20"/>
              <w:rPr>
                <w:sz w:val="22"/>
              </w:rPr>
            </w:pPr>
            <w:r w:rsidRPr="006D3733">
              <w:rPr>
                <w:sz w:val="22"/>
              </w:rPr>
              <w:t>Produit</w:t>
            </w:r>
          </w:p>
        </w:tc>
        <w:tc>
          <w:tcPr>
            <w:tcW w:w="4678" w:type="dxa"/>
            <w:gridSpan w:val="4"/>
          </w:tcPr>
          <w:p w:rsidR="0092458E" w:rsidRPr="00F3043B" w:rsidRDefault="0092458E" w:rsidP="00DF0748">
            <w:pPr>
              <w:spacing w:before="20" w:after="20"/>
              <w:jc w:val="center"/>
              <w:rPr>
                <w:sz w:val="22"/>
                <w:lang w:val="fr-CH"/>
              </w:rPr>
            </w:pPr>
            <w:r w:rsidRPr="00F3043B">
              <w:rPr>
                <w:sz w:val="22"/>
                <w:lang w:val="fr-CH"/>
              </w:rPr>
              <w:t>Ressources financières</w:t>
            </w:r>
            <w:r>
              <w:rPr>
                <w:rStyle w:val="FootnoteReference"/>
              </w:rPr>
              <w:footnoteReference w:id="16"/>
            </w:r>
            <w:r w:rsidRPr="00F3043B">
              <w:rPr>
                <w:sz w:val="22"/>
                <w:lang w:val="fr-CH"/>
              </w:rPr>
              <w:t xml:space="preserve"> (en milliers CHF)</w:t>
            </w:r>
          </w:p>
        </w:tc>
      </w:tr>
      <w:tr w:rsidR="0092458E" w:rsidRPr="006D3733" w:rsidTr="00DF0748">
        <w:tc>
          <w:tcPr>
            <w:tcW w:w="9918" w:type="dxa"/>
          </w:tcPr>
          <w:p w:rsidR="0092458E" w:rsidRPr="00F3043B" w:rsidRDefault="0092458E" w:rsidP="00DF0748">
            <w:pPr>
              <w:spacing w:before="20" w:after="20"/>
              <w:rPr>
                <w:sz w:val="22"/>
                <w:lang w:val="fr-CH"/>
              </w:rPr>
            </w:pPr>
          </w:p>
        </w:tc>
        <w:tc>
          <w:tcPr>
            <w:tcW w:w="1134" w:type="dxa"/>
          </w:tcPr>
          <w:p w:rsidR="0092458E" w:rsidRPr="006D3733" w:rsidRDefault="0092458E" w:rsidP="00DF0748">
            <w:pPr>
              <w:spacing w:before="20" w:after="20"/>
              <w:jc w:val="center"/>
              <w:rPr>
                <w:color w:val="4F81BD" w:themeColor="accent1"/>
                <w:sz w:val="22"/>
              </w:rPr>
            </w:pPr>
            <w:r w:rsidRPr="006D3733">
              <w:rPr>
                <w:color w:val="4F81BD" w:themeColor="accent1"/>
                <w:sz w:val="22"/>
              </w:rPr>
              <w:t>2016</w:t>
            </w:r>
          </w:p>
        </w:tc>
        <w:tc>
          <w:tcPr>
            <w:tcW w:w="1276" w:type="dxa"/>
          </w:tcPr>
          <w:p w:rsidR="0092458E" w:rsidRPr="006D3733" w:rsidRDefault="0092458E" w:rsidP="00DF0748">
            <w:pPr>
              <w:spacing w:before="20" w:after="20"/>
              <w:jc w:val="center"/>
              <w:rPr>
                <w:color w:val="4F81BD" w:themeColor="accent1"/>
                <w:sz w:val="22"/>
              </w:rPr>
            </w:pPr>
            <w:r w:rsidRPr="006D3733">
              <w:rPr>
                <w:color w:val="4F81BD" w:themeColor="accent1"/>
                <w:sz w:val="22"/>
              </w:rPr>
              <w:t>2017</w:t>
            </w:r>
          </w:p>
        </w:tc>
        <w:tc>
          <w:tcPr>
            <w:tcW w:w="1134" w:type="dxa"/>
          </w:tcPr>
          <w:p w:rsidR="0092458E" w:rsidRPr="006D3733" w:rsidRDefault="0092458E" w:rsidP="00DF0748">
            <w:pPr>
              <w:spacing w:before="20" w:after="20"/>
              <w:jc w:val="center"/>
              <w:rPr>
                <w:color w:val="4F81BD" w:themeColor="accent1"/>
                <w:sz w:val="22"/>
              </w:rPr>
            </w:pPr>
            <w:r w:rsidRPr="006D3733">
              <w:rPr>
                <w:color w:val="4F81BD" w:themeColor="accent1"/>
                <w:sz w:val="22"/>
              </w:rPr>
              <w:t>2018</w:t>
            </w:r>
          </w:p>
        </w:tc>
        <w:tc>
          <w:tcPr>
            <w:tcW w:w="1134" w:type="dxa"/>
          </w:tcPr>
          <w:p w:rsidR="0092458E" w:rsidRPr="006D3733" w:rsidRDefault="0092458E" w:rsidP="00DF0748">
            <w:pPr>
              <w:spacing w:before="20" w:after="20"/>
              <w:jc w:val="center"/>
              <w:rPr>
                <w:color w:val="4F81BD" w:themeColor="accent1"/>
                <w:sz w:val="22"/>
              </w:rPr>
            </w:pPr>
            <w:r w:rsidRPr="006D3733">
              <w:rPr>
                <w:color w:val="4F81BD" w:themeColor="accent1"/>
                <w:sz w:val="22"/>
              </w:rPr>
              <w:t>2019</w:t>
            </w:r>
          </w:p>
        </w:tc>
      </w:tr>
      <w:tr w:rsidR="0092458E" w:rsidRPr="006D3733" w:rsidTr="00DF0748">
        <w:tc>
          <w:tcPr>
            <w:tcW w:w="9918" w:type="dxa"/>
          </w:tcPr>
          <w:p w:rsidR="0092458E" w:rsidRPr="00F3043B" w:rsidRDefault="0092458E" w:rsidP="00DF0748">
            <w:pPr>
              <w:spacing w:before="20" w:after="20"/>
              <w:contextualSpacing/>
              <w:rPr>
                <w:rFonts w:eastAsia="Calibri" w:cs="Arial"/>
                <w:sz w:val="22"/>
                <w:lang w:val="fr-CH"/>
              </w:rPr>
            </w:pPr>
            <w:r w:rsidRPr="00F3043B">
              <w:rPr>
                <w:b/>
                <w:bCs/>
                <w:noProof/>
                <w:color w:val="4F81BD" w:themeColor="accent1"/>
                <w:sz w:val="22"/>
                <w:lang w:val="fr-CH" w:eastAsia="zh-CN"/>
              </w:rPr>
              <w:t xml:space="preserve">I.5-1 </w:t>
            </w:r>
            <w:r w:rsidRPr="00F3043B">
              <w:rPr>
                <w:rFonts w:eastAsia="Calibri" w:cs="Arial"/>
                <w:sz w:val="22"/>
                <w:lang w:val="fr-CH"/>
              </w:rPr>
              <w:t>Rapports, lignes directrices et récapitulatifs concernant l'accessibilité des télécommunications/TIC</w:t>
            </w:r>
          </w:p>
        </w:tc>
        <w:tc>
          <w:tcPr>
            <w:tcW w:w="1134" w:type="dxa"/>
            <w:tcMar>
              <w:right w:w="227" w:type="dxa"/>
            </w:tcMar>
            <w:vAlign w:val="center"/>
          </w:tcPr>
          <w:p w:rsidR="0092458E" w:rsidRPr="006D3733" w:rsidRDefault="0092458E" w:rsidP="00DF0748">
            <w:pPr>
              <w:spacing w:before="20" w:after="20"/>
              <w:jc w:val="right"/>
              <w:rPr>
                <w:sz w:val="22"/>
              </w:rPr>
            </w:pPr>
            <w:r w:rsidRPr="006D3733">
              <w:rPr>
                <w:i/>
                <w:iCs/>
                <w:color w:val="767171"/>
                <w:sz w:val="22"/>
              </w:rPr>
              <w:t>382</w:t>
            </w:r>
          </w:p>
        </w:tc>
        <w:tc>
          <w:tcPr>
            <w:tcW w:w="1276" w:type="dxa"/>
            <w:tcMar>
              <w:right w:w="227" w:type="dxa"/>
            </w:tcMar>
            <w:vAlign w:val="center"/>
          </w:tcPr>
          <w:p w:rsidR="0092458E" w:rsidRPr="006D3733" w:rsidRDefault="0092458E" w:rsidP="00DF0748">
            <w:pPr>
              <w:spacing w:before="20" w:after="20"/>
              <w:jc w:val="right"/>
              <w:rPr>
                <w:sz w:val="22"/>
              </w:rPr>
            </w:pPr>
            <w:r w:rsidRPr="006D3733">
              <w:rPr>
                <w:i/>
                <w:iCs/>
                <w:color w:val="767171"/>
                <w:sz w:val="22"/>
              </w:rPr>
              <w:t>382</w:t>
            </w:r>
          </w:p>
        </w:tc>
        <w:tc>
          <w:tcPr>
            <w:tcW w:w="1134" w:type="dxa"/>
            <w:vAlign w:val="center"/>
          </w:tcPr>
          <w:p w:rsidR="0092458E" w:rsidRPr="006D3733" w:rsidRDefault="0092458E" w:rsidP="00DF0748">
            <w:pPr>
              <w:spacing w:before="20" w:after="20"/>
              <w:jc w:val="center"/>
              <w:rPr>
                <w:sz w:val="22"/>
              </w:rPr>
            </w:pPr>
            <w:r w:rsidRPr="006D3733">
              <w:rPr>
                <w:sz w:val="22"/>
              </w:rPr>
              <w:t>sans objet</w:t>
            </w:r>
          </w:p>
        </w:tc>
        <w:tc>
          <w:tcPr>
            <w:tcW w:w="1134" w:type="dxa"/>
            <w:vAlign w:val="center"/>
          </w:tcPr>
          <w:p w:rsidR="0092458E" w:rsidRPr="006D3733" w:rsidRDefault="0092458E" w:rsidP="00DF0748">
            <w:pPr>
              <w:spacing w:before="20" w:after="20"/>
              <w:jc w:val="center"/>
              <w:rPr>
                <w:sz w:val="22"/>
              </w:rPr>
            </w:pPr>
            <w:r w:rsidRPr="006D3733">
              <w:rPr>
                <w:sz w:val="22"/>
              </w:rPr>
              <w:t>sans objet</w:t>
            </w:r>
          </w:p>
        </w:tc>
      </w:tr>
      <w:tr w:rsidR="0092458E" w:rsidRPr="006D3733" w:rsidTr="00DF0748">
        <w:tc>
          <w:tcPr>
            <w:tcW w:w="9918" w:type="dxa"/>
          </w:tcPr>
          <w:p w:rsidR="0092458E" w:rsidRPr="00F3043B" w:rsidRDefault="0092458E" w:rsidP="00DF0748">
            <w:pPr>
              <w:spacing w:before="20" w:after="20"/>
              <w:contextualSpacing/>
              <w:rPr>
                <w:rFonts w:eastAsia="Calibri" w:cs="Arial"/>
                <w:b/>
                <w:bCs/>
                <w:color w:val="4F81BD" w:themeColor="accent1"/>
                <w:sz w:val="22"/>
                <w:lang w:val="fr-CH"/>
              </w:rPr>
            </w:pPr>
            <w:r w:rsidRPr="00F3043B">
              <w:rPr>
                <w:b/>
                <w:bCs/>
                <w:noProof/>
                <w:color w:val="4F81BD" w:themeColor="accent1"/>
                <w:sz w:val="22"/>
                <w:lang w:val="fr-CH" w:eastAsia="zh-CN"/>
              </w:rPr>
              <w:t xml:space="preserve">I.5-2 </w:t>
            </w:r>
            <w:r w:rsidRPr="00F3043B">
              <w:rPr>
                <w:rFonts w:eastAsia="Calibri" w:cs="Arial"/>
                <w:sz w:val="22"/>
                <w:lang w:val="fr-CH"/>
              </w:rPr>
              <w:t>Mobilisation de ressources et de compétences techniques, par exemple, en encourageant une participation accrue des personnes handicapées et des personnes ayant des besoins particuliers aux réunions internationales et régionales</w:t>
            </w:r>
          </w:p>
        </w:tc>
        <w:tc>
          <w:tcPr>
            <w:tcW w:w="1134" w:type="dxa"/>
            <w:tcMar>
              <w:right w:w="227" w:type="dxa"/>
            </w:tcMar>
            <w:vAlign w:val="center"/>
          </w:tcPr>
          <w:p w:rsidR="0092458E" w:rsidRPr="006D3733" w:rsidRDefault="0092458E" w:rsidP="00DF0748">
            <w:pPr>
              <w:spacing w:before="20" w:after="20"/>
              <w:jc w:val="right"/>
              <w:rPr>
                <w:sz w:val="22"/>
              </w:rPr>
            </w:pPr>
            <w:r w:rsidRPr="006D3733">
              <w:rPr>
                <w:i/>
                <w:iCs/>
                <w:color w:val="767171"/>
                <w:sz w:val="22"/>
              </w:rPr>
              <w:t>131</w:t>
            </w:r>
          </w:p>
        </w:tc>
        <w:tc>
          <w:tcPr>
            <w:tcW w:w="1276" w:type="dxa"/>
            <w:tcMar>
              <w:right w:w="227" w:type="dxa"/>
            </w:tcMar>
            <w:vAlign w:val="center"/>
          </w:tcPr>
          <w:p w:rsidR="0092458E" w:rsidRPr="006D3733" w:rsidRDefault="0092458E" w:rsidP="00DF0748">
            <w:pPr>
              <w:spacing w:before="20" w:after="20"/>
              <w:jc w:val="right"/>
              <w:rPr>
                <w:sz w:val="22"/>
              </w:rPr>
            </w:pPr>
            <w:r w:rsidRPr="006D3733">
              <w:rPr>
                <w:i/>
                <w:iCs/>
                <w:color w:val="767171"/>
                <w:sz w:val="22"/>
              </w:rPr>
              <w:t>131</w:t>
            </w:r>
          </w:p>
        </w:tc>
        <w:tc>
          <w:tcPr>
            <w:tcW w:w="1134" w:type="dxa"/>
            <w:vAlign w:val="center"/>
          </w:tcPr>
          <w:p w:rsidR="0092458E" w:rsidRPr="006D3733" w:rsidRDefault="0092458E" w:rsidP="00DF0748">
            <w:pPr>
              <w:spacing w:before="20" w:after="20"/>
              <w:jc w:val="center"/>
              <w:rPr>
                <w:sz w:val="22"/>
              </w:rPr>
            </w:pPr>
            <w:r w:rsidRPr="006D3733">
              <w:rPr>
                <w:sz w:val="22"/>
              </w:rPr>
              <w:t>sans objet</w:t>
            </w:r>
          </w:p>
        </w:tc>
        <w:tc>
          <w:tcPr>
            <w:tcW w:w="1134" w:type="dxa"/>
            <w:vAlign w:val="center"/>
          </w:tcPr>
          <w:p w:rsidR="0092458E" w:rsidRPr="006D3733" w:rsidRDefault="0092458E" w:rsidP="00DF0748">
            <w:pPr>
              <w:spacing w:before="20" w:after="20"/>
              <w:jc w:val="center"/>
              <w:rPr>
                <w:sz w:val="22"/>
              </w:rPr>
            </w:pPr>
            <w:r w:rsidRPr="006D3733">
              <w:rPr>
                <w:sz w:val="22"/>
              </w:rPr>
              <w:t>sans objet</w:t>
            </w:r>
          </w:p>
        </w:tc>
      </w:tr>
      <w:tr w:rsidR="0092458E" w:rsidRPr="006D3733" w:rsidTr="00DF0748">
        <w:tc>
          <w:tcPr>
            <w:tcW w:w="9918" w:type="dxa"/>
          </w:tcPr>
          <w:p w:rsidR="0092458E" w:rsidRPr="00F3043B" w:rsidRDefault="0092458E" w:rsidP="00DF0748">
            <w:pPr>
              <w:spacing w:before="20" w:after="20"/>
              <w:contextualSpacing/>
              <w:rPr>
                <w:rFonts w:eastAsia="Calibri" w:cs="Arial"/>
                <w:b/>
                <w:bCs/>
                <w:color w:val="4F81BD" w:themeColor="accent1"/>
                <w:sz w:val="22"/>
                <w:lang w:val="fr-CH"/>
              </w:rPr>
            </w:pPr>
            <w:r w:rsidRPr="00F3043B">
              <w:rPr>
                <w:b/>
                <w:bCs/>
                <w:noProof/>
                <w:color w:val="4F81BD" w:themeColor="accent1"/>
                <w:sz w:val="22"/>
                <w:lang w:val="fr-CH" w:eastAsia="zh-CN"/>
              </w:rPr>
              <w:t xml:space="preserve">I.5-3 </w:t>
            </w:r>
            <w:r w:rsidRPr="00F3043B">
              <w:rPr>
                <w:rFonts w:eastAsia="Calibri" w:cs="Arial"/>
                <w:sz w:val="22"/>
                <w:lang w:val="fr-CH"/>
              </w:rPr>
              <w:t>Poursuite de l'amélioration et de la mise en oeuvre de la politique de l'UIT en matière d'accessibilité et des plans connexes</w:t>
            </w:r>
          </w:p>
        </w:tc>
        <w:tc>
          <w:tcPr>
            <w:tcW w:w="1134" w:type="dxa"/>
            <w:tcMar>
              <w:right w:w="227" w:type="dxa"/>
            </w:tcMar>
            <w:vAlign w:val="center"/>
          </w:tcPr>
          <w:p w:rsidR="0092458E" w:rsidRPr="006D3733" w:rsidRDefault="0092458E" w:rsidP="00DF0748">
            <w:pPr>
              <w:spacing w:before="20" w:after="20"/>
              <w:jc w:val="right"/>
              <w:rPr>
                <w:sz w:val="22"/>
              </w:rPr>
            </w:pPr>
            <w:r w:rsidRPr="006D3733">
              <w:rPr>
                <w:i/>
                <w:iCs/>
                <w:color w:val="767171"/>
                <w:sz w:val="22"/>
              </w:rPr>
              <w:t>53</w:t>
            </w:r>
          </w:p>
        </w:tc>
        <w:tc>
          <w:tcPr>
            <w:tcW w:w="1276" w:type="dxa"/>
            <w:tcMar>
              <w:right w:w="227" w:type="dxa"/>
            </w:tcMar>
            <w:vAlign w:val="center"/>
          </w:tcPr>
          <w:p w:rsidR="0092458E" w:rsidRPr="006D3733" w:rsidRDefault="0092458E" w:rsidP="00DF0748">
            <w:pPr>
              <w:spacing w:before="20" w:after="20"/>
              <w:jc w:val="right"/>
              <w:rPr>
                <w:sz w:val="22"/>
              </w:rPr>
            </w:pPr>
            <w:r w:rsidRPr="006D3733">
              <w:rPr>
                <w:i/>
                <w:iCs/>
                <w:color w:val="767171"/>
                <w:sz w:val="22"/>
              </w:rPr>
              <w:t>53</w:t>
            </w:r>
          </w:p>
        </w:tc>
        <w:tc>
          <w:tcPr>
            <w:tcW w:w="1134" w:type="dxa"/>
            <w:vAlign w:val="center"/>
          </w:tcPr>
          <w:p w:rsidR="0092458E" w:rsidRPr="006D3733" w:rsidRDefault="0092458E" w:rsidP="00DF0748">
            <w:pPr>
              <w:spacing w:before="20" w:after="20"/>
              <w:jc w:val="center"/>
              <w:rPr>
                <w:sz w:val="22"/>
              </w:rPr>
            </w:pPr>
            <w:r w:rsidRPr="006D3733">
              <w:rPr>
                <w:sz w:val="22"/>
              </w:rPr>
              <w:t>sans objet</w:t>
            </w:r>
          </w:p>
        </w:tc>
        <w:tc>
          <w:tcPr>
            <w:tcW w:w="1134" w:type="dxa"/>
            <w:vAlign w:val="center"/>
          </w:tcPr>
          <w:p w:rsidR="0092458E" w:rsidRPr="006D3733" w:rsidRDefault="0092458E" w:rsidP="00DF0748">
            <w:pPr>
              <w:spacing w:before="20" w:after="20"/>
              <w:jc w:val="center"/>
              <w:rPr>
                <w:sz w:val="22"/>
              </w:rPr>
            </w:pPr>
            <w:r w:rsidRPr="006D3733">
              <w:rPr>
                <w:sz w:val="22"/>
              </w:rPr>
              <w:t>sans objet</w:t>
            </w:r>
          </w:p>
        </w:tc>
      </w:tr>
      <w:tr w:rsidR="0092458E" w:rsidRPr="006D3733" w:rsidTr="00DF0748">
        <w:tc>
          <w:tcPr>
            <w:tcW w:w="9918" w:type="dxa"/>
          </w:tcPr>
          <w:p w:rsidR="0092458E" w:rsidRPr="00F3043B" w:rsidRDefault="0092458E" w:rsidP="00DF0748">
            <w:pPr>
              <w:spacing w:before="20" w:after="20"/>
              <w:contextualSpacing/>
              <w:rPr>
                <w:rFonts w:eastAsia="Calibri" w:cs="Arial"/>
                <w:b/>
                <w:bCs/>
                <w:color w:val="4F81BD" w:themeColor="accent1"/>
                <w:sz w:val="22"/>
                <w:lang w:val="fr-CH"/>
              </w:rPr>
            </w:pPr>
            <w:r w:rsidRPr="00F3043B">
              <w:rPr>
                <w:b/>
                <w:bCs/>
                <w:noProof/>
                <w:color w:val="4F81BD" w:themeColor="accent1"/>
                <w:sz w:val="22"/>
                <w:lang w:val="fr-CH" w:eastAsia="zh-CN"/>
              </w:rPr>
              <w:t xml:space="preserve">I.5-4 </w:t>
            </w:r>
            <w:r w:rsidRPr="00F3043B">
              <w:rPr>
                <w:rFonts w:eastAsia="Calibri" w:cs="Arial"/>
                <w:sz w:val="22"/>
                <w:lang w:val="fr-CH"/>
              </w:rPr>
              <w:t>Campagnes de sensibilisation, tant au niveau des Nations Unies qu'aux niveaux régional et national</w:t>
            </w:r>
          </w:p>
        </w:tc>
        <w:tc>
          <w:tcPr>
            <w:tcW w:w="1134" w:type="dxa"/>
            <w:tcMar>
              <w:right w:w="227" w:type="dxa"/>
            </w:tcMar>
            <w:vAlign w:val="center"/>
          </w:tcPr>
          <w:p w:rsidR="0092458E" w:rsidRPr="006D3733" w:rsidRDefault="0092458E" w:rsidP="00DF0748">
            <w:pPr>
              <w:spacing w:before="20" w:after="20"/>
              <w:jc w:val="right"/>
              <w:rPr>
                <w:sz w:val="22"/>
              </w:rPr>
            </w:pPr>
            <w:r w:rsidRPr="006D3733">
              <w:rPr>
                <w:i/>
                <w:iCs/>
                <w:color w:val="767171"/>
                <w:sz w:val="22"/>
              </w:rPr>
              <w:t>53</w:t>
            </w:r>
          </w:p>
        </w:tc>
        <w:tc>
          <w:tcPr>
            <w:tcW w:w="1276" w:type="dxa"/>
            <w:tcMar>
              <w:right w:w="227" w:type="dxa"/>
            </w:tcMar>
            <w:vAlign w:val="center"/>
          </w:tcPr>
          <w:p w:rsidR="0092458E" w:rsidRPr="006D3733" w:rsidRDefault="0092458E" w:rsidP="00DF0748">
            <w:pPr>
              <w:spacing w:before="20" w:after="20"/>
              <w:jc w:val="right"/>
              <w:rPr>
                <w:sz w:val="22"/>
              </w:rPr>
            </w:pPr>
            <w:r w:rsidRPr="006D3733">
              <w:rPr>
                <w:i/>
                <w:iCs/>
                <w:color w:val="767171"/>
                <w:sz w:val="22"/>
              </w:rPr>
              <w:t>53</w:t>
            </w:r>
          </w:p>
        </w:tc>
        <w:tc>
          <w:tcPr>
            <w:tcW w:w="1134" w:type="dxa"/>
            <w:vAlign w:val="center"/>
          </w:tcPr>
          <w:p w:rsidR="0092458E" w:rsidRPr="006D3733" w:rsidRDefault="0092458E" w:rsidP="00DF0748">
            <w:pPr>
              <w:spacing w:before="20" w:after="20"/>
              <w:jc w:val="center"/>
              <w:rPr>
                <w:sz w:val="22"/>
              </w:rPr>
            </w:pPr>
            <w:r w:rsidRPr="006D3733">
              <w:rPr>
                <w:sz w:val="22"/>
              </w:rPr>
              <w:t>sans objet</w:t>
            </w:r>
          </w:p>
        </w:tc>
        <w:tc>
          <w:tcPr>
            <w:tcW w:w="1134" w:type="dxa"/>
            <w:vAlign w:val="center"/>
          </w:tcPr>
          <w:p w:rsidR="0092458E" w:rsidRPr="006D3733" w:rsidRDefault="0092458E" w:rsidP="00DF0748">
            <w:pPr>
              <w:spacing w:before="20" w:after="20"/>
              <w:jc w:val="center"/>
              <w:rPr>
                <w:sz w:val="22"/>
              </w:rPr>
            </w:pPr>
            <w:r w:rsidRPr="006D3733">
              <w:rPr>
                <w:sz w:val="22"/>
              </w:rPr>
              <w:t>sans objet</w:t>
            </w:r>
          </w:p>
        </w:tc>
      </w:tr>
      <w:tr w:rsidR="0092458E" w:rsidRPr="006D3733" w:rsidTr="00DF0748">
        <w:tc>
          <w:tcPr>
            <w:tcW w:w="9918" w:type="dxa"/>
          </w:tcPr>
          <w:p w:rsidR="0092458E" w:rsidRPr="00F3043B" w:rsidRDefault="0092458E" w:rsidP="00DF0748">
            <w:pPr>
              <w:spacing w:before="20" w:after="20"/>
              <w:contextualSpacing/>
              <w:rPr>
                <w:rFonts w:eastAsia="Calibri" w:cs="Arial"/>
                <w:b/>
                <w:bCs/>
                <w:color w:val="4F81BD" w:themeColor="accent1"/>
                <w:sz w:val="22"/>
                <w:lang w:val="fr-CH"/>
              </w:rPr>
            </w:pPr>
            <w:r w:rsidRPr="00F3043B">
              <w:rPr>
                <w:rFonts w:eastAsia="Calibri" w:cs="Arial"/>
                <w:sz w:val="22"/>
                <w:lang w:val="fr-CH"/>
              </w:rPr>
              <w:t>Imputation des coûts à la Conférence de plénipotentiaires et aux activités du Conseil (</w:t>
            </w:r>
            <w:r w:rsidRPr="00F3043B">
              <w:rPr>
                <w:rFonts w:eastAsia="Calibri" w:cs="Arial"/>
                <w:b/>
                <w:bCs/>
                <w:color w:val="4F81BD" w:themeColor="accent1"/>
                <w:sz w:val="22"/>
                <w:lang w:val="fr-CH"/>
              </w:rPr>
              <w:t>PP</w:t>
            </w:r>
            <w:r w:rsidRPr="00F3043B">
              <w:rPr>
                <w:rFonts w:eastAsia="Calibri" w:cs="Arial"/>
                <w:sz w:val="22"/>
                <w:lang w:val="fr-CH"/>
              </w:rPr>
              <w:t xml:space="preserve">, </w:t>
            </w:r>
            <w:r w:rsidRPr="00F3043B">
              <w:rPr>
                <w:rFonts w:eastAsia="Calibri" w:cs="Arial"/>
                <w:b/>
                <w:bCs/>
                <w:color w:val="4F81BD" w:themeColor="accent1"/>
                <w:sz w:val="22"/>
                <w:lang w:val="fr-CH"/>
              </w:rPr>
              <w:t>Conseil/GTC</w:t>
            </w:r>
            <w:r w:rsidRPr="00F3043B">
              <w:rPr>
                <w:rFonts w:eastAsia="Calibri" w:cs="Arial"/>
                <w:sz w:val="22"/>
                <w:lang w:val="fr-CH"/>
              </w:rPr>
              <w:t>)</w:t>
            </w:r>
          </w:p>
        </w:tc>
        <w:tc>
          <w:tcPr>
            <w:tcW w:w="1134" w:type="dxa"/>
            <w:tcMar>
              <w:right w:w="227" w:type="dxa"/>
            </w:tcMar>
            <w:vAlign w:val="center"/>
          </w:tcPr>
          <w:p w:rsidR="0092458E" w:rsidRPr="006D3733" w:rsidRDefault="0092458E" w:rsidP="00DF0748">
            <w:pPr>
              <w:spacing w:before="20" w:after="20"/>
              <w:jc w:val="right"/>
              <w:rPr>
                <w:sz w:val="22"/>
              </w:rPr>
            </w:pPr>
            <w:r w:rsidRPr="006D3733">
              <w:rPr>
                <w:i/>
                <w:iCs/>
                <w:color w:val="767171"/>
                <w:sz w:val="22"/>
              </w:rPr>
              <w:t>20</w:t>
            </w:r>
          </w:p>
        </w:tc>
        <w:tc>
          <w:tcPr>
            <w:tcW w:w="1276" w:type="dxa"/>
            <w:tcMar>
              <w:right w:w="227" w:type="dxa"/>
            </w:tcMar>
            <w:vAlign w:val="center"/>
          </w:tcPr>
          <w:p w:rsidR="0092458E" w:rsidRPr="006D3733" w:rsidRDefault="0092458E" w:rsidP="00DF0748">
            <w:pPr>
              <w:spacing w:before="20" w:after="20"/>
              <w:jc w:val="right"/>
              <w:rPr>
                <w:sz w:val="22"/>
              </w:rPr>
            </w:pPr>
            <w:r w:rsidRPr="006D3733">
              <w:rPr>
                <w:i/>
                <w:iCs/>
                <w:color w:val="767171"/>
                <w:sz w:val="22"/>
              </w:rPr>
              <w:t>22</w:t>
            </w:r>
          </w:p>
        </w:tc>
        <w:tc>
          <w:tcPr>
            <w:tcW w:w="1134" w:type="dxa"/>
          </w:tcPr>
          <w:p w:rsidR="0092458E" w:rsidRPr="006D3733" w:rsidRDefault="0092458E" w:rsidP="00DF0748">
            <w:pPr>
              <w:spacing w:before="20" w:after="20"/>
              <w:jc w:val="center"/>
              <w:rPr>
                <w:sz w:val="22"/>
              </w:rPr>
            </w:pPr>
            <w:r w:rsidRPr="006D3733">
              <w:rPr>
                <w:sz w:val="22"/>
              </w:rPr>
              <w:t>sans objet</w:t>
            </w:r>
          </w:p>
        </w:tc>
        <w:tc>
          <w:tcPr>
            <w:tcW w:w="1134" w:type="dxa"/>
          </w:tcPr>
          <w:p w:rsidR="0092458E" w:rsidRPr="006D3733" w:rsidRDefault="0092458E" w:rsidP="00DF0748">
            <w:pPr>
              <w:spacing w:before="20" w:after="20"/>
              <w:jc w:val="center"/>
              <w:rPr>
                <w:sz w:val="22"/>
              </w:rPr>
            </w:pPr>
            <w:r w:rsidRPr="006D3733">
              <w:rPr>
                <w:sz w:val="22"/>
              </w:rPr>
              <w:t>sans objet</w:t>
            </w:r>
          </w:p>
        </w:tc>
      </w:tr>
      <w:tr w:rsidR="0092458E" w:rsidRPr="006D3733" w:rsidTr="00DF0748">
        <w:tc>
          <w:tcPr>
            <w:tcW w:w="9918" w:type="dxa"/>
          </w:tcPr>
          <w:p w:rsidR="0092458E" w:rsidRPr="006D3733" w:rsidRDefault="0092458E" w:rsidP="00DF0748">
            <w:pPr>
              <w:spacing w:before="20" w:after="20" w:line="216" w:lineRule="auto"/>
              <w:ind w:right="113"/>
              <w:rPr>
                <w:b/>
                <w:bCs/>
                <w:noProof/>
                <w:color w:val="4F81BD" w:themeColor="accent1"/>
                <w:sz w:val="22"/>
                <w:lang w:eastAsia="zh-CN"/>
              </w:rPr>
            </w:pPr>
            <w:r w:rsidRPr="006D3733">
              <w:rPr>
                <w:b/>
                <w:bCs/>
                <w:noProof/>
                <w:color w:val="4F81BD" w:themeColor="accent1"/>
                <w:sz w:val="22"/>
                <w:lang w:eastAsia="zh-CN"/>
              </w:rPr>
              <w:t>Total pour l'objectif I.5</w:t>
            </w:r>
          </w:p>
        </w:tc>
        <w:tc>
          <w:tcPr>
            <w:tcW w:w="1134" w:type="dxa"/>
            <w:tcMar>
              <w:right w:w="227" w:type="dxa"/>
            </w:tcMar>
            <w:vAlign w:val="center"/>
          </w:tcPr>
          <w:p w:rsidR="0092458E" w:rsidRPr="006D3733" w:rsidRDefault="0092458E" w:rsidP="00DF0748">
            <w:pPr>
              <w:spacing w:before="20" w:after="20"/>
              <w:jc w:val="right"/>
              <w:rPr>
                <w:b/>
                <w:bCs/>
                <w:sz w:val="22"/>
              </w:rPr>
            </w:pPr>
            <w:r w:rsidRPr="006D3733">
              <w:rPr>
                <w:b/>
                <w:bCs/>
                <w:i/>
                <w:iCs/>
                <w:color w:val="767171"/>
                <w:sz w:val="22"/>
              </w:rPr>
              <w:t>639</w:t>
            </w:r>
          </w:p>
        </w:tc>
        <w:tc>
          <w:tcPr>
            <w:tcW w:w="1276" w:type="dxa"/>
            <w:tcMar>
              <w:right w:w="227" w:type="dxa"/>
            </w:tcMar>
            <w:vAlign w:val="center"/>
          </w:tcPr>
          <w:p w:rsidR="0092458E" w:rsidRPr="006D3733" w:rsidRDefault="0092458E" w:rsidP="00DF0748">
            <w:pPr>
              <w:spacing w:before="20" w:after="20"/>
              <w:jc w:val="right"/>
              <w:rPr>
                <w:b/>
                <w:bCs/>
                <w:sz w:val="22"/>
              </w:rPr>
            </w:pPr>
            <w:r w:rsidRPr="006D3733">
              <w:rPr>
                <w:b/>
                <w:bCs/>
                <w:i/>
                <w:iCs/>
                <w:color w:val="767171"/>
                <w:sz w:val="22"/>
              </w:rPr>
              <w:t>642</w:t>
            </w:r>
          </w:p>
        </w:tc>
        <w:tc>
          <w:tcPr>
            <w:tcW w:w="1134" w:type="dxa"/>
            <w:vAlign w:val="center"/>
          </w:tcPr>
          <w:p w:rsidR="0092458E" w:rsidRPr="006D3733" w:rsidRDefault="0092458E" w:rsidP="00DF0748">
            <w:pPr>
              <w:spacing w:before="20" w:after="20"/>
              <w:jc w:val="center"/>
              <w:rPr>
                <w:b/>
                <w:bCs/>
                <w:sz w:val="22"/>
              </w:rPr>
            </w:pPr>
            <w:r w:rsidRPr="006D3733">
              <w:rPr>
                <w:sz w:val="22"/>
              </w:rPr>
              <w:t>sans objet</w:t>
            </w:r>
          </w:p>
        </w:tc>
        <w:tc>
          <w:tcPr>
            <w:tcW w:w="1134" w:type="dxa"/>
            <w:vAlign w:val="center"/>
          </w:tcPr>
          <w:p w:rsidR="0092458E" w:rsidRPr="006D3733" w:rsidRDefault="0092458E" w:rsidP="00DF0748">
            <w:pPr>
              <w:spacing w:before="20" w:after="20"/>
              <w:jc w:val="center"/>
              <w:rPr>
                <w:b/>
                <w:bCs/>
                <w:sz w:val="22"/>
              </w:rPr>
            </w:pPr>
            <w:r w:rsidRPr="006D3733">
              <w:rPr>
                <w:sz w:val="22"/>
              </w:rPr>
              <w:t>sans objet</w:t>
            </w:r>
          </w:p>
        </w:tc>
      </w:tr>
    </w:tbl>
    <w:p w:rsidR="0092458E" w:rsidRPr="007F4668" w:rsidRDefault="0092458E" w:rsidP="00DF0748">
      <w:pPr>
        <w:pStyle w:val="Heading1"/>
      </w:pPr>
      <w:r w:rsidRPr="007F4668">
        <w:lastRenderedPageBreak/>
        <w:t>7</w:t>
      </w:r>
      <w:r w:rsidRPr="007F4668">
        <w:tab/>
        <w:t xml:space="preserve">Mise en oeuvre du Plan opérationnel </w:t>
      </w:r>
    </w:p>
    <w:p w:rsidR="0092458E" w:rsidRPr="007F4668" w:rsidRDefault="0092458E" w:rsidP="00DF0748">
      <w:r w:rsidRPr="007F4668">
        <w:t>Les produits et les services d'appui définis dans le présent Plan opérationnel seront fournis par les Départements concernés du Secrétariat général, dans le cadre de la mise en oeuvre des activités des programmes de travail interne</w:t>
      </w:r>
      <w:r>
        <w:t>s</w:t>
      </w:r>
      <w:r w:rsidRPr="007F4668">
        <w:t xml:space="preserve"> de chaque département et selon des accords de niveau de service (pour la fourniture des services internes). La fourniture des produits et des services d'appui est planifiée, suivie et évaluée par la direction de l'UIT, l'objectif </w:t>
      </w:r>
      <w:r>
        <w:t xml:space="preserve">étant </w:t>
      </w:r>
      <w:r w:rsidRPr="007F4668">
        <w:t>d'établir un lien entre les évaluations du comportement professionnel des fonctionnaires</w:t>
      </w:r>
      <w:r>
        <w:t xml:space="preserve"> et l</w:t>
      </w:r>
      <w:r w:rsidRPr="007F4668">
        <w:t>es objectifs définis dans le Plan stratégique. Le rapport sur la mise en oeuvre du Plan stratégique rendra compte des progrès accomplis en vue d'</w:t>
      </w:r>
      <w:r>
        <w:t>atteindre c</w:t>
      </w:r>
      <w:r w:rsidRPr="007F4668">
        <w:t>es objectifs ainsi que les buts généraux. En ce qui concerne la gestion des risques, outre les risques inclus dans le présent Plan opérationnel qui donneront lieu à un examen périodique par la haute direction, chaque département identifie, évalue et gère les risques associés à la fourniture de ses produits et services d'appui</w:t>
      </w:r>
      <w:r>
        <w:t>,</w:t>
      </w:r>
      <w:r w:rsidRPr="007F4668">
        <w:t xml:space="preserve"> dans le cadre d'une approche de gestion des risques multi</w:t>
      </w:r>
      <w:r>
        <w:t>-</w:t>
      </w:r>
      <w:r w:rsidRPr="007F4668">
        <w:t>niveaux.</w:t>
      </w:r>
    </w:p>
    <w:p w:rsidR="0092458E" w:rsidRPr="007F4668" w:rsidRDefault="0092458E" w:rsidP="00DF0748"/>
    <w:p w:rsidR="0092458E" w:rsidRPr="007F4668" w:rsidRDefault="0092458E" w:rsidP="00DF0748">
      <w:pPr>
        <w:pStyle w:val="Heading1"/>
        <w:spacing w:before="20" w:after="20"/>
        <w:ind w:left="431" w:hanging="431"/>
      </w:pPr>
      <w:r w:rsidRPr="007F4668">
        <w:br w:type="page"/>
      </w:r>
    </w:p>
    <w:p w:rsidR="0092458E" w:rsidRPr="007F4668" w:rsidRDefault="0092458E" w:rsidP="00DF0748">
      <w:pPr>
        <w:pStyle w:val="AnnexNo"/>
      </w:pPr>
      <w:r w:rsidRPr="007F4668">
        <w:lastRenderedPageBreak/>
        <w:t>Annexe 1</w:t>
      </w:r>
    </w:p>
    <w:p w:rsidR="0092458E" w:rsidRPr="007F4668" w:rsidRDefault="0092458E" w:rsidP="00DF0748">
      <w:pPr>
        <w:pStyle w:val="Annextitle"/>
      </w:pPr>
      <w:r w:rsidRPr="007F4668">
        <w:t>Ventilation des ressources entre les objectifs intersectoriels et les buts stratégiques de l'UIT</w:t>
      </w:r>
    </w:p>
    <w:tbl>
      <w:tblPr>
        <w:tblW w:w="14872" w:type="dxa"/>
        <w:tblInd w:w="4" w:type="dxa"/>
        <w:tblLayout w:type="fixed"/>
        <w:tblCellMar>
          <w:left w:w="0" w:type="dxa"/>
          <w:right w:w="0" w:type="dxa"/>
        </w:tblCellMar>
        <w:tblLook w:val="04A0" w:firstRow="1" w:lastRow="0" w:firstColumn="1" w:lastColumn="0" w:noHBand="0" w:noVBand="1"/>
      </w:tblPr>
      <w:tblGrid>
        <w:gridCol w:w="745"/>
        <w:gridCol w:w="1368"/>
        <w:gridCol w:w="850"/>
        <w:gridCol w:w="776"/>
        <w:gridCol w:w="925"/>
        <w:gridCol w:w="1134"/>
        <w:gridCol w:w="236"/>
        <w:gridCol w:w="189"/>
        <w:gridCol w:w="47"/>
        <w:gridCol w:w="785"/>
        <w:gridCol w:w="47"/>
        <w:gridCol w:w="469"/>
        <w:gridCol w:w="760"/>
        <w:gridCol w:w="47"/>
        <w:gridCol w:w="335"/>
        <w:gridCol w:w="912"/>
        <w:gridCol w:w="47"/>
        <w:gridCol w:w="176"/>
        <w:gridCol w:w="1053"/>
        <w:gridCol w:w="47"/>
        <w:gridCol w:w="214"/>
        <w:gridCol w:w="23"/>
        <w:gridCol w:w="24"/>
        <w:gridCol w:w="968"/>
        <w:gridCol w:w="870"/>
        <w:gridCol w:w="23"/>
        <w:gridCol w:w="24"/>
        <w:gridCol w:w="783"/>
        <w:gridCol w:w="23"/>
        <w:gridCol w:w="24"/>
        <w:gridCol w:w="901"/>
        <w:gridCol w:w="47"/>
      </w:tblGrid>
      <w:tr w:rsidR="0092458E" w:rsidRPr="007F4668" w:rsidTr="00DF0748">
        <w:trPr>
          <w:trHeight w:val="553"/>
        </w:trPr>
        <w:tc>
          <w:tcPr>
            <w:tcW w:w="2113"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Objectifs intersectoriels de l'UIT pour 2016</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TOTAL</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color w:val="FFFFFF"/>
                <w:sz w:val="20"/>
              </w:rPr>
            </w:pPr>
            <w:r w:rsidRPr="007F4668">
              <w:rPr>
                <w:color w:val="FFFFFF"/>
                <w:sz w:val="20"/>
              </w:rPr>
              <w:t>SG/</w:t>
            </w:r>
            <w:r w:rsidRPr="007F4668">
              <w:rPr>
                <w:color w:val="FFFFFF"/>
                <w:sz w:val="20"/>
              </w:rPr>
              <w:br/>
              <w:t>coût direct</w:t>
            </w:r>
          </w:p>
        </w:tc>
        <w:tc>
          <w:tcPr>
            <w:tcW w:w="925" w:type="dxa"/>
            <w:tcBorders>
              <w:top w:val="single" w:sz="8" w:space="0" w:color="5B9BD5"/>
              <w:left w:val="nil"/>
              <w:bottom w:val="single" w:sz="8" w:space="0" w:color="5B9BD5"/>
              <w:right w:val="nil"/>
            </w:tcBorders>
            <w:shd w:val="clear" w:color="auto" w:fill="5B9BD5"/>
            <w:vAlign w:val="center"/>
          </w:tcPr>
          <w:p w:rsidR="0092458E" w:rsidRPr="007F4668" w:rsidRDefault="0092458E" w:rsidP="00DF0748">
            <w:pPr>
              <w:spacing w:before="20" w:after="20"/>
              <w:jc w:val="center"/>
              <w:rPr>
                <w:color w:val="FFFFFF"/>
                <w:sz w:val="20"/>
              </w:rPr>
            </w:pPr>
            <w:r w:rsidRPr="007F4668">
              <w:rPr>
                <w:color w:val="FFFFFF"/>
                <w:sz w:val="20"/>
              </w:rPr>
              <w:t>Coûts réels imputés à partir du SG</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color w:val="FFFFFF"/>
                <w:sz w:val="20"/>
              </w:rPr>
            </w:pPr>
            <w:r w:rsidRPr="007F4668">
              <w:rPr>
                <w:color w:val="FFFFFF"/>
                <w:sz w:val="20"/>
              </w:rPr>
              <w:t>Coût imputé par les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 </w:t>
            </w:r>
          </w:p>
        </w:tc>
        <w:tc>
          <w:tcPr>
            <w:tcW w:w="832"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1: crois</w:t>
            </w:r>
            <w:r>
              <w:rPr>
                <w:b/>
                <w:bCs/>
                <w:color w:val="FFFFFF"/>
                <w:sz w:val="18"/>
                <w:szCs w:val="18"/>
              </w:rPr>
              <w:t>-</w:t>
            </w:r>
            <w:r w:rsidRPr="007F4668">
              <w:rPr>
                <w:b/>
                <w:bCs/>
                <w:color w:val="FFFFFF"/>
                <w:sz w:val="18"/>
                <w:szCs w:val="18"/>
              </w:rPr>
              <w:t>sance</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2: inclusion</w:t>
            </w:r>
          </w:p>
        </w:tc>
        <w:tc>
          <w:tcPr>
            <w:tcW w:w="1294"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3: durabilité</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4: innovation et partenariats</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18"/>
                <w:szCs w:val="18"/>
              </w:rPr>
            </w:pPr>
            <w:r w:rsidRPr="007F4668">
              <w:rPr>
                <w:b/>
                <w:bCs/>
                <w:color w:val="FFFFFF"/>
                <w:sz w:val="18"/>
                <w:szCs w:val="18"/>
              </w:rPr>
              <w:t> </w:t>
            </w:r>
          </w:p>
        </w:tc>
        <w:tc>
          <w:tcPr>
            <w:tcW w:w="968"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1</w:t>
            </w:r>
          </w:p>
        </w:tc>
        <w:tc>
          <w:tcPr>
            <w:tcW w:w="917"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2</w:t>
            </w:r>
          </w:p>
        </w:tc>
        <w:tc>
          <w:tcPr>
            <w:tcW w:w="830"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3</w:t>
            </w:r>
          </w:p>
        </w:tc>
        <w:tc>
          <w:tcPr>
            <w:tcW w:w="948"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4</w:t>
            </w:r>
          </w:p>
        </w:tc>
      </w:tr>
      <w:tr w:rsidR="0092458E" w:rsidRPr="007F4668" w:rsidTr="00DF0748">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tcPr>
          <w:p w:rsidR="0092458E" w:rsidRPr="007F4668" w:rsidRDefault="0092458E" w:rsidP="00DF0748">
            <w:pPr>
              <w:spacing w:before="20" w:after="20"/>
              <w:rPr>
                <w:b/>
                <w:bCs/>
                <w:color w:val="5B9BD5"/>
                <w:sz w:val="20"/>
              </w:rPr>
            </w:pPr>
            <w:r w:rsidRPr="007F4668">
              <w:rPr>
                <w:b/>
                <w:bCs/>
                <w:color w:val="5B9BD5"/>
                <w:sz w:val="20"/>
              </w:rPr>
              <w:t xml:space="preserve">I.1 </w:t>
            </w:r>
            <w:r w:rsidRPr="007F4668">
              <w:rPr>
                <w:color w:val="000000"/>
                <w:sz w:val="20"/>
              </w:rPr>
              <w:t>Obj. intersectoriel 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3 089</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217</w:t>
            </w:r>
          </w:p>
        </w:tc>
        <w:tc>
          <w:tcPr>
            <w:tcW w:w="925" w:type="dxa"/>
            <w:tcBorders>
              <w:top w:val="single" w:sz="8" w:space="0" w:color="5B9BD5"/>
              <w:left w:val="single" w:sz="8" w:space="0" w:color="5B9BD5"/>
              <w:bottom w:val="single" w:sz="8" w:space="0" w:color="5B9BD5"/>
              <w:right w:val="single" w:sz="8" w:space="0" w:color="5B9BD5"/>
            </w:tcBorders>
            <w:vAlign w:val="center"/>
          </w:tcPr>
          <w:p w:rsidR="0092458E" w:rsidRPr="007F4668" w:rsidRDefault="0092458E" w:rsidP="00DF0748">
            <w:pPr>
              <w:spacing w:before="20" w:after="20"/>
              <w:jc w:val="right"/>
              <w:rPr>
                <w:color w:val="000000" w:themeColor="text1"/>
                <w:sz w:val="20"/>
              </w:rPr>
            </w:pPr>
            <w:r w:rsidRPr="007F4668">
              <w:rPr>
                <w:color w:val="808080"/>
                <w:sz w:val="20"/>
              </w:rPr>
              <w:t>2 786</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86</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92458E" w:rsidRPr="007F4668" w:rsidRDefault="0092458E" w:rsidP="00DF0748">
            <w:pPr>
              <w:spacing w:before="20" w:after="20"/>
              <w:ind w:left="113" w:right="113"/>
              <w:jc w:val="center"/>
              <w:rPr>
                <w:b/>
                <w:bCs/>
                <w:color w:val="000000"/>
                <w:sz w:val="20"/>
              </w:rPr>
            </w:pPr>
            <w:r w:rsidRPr="007F4668">
              <w:rPr>
                <w:b/>
                <w:bCs/>
                <w:color w:val="000000"/>
                <w:sz w:val="20"/>
              </w:rPr>
              <w:t>Réimputation</w:t>
            </w: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55%</w:t>
            </w:r>
          </w:p>
        </w:tc>
        <w:tc>
          <w:tcPr>
            <w:tcW w:w="261" w:type="dxa"/>
            <w:gridSpan w:val="2"/>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sz w:val="20"/>
              </w:rPr>
            </w:pPr>
            <w:r w:rsidRPr="007F4668">
              <w:rPr>
                <w:color w:val="000000"/>
                <w:sz w:val="20"/>
              </w:rPr>
              <w:t> </w:t>
            </w: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463</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463</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463</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1 699</w:t>
            </w:r>
          </w:p>
        </w:tc>
      </w:tr>
      <w:tr w:rsidR="0092458E" w:rsidRPr="007F4668" w:rsidTr="00DF0748">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92458E" w:rsidRPr="007F4668" w:rsidRDefault="0092458E" w:rsidP="00DF0748">
            <w:pPr>
              <w:spacing w:before="20" w:after="20"/>
              <w:rPr>
                <w:b/>
                <w:bCs/>
                <w:color w:val="5B9BD5"/>
                <w:sz w:val="20"/>
              </w:rPr>
            </w:pPr>
            <w:r w:rsidRPr="007F4668">
              <w:rPr>
                <w:b/>
                <w:bCs/>
                <w:color w:val="5B9BD5"/>
                <w:sz w:val="20"/>
              </w:rPr>
              <w:t xml:space="preserve">I.2 </w:t>
            </w:r>
            <w:r w:rsidRPr="007F4668">
              <w:rPr>
                <w:color w:val="000000"/>
                <w:sz w:val="20"/>
              </w:rPr>
              <w:t>Obj. intersectoriel 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2 621</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412</w:t>
            </w:r>
          </w:p>
        </w:tc>
        <w:tc>
          <w:tcPr>
            <w:tcW w:w="925" w:type="dxa"/>
            <w:tcBorders>
              <w:top w:val="single" w:sz="8" w:space="0" w:color="5B9BD5"/>
              <w:left w:val="single" w:sz="8" w:space="0" w:color="5B9BD5"/>
              <w:bottom w:val="single" w:sz="8" w:space="0" w:color="5B9BD5"/>
              <w:right w:val="single" w:sz="8" w:space="0" w:color="5B9BD5"/>
            </w:tcBorders>
            <w:vAlign w:val="center"/>
          </w:tcPr>
          <w:p w:rsidR="0092458E" w:rsidRPr="007F4668" w:rsidRDefault="0092458E" w:rsidP="00DF0748">
            <w:pPr>
              <w:spacing w:before="20" w:after="20"/>
              <w:jc w:val="right"/>
              <w:rPr>
                <w:color w:val="000000" w:themeColor="text1"/>
                <w:sz w:val="20"/>
              </w:rPr>
            </w:pPr>
            <w:r w:rsidRPr="007F4668">
              <w:rPr>
                <w:color w:val="808080"/>
                <w:sz w:val="20"/>
              </w:rPr>
              <w:t>2 190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19</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rPr>
                <w:rFonts w:eastAsiaTheme="minorEastAsia"/>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55%</w:t>
            </w:r>
          </w:p>
        </w:tc>
        <w:tc>
          <w:tcPr>
            <w:tcW w:w="261" w:type="dxa"/>
            <w:gridSpan w:val="2"/>
            <w:vMerge/>
            <w:tcBorders>
              <w:top w:val="nil"/>
              <w:left w:val="nil"/>
              <w:bottom w:val="single" w:sz="8" w:space="0" w:color="9CC2E5"/>
              <w:right w:val="single" w:sz="8" w:space="0" w:color="9CC2E5"/>
            </w:tcBorders>
            <w:vAlign w:val="center"/>
            <w:hideMark/>
          </w:tcPr>
          <w:p w:rsidR="0092458E" w:rsidRPr="007F4668" w:rsidRDefault="0092458E" w:rsidP="00DF0748">
            <w:pPr>
              <w:spacing w:before="20" w:after="20"/>
              <w:rPr>
                <w:rFonts w:eastAsiaTheme="minorEastAsia"/>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393</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393</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393</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1 442</w:t>
            </w:r>
          </w:p>
        </w:tc>
      </w:tr>
      <w:tr w:rsidR="0092458E" w:rsidRPr="007F4668" w:rsidTr="00DF0748">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92458E" w:rsidRPr="007F4668" w:rsidRDefault="0092458E" w:rsidP="00DF0748">
            <w:pPr>
              <w:spacing w:before="20" w:after="20"/>
              <w:rPr>
                <w:b/>
                <w:bCs/>
                <w:color w:val="5B9BD5"/>
                <w:sz w:val="20"/>
              </w:rPr>
            </w:pPr>
            <w:r w:rsidRPr="007F4668">
              <w:rPr>
                <w:b/>
                <w:bCs/>
                <w:color w:val="5B9BD5"/>
                <w:sz w:val="20"/>
              </w:rPr>
              <w:t xml:space="preserve">I.3 </w:t>
            </w:r>
            <w:r w:rsidRPr="007F4668">
              <w:rPr>
                <w:color w:val="000000"/>
                <w:sz w:val="20"/>
              </w:rPr>
              <w:t>Obj. intersectoriel 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2 808</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833</w:t>
            </w:r>
          </w:p>
        </w:tc>
        <w:tc>
          <w:tcPr>
            <w:tcW w:w="925" w:type="dxa"/>
            <w:tcBorders>
              <w:top w:val="single" w:sz="8" w:space="0" w:color="5B9BD5"/>
              <w:left w:val="single" w:sz="8" w:space="0" w:color="5B9BD5"/>
              <w:bottom w:val="single" w:sz="8" w:space="0" w:color="5B9BD5"/>
              <w:right w:val="single" w:sz="8" w:space="0" w:color="5B9BD5"/>
            </w:tcBorders>
            <w:vAlign w:val="center"/>
          </w:tcPr>
          <w:p w:rsidR="0092458E" w:rsidRPr="007F4668" w:rsidRDefault="0092458E" w:rsidP="00DF0748">
            <w:pPr>
              <w:spacing w:before="20" w:after="20"/>
              <w:jc w:val="right"/>
              <w:rPr>
                <w:color w:val="000000" w:themeColor="text1"/>
                <w:sz w:val="20"/>
              </w:rPr>
            </w:pPr>
            <w:r w:rsidRPr="007F4668">
              <w:rPr>
                <w:color w:val="808080"/>
                <w:sz w:val="20"/>
              </w:rPr>
              <w:t>1 924</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51</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rPr>
                <w:rFonts w:eastAsiaTheme="minorEastAsia"/>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70%</w:t>
            </w:r>
          </w:p>
        </w:tc>
        <w:tc>
          <w:tcPr>
            <w:tcW w:w="261" w:type="dxa"/>
            <w:gridSpan w:val="2"/>
            <w:vMerge/>
            <w:tcBorders>
              <w:top w:val="nil"/>
              <w:left w:val="nil"/>
              <w:bottom w:val="single" w:sz="8" w:space="0" w:color="9CC2E5"/>
              <w:right w:val="single" w:sz="8" w:space="0" w:color="9CC2E5"/>
            </w:tcBorders>
            <w:vAlign w:val="center"/>
            <w:hideMark/>
          </w:tcPr>
          <w:p w:rsidR="0092458E" w:rsidRPr="007F4668" w:rsidRDefault="0092458E" w:rsidP="00DF0748">
            <w:pPr>
              <w:spacing w:before="20" w:after="20"/>
              <w:rPr>
                <w:rFonts w:eastAsiaTheme="minorEastAsia"/>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281</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281</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281</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1 966</w:t>
            </w:r>
          </w:p>
        </w:tc>
      </w:tr>
      <w:tr w:rsidR="0092458E" w:rsidRPr="007F4668" w:rsidTr="00DF0748">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92458E" w:rsidRPr="007F4668" w:rsidRDefault="0092458E" w:rsidP="00DF0748">
            <w:pPr>
              <w:spacing w:before="20" w:after="20"/>
              <w:rPr>
                <w:b/>
                <w:bCs/>
                <w:color w:val="5B9BD5"/>
                <w:sz w:val="20"/>
              </w:rPr>
            </w:pPr>
            <w:r w:rsidRPr="007F4668">
              <w:rPr>
                <w:b/>
                <w:bCs/>
                <w:color w:val="5B9BD5"/>
                <w:sz w:val="20"/>
              </w:rPr>
              <w:t xml:space="preserve">I.4 </w:t>
            </w:r>
            <w:r w:rsidRPr="007F4668">
              <w:rPr>
                <w:color w:val="000000"/>
                <w:sz w:val="20"/>
              </w:rPr>
              <w:t>Obj. intersectoriel 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1 449</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49</w:t>
            </w:r>
          </w:p>
        </w:tc>
        <w:tc>
          <w:tcPr>
            <w:tcW w:w="925" w:type="dxa"/>
            <w:tcBorders>
              <w:top w:val="single" w:sz="8" w:space="0" w:color="5B9BD5"/>
              <w:left w:val="single" w:sz="8" w:space="0" w:color="5B9BD5"/>
              <w:bottom w:val="single" w:sz="8" w:space="0" w:color="5B9BD5"/>
              <w:right w:val="single" w:sz="8" w:space="0" w:color="5B9BD5"/>
            </w:tcBorders>
            <w:vAlign w:val="center"/>
          </w:tcPr>
          <w:p w:rsidR="0092458E" w:rsidRPr="007F4668" w:rsidRDefault="0092458E" w:rsidP="00DF0748">
            <w:pPr>
              <w:spacing w:before="20" w:after="20"/>
              <w:jc w:val="right"/>
              <w:rPr>
                <w:color w:val="000000" w:themeColor="text1"/>
                <w:sz w:val="20"/>
              </w:rPr>
            </w:pPr>
            <w:r w:rsidRPr="007F4668">
              <w:rPr>
                <w:color w:val="808080"/>
                <w:sz w:val="20"/>
              </w:rPr>
              <w:t>1 370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31</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rPr>
                <w:rFonts w:eastAsiaTheme="minorEastAsia"/>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50%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92458E" w:rsidRPr="007F4668" w:rsidRDefault="0092458E" w:rsidP="00DF0748">
            <w:pPr>
              <w:spacing w:before="20" w:after="20"/>
              <w:rPr>
                <w:rFonts w:eastAsiaTheme="minorEastAsia"/>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0</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725</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725</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0</w:t>
            </w:r>
          </w:p>
        </w:tc>
      </w:tr>
      <w:tr w:rsidR="0092458E" w:rsidRPr="007F4668" w:rsidTr="00DF0748">
        <w:trPr>
          <w:gridAfter w:val="1"/>
          <w:wAfter w:w="47" w:type="dxa"/>
          <w:trHeight w:val="300"/>
        </w:trPr>
        <w:tc>
          <w:tcPr>
            <w:tcW w:w="2113" w:type="dxa"/>
            <w:gridSpan w:val="2"/>
            <w:tcBorders>
              <w:top w:val="nil"/>
              <w:left w:val="single" w:sz="8" w:space="0" w:color="9CC2E5"/>
              <w:bottom w:val="single" w:sz="8" w:space="0" w:color="9CC2E5"/>
              <w:right w:val="single" w:sz="8" w:space="0" w:color="5B9BD5"/>
            </w:tcBorders>
            <w:tcMar>
              <w:left w:w="28" w:type="dxa"/>
            </w:tcMar>
            <w:vAlign w:val="center"/>
            <w:hideMark/>
          </w:tcPr>
          <w:p w:rsidR="0092458E" w:rsidRPr="007F4668" w:rsidRDefault="0092458E" w:rsidP="00DF0748">
            <w:pPr>
              <w:spacing w:before="20" w:after="20"/>
              <w:rPr>
                <w:b/>
                <w:bCs/>
                <w:color w:val="5B9BD5"/>
                <w:sz w:val="20"/>
              </w:rPr>
            </w:pPr>
            <w:r w:rsidRPr="007F4668">
              <w:rPr>
                <w:b/>
                <w:bCs/>
                <w:color w:val="5B9BD5"/>
                <w:sz w:val="20"/>
              </w:rPr>
              <w:t xml:space="preserve">I.5 </w:t>
            </w:r>
            <w:r w:rsidRPr="007F4668">
              <w:rPr>
                <w:color w:val="000000"/>
                <w:sz w:val="20"/>
              </w:rPr>
              <w:t>Obj. intersectoriel 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639</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60</w:t>
            </w:r>
          </w:p>
        </w:tc>
        <w:tc>
          <w:tcPr>
            <w:tcW w:w="925" w:type="dxa"/>
            <w:tcBorders>
              <w:top w:val="single" w:sz="8" w:space="0" w:color="5B9BD5"/>
              <w:left w:val="single" w:sz="8" w:space="0" w:color="5B9BD5"/>
              <w:bottom w:val="single" w:sz="8" w:space="0" w:color="9CC2E5"/>
              <w:right w:val="single" w:sz="8" w:space="0" w:color="5B9BD5"/>
            </w:tcBorders>
            <w:vAlign w:val="center"/>
          </w:tcPr>
          <w:p w:rsidR="0092458E" w:rsidRPr="007F4668" w:rsidRDefault="0092458E" w:rsidP="00DF0748">
            <w:pPr>
              <w:spacing w:before="20" w:after="20"/>
              <w:jc w:val="right"/>
              <w:rPr>
                <w:color w:val="000000" w:themeColor="text1"/>
                <w:sz w:val="20"/>
              </w:rPr>
            </w:pPr>
            <w:r w:rsidRPr="007F4668">
              <w:rPr>
                <w:color w:val="808080"/>
                <w:sz w:val="20"/>
              </w:rPr>
              <w:t>512</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68</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rPr>
                <w:rFonts w:eastAsiaTheme="minorEastAsia"/>
                <w:b/>
                <w:bCs/>
                <w:color w:val="000000"/>
                <w:sz w:val="20"/>
              </w:rPr>
            </w:pPr>
          </w:p>
        </w:tc>
        <w:tc>
          <w:tcPr>
            <w:tcW w:w="832"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100%</w:t>
            </w:r>
          </w:p>
        </w:tc>
        <w:tc>
          <w:tcPr>
            <w:tcW w:w="1294"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0%</w:t>
            </w:r>
          </w:p>
        </w:tc>
        <w:tc>
          <w:tcPr>
            <w:tcW w:w="261" w:type="dxa"/>
            <w:gridSpan w:val="2"/>
            <w:vMerge/>
            <w:tcBorders>
              <w:top w:val="nil"/>
              <w:left w:val="nil"/>
              <w:bottom w:val="single" w:sz="8" w:space="0" w:color="9CC2E5"/>
              <w:right w:val="single" w:sz="8" w:space="0" w:color="9CC2E5"/>
            </w:tcBorders>
            <w:vAlign w:val="center"/>
            <w:hideMark/>
          </w:tcPr>
          <w:p w:rsidR="0092458E" w:rsidRPr="007F4668" w:rsidRDefault="0092458E" w:rsidP="00DF0748">
            <w:pPr>
              <w:spacing w:before="20" w:after="20"/>
              <w:rPr>
                <w:rFonts w:eastAsiaTheme="minorEastAsia"/>
                <w:color w:val="000000"/>
                <w:sz w:val="20"/>
              </w:rPr>
            </w:pPr>
          </w:p>
        </w:tc>
        <w:tc>
          <w:tcPr>
            <w:tcW w:w="101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0</w:t>
            </w:r>
          </w:p>
        </w:tc>
        <w:tc>
          <w:tcPr>
            <w:tcW w:w="870"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639</w:t>
            </w:r>
          </w:p>
        </w:tc>
        <w:tc>
          <w:tcPr>
            <w:tcW w:w="830"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0</w:t>
            </w:r>
          </w:p>
        </w:tc>
        <w:tc>
          <w:tcPr>
            <w:tcW w:w="948"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themeColor="text1"/>
                <w:sz w:val="20"/>
              </w:rPr>
            </w:pPr>
            <w:r w:rsidRPr="007F4668">
              <w:rPr>
                <w:color w:val="808080"/>
                <w:sz w:val="20"/>
              </w:rPr>
              <w:t>0</w:t>
            </w:r>
          </w:p>
        </w:tc>
      </w:tr>
      <w:tr w:rsidR="0092458E" w:rsidRPr="007F4668" w:rsidTr="00DF0748">
        <w:trPr>
          <w:trHeight w:val="300"/>
        </w:trPr>
        <w:tc>
          <w:tcPr>
            <w:tcW w:w="2113"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à</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10 607</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92458E" w:rsidRPr="007F4668" w:rsidRDefault="0092458E" w:rsidP="00DF0748">
            <w:pPr>
              <w:spacing w:before="20" w:after="20"/>
              <w:jc w:val="center"/>
              <w:rPr>
                <w:b/>
                <w:bCs/>
                <w:color w:val="FFFFFF"/>
                <w:sz w:val="20"/>
              </w:rPr>
            </w:pPr>
          </w:p>
        </w:tc>
        <w:tc>
          <w:tcPr>
            <w:tcW w:w="925" w:type="dxa"/>
            <w:tcBorders>
              <w:top w:val="nil"/>
              <w:left w:val="nil"/>
              <w:bottom w:val="single" w:sz="8" w:space="0" w:color="5B9BD5"/>
              <w:right w:val="nil"/>
            </w:tcBorders>
            <w:shd w:val="clear" w:color="auto" w:fill="5B9BD5"/>
          </w:tcPr>
          <w:p w:rsidR="0092458E" w:rsidRPr="007F4668" w:rsidRDefault="0092458E" w:rsidP="00DF0748">
            <w:pPr>
              <w:spacing w:before="20" w:after="20"/>
              <w:jc w:val="center"/>
              <w:rPr>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 </w:t>
            </w: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 </w:t>
            </w:r>
          </w:p>
        </w:tc>
        <w:tc>
          <w:tcPr>
            <w:tcW w:w="130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 </w:t>
            </w:r>
          </w:p>
        </w:tc>
        <w:tc>
          <w:tcPr>
            <w:tcW w:w="1142"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 </w:t>
            </w:r>
          </w:p>
        </w:tc>
        <w:tc>
          <w:tcPr>
            <w:tcW w:w="1135"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right"/>
              <w:rPr>
                <w:b/>
                <w:bCs/>
                <w:color w:val="FFFFFF"/>
                <w:sz w:val="20"/>
              </w:rPr>
            </w:pPr>
            <w:r w:rsidRPr="007F4668">
              <w:rPr>
                <w:b/>
                <w:bCs/>
                <w:color w:val="FFFFFF"/>
                <w:sz w:val="20"/>
              </w:rPr>
              <w:t> </w:t>
            </w:r>
          </w:p>
        </w:tc>
        <w:tc>
          <w:tcPr>
            <w:tcW w:w="968"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right"/>
              <w:rPr>
                <w:b/>
                <w:bCs/>
                <w:color w:val="FFFFFF"/>
                <w:sz w:val="20"/>
              </w:rPr>
            </w:pPr>
            <w:r w:rsidRPr="007F4668">
              <w:rPr>
                <w:b/>
                <w:bCs/>
                <w:color w:val="FFFFFF"/>
                <w:sz w:val="20"/>
              </w:rPr>
              <w:t>1 137</w:t>
            </w:r>
          </w:p>
        </w:tc>
        <w:tc>
          <w:tcPr>
            <w:tcW w:w="91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right"/>
              <w:rPr>
                <w:b/>
                <w:bCs/>
                <w:color w:val="FFFFFF"/>
                <w:sz w:val="20"/>
              </w:rPr>
            </w:pPr>
            <w:r w:rsidRPr="007F4668">
              <w:rPr>
                <w:b/>
                <w:bCs/>
                <w:color w:val="FFFFFF"/>
                <w:sz w:val="20"/>
              </w:rPr>
              <w:t>2 501</w:t>
            </w:r>
          </w:p>
        </w:tc>
        <w:tc>
          <w:tcPr>
            <w:tcW w:w="83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right"/>
              <w:rPr>
                <w:b/>
                <w:bCs/>
                <w:color w:val="FFFFFF"/>
                <w:sz w:val="20"/>
              </w:rPr>
            </w:pPr>
            <w:r w:rsidRPr="007F4668">
              <w:rPr>
                <w:b/>
                <w:bCs/>
                <w:color w:val="FFFFFF"/>
                <w:sz w:val="20"/>
              </w:rPr>
              <w:t>1 862</w:t>
            </w:r>
          </w:p>
        </w:tc>
        <w:tc>
          <w:tcPr>
            <w:tcW w:w="948"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right"/>
              <w:rPr>
                <w:b/>
                <w:bCs/>
                <w:color w:val="FFFFFF"/>
                <w:sz w:val="20"/>
              </w:rPr>
            </w:pPr>
            <w:r w:rsidRPr="007F4668">
              <w:rPr>
                <w:b/>
                <w:bCs/>
                <w:color w:val="FFFFFF"/>
                <w:sz w:val="20"/>
              </w:rPr>
              <w:t>5 107</w:t>
            </w:r>
          </w:p>
        </w:tc>
      </w:tr>
      <w:tr w:rsidR="0092458E" w:rsidRPr="007F4668" w:rsidTr="00DF0748">
        <w:trPr>
          <w:trHeight w:val="300"/>
        </w:trPr>
        <w:tc>
          <w:tcPr>
            <w:tcW w:w="745" w:type="dxa"/>
            <w:shd w:val="clear" w:color="auto" w:fill="FFFFFF"/>
          </w:tcPr>
          <w:p w:rsidR="0092458E" w:rsidRPr="007F4668" w:rsidRDefault="0092458E" w:rsidP="00DF0748">
            <w:pPr>
              <w:spacing w:before="20" w:after="20"/>
              <w:rPr>
                <w:color w:val="000000"/>
                <w:sz w:val="20"/>
              </w:rPr>
            </w:pPr>
          </w:p>
        </w:tc>
        <w:tc>
          <w:tcPr>
            <w:tcW w:w="10440" w:type="dxa"/>
            <w:gridSpan w:val="21"/>
            <w:shd w:val="clear" w:color="auto" w:fill="FFFFFF"/>
            <w:noWrap/>
            <w:tcMar>
              <w:top w:w="0" w:type="dxa"/>
              <w:left w:w="108" w:type="dxa"/>
              <w:bottom w:w="0" w:type="dxa"/>
              <w:right w:w="108" w:type="dxa"/>
            </w:tcMar>
            <w:vAlign w:val="bottom"/>
            <w:hideMark/>
          </w:tcPr>
          <w:p w:rsidR="0092458E" w:rsidRPr="007F4668" w:rsidRDefault="0092458E" w:rsidP="00DF0748">
            <w:pPr>
              <w:spacing w:before="20" w:after="20"/>
              <w:rPr>
                <w:color w:val="000000"/>
              </w:rPr>
            </w:pPr>
            <w:r w:rsidRPr="007F4668">
              <w:rPr>
                <w:color w:val="000000"/>
                <w:sz w:val="20"/>
              </w:rPr>
              <w:t>Tous les coûts sont en milliers CHF</w:t>
            </w:r>
          </w:p>
        </w:tc>
        <w:tc>
          <w:tcPr>
            <w:tcW w:w="992" w:type="dxa"/>
            <w:gridSpan w:val="2"/>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right"/>
              <w:rPr>
                <w:b/>
                <w:bCs/>
                <w:color w:val="FFFFFF"/>
                <w:sz w:val="20"/>
              </w:rPr>
            </w:pPr>
            <w:r w:rsidRPr="007F4668">
              <w:rPr>
                <w:b/>
                <w:bCs/>
                <w:color w:val="FFFFFF"/>
                <w:sz w:val="20"/>
              </w:rPr>
              <w:t>10,7%</w:t>
            </w:r>
          </w:p>
        </w:tc>
        <w:tc>
          <w:tcPr>
            <w:tcW w:w="893" w:type="dxa"/>
            <w:gridSpan w:val="2"/>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right"/>
              <w:rPr>
                <w:b/>
                <w:bCs/>
                <w:color w:val="FFFFFF"/>
                <w:sz w:val="20"/>
              </w:rPr>
            </w:pPr>
            <w:r w:rsidRPr="007F4668">
              <w:rPr>
                <w:b/>
                <w:bCs/>
                <w:color w:val="FFFFFF"/>
                <w:sz w:val="20"/>
              </w:rPr>
              <w:t>23 6%</w:t>
            </w:r>
          </w:p>
        </w:tc>
        <w:tc>
          <w:tcPr>
            <w:tcW w:w="830" w:type="dxa"/>
            <w:gridSpan w:val="3"/>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right"/>
              <w:rPr>
                <w:b/>
                <w:bCs/>
                <w:color w:val="FFFFFF"/>
                <w:sz w:val="20"/>
              </w:rPr>
            </w:pPr>
            <w:r w:rsidRPr="007F4668">
              <w:rPr>
                <w:b/>
                <w:bCs/>
                <w:color w:val="FFFFFF"/>
                <w:sz w:val="20"/>
              </w:rPr>
              <w:t>17,6%</w:t>
            </w:r>
          </w:p>
        </w:tc>
        <w:tc>
          <w:tcPr>
            <w:tcW w:w="972" w:type="dxa"/>
            <w:gridSpan w:val="3"/>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right"/>
              <w:rPr>
                <w:b/>
                <w:bCs/>
                <w:color w:val="FFFFFF"/>
                <w:sz w:val="20"/>
              </w:rPr>
            </w:pPr>
            <w:r w:rsidRPr="007F4668">
              <w:rPr>
                <w:b/>
                <w:bCs/>
                <w:color w:val="FFFFFF"/>
                <w:sz w:val="20"/>
              </w:rPr>
              <w:t>48,1%</w:t>
            </w:r>
          </w:p>
        </w:tc>
      </w:tr>
    </w:tbl>
    <w:p w:rsidR="0092458E" w:rsidRPr="007F4668" w:rsidRDefault="0092458E" w:rsidP="00DF0748">
      <w:pPr>
        <w:spacing w:before="20" w:after="20"/>
        <w:rPr>
          <w:highlight w:val="yellow"/>
        </w:rPr>
      </w:pPr>
    </w:p>
    <w:tbl>
      <w:tblPr>
        <w:tblW w:w="14872" w:type="dxa"/>
        <w:tblInd w:w="4" w:type="dxa"/>
        <w:tblLayout w:type="fixed"/>
        <w:tblCellMar>
          <w:left w:w="0" w:type="dxa"/>
          <w:right w:w="0" w:type="dxa"/>
        </w:tblCellMar>
        <w:tblLook w:val="04A0" w:firstRow="1" w:lastRow="0" w:firstColumn="1" w:lastColumn="0" w:noHBand="0" w:noVBand="1"/>
      </w:tblPr>
      <w:tblGrid>
        <w:gridCol w:w="744"/>
        <w:gridCol w:w="1368"/>
        <w:gridCol w:w="850"/>
        <w:gridCol w:w="776"/>
        <w:gridCol w:w="925"/>
        <w:gridCol w:w="1134"/>
        <w:gridCol w:w="236"/>
        <w:gridCol w:w="189"/>
        <w:gridCol w:w="47"/>
        <w:gridCol w:w="804"/>
        <w:gridCol w:w="47"/>
        <w:gridCol w:w="469"/>
        <w:gridCol w:w="759"/>
        <w:gridCol w:w="47"/>
        <w:gridCol w:w="335"/>
        <w:gridCol w:w="894"/>
        <w:gridCol w:w="47"/>
        <w:gridCol w:w="176"/>
        <w:gridCol w:w="1053"/>
        <w:gridCol w:w="47"/>
        <w:gridCol w:w="104"/>
        <w:gridCol w:w="110"/>
        <w:gridCol w:w="47"/>
        <w:gridCol w:w="969"/>
        <w:gridCol w:w="759"/>
        <w:gridCol w:w="91"/>
        <w:gridCol w:w="19"/>
        <w:gridCol w:w="720"/>
        <w:gridCol w:w="111"/>
        <w:gridCol w:w="948"/>
        <w:gridCol w:w="47"/>
      </w:tblGrid>
      <w:tr w:rsidR="0092458E" w:rsidRPr="007F4668" w:rsidTr="00DF0748">
        <w:trPr>
          <w:trHeight w:val="553"/>
        </w:trPr>
        <w:tc>
          <w:tcPr>
            <w:tcW w:w="2112" w:type="dxa"/>
            <w:gridSpan w:val="2"/>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Objectifs intersectoriels de l'UIT pour 2017</w:t>
            </w:r>
          </w:p>
        </w:tc>
        <w:tc>
          <w:tcPr>
            <w:tcW w:w="850"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TOTAL</w:t>
            </w:r>
          </w:p>
        </w:tc>
        <w:tc>
          <w:tcPr>
            <w:tcW w:w="77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color w:val="FFFFFF"/>
                <w:sz w:val="20"/>
              </w:rPr>
            </w:pPr>
            <w:r w:rsidRPr="007F4668">
              <w:rPr>
                <w:color w:val="FFFFFF"/>
                <w:sz w:val="20"/>
              </w:rPr>
              <w:t>SG/</w:t>
            </w:r>
            <w:r w:rsidRPr="007F4668">
              <w:rPr>
                <w:color w:val="FFFFFF"/>
                <w:sz w:val="20"/>
              </w:rPr>
              <w:br/>
              <w:t>coût direct</w:t>
            </w:r>
          </w:p>
        </w:tc>
        <w:tc>
          <w:tcPr>
            <w:tcW w:w="925" w:type="dxa"/>
            <w:tcBorders>
              <w:top w:val="single" w:sz="8" w:space="0" w:color="5B9BD5"/>
              <w:left w:val="nil"/>
              <w:bottom w:val="single" w:sz="8" w:space="0" w:color="5B9BD5"/>
              <w:right w:val="nil"/>
            </w:tcBorders>
            <w:shd w:val="clear" w:color="auto" w:fill="5B9BD5"/>
            <w:vAlign w:val="center"/>
          </w:tcPr>
          <w:p w:rsidR="0092458E" w:rsidRPr="007F4668" w:rsidRDefault="0092458E" w:rsidP="00DF0748">
            <w:pPr>
              <w:spacing w:before="20" w:after="20"/>
              <w:jc w:val="center"/>
              <w:rPr>
                <w:color w:val="FFFFFF"/>
                <w:sz w:val="20"/>
              </w:rPr>
            </w:pPr>
            <w:r w:rsidRPr="007F4668">
              <w:rPr>
                <w:color w:val="FFFFFF"/>
                <w:sz w:val="20"/>
              </w:rPr>
              <w:t>Coûts réels imputés à partir du SG</w:t>
            </w:r>
          </w:p>
        </w:tc>
        <w:tc>
          <w:tcPr>
            <w:tcW w:w="1134"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color w:val="FFFFFF"/>
                <w:sz w:val="20"/>
              </w:rPr>
            </w:pPr>
            <w:r w:rsidRPr="007F4668">
              <w:rPr>
                <w:color w:val="FFFFFF"/>
                <w:sz w:val="20"/>
              </w:rPr>
              <w:t>Coût imputé par les Bureaux</w:t>
            </w:r>
          </w:p>
        </w:tc>
        <w:tc>
          <w:tcPr>
            <w:tcW w:w="236"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 </w:t>
            </w:r>
          </w:p>
        </w:tc>
        <w:tc>
          <w:tcPr>
            <w:tcW w:w="236"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 </w:t>
            </w:r>
          </w:p>
        </w:tc>
        <w:tc>
          <w:tcPr>
            <w:tcW w:w="851"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1: croissance</w:t>
            </w:r>
          </w:p>
        </w:tc>
        <w:tc>
          <w:tcPr>
            <w:tcW w:w="1275"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2: inclusion</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3: durabilité</w:t>
            </w:r>
          </w:p>
        </w:tc>
        <w:tc>
          <w:tcPr>
            <w:tcW w:w="1276"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4: innovation et partenariats</w:t>
            </w:r>
          </w:p>
        </w:tc>
        <w:tc>
          <w:tcPr>
            <w:tcW w:w="261"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18"/>
                <w:szCs w:val="18"/>
              </w:rPr>
            </w:pPr>
            <w:r w:rsidRPr="007F4668">
              <w:rPr>
                <w:b/>
                <w:bCs/>
                <w:color w:val="FFFFFF"/>
                <w:sz w:val="18"/>
                <w:szCs w:val="18"/>
              </w:rPr>
              <w:t> </w:t>
            </w:r>
          </w:p>
        </w:tc>
        <w:tc>
          <w:tcPr>
            <w:tcW w:w="969"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1</w:t>
            </w:r>
          </w:p>
        </w:tc>
        <w:tc>
          <w:tcPr>
            <w:tcW w:w="850" w:type="dxa"/>
            <w:gridSpan w:val="2"/>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2</w:t>
            </w:r>
          </w:p>
        </w:tc>
        <w:tc>
          <w:tcPr>
            <w:tcW w:w="850" w:type="dxa"/>
            <w:gridSpan w:val="3"/>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3</w:t>
            </w:r>
          </w:p>
        </w:tc>
        <w:tc>
          <w:tcPr>
            <w:tcW w:w="995" w:type="dxa"/>
            <w:gridSpan w:val="2"/>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18"/>
                <w:szCs w:val="18"/>
              </w:rPr>
            </w:pPr>
            <w:r w:rsidRPr="007F4668">
              <w:rPr>
                <w:b/>
                <w:bCs/>
                <w:color w:val="FFFFFF"/>
                <w:sz w:val="18"/>
                <w:szCs w:val="18"/>
              </w:rPr>
              <w:t>But 4</w:t>
            </w:r>
          </w:p>
        </w:tc>
      </w:tr>
      <w:tr w:rsidR="0092458E" w:rsidRPr="007F4668" w:rsidTr="00DF0748">
        <w:trPr>
          <w:gridAfter w:val="1"/>
          <w:wAfter w:w="47" w:type="dxa"/>
        </w:trPr>
        <w:tc>
          <w:tcPr>
            <w:tcW w:w="2112" w:type="dxa"/>
            <w:gridSpan w:val="2"/>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92458E" w:rsidRPr="007F4668" w:rsidRDefault="0092458E" w:rsidP="00DF0748">
            <w:pPr>
              <w:spacing w:before="20" w:after="20"/>
              <w:rPr>
                <w:b/>
                <w:bCs/>
                <w:color w:val="5B9BD5"/>
                <w:sz w:val="20"/>
              </w:rPr>
            </w:pPr>
            <w:r w:rsidRPr="007F4668">
              <w:rPr>
                <w:b/>
                <w:bCs/>
                <w:color w:val="5B9BD5"/>
                <w:sz w:val="20"/>
              </w:rPr>
              <w:t xml:space="preserve">I.1 </w:t>
            </w:r>
            <w:r w:rsidRPr="007F4668">
              <w:rPr>
                <w:color w:val="000000"/>
                <w:sz w:val="20"/>
              </w:rPr>
              <w:t>Obj. Intersectoriel 1</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3 576</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695</w:t>
            </w:r>
          </w:p>
        </w:tc>
        <w:tc>
          <w:tcPr>
            <w:tcW w:w="925" w:type="dxa"/>
            <w:tcBorders>
              <w:top w:val="single" w:sz="8" w:space="0" w:color="5B9BD5"/>
              <w:left w:val="single" w:sz="8" w:space="0" w:color="5B9BD5"/>
              <w:bottom w:val="single" w:sz="8" w:space="0" w:color="5B9BD5"/>
              <w:right w:val="single" w:sz="8" w:space="0" w:color="5B9BD5"/>
            </w:tcBorders>
            <w:vAlign w:val="center"/>
          </w:tcPr>
          <w:p w:rsidR="0092458E" w:rsidRPr="007F4668" w:rsidRDefault="0092458E" w:rsidP="00DF0748">
            <w:pPr>
              <w:spacing w:before="20" w:after="20"/>
              <w:jc w:val="right"/>
              <w:rPr>
                <w:color w:val="000000" w:themeColor="text1"/>
                <w:sz w:val="20"/>
              </w:rPr>
            </w:pPr>
            <w:r w:rsidRPr="007F4668">
              <w:rPr>
                <w:color w:val="808080"/>
                <w:sz w:val="20"/>
              </w:rPr>
              <w:t>2 806</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75</w:t>
            </w:r>
          </w:p>
        </w:tc>
        <w:tc>
          <w:tcPr>
            <w:tcW w:w="425" w:type="dxa"/>
            <w:gridSpan w:val="2"/>
            <w:vMerge w:val="restart"/>
            <w:tcBorders>
              <w:top w:val="nil"/>
              <w:left w:val="nil"/>
              <w:right w:val="single" w:sz="8" w:space="0" w:color="9CC2E5"/>
            </w:tcBorders>
            <w:tcMar>
              <w:top w:w="0" w:type="dxa"/>
              <w:left w:w="108" w:type="dxa"/>
              <w:bottom w:w="0" w:type="dxa"/>
              <w:right w:w="108" w:type="dxa"/>
            </w:tcMar>
            <w:textDirection w:val="btLr"/>
            <w:hideMark/>
          </w:tcPr>
          <w:p w:rsidR="0092458E" w:rsidRPr="007F4668" w:rsidRDefault="0092458E" w:rsidP="00DF0748">
            <w:pPr>
              <w:spacing w:before="20" w:after="20"/>
              <w:ind w:left="113" w:right="113"/>
              <w:jc w:val="center"/>
              <w:rPr>
                <w:b/>
                <w:bCs/>
                <w:color w:val="000000"/>
                <w:sz w:val="20"/>
              </w:rPr>
            </w:pPr>
            <w:r w:rsidRPr="007F4668">
              <w:rPr>
                <w:b/>
                <w:bCs/>
                <w:color w:val="000000"/>
                <w:sz w:val="20"/>
              </w:rPr>
              <w:t>Réimputation</w:t>
            </w: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55%</w:t>
            </w:r>
          </w:p>
        </w:tc>
        <w:tc>
          <w:tcPr>
            <w:tcW w:w="261" w:type="dxa"/>
            <w:gridSpan w:val="3"/>
            <w:vMerge w:val="restart"/>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right"/>
              <w:rPr>
                <w:color w:val="000000"/>
                <w:sz w:val="20"/>
              </w:rPr>
            </w:pPr>
            <w:r w:rsidRPr="007F4668">
              <w:rPr>
                <w:color w:val="000000"/>
                <w:sz w:val="20"/>
              </w:rPr>
              <w:t> </w:t>
            </w:r>
          </w:p>
        </w:tc>
        <w:tc>
          <w:tcPr>
            <w:tcW w:w="101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536</w:t>
            </w:r>
          </w:p>
        </w:tc>
        <w:tc>
          <w:tcPr>
            <w:tcW w:w="86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536 </w:t>
            </w:r>
          </w:p>
        </w:tc>
        <w:tc>
          <w:tcPr>
            <w:tcW w:w="83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536 </w:t>
            </w:r>
          </w:p>
        </w:tc>
        <w:tc>
          <w:tcPr>
            <w:tcW w:w="9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1 967 </w:t>
            </w:r>
          </w:p>
        </w:tc>
      </w:tr>
      <w:tr w:rsidR="0092458E" w:rsidRPr="007F4668" w:rsidTr="00DF0748">
        <w:trPr>
          <w:gridAfter w:val="1"/>
          <w:wAfter w:w="47" w:type="dxa"/>
          <w:trHeight w:val="300"/>
        </w:trPr>
        <w:tc>
          <w:tcPr>
            <w:tcW w:w="2112" w:type="dxa"/>
            <w:gridSpan w:val="2"/>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92458E" w:rsidRPr="007F4668" w:rsidRDefault="0092458E" w:rsidP="00DF0748">
            <w:pPr>
              <w:spacing w:before="20" w:after="20"/>
              <w:rPr>
                <w:b/>
                <w:bCs/>
                <w:color w:val="5B9BD5"/>
                <w:sz w:val="20"/>
              </w:rPr>
            </w:pPr>
            <w:r w:rsidRPr="007F4668">
              <w:rPr>
                <w:b/>
                <w:bCs/>
                <w:color w:val="5B9BD5"/>
                <w:sz w:val="20"/>
              </w:rPr>
              <w:t xml:space="preserve">I.2 </w:t>
            </w:r>
            <w:r w:rsidRPr="007F4668">
              <w:rPr>
                <w:color w:val="000000"/>
                <w:sz w:val="20"/>
              </w:rPr>
              <w:t>Obj. intersectoriel 2</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2 628</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416</w:t>
            </w:r>
          </w:p>
        </w:tc>
        <w:tc>
          <w:tcPr>
            <w:tcW w:w="925" w:type="dxa"/>
            <w:tcBorders>
              <w:top w:val="single" w:sz="8" w:space="0" w:color="5B9BD5"/>
              <w:left w:val="single" w:sz="8" w:space="0" w:color="5B9BD5"/>
              <w:bottom w:val="single" w:sz="8" w:space="0" w:color="5B9BD5"/>
              <w:right w:val="single" w:sz="8" w:space="0" w:color="5B9BD5"/>
            </w:tcBorders>
            <w:vAlign w:val="center"/>
          </w:tcPr>
          <w:p w:rsidR="0092458E" w:rsidRPr="007F4668" w:rsidRDefault="0092458E" w:rsidP="00DF0748">
            <w:pPr>
              <w:spacing w:before="20" w:after="20"/>
              <w:jc w:val="right"/>
              <w:rPr>
                <w:color w:val="000000" w:themeColor="text1"/>
                <w:sz w:val="20"/>
              </w:rPr>
            </w:pPr>
            <w:r w:rsidRPr="007F4668">
              <w:rPr>
                <w:color w:val="808080"/>
                <w:sz w:val="20"/>
              </w:rPr>
              <w:t>2 203</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9</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rPr>
                <w:rFonts w:eastAsiaTheme="minorEastAsia"/>
                <w:b/>
                <w:bCs/>
                <w:color w:val="000000"/>
                <w:sz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15%</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55%</w:t>
            </w:r>
          </w:p>
        </w:tc>
        <w:tc>
          <w:tcPr>
            <w:tcW w:w="261" w:type="dxa"/>
            <w:gridSpan w:val="3"/>
            <w:vMerge/>
            <w:tcBorders>
              <w:top w:val="nil"/>
              <w:left w:val="nil"/>
              <w:bottom w:val="single" w:sz="8" w:space="0" w:color="9CC2E5"/>
              <w:right w:val="single" w:sz="8" w:space="0" w:color="9CC2E5"/>
            </w:tcBorders>
            <w:vAlign w:val="center"/>
            <w:hideMark/>
          </w:tcPr>
          <w:p w:rsidR="0092458E" w:rsidRPr="007F4668" w:rsidRDefault="0092458E" w:rsidP="00DF0748">
            <w:pPr>
              <w:spacing w:before="20" w:after="20"/>
              <w:rPr>
                <w:rFonts w:eastAsiaTheme="minorEastAsia"/>
                <w:color w:val="000000"/>
                <w:sz w:val="20"/>
              </w:rPr>
            </w:pPr>
          </w:p>
        </w:tc>
        <w:tc>
          <w:tcPr>
            <w:tcW w:w="101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394</w:t>
            </w:r>
          </w:p>
        </w:tc>
        <w:tc>
          <w:tcPr>
            <w:tcW w:w="86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394 </w:t>
            </w:r>
          </w:p>
        </w:tc>
        <w:tc>
          <w:tcPr>
            <w:tcW w:w="83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394 </w:t>
            </w:r>
          </w:p>
        </w:tc>
        <w:tc>
          <w:tcPr>
            <w:tcW w:w="9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1 445 </w:t>
            </w:r>
          </w:p>
        </w:tc>
      </w:tr>
      <w:tr w:rsidR="0092458E" w:rsidRPr="007F4668" w:rsidTr="00DF0748">
        <w:trPr>
          <w:gridAfter w:val="1"/>
          <w:wAfter w:w="47" w:type="dxa"/>
          <w:trHeight w:val="300"/>
        </w:trPr>
        <w:tc>
          <w:tcPr>
            <w:tcW w:w="2112" w:type="dxa"/>
            <w:gridSpan w:val="2"/>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92458E" w:rsidRPr="007F4668" w:rsidRDefault="0092458E" w:rsidP="00DF0748">
            <w:pPr>
              <w:spacing w:before="20" w:after="20"/>
              <w:rPr>
                <w:b/>
                <w:bCs/>
                <w:color w:val="5B9BD5"/>
                <w:sz w:val="20"/>
              </w:rPr>
            </w:pPr>
            <w:r w:rsidRPr="007F4668">
              <w:rPr>
                <w:b/>
                <w:bCs/>
                <w:color w:val="5B9BD5"/>
                <w:sz w:val="20"/>
              </w:rPr>
              <w:t xml:space="preserve">I.3 </w:t>
            </w:r>
            <w:r w:rsidRPr="007F4668">
              <w:rPr>
                <w:color w:val="000000"/>
                <w:sz w:val="20"/>
              </w:rPr>
              <w:t>Obj. intersectoriel.3</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2 817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835</w:t>
            </w:r>
          </w:p>
        </w:tc>
        <w:tc>
          <w:tcPr>
            <w:tcW w:w="925" w:type="dxa"/>
            <w:tcBorders>
              <w:top w:val="single" w:sz="8" w:space="0" w:color="5B9BD5"/>
              <w:left w:val="single" w:sz="8" w:space="0" w:color="5B9BD5"/>
              <w:bottom w:val="single" w:sz="8" w:space="0" w:color="5B9BD5"/>
              <w:right w:val="single" w:sz="8" w:space="0" w:color="5B9BD5"/>
            </w:tcBorders>
            <w:vAlign w:val="center"/>
          </w:tcPr>
          <w:p w:rsidR="0092458E" w:rsidRPr="007F4668" w:rsidRDefault="0092458E" w:rsidP="00DF0748">
            <w:pPr>
              <w:spacing w:before="20" w:after="20"/>
              <w:jc w:val="right"/>
              <w:rPr>
                <w:color w:val="000000" w:themeColor="text1"/>
                <w:sz w:val="20"/>
              </w:rPr>
            </w:pPr>
            <w:r w:rsidRPr="007F4668">
              <w:rPr>
                <w:color w:val="808080"/>
                <w:sz w:val="20"/>
              </w:rPr>
              <w:t>1 938</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44</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rPr>
                <w:rFonts w:eastAsiaTheme="minorEastAsia"/>
                <w:b/>
                <w:bCs/>
                <w:color w:val="000000"/>
                <w:sz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70%</w:t>
            </w:r>
          </w:p>
        </w:tc>
        <w:tc>
          <w:tcPr>
            <w:tcW w:w="261" w:type="dxa"/>
            <w:gridSpan w:val="3"/>
            <w:vMerge/>
            <w:tcBorders>
              <w:top w:val="nil"/>
              <w:left w:val="nil"/>
              <w:bottom w:val="single" w:sz="8" w:space="0" w:color="9CC2E5"/>
              <w:right w:val="single" w:sz="8" w:space="0" w:color="9CC2E5"/>
            </w:tcBorders>
            <w:vAlign w:val="center"/>
            <w:hideMark/>
          </w:tcPr>
          <w:p w:rsidR="0092458E" w:rsidRPr="007F4668" w:rsidRDefault="0092458E" w:rsidP="00DF0748">
            <w:pPr>
              <w:spacing w:before="20" w:after="20"/>
              <w:rPr>
                <w:rFonts w:eastAsiaTheme="minorEastAsia"/>
                <w:color w:val="000000"/>
                <w:sz w:val="20"/>
              </w:rPr>
            </w:pPr>
          </w:p>
        </w:tc>
        <w:tc>
          <w:tcPr>
            <w:tcW w:w="101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282</w:t>
            </w:r>
          </w:p>
        </w:tc>
        <w:tc>
          <w:tcPr>
            <w:tcW w:w="86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282 </w:t>
            </w:r>
          </w:p>
        </w:tc>
        <w:tc>
          <w:tcPr>
            <w:tcW w:w="83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282 </w:t>
            </w:r>
          </w:p>
        </w:tc>
        <w:tc>
          <w:tcPr>
            <w:tcW w:w="9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1 972 </w:t>
            </w:r>
          </w:p>
        </w:tc>
      </w:tr>
      <w:tr w:rsidR="0092458E" w:rsidRPr="007F4668" w:rsidTr="00DF0748">
        <w:trPr>
          <w:gridAfter w:val="1"/>
          <w:wAfter w:w="47" w:type="dxa"/>
          <w:trHeight w:val="300"/>
        </w:trPr>
        <w:tc>
          <w:tcPr>
            <w:tcW w:w="2112" w:type="dxa"/>
            <w:gridSpan w:val="2"/>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92458E" w:rsidRPr="007F4668" w:rsidRDefault="0092458E" w:rsidP="00DF0748">
            <w:pPr>
              <w:spacing w:before="20" w:after="20"/>
              <w:rPr>
                <w:b/>
                <w:bCs/>
                <w:color w:val="5B9BD5"/>
                <w:sz w:val="20"/>
              </w:rPr>
            </w:pPr>
            <w:r w:rsidRPr="007F4668">
              <w:rPr>
                <w:b/>
                <w:bCs/>
                <w:color w:val="5B9BD5"/>
                <w:sz w:val="20"/>
              </w:rPr>
              <w:t xml:space="preserve">I.4 </w:t>
            </w:r>
            <w:r w:rsidRPr="007F4668">
              <w:rPr>
                <w:color w:val="000000"/>
                <w:sz w:val="20"/>
              </w:rPr>
              <w:t>Obj. intersectoriel 4</w:t>
            </w:r>
          </w:p>
        </w:tc>
        <w:tc>
          <w:tcPr>
            <w:tcW w:w="850"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1 427</w:t>
            </w:r>
          </w:p>
        </w:tc>
        <w:tc>
          <w:tcPr>
            <w:tcW w:w="776" w:type="dxa"/>
            <w:tcBorders>
              <w:top w:val="single" w:sz="8" w:space="0" w:color="5B9BD5"/>
              <w:left w:val="nil"/>
              <w:bottom w:val="single" w:sz="8" w:space="0" w:color="5B9BD5"/>
              <w:right w:val="single" w:sz="8" w:space="0" w:color="5B9BD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52</w:t>
            </w:r>
          </w:p>
        </w:tc>
        <w:tc>
          <w:tcPr>
            <w:tcW w:w="925" w:type="dxa"/>
            <w:tcBorders>
              <w:top w:val="single" w:sz="8" w:space="0" w:color="5B9BD5"/>
              <w:left w:val="single" w:sz="8" w:space="0" w:color="5B9BD5"/>
              <w:bottom w:val="single" w:sz="8" w:space="0" w:color="5B9BD5"/>
              <w:right w:val="single" w:sz="8" w:space="0" w:color="5B9BD5"/>
            </w:tcBorders>
            <w:vAlign w:val="center"/>
          </w:tcPr>
          <w:p w:rsidR="0092458E" w:rsidRPr="007F4668" w:rsidRDefault="0092458E" w:rsidP="00DF0748">
            <w:pPr>
              <w:spacing w:before="20" w:after="20"/>
              <w:jc w:val="right"/>
              <w:rPr>
                <w:color w:val="000000" w:themeColor="text1"/>
                <w:sz w:val="20"/>
              </w:rPr>
            </w:pPr>
            <w:r w:rsidRPr="007F4668">
              <w:rPr>
                <w:color w:val="808080"/>
                <w:sz w:val="20"/>
              </w:rPr>
              <w:t>1 360</w:t>
            </w:r>
          </w:p>
        </w:tc>
        <w:tc>
          <w:tcPr>
            <w:tcW w:w="1134" w:type="dxa"/>
            <w:tcBorders>
              <w:top w:val="single" w:sz="8" w:space="0" w:color="5B9BD5"/>
              <w:left w:val="single" w:sz="8" w:space="0" w:color="5B9BD5"/>
              <w:bottom w:val="single" w:sz="8" w:space="0" w:color="5B9BD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15</w:t>
            </w:r>
          </w:p>
        </w:tc>
        <w:tc>
          <w:tcPr>
            <w:tcW w:w="425" w:type="dxa"/>
            <w:gridSpan w:val="2"/>
            <w:vMerge/>
            <w:tcBorders>
              <w:left w:val="nil"/>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rPr>
                <w:rFonts w:eastAsiaTheme="minorEastAsia"/>
                <w:b/>
                <w:bCs/>
                <w:color w:val="000000"/>
                <w:sz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50%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0%</w:t>
            </w:r>
          </w:p>
        </w:tc>
        <w:tc>
          <w:tcPr>
            <w:tcW w:w="261" w:type="dxa"/>
            <w:gridSpan w:val="3"/>
            <w:vMerge/>
            <w:tcBorders>
              <w:top w:val="nil"/>
              <w:left w:val="nil"/>
              <w:bottom w:val="single" w:sz="8" w:space="0" w:color="9CC2E5"/>
              <w:right w:val="single" w:sz="8" w:space="0" w:color="9CC2E5"/>
            </w:tcBorders>
            <w:vAlign w:val="center"/>
            <w:hideMark/>
          </w:tcPr>
          <w:p w:rsidR="0092458E" w:rsidRPr="007F4668" w:rsidRDefault="0092458E" w:rsidP="00DF0748">
            <w:pPr>
              <w:spacing w:before="20" w:after="20"/>
              <w:rPr>
                <w:rFonts w:eastAsiaTheme="minorEastAsia"/>
                <w:color w:val="000000"/>
                <w:sz w:val="20"/>
              </w:rPr>
            </w:pPr>
          </w:p>
        </w:tc>
        <w:tc>
          <w:tcPr>
            <w:tcW w:w="101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0</w:t>
            </w:r>
          </w:p>
        </w:tc>
        <w:tc>
          <w:tcPr>
            <w:tcW w:w="86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714 </w:t>
            </w:r>
          </w:p>
        </w:tc>
        <w:tc>
          <w:tcPr>
            <w:tcW w:w="83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714 </w:t>
            </w:r>
          </w:p>
        </w:tc>
        <w:tc>
          <w:tcPr>
            <w:tcW w:w="9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0 </w:t>
            </w:r>
          </w:p>
        </w:tc>
      </w:tr>
      <w:tr w:rsidR="0092458E" w:rsidRPr="007F4668" w:rsidTr="00DF0748">
        <w:trPr>
          <w:gridAfter w:val="1"/>
          <w:wAfter w:w="47" w:type="dxa"/>
          <w:trHeight w:val="300"/>
        </w:trPr>
        <w:tc>
          <w:tcPr>
            <w:tcW w:w="2112" w:type="dxa"/>
            <w:gridSpan w:val="2"/>
            <w:tcBorders>
              <w:top w:val="nil"/>
              <w:left w:val="single" w:sz="8" w:space="0" w:color="9CC2E5"/>
              <w:bottom w:val="single" w:sz="8" w:space="0" w:color="9CC2E5"/>
              <w:right w:val="single" w:sz="8" w:space="0" w:color="5B9BD5"/>
            </w:tcBorders>
            <w:tcMar>
              <w:top w:w="0" w:type="dxa"/>
              <w:left w:w="28" w:type="dxa"/>
              <w:bottom w:w="0" w:type="dxa"/>
              <w:right w:w="108" w:type="dxa"/>
            </w:tcMar>
            <w:vAlign w:val="center"/>
            <w:hideMark/>
          </w:tcPr>
          <w:p w:rsidR="0092458E" w:rsidRPr="007F4668" w:rsidRDefault="0092458E" w:rsidP="00DF0748">
            <w:pPr>
              <w:spacing w:before="20" w:after="20"/>
              <w:rPr>
                <w:b/>
                <w:bCs/>
                <w:color w:val="5B9BD5"/>
                <w:sz w:val="20"/>
              </w:rPr>
            </w:pPr>
            <w:r w:rsidRPr="007F4668">
              <w:rPr>
                <w:b/>
                <w:bCs/>
                <w:color w:val="5B9BD5"/>
                <w:sz w:val="20"/>
              </w:rPr>
              <w:t xml:space="preserve">I.5 </w:t>
            </w:r>
            <w:r w:rsidRPr="007F4668">
              <w:rPr>
                <w:color w:val="000000"/>
                <w:sz w:val="20"/>
              </w:rPr>
              <w:t>Obj. intersectoriel 5</w:t>
            </w:r>
          </w:p>
        </w:tc>
        <w:tc>
          <w:tcPr>
            <w:tcW w:w="850"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642</w:t>
            </w:r>
          </w:p>
        </w:tc>
        <w:tc>
          <w:tcPr>
            <w:tcW w:w="776" w:type="dxa"/>
            <w:tcBorders>
              <w:top w:val="single" w:sz="8" w:space="0" w:color="5B9BD5"/>
              <w:left w:val="nil"/>
              <w:bottom w:val="single" w:sz="8" w:space="0" w:color="9CC2E5"/>
              <w:right w:val="single" w:sz="8" w:space="0" w:color="5B9BD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62</w:t>
            </w:r>
          </w:p>
        </w:tc>
        <w:tc>
          <w:tcPr>
            <w:tcW w:w="925" w:type="dxa"/>
            <w:tcBorders>
              <w:top w:val="single" w:sz="8" w:space="0" w:color="5B9BD5"/>
              <w:left w:val="single" w:sz="8" w:space="0" w:color="5B9BD5"/>
              <w:bottom w:val="single" w:sz="8" w:space="0" w:color="9CC2E5"/>
              <w:right w:val="single" w:sz="8" w:space="0" w:color="5B9BD5"/>
            </w:tcBorders>
            <w:vAlign w:val="center"/>
          </w:tcPr>
          <w:p w:rsidR="0092458E" w:rsidRPr="007F4668" w:rsidRDefault="0092458E" w:rsidP="00DF0748">
            <w:pPr>
              <w:spacing w:before="20" w:after="20"/>
              <w:jc w:val="right"/>
              <w:rPr>
                <w:color w:val="000000" w:themeColor="text1"/>
                <w:sz w:val="20"/>
              </w:rPr>
            </w:pPr>
            <w:r w:rsidRPr="007F4668">
              <w:rPr>
                <w:color w:val="808080"/>
                <w:sz w:val="20"/>
              </w:rPr>
              <w:t>515</w:t>
            </w:r>
          </w:p>
        </w:tc>
        <w:tc>
          <w:tcPr>
            <w:tcW w:w="1134" w:type="dxa"/>
            <w:tcBorders>
              <w:top w:val="single" w:sz="8" w:space="0" w:color="5B9BD5"/>
              <w:left w:val="single" w:sz="8" w:space="0" w:color="5B9BD5"/>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66</w:t>
            </w:r>
          </w:p>
        </w:tc>
        <w:tc>
          <w:tcPr>
            <w:tcW w:w="425" w:type="dxa"/>
            <w:gridSpan w:val="2"/>
            <w:vMerge/>
            <w:tcBorders>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rPr>
                <w:rFonts w:eastAsiaTheme="minorEastAsia"/>
                <w:b/>
                <w:bCs/>
                <w:color w:val="000000"/>
                <w:sz w:val="20"/>
              </w:rPr>
            </w:pPr>
          </w:p>
        </w:tc>
        <w:tc>
          <w:tcPr>
            <w:tcW w:w="85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0%</w:t>
            </w:r>
          </w:p>
        </w:tc>
        <w:tc>
          <w:tcPr>
            <w:tcW w:w="1275"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100%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0%</w:t>
            </w:r>
          </w:p>
        </w:tc>
        <w:tc>
          <w:tcPr>
            <w:tcW w:w="1276"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92458E" w:rsidRPr="007F4668" w:rsidRDefault="0092458E" w:rsidP="00DF0748">
            <w:pPr>
              <w:spacing w:before="20" w:after="20"/>
              <w:jc w:val="center"/>
              <w:rPr>
                <w:color w:val="000000"/>
                <w:sz w:val="20"/>
              </w:rPr>
            </w:pPr>
            <w:r w:rsidRPr="007F4668">
              <w:rPr>
                <w:color w:val="000000"/>
                <w:sz w:val="20"/>
              </w:rPr>
              <w:t>0%</w:t>
            </w:r>
          </w:p>
        </w:tc>
        <w:tc>
          <w:tcPr>
            <w:tcW w:w="261" w:type="dxa"/>
            <w:gridSpan w:val="3"/>
            <w:vMerge/>
            <w:tcBorders>
              <w:top w:val="nil"/>
              <w:left w:val="nil"/>
              <w:bottom w:val="single" w:sz="8" w:space="0" w:color="9CC2E5"/>
              <w:right w:val="single" w:sz="8" w:space="0" w:color="9CC2E5"/>
            </w:tcBorders>
            <w:vAlign w:val="center"/>
            <w:hideMark/>
          </w:tcPr>
          <w:p w:rsidR="0092458E" w:rsidRPr="007F4668" w:rsidRDefault="0092458E" w:rsidP="00DF0748">
            <w:pPr>
              <w:spacing w:before="20" w:after="20"/>
              <w:rPr>
                <w:rFonts w:eastAsiaTheme="minorEastAsia"/>
                <w:color w:val="000000"/>
                <w:sz w:val="20"/>
              </w:rPr>
            </w:pPr>
          </w:p>
        </w:tc>
        <w:tc>
          <w:tcPr>
            <w:tcW w:w="1016"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0</w:t>
            </w:r>
          </w:p>
        </w:tc>
        <w:tc>
          <w:tcPr>
            <w:tcW w:w="869" w:type="dxa"/>
            <w:gridSpan w:val="3"/>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642 </w:t>
            </w:r>
          </w:p>
        </w:tc>
        <w:tc>
          <w:tcPr>
            <w:tcW w:w="831" w:type="dxa"/>
            <w:gridSpan w:val="2"/>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0 </w:t>
            </w:r>
          </w:p>
        </w:tc>
        <w:tc>
          <w:tcPr>
            <w:tcW w:w="948" w:type="dxa"/>
            <w:tcBorders>
              <w:top w:val="nil"/>
              <w:left w:val="nil"/>
              <w:bottom w:val="single" w:sz="8" w:space="0" w:color="9CC2E5"/>
              <w:right w:val="single" w:sz="8" w:space="0" w:color="9CC2E5"/>
            </w:tcBorders>
            <w:tcMar>
              <w:top w:w="0" w:type="dxa"/>
              <w:left w:w="108" w:type="dxa"/>
              <w:bottom w:w="0" w:type="dxa"/>
              <w:right w:w="108" w:type="dxa"/>
            </w:tcMar>
            <w:vAlign w:val="center"/>
          </w:tcPr>
          <w:p w:rsidR="0092458E" w:rsidRPr="007F4668" w:rsidRDefault="0092458E" w:rsidP="00DF0748">
            <w:pPr>
              <w:spacing w:before="20" w:after="20"/>
              <w:jc w:val="right"/>
              <w:rPr>
                <w:color w:val="000000" w:themeColor="text1"/>
                <w:sz w:val="20"/>
              </w:rPr>
            </w:pPr>
            <w:r w:rsidRPr="007F4668">
              <w:rPr>
                <w:color w:val="808080"/>
                <w:sz w:val="20"/>
              </w:rPr>
              <w:t xml:space="preserve">0 </w:t>
            </w:r>
          </w:p>
        </w:tc>
      </w:tr>
      <w:tr w:rsidR="0092458E" w:rsidRPr="007F4668" w:rsidTr="00DF0748">
        <w:trPr>
          <w:trHeight w:val="300"/>
        </w:trPr>
        <w:tc>
          <w:tcPr>
            <w:tcW w:w="2112" w:type="dxa"/>
            <w:gridSpan w:val="2"/>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 xml:space="preserve"> TOTAL </w:t>
            </w:r>
          </w:p>
        </w:tc>
        <w:tc>
          <w:tcPr>
            <w:tcW w:w="850" w:type="dxa"/>
            <w:tcBorders>
              <w:top w:val="nil"/>
              <w:left w:val="single" w:sz="8" w:space="0" w:color="5B9BD5"/>
              <w:bottom w:val="single" w:sz="8" w:space="0" w:color="5B9BD5"/>
              <w:right w:val="nil"/>
            </w:tcBorders>
            <w:shd w:val="clear" w:color="auto" w:fill="5B9BD5"/>
            <w:tcMar>
              <w:top w:w="0" w:type="dxa"/>
              <w:left w:w="108" w:type="dxa"/>
              <w:bottom w:w="0" w:type="dxa"/>
              <w:right w:w="108" w:type="dxa"/>
            </w:tcMar>
            <w:vAlign w:val="center"/>
          </w:tcPr>
          <w:p w:rsidR="0092458E" w:rsidRPr="007F4668" w:rsidRDefault="0092458E" w:rsidP="00DF0748">
            <w:pPr>
              <w:spacing w:before="20" w:after="20"/>
              <w:jc w:val="right"/>
              <w:rPr>
                <w:b/>
                <w:bCs/>
                <w:color w:val="FFFFFF"/>
                <w:sz w:val="20"/>
              </w:rPr>
            </w:pPr>
            <w:r w:rsidRPr="007F4668">
              <w:rPr>
                <w:b/>
                <w:bCs/>
                <w:color w:val="FFFFFF"/>
                <w:sz w:val="20"/>
              </w:rPr>
              <w:t>11 091</w:t>
            </w:r>
          </w:p>
        </w:tc>
        <w:tc>
          <w:tcPr>
            <w:tcW w:w="776"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92458E" w:rsidRPr="007F4668" w:rsidRDefault="0092458E" w:rsidP="00DF0748">
            <w:pPr>
              <w:spacing w:before="20" w:after="20"/>
              <w:jc w:val="right"/>
              <w:rPr>
                <w:b/>
                <w:bCs/>
                <w:color w:val="FFFFFF"/>
                <w:sz w:val="20"/>
              </w:rPr>
            </w:pPr>
          </w:p>
        </w:tc>
        <w:tc>
          <w:tcPr>
            <w:tcW w:w="925" w:type="dxa"/>
            <w:tcBorders>
              <w:top w:val="nil"/>
              <w:left w:val="nil"/>
              <w:bottom w:val="single" w:sz="8" w:space="0" w:color="5B9BD5"/>
              <w:right w:val="nil"/>
            </w:tcBorders>
            <w:shd w:val="clear" w:color="auto" w:fill="5B9BD5"/>
          </w:tcPr>
          <w:p w:rsidR="0092458E" w:rsidRPr="007F4668" w:rsidRDefault="0092458E" w:rsidP="00DF0748">
            <w:pPr>
              <w:spacing w:before="20" w:after="20"/>
              <w:jc w:val="right"/>
              <w:rPr>
                <w:b/>
                <w:bCs/>
                <w:color w:val="FFFFFF"/>
                <w:sz w:val="20"/>
              </w:rPr>
            </w:pPr>
          </w:p>
        </w:tc>
        <w:tc>
          <w:tcPr>
            <w:tcW w:w="1134"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92458E" w:rsidRPr="007F4668" w:rsidRDefault="0092458E" w:rsidP="00DF0748">
            <w:pPr>
              <w:spacing w:before="20" w:after="20"/>
              <w:jc w:val="right"/>
              <w:rPr>
                <w:b/>
                <w:bCs/>
                <w:color w:val="FFFFFF"/>
                <w:sz w:val="20"/>
              </w:rPr>
            </w:pPr>
          </w:p>
        </w:tc>
        <w:tc>
          <w:tcPr>
            <w:tcW w:w="236" w:type="dxa"/>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 </w:t>
            </w:r>
          </w:p>
        </w:tc>
        <w:tc>
          <w:tcPr>
            <w:tcW w:w="236"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 </w:t>
            </w:r>
          </w:p>
        </w:tc>
        <w:tc>
          <w:tcPr>
            <w:tcW w:w="132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 </w:t>
            </w:r>
          </w:p>
        </w:tc>
        <w:tc>
          <w:tcPr>
            <w:tcW w:w="114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 </w:t>
            </w:r>
          </w:p>
        </w:tc>
        <w:tc>
          <w:tcPr>
            <w:tcW w:w="1117"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 </w:t>
            </w:r>
          </w:p>
        </w:tc>
        <w:tc>
          <w:tcPr>
            <w:tcW w:w="110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jc w:val="center"/>
              <w:rPr>
                <w:b/>
                <w:bCs/>
                <w:color w:val="FFFFFF"/>
                <w:sz w:val="20"/>
              </w:rPr>
            </w:pPr>
            <w:r w:rsidRPr="007F4668">
              <w:rPr>
                <w:b/>
                <w:bCs/>
                <w:color w:val="FFFFFF"/>
                <w:sz w:val="20"/>
              </w:rPr>
              <w:t> </w:t>
            </w:r>
          </w:p>
        </w:tc>
        <w:tc>
          <w:tcPr>
            <w:tcW w:w="261"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hideMark/>
          </w:tcPr>
          <w:p w:rsidR="0092458E" w:rsidRPr="007F4668" w:rsidRDefault="0092458E" w:rsidP="00DF0748">
            <w:pPr>
              <w:spacing w:before="20" w:after="20"/>
              <w:rPr>
                <w:b/>
                <w:bCs/>
                <w:color w:val="FFFFFF"/>
                <w:sz w:val="20"/>
              </w:rPr>
            </w:pPr>
            <w:r w:rsidRPr="007F4668">
              <w:rPr>
                <w:b/>
                <w:bCs/>
                <w:color w:val="FFFFFF"/>
                <w:sz w:val="20"/>
              </w:rPr>
              <w:t> </w:t>
            </w:r>
          </w:p>
        </w:tc>
        <w:tc>
          <w:tcPr>
            <w:tcW w:w="969" w:type="dxa"/>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92458E" w:rsidRPr="007F4668" w:rsidRDefault="0092458E" w:rsidP="00DF0748">
            <w:pPr>
              <w:spacing w:before="20" w:after="20"/>
              <w:jc w:val="right"/>
              <w:rPr>
                <w:b/>
                <w:bCs/>
                <w:color w:val="FFFFFF"/>
                <w:sz w:val="20"/>
              </w:rPr>
            </w:pPr>
            <w:r w:rsidRPr="007F4668">
              <w:rPr>
                <w:b/>
                <w:bCs/>
                <w:color w:val="FFFFFF"/>
                <w:sz w:val="20"/>
              </w:rPr>
              <w:t xml:space="preserve">1 212 </w:t>
            </w:r>
          </w:p>
        </w:tc>
        <w:tc>
          <w:tcPr>
            <w:tcW w:w="850" w:type="dxa"/>
            <w:gridSpan w:val="2"/>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92458E" w:rsidRPr="007F4668" w:rsidRDefault="0092458E" w:rsidP="00DF0748">
            <w:pPr>
              <w:spacing w:before="20" w:after="20"/>
              <w:jc w:val="right"/>
              <w:rPr>
                <w:b/>
                <w:bCs/>
                <w:color w:val="FFFFFF"/>
                <w:sz w:val="20"/>
              </w:rPr>
            </w:pPr>
            <w:r w:rsidRPr="007F4668">
              <w:rPr>
                <w:b/>
                <w:bCs/>
                <w:color w:val="FFFFFF"/>
                <w:sz w:val="20"/>
              </w:rPr>
              <w:t xml:space="preserve">2 568 </w:t>
            </w:r>
          </w:p>
        </w:tc>
        <w:tc>
          <w:tcPr>
            <w:tcW w:w="850" w:type="dxa"/>
            <w:gridSpan w:val="3"/>
            <w:tcBorders>
              <w:top w:val="nil"/>
              <w:left w:val="nil"/>
              <w:bottom w:val="single" w:sz="8" w:space="0" w:color="5B9BD5"/>
              <w:right w:val="nil"/>
            </w:tcBorders>
            <w:shd w:val="clear" w:color="auto" w:fill="5B9BD5"/>
            <w:tcMar>
              <w:top w:w="0" w:type="dxa"/>
              <w:left w:w="108" w:type="dxa"/>
              <w:bottom w:w="0" w:type="dxa"/>
              <w:right w:w="108" w:type="dxa"/>
            </w:tcMar>
            <w:vAlign w:val="center"/>
          </w:tcPr>
          <w:p w:rsidR="0092458E" w:rsidRPr="007F4668" w:rsidRDefault="0092458E" w:rsidP="00DF0748">
            <w:pPr>
              <w:spacing w:before="20" w:after="20"/>
              <w:jc w:val="right"/>
              <w:rPr>
                <w:b/>
                <w:bCs/>
                <w:color w:val="FFFFFF"/>
                <w:sz w:val="20"/>
              </w:rPr>
            </w:pPr>
            <w:r w:rsidRPr="007F4668">
              <w:rPr>
                <w:b/>
                <w:bCs/>
                <w:color w:val="FFFFFF"/>
                <w:sz w:val="20"/>
              </w:rPr>
              <w:t xml:space="preserve">1 926 </w:t>
            </w:r>
          </w:p>
        </w:tc>
        <w:tc>
          <w:tcPr>
            <w:tcW w:w="995" w:type="dxa"/>
            <w:gridSpan w:val="2"/>
            <w:tcBorders>
              <w:top w:val="nil"/>
              <w:left w:val="nil"/>
              <w:bottom w:val="single" w:sz="8" w:space="0" w:color="5B9BD5"/>
              <w:right w:val="single" w:sz="8" w:space="0" w:color="5B9BD5"/>
            </w:tcBorders>
            <w:shd w:val="clear" w:color="auto" w:fill="5B9BD5"/>
            <w:tcMar>
              <w:top w:w="0" w:type="dxa"/>
              <w:left w:w="108" w:type="dxa"/>
              <w:bottom w:w="0" w:type="dxa"/>
              <w:right w:w="108" w:type="dxa"/>
            </w:tcMar>
            <w:vAlign w:val="center"/>
          </w:tcPr>
          <w:p w:rsidR="0092458E" w:rsidRPr="007F4668" w:rsidRDefault="0092458E" w:rsidP="00DF0748">
            <w:pPr>
              <w:spacing w:before="20" w:after="20"/>
              <w:jc w:val="right"/>
              <w:rPr>
                <w:b/>
                <w:bCs/>
                <w:color w:val="FFFFFF"/>
                <w:sz w:val="20"/>
              </w:rPr>
            </w:pPr>
            <w:r w:rsidRPr="007F4668">
              <w:rPr>
                <w:b/>
                <w:bCs/>
                <w:color w:val="FFFFFF"/>
                <w:sz w:val="20"/>
              </w:rPr>
              <w:t xml:space="preserve">5 384 </w:t>
            </w:r>
          </w:p>
        </w:tc>
      </w:tr>
      <w:tr w:rsidR="0092458E" w:rsidRPr="007F4668" w:rsidTr="00DF0748">
        <w:trPr>
          <w:trHeight w:val="300"/>
        </w:trPr>
        <w:tc>
          <w:tcPr>
            <w:tcW w:w="744" w:type="dxa"/>
            <w:shd w:val="clear" w:color="auto" w:fill="FFFFFF"/>
          </w:tcPr>
          <w:p w:rsidR="0092458E" w:rsidRPr="007F4668" w:rsidRDefault="0092458E" w:rsidP="00DF0748">
            <w:pPr>
              <w:spacing w:before="20" w:after="20"/>
              <w:rPr>
                <w:color w:val="000000"/>
                <w:sz w:val="20"/>
              </w:rPr>
            </w:pPr>
          </w:p>
        </w:tc>
        <w:tc>
          <w:tcPr>
            <w:tcW w:w="10307" w:type="dxa"/>
            <w:gridSpan w:val="20"/>
            <w:shd w:val="clear" w:color="auto" w:fill="FFFFFF"/>
            <w:noWrap/>
            <w:tcMar>
              <w:top w:w="0" w:type="dxa"/>
              <w:left w:w="108" w:type="dxa"/>
              <w:bottom w:w="0" w:type="dxa"/>
              <w:right w:w="108" w:type="dxa"/>
            </w:tcMar>
            <w:vAlign w:val="bottom"/>
            <w:hideMark/>
          </w:tcPr>
          <w:p w:rsidR="0092458E" w:rsidRPr="007F4668" w:rsidRDefault="0092458E" w:rsidP="00DF0748">
            <w:pPr>
              <w:spacing w:before="20" w:after="20"/>
              <w:rPr>
                <w:color w:val="000000"/>
              </w:rPr>
            </w:pPr>
            <w:r w:rsidRPr="007F4668">
              <w:rPr>
                <w:color w:val="000000"/>
                <w:sz w:val="20"/>
              </w:rPr>
              <w:t>Tous les coûts sont en milliers CHF</w:t>
            </w:r>
          </w:p>
        </w:tc>
        <w:tc>
          <w:tcPr>
            <w:tcW w:w="1126" w:type="dxa"/>
            <w:gridSpan w:val="3"/>
            <w:shd w:val="clear" w:color="auto" w:fill="5B9BD5"/>
            <w:tcMar>
              <w:top w:w="0" w:type="dxa"/>
              <w:left w:w="108" w:type="dxa"/>
              <w:bottom w:w="0" w:type="dxa"/>
              <w:right w:w="108" w:type="dxa"/>
            </w:tcMar>
            <w:vAlign w:val="center"/>
          </w:tcPr>
          <w:p w:rsidR="0092458E" w:rsidRPr="007F4668" w:rsidRDefault="0092458E" w:rsidP="00DF0748">
            <w:pPr>
              <w:spacing w:before="20" w:after="20"/>
              <w:jc w:val="right"/>
              <w:rPr>
                <w:b/>
                <w:bCs/>
                <w:color w:val="FFFFFF"/>
                <w:sz w:val="20"/>
              </w:rPr>
            </w:pPr>
            <w:r w:rsidRPr="007F4668">
              <w:rPr>
                <w:b/>
                <w:bCs/>
                <w:color w:val="FFFFFF"/>
                <w:sz w:val="20"/>
              </w:rPr>
              <w:t>10,9%</w:t>
            </w:r>
          </w:p>
        </w:tc>
        <w:tc>
          <w:tcPr>
            <w:tcW w:w="759" w:type="dxa"/>
            <w:shd w:val="clear" w:color="auto" w:fill="5B9BD5"/>
            <w:tcMar>
              <w:top w:w="0" w:type="dxa"/>
              <w:left w:w="108" w:type="dxa"/>
              <w:bottom w:w="0" w:type="dxa"/>
              <w:right w:w="108" w:type="dxa"/>
            </w:tcMar>
            <w:vAlign w:val="center"/>
          </w:tcPr>
          <w:p w:rsidR="0092458E" w:rsidRPr="007F4668" w:rsidRDefault="0092458E" w:rsidP="00DF0748">
            <w:pPr>
              <w:spacing w:before="20" w:after="20"/>
              <w:jc w:val="right"/>
              <w:rPr>
                <w:b/>
                <w:bCs/>
                <w:color w:val="FFFFFF"/>
                <w:sz w:val="20"/>
              </w:rPr>
            </w:pPr>
            <w:r w:rsidRPr="007F4668">
              <w:rPr>
                <w:b/>
                <w:bCs/>
                <w:color w:val="FFFFFF"/>
                <w:sz w:val="20"/>
              </w:rPr>
              <w:t>23,2%</w:t>
            </w:r>
          </w:p>
        </w:tc>
        <w:tc>
          <w:tcPr>
            <w:tcW w:w="830" w:type="dxa"/>
            <w:gridSpan w:val="3"/>
            <w:shd w:val="clear" w:color="auto" w:fill="5B9BD5"/>
            <w:tcMar>
              <w:top w:w="0" w:type="dxa"/>
              <w:left w:w="108" w:type="dxa"/>
              <w:bottom w:w="0" w:type="dxa"/>
              <w:right w:w="108" w:type="dxa"/>
            </w:tcMar>
            <w:vAlign w:val="center"/>
          </w:tcPr>
          <w:p w:rsidR="0092458E" w:rsidRPr="007F4668" w:rsidRDefault="0092458E" w:rsidP="00DF0748">
            <w:pPr>
              <w:spacing w:before="20" w:after="20"/>
              <w:jc w:val="right"/>
              <w:rPr>
                <w:b/>
                <w:bCs/>
                <w:color w:val="FFFFFF"/>
                <w:sz w:val="20"/>
              </w:rPr>
            </w:pPr>
            <w:r w:rsidRPr="007F4668">
              <w:rPr>
                <w:b/>
                <w:bCs/>
                <w:color w:val="FFFFFF"/>
                <w:sz w:val="20"/>
              </w:rPr>
              <w:t>17,4%</w:t>
            </w:r>
          </w:p>
        </w:tc>
        <w:tc>
          <w:tcPr>
            <w:tcW w:w="1106" w:type="dxa"/>
            <w:gridSpan w:val="3"/>
            <w:shd w:val="clear" w:color="auto" w:fill="5B9BD5"/>
            <w:tcMar>
              <w:top w:w="0" w:type="dxa"/>
              <w:left w:w="108" w:type="dxa"/>
              <w:bottom w:w="0" w:type="dxa"/>
              <w:right w:w="108" w:type="dxa"/>
            </w:tcMar>
            <w:vAlign w:val="center"/>
          </w:tcPr>
          <w:p w:rsidR="0092458E" w:rsidRPr="007F4668" w:rsidRDefault="0092458E" w:rsidP="00DF0748">
            <w:pPr>
              <w:spacing w:before="20" w:after="20"/>
              <w:jc w:val="right"/>
              <w:rPr>
                <w:b/>
                <w:bCs/>
                <w:color w:val="FFFFFF"/>
                <w:sz w:val="20"/>
              </w:rPr>
            </w:pPr>
            <w:r w:rsidRPr="007F4668">
              <w:rPr>
                <w:b/>
                <w:bCs/>
                <w:color w:val="FFFFFF"/>
                <w:sz w:val="20"/>
              </w:rPr>
              <w:t>48,5%</w:t>
            </w:r>
          </w:p>
        </w:tc>
      </w:tr>
    </w:tbl>
    <w:p w:rsidR="0092458E" w:rsidRPr="007F4668" w:rsidRDefault="0092458E" w:rsidP="00DF0748">
      <w:pPr>
        <w:spacing w:before="20" w:after="20"/>
        <w:rPr>
          <w:highlight w:val="yellow"/>
        </w:rPr>
      </w:pPr>
    </w:p>
    <w:p w:rsidR="0092458E" w:rsidRPr="007F4668" w:rsidRDefault="0092458E" w:rsidP="00DF0748">
      <w:pPr>
        <w:pStyle w:val="AnnexNo"/>
      </w:pPr>
      <w:r w:rsidRPr="007F4668">
        <w:lastRenderedPageBreak/>
        <w:t>Annexe 2</w:t>
      </w:r>
    </w:p>
    <w:p w:rsidR="0092458E" w:rsidRPr="007F4668" w:rsidRDefault="0092458E" w:rsidP="00DF0748">
      <w:pPr>
        <w:pStyle w:val="Annextitle"/>
      </w:pPr>
      <w:r w:rsidRPr="007F4668">
        <w:t xml:space="preserve">Ventilation des ressources pour les services d'appui </w:t>
      </w:r>
      <w:r>
        <w:t xml:space="preserve">fournis par le </w:t>
      </w:r>
      <w:r w:rsidRPr="007F4668">
        <w:t xml:space="preserve">Secrétariat général </w:t>
      </w:r>
      <w:r>
        <w:br/>
      </w:r>
      <w:r w:rsidRPr="007F4668">
        <w:t>entre les objectifs</w:t>
      </w:r>
      <w:r>
        <w:t xml:space="preserve"> </w:t>
      </w:r>
      <w:r w:rsidRPr="007F4668">
        <w:t xml:space="preserve">et les buts stratégiques de l'UIT </w:t>
      </w:r>
    </w:p>
    <w:p w:rsidR="0092458E" w:rsidRPr="007F4668" w:rsidRDefault="0092458E" w:rsidP="00DF0748">
      <w:pPr>
        <w:spacing w:before="20" w:after="20"/>
        <w:rPr>
          <w:sz w:val="20"/>
        </w:rPr>
      </w:pPr>
      <w:r w:rsidRPr="007F4668">
        <w:rPr>
          <w:noProof/>
          <w:lang w:val="en-US" w:eastAsia="zh-CN"/>
        </w:rPr>
        <w:drawing>
          <wp:inline distT="0" distB="0" distL="0" distR="0" wp14:anchorId="1989220B" wp14:editId="3CEBB20C">
            <wp:extent cx="8892540" cy="829607"/>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2540" cy="829607"/>
                    </a:xfrm>
                    <a:prstGeom prst="rect">
                      <a:avLst/>
                    </a:prstGeom>
                    <a:noFill/>
                    <a:ln>
                      <a:noFill/>
                    </a:ln>
                  </pic:spPr>
                </pic:pic>
              </a:graphicData>
            </a:graphic>
          </wp:inline>
        </w:drawing>
      </w:r>
    </w:p>
    <w:p w:rsidR="0092458E" w:rsidRPr="007F4668" w:rsidRDefault="0092458E" w:rsidP="00DF0748">
      <w:pPr>
        <w:spacing w:before="20" w:after="20"/>
      </w:pPr>
    </w:p>
    <w:p w:rsidR="0092458E" w:rsidRPr="007F4668" w:rsidRDefault="0092458E" w:rsidP="00DF0748">
      <w:pPr>
        <w:spacing w:before="20" w:after="20"/>
        <w:rPr>
          <w:sz w:val="20"/>
        </w:rPr>
      </w:pPr>
      <w:r w:rsidRPr="007F4668">
        <w:rPr>
          <w:sz w:val="20"/>
        </w:rPr>
        <w:t>Légende:</w:t>
      </w:r>
    </w:p>
    <w:p w:rsidR="0092458E" w:rsidRPr="007F4668" w:rsidRDefault="0092458E" w:rsidP="00DF0748">
      <w:pPr>
        <w:spacing w:before="20" w:after="20"/>
        <w:rPr>
          <w:sz w:val="20"/>
        </w:rPr>
      </w:pPr>
      <w:r w:rsidRPr="007F4668">
        <w:rPr>
          <w:sz w:val="20"/>
        </w:rPr>
        <w:t>Dépenses d'appui au SG - Documentation - Administration - Services d'appui - Intersectorielles</w:t>
      </w:r>
      <w:r>
        <w:rPr>
          <w:sz w:val="20"/>
        </w:rPr>
        <w:t xml:space="preserve"> - Total - But 1 - But 2 - But 3 - But 4.</w:t>
      </w:r>
    </w:p>
    <w:p w:rsidR="0092458E" w:rsidRPr="007F4668" w:rsidRDefault="0092458E" w:rsidP="00DF0748">
      <w:pPr>
        <w:pStyle w:val="Normalaftertitle0"/>
      </w:pPr>
      <w:r w:rsidRPr="007F4668">
        <w:t>Dans la présente version abrégée des ressources imputées depuis le Secrétariat général:</w:t>
      </w:r>
    </w:p>
    <w:p w:rsidR="0092458E" w:rsidRPr="007F4668" w:rsidRDefault="0092458E" w:rsidP="00DF0748">
      <w:pPr>
        <w:pStyle w:val="enumlev1"/>
      </w:pPr>
      <w:r w:rsidRPr="007F4668">
        <w:t>–</w:t>
      </w:r>
      <w:r w:rsidRPr="007F4668">
        <w:tab/>
        <w:t>les coûts de la documentation comprennent la traduction, la dactylographie et la reprographie (C&amp;P);</w:t>
      </w:r>
    </w:p>
    <w:p w:rsidR="0092458E" w:rsidRPr="007F4668" w:rsidRDefault="0092458E" w:rsidP="00DF0748">
      <w:pPr>
        <w:pStyle w:val="enumlev1"/>
      </w:pPr>
      <w:r w:rsidRPr="007F4668">
        <w:t>–</w:t>
      </w:r>
      <w:r w:rsidRPr="007F4668">
        <w:tab/>
        <w:t>les coûts des services administratifs comprennent le Bureau du Secrétaire général, l'Unité des affaires juridiques, l</w:t>
      </w:r>
      <w:r>
        <w:t>a fonction d'audit, le </w:t>
      </w:r>
      <w:r w:rsidRPr="007F4668">
        <w:t>CCIG, le Responsable de la déontologie, la Sécurité, une partie du Département de la gestion des ressources humaines</w:t>
      </w:r>
      <w:r>
        <w:t>,</w:t>
      </w:r>
      <w:r w:rsidRPr="007F4668">
        <w:t xml:space="preserve"> </w:t>
      </w:r>
      <w:r>
        <w:t xml:space="preserve">le </w:t>
      </w:r>
      <w:r w:rsidRPr="007F4668">
        <w:t xml:space="preserve">Département de la gestion des ressources financières, </w:t>
      </w:r>
      <w:r>
        <w:t>l</w:t>
      </w:r>
      <w:r w:rsidRPr="007F4668">
        <w:t xml:space="preserve">es Services informatiques, </w:t>
      </w:r>
      <w:r>
        <w:t xml:space="preserve">sauf </w:t>
      </w:r>
      <w:r w:rsidRPr="007F4668">
        <w:t>la Division des conférences</w:t>
      </w:r>
      <w:r>
        <w:t>,</w:t>
      </w:r>
      <w:r w:rsidRPr="007F4668">
        <w:t xml:space="preserve"> l'Assurance-maladie après la cessation de service (ASHI), 50% des coûts des bâtiments et 50% des coûts des TIC;</w:t>
      </w:r>
    </w:p>
    <w:p w:rsidR="0092458E" w:rsidRPr="007F4668" w:rsidRDefault="0092458E" w:rsidP="00DF0748">
      <w:pPr>
        <w:pStyle w:val="enumlev1"/>
      </w:pPr>
      <w:r w:rsidRPr="007F4668">
        <w:t>–</w:t>
      </w:r>
      <w:r w:rsidRPr="007F4668">
        <w:tab/>
        <w:t>les services d'appui comprennent C&amp;P, une partie du Département de la gestion des ressources humaines, l</w:t>
      </w:r>
      <w:r>
        <w:t>'appui fourni par l</w:t>
      </w:r>
      <w:r w:rsidRPr="007F4668">
        <w:t>es services informatiques pour les conférences, 50% des coûts des bâtiments et 50% des coûts des TIC;</w:t>
      </w:r>
    </w:p>
    <w:p w:rsidR="0092458E" w:rsidRPr="007F4668" w:rsidRDefault="0092458E" w:rsidP="00DF0748">
      <w:pPr>
        <w:pStyle w:val="enumlev1"/>
      </w:pPr>
      <w:r w:rsidRPr="007F4668">
        <w:t>–</w:t>
      </w:r>
      <w:r w:rsidRPr="007F4668">
        <w:tab/>
        <w:t>les coûts intersectoriels comprennent les coûts SPM moi</w:t>
      </w:r>
      <w:r>
        <w:t>n</w:t>
      </w:r>
      <w:r w:rsidRPr="007F4668">
        <w:t>s les coûts de l'équipe de sécurité.</w:t>
      </w:r>
    </w:p>
    <w:p w:rsidR="0092458E" w:rsidRPr="007F4668" w:rsidRDefault="0092458E" w:rsidP="00DF0748">
      <w:pPr>
        <w:pStyle w:val="Normalaftertitle0"/>
      </w:pPr>
      <w:r w:rsidRPr="007F4668">
        <w:t>Les rubriques dans la longue liste de la section 3.5 correspondent aux quatre catégories suivantes:</w:t>
      </w:r>
    </w:p>
    <w:p w:rsidR="0092458E" w:rsidRPr="007F4668" w:rsidRDefault="0092458E" w:rsidP="00DF0748">
      <w:pPr>
        <w:pStyle w:val="enumlev1"/>
      </w:pPr>
      <w:r w:rsidRPr="007F4668">
        <w:t>–</w:t>
      </w:r>
      <w:r w:rsidRPr="007F4668">
        <w:tab/>
        <w:t>Coûts de la documentation: p</w:t>
      </w:r>
      <w:r>
        <w:t>artie de S.2.</w:t>
      </w:r>
    </w:p>
    <w:p w:rsidR="0092458E" w:rsidRPr="007F4668" w:rsidRDefault="0092458E" w:rsidP="00DF0748">
      <w:pPr>
        <w:pStyle w:val="enumlev1"/>
      </w:pPr>
      <w:r w:rsidRPr="007F4668">
        <w:t>–</w:t>
      </w:r>
      <w:r w:rsidRPr="007F4668">
        <w:tab/>
        <w:t xml:space="preserve">Services administratifs: S.1, partie de S.4 moins la part des coûts </w:t>
      </w:r>
      <w:r>
        <w:t xml:space="preserve">des </w:t>
      </w:r>
      <w:r w:rsidRPr="007F4668">
        <w:t xml:space="preserve">TIC, S.5, S.6 moins la part des coûts </w:t>
      </w:r>
      <w:r>
        <w:t>des bâtiments, S.7, S.8, et S.9.</w:t>
      </w:r>
    </w:p>
    <w:p w:rsidR="0092458E" w:rsidRPr="007F4668" w:rsidRDefault="0092458E" w:rsidP="00DF0748">
      <w:pPr>
        <w:pStyle w:val="enumlev1"/>
      </w:pPr>
      <w:r w:rsidRPr="007F4668">
        <w:t>–</w:t>
      </w:r>
      <w:r w:rsidRPr="007F4668">
        <w:tab/>
        <w:t>Services d'appui: S.2, S.3, partie de S.4 pour les TIC et partie</w:t>
      </w:r>
      <w:r>
        <w:t xml:space="preserve"> de S.6 pour les bâtiments</w:t>
      </w:r>
    </w:p>
    <w:p w:rsidR="0092458E" w:rsidRPr="007F4668" w:rsidRDefault="0092458E" w:rsidP="00DF0748">
      <w:pPr>
        <w:pStyle w:val="enumlev1"/>
      </w:pPr>
      <w:r w:rsidRPr="007F4668">
        <w:t>–</w:t>
      </w:r>
      <w:r w:rsidRPr="007F4668">
        <w:tab/>
        <w:t>Services intersectoriels: S.1</w:t>
      </w:r>
      <w:r>
        <w:t>0, S.11, S.12, S.13, S.14, S.15</w:t>
      </w:r>
      <w:r w:rsidRPr="007F4668">
        <w:t xml:space="preserve"> et S.16.</w:t>
      </w:r>
    </w:p>
    <w:p w:rsidR="00AC39EE" w:rsidRPr="00291C41" w:rsidRDefault="0092458E" w:rsidP="00291C41">
      <w:pPr>
        <w:jc w:val="center"/>
      </w:pPr>
      <w:r w:rsidRPr="007F4668">
        <w:t>______________</w:t>
      </w:r>
      <w:bookmarkStart w:id="13" w:name="_GoBack"/>
      <w:bookmarkEnd w:id="13"/>
    </w:p>
    <w:sectPr w:rsidR="00AC39EE" w:rsidRPr="00291C41" w:rsidSect="00BD1B15">
      <w:headerReference w:type="even" r:id="rId26"/>
      <w:headerReference w:type="default" r:id="rId27"/>
      <w:footerReference w:type="even" r:id="rId28"/>
      <w:footerReference w:type="default" r:id="rId29"/>
      <w:headerReference w:type="first" r:id="rId30"/>
      <w:footerReference w:type="first" r:id="rId31"/>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748" w:rsidRDefault="00DF0748">
      <w:r>
        <w:separator/>
      </w:r>
    </w:p>
  </w:endnote>
  <w:endnote w:type="continuationSeparator" w:id="0">
    <w:p w:rsidR="00DF0748" w:rsidRDefault="00DF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8" w:rsidRDefault="00DF0748">
    <w:pPr>
      <w:pStyle w:val="Footer"/>
    </w:pPr>
    <w:fldSimple w:instr=" FILENAME \p  \* MERGEFORMAT ">
      <w:r>
        <w:t>Document2</w:t>
      </w:r>
    </w:fldSimple>
    <w:r>
      <w:tab/>
    </w:r>
    <w:r>
      <w:fldChar w:fldCharType="begin"/>
    </w:r>
    <w:r>
      <w:instrText xml:space="preserve"> SAVEDATE \@ DD.MM.YY </w:instrText>
    </w:r>
    <w:r>
      <w:fldChar w:fldCharType="separate"/>
    </w:r>
    <w:r>
      <w:t>00.00.00</w:t>
    </w:r>
    <w:r>
      <w:fldChar w:fldCharType="end"/>
    </w:r>
    <w:r>
      <w:tab/>
    </w:r>
    <w:r>
      <w:fldChar w:fldCharType="begin"/>
    </w:r>
    <w:r>
      <w:instrText xml:space="preserve"> PRINTDATE \@ DD.MM.YY </w:instrText>
    </w:r>
    <w:r>
      <w:fldChar w:fldCharType="separate"/>
    </w:r>
    <w:r>
      <w:t>00.00.00</w:t>
    </w:r>
    <w:r>
      <w:fldChar w:fldCharType="end"/>
    </w:r>
  </w:p>
  <w:p w:rsidR="00DF0748" w:rsidRPr="00B861C2" w:rsidRDefault="00DF0748" w:rsidP="00DF0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8" w:rsidRPr="00987893" w:rsidRDefault="00DF0748" w:rsidP="00DF0748">
    <w:pPr>
      <w:pStyle w:val="Footer"/>
      <w:rPr>
        <w:lang w:val="es-ES_tradnl"/>
      </w:rPr>
    </w:pPr>
    <w:r>
      <w:fldChar w:fldCharType="begin"/>
    </w:r>
    <w:r w:rsidRPr="00987893">
      <w:rPr>
        <w:lang w:val="es-ES_tradnl"/>
      </w:rPr>
      <w:instrText xml:space="preserve"> FILENAME \p  \* MERGEFORMAT </w:instrText>
    </w:r>
    <w:r>
      <w:fldChar w:fldCharType="separate"/>
    </w:r>
    <w:r w:rsidRPr="00987893">
      <w:rPr>
        <w:lang w:val="es-ES_tradnl"/>
      </w:rPr>
      <w:t>P:\FRA\ITU-D\CONF-D\TDAG15\000\027F.docx</w:t>
    </w:r>
    <w:r>
      <w:fldChar w:fldCharType="end"/>
    </w:r>
    <w:r w:rsidRPr="00987893">
      <w:rPr>
        <w:lang w:val="es-ES_tradnl"/>
      </w:rPr>
      <w:t xml:space="preserve"> (</w:t>
    </w:r>
    <w:r>
      <w:rPr>
        <w:lang w:val="es-ES_tradnl"/>
      </w:rPr>
      <w:t>379990</w:t>
    </w:r>
    <w:r w:rsidRPr="00987893">
      <w:rPr>
        <w:lang w:val="es-ES_tradnl"/>
      </w:rPr>
      <w:t>)</w:t>
    </w:r>
    <w:r w:rsidRPr="00987893">
      <w:rPr>
        <w:lang w:val="es-ES_tradnl"/>
      </w:rPr>
      <w:tab/>
    </w:r>
    <w:r>
      <w:fldChar w:fldCharType="begin"/>
    </w:r>
    <w:r>
      <w:instrText xml:space="preserve"> SAVEDATE \@ DD.MM.YY </w:instrText>
    </w:r>
    <w:r>
      <w:fldChar w:fldCharType="separate"/>
    </w:r>
    <w:r>
      <w:t>00.00.00</w:t>
    </w:r>
    <w:r>
      <w:fldChar w:fldCharType="end"/>
    </w:r>
    <w:r w:rsidRPr="00987893">
      <w:rPr>
        <w:lang w:val="es-ES_tradnl"/>
      </w:rPr>
      <w:tab/>
    </w:r>
    <w:r>
      <w:fldChar w:fldCharType="begin"/>
    </w:r>
    <w:r>
      <w:instrText xml:space="preserve"> PRINTDATE \@ DD.MM.YY </w:instrText>
    </w:r>
    <w:r>
      <w:fldChar w:fldCharType="separate"/>
    </w:r>
    <w:r>
      <w:t>00.00.00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8" w:rsidRDefault="00DF0748">
    <w:pPr>
      <w:pStyle w:val="Footer"/>
    </w:pPr>
    <w:fldSimple w:instr=" FILENAME \p \* MERGEFORMAT ">
      <w:r>
        <w:t>P:\FRA\SG\CONSEIL\C15\000\031F.docx</w:t>
      </w:r>
    </w:fldSimple>
    <w:r>
      <w:tab/>
    </w:r>
    <w:r>
      <w:fldChar w:fldCharType="begin"/>
    </w:r>
    <w:r>
      <w:instrText xml:space="preserve"> savedate \@ dd.MM.yy </w:instrText>
    </w:r>
    <w:r>
      <w:fldChar w:fldCharType="separate"/>
    </w:r>
    <w:r>
      <w:t>23.04.15</w:t>
    </w:r>
    <w:r>
      <w:fldChar w:fldCharType="end"/>
    </w:r>
    <w:r>
      <w:tab/>
    </w:r>
    <w:r>
      <w:fldChar w:fldCharType="begin"/>
    </w:r>
    <w:r>
      <w:instrText xml:space="preserve"> printdate \@ dd.MM.yy </w:instrText>
    </w:r>
    <w:r>
      <w:fldChar w:fldCharType="separate"/>
    </w:r>
    <w:r>
      <w:t>23.04.15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C7E" w:rsidRDefault="00B94C7E" w:rsidP="00B94C7E">
    <w:pPr>
      <w:spacing w:after="120"/>
      <w:jc w:val="center"/>
    </w:pPr>
    <w:r w:rsidRPr="001934ED">
      <w:t xml:space="preserve">• </w:t>
    </w:r>
    <w:hyperlink r:id="rId1" w:history="1">
      <w:r w:rsidRPr="001934ED">
        <w:rPr>
          <w:rStyle w:val="Hyperlink"/>
        </w:rPr>
        <w:t>http://www.itu.int/council</w:t>
      </w:r>
    </w:hyperlink>
    <w:r w:rsidRPr="001934ED">
      <w:t xml:space="preserve"> •</w:t>
    </w:r>
  </w:p>
  <w:p w:rsidR="00DF0748" w:rsidRPr="00B94C7E" w:rsidRDefault="00DF0748" w:rsidP="00B94C7E">
    <w:pPr>
      <w:pStyle w:val="Footer"/>
    </w:pPr>
    <w:r>
      <w:fldChar w:fldCharType="begin"/>
    </w:r>
    <w:r w:rsidRPr="00B94C7E">
      <w:instrText xml:space="preserve"> FILENAME \p \* MERGEFORMAT </w:instrText>
    </w:r>
    <w:r>
      <w:fldChar w:fldCharType="separate"/>
    </w:r>
    <w:r w:rsidR="00B94C7E" w:rsidRPr="00B94C7E">
      <w:t>P:\FRA\ITU-R\AG\RAG\RAG15\000\024F.docx</w:t>
    </w:r>
    <w:r>
      <w:fldChar w:fldCharType="end"/>
    </w:r>
    <w:r w:rsidRPr="00B94C7E">
      <w:t xml:space="preserve"> (379</w:t>
    </w:r>
    <w:r w:rsidR="00B94C7E" w:rsidRPr="00B94C7E">
      <w:t>990</w:t>
    </w:r>
    <w:r w:rsidRPr="00B94C7E">
      <w:t>)</w:t>
    </w:r>
    <w:r w:rsidRPr="00B94C7E">
      <w:tab/>
    </w:r>
    <w:r>
      <w:fldChar w:fldCharType="begin"/>
    </w:r>
    <w:r>
      <w:instrText xml:space="preserve"> savedate \@ dd.MM.yy </w:instrText>
    </w:r>
    <w:r>
      <w:fldChar w:fldCharType="separate"/>
    </w:r>
    <w:r>
      <w:t>23.04.15</w:t>
    </w:r>
    <w:r>
      <w:fldChar w:fldCharType="end"/>
    </w:r>
    <w:r w:rsidRPr="00B94C7E">
      <w:tab/>
    </w:r>
    <w:r>
      <w:fldChar w:fldCharType="begin"/>
    </w:r>
    <w:r>
      <w:instrText xml:space="preserve"> printdate \@ dd.MM.yy </w:instrText>
    </w:r>
    <w:r>
      <w:fldChar w:fldCharType="separate"/>
    </w:r>
    <w:r>
      <w:t>23.04.15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8" w:rsidRDefault="00DF0748" w:rsidP="00DF0748">
    <w:pPr>
      <w:spacing w:after="120"/>
      <w:jc w:val="center"/>
    </w:pPr>
    <w:r w:rsidRPr="001934ED">
      <w:t xml:space="preserve">• </w:t>
    </w:r>
    <w:hyperlink r:id="rId1" w:history="1">
      <w:r w:rsidRPr="001934ED">
        <w:rPr>
          <w:rStyle w:val="Hyperlink"/>
        </w:rPr>
        <w:t>http://www.itu.int/council</w:t>
      </w:r>
    </w:hyperlink>
    <w:r w:rsidRPr="001934ED">
      <w:t xml:space="preserve"> •</w:t>
    </w:r>
  </w:p>
  <w:p w:rsidR="00DF0748" w:rsidRPr="00F74212" w:rsidRDefault="00DF0748" w:rsidP="00DF0748">
    <w:pPr>
      <w:spacing w:after="120"/>
      <w:jc w:val="center"/>
    </w:pPr>
  </w:p>
  <w:p w:rsidR="00DF0748" w:rsidRPr="00987893" w:rsidRDefault="00DF0748" w:rsidP="00DF0748">
    <w:pPr>
      <w:pStyle w:val="Footer"/>
      <w:rPr>
        <w:lang w:val="es-ES_tradnl"/>
      </w:rPr>
    </w:pPr>
    <w:r>
      <w:fldChar w:fldCharType="begin"/>
    </w:r>
    <w:r w:rsidRPr="00987893">
      <w:rPr>
        <w:lang w:val="es-ES_tradnl"/>
      </w:rPr>
      <w:instrText xml:space="preserve"> FILENAME \p \* MERGEFORMAT </w:instrText>
    </w:r>
    <w:r>
      <w:fldChar w:fldCharType="separate"/>
    </w:r>
    <w:r w:rsidRPr="00987893">
      <w:rPr>
        <w:lang w:val="es-ES_tradnl"/>
      </w:rPr>
      <w:t>P:\FRA\ITU-D\CONF-D\TDAG15\000\027F.docx</w:t>
    </w:r>
    <w:r>
      <w:fldChar w:fldCharType="end"/>
    </w:r>
    <w:r w:rsidRPr="00987893">
      <w:rPr>
        <w:lang w:val="es-ES_tradnl"/>
      </w:rPr>
      <w:t xml:space="preserve"> (379779)</w:t>
    </w:r>
    <w:r w:rsidRPr="00987893">
      <w:rPr>
        <w:lang w:val="es-ES_tradnl"/>
      </w:rPr>
      <w:tab/>
    </w:r>
    <w:r>
      <w:fldChar w:fldCharType="begin"/>
    </w:r>
    <w:r>
      <w:instrText xml:space="preserve"> savedate \@ dd.MM.yy </w:instrText>
    </w:r>
    <w:r>
      <w:fldChar w:fldCharType="separate"/>
    </w:r>
    <w:r>
      <w:t>23.04.15</w:t>
    </w:r>
    <w:r>
      <w:fldChar w:fldCharType="end"/>
    </w:r>
    <w:r w:rsidRPr="00987893">
      <w:rPr>
        <w:lang w:val="es-ES_tradnl"/>
      </w:rPr>
      <w:tab/>
    </w:r>
    <w:r>
      <w:fldChar w:fldCharType="begin"/>
    </w:r>
    <w:r>
      <w:instrText xml:space="preserve"> printdate \@ dd.MM.yy </w:instrText>
    </w:r>
    <w:r>
      <w:fldChar w:fldCharType="separate"/>
    </w:r>
    <w:r>
      <w:t>23.04.15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8" w:rsidRDefault="00DF0748">
    <w:pPr>
      <w:pStyle w:val="Footer"/>
      <w:rPr>
        <w:lang w:val="en-US"/>
      </w:rPr>
    </w:pPr>
    <w:r>
      <w:fldChar w:fldCharType="begin"/>
    </w:r>
    <w:r w:rsidRPr="00A9055C">
      <w:rPr>
        <w:lang w:val="en-US"/>
      </w:rPr>
      <w:instrText xml:space="preserve"> FILENAME \p \* MERGEFORMAT </w:instrText>
    </w:r>
    <w:r>
      <w:fldChar w:fldCharType="separate"/>
    </w:r>
    <w:r>
      <w:rPr>
        <w:lang w:val="en-US"/>
      </w:rPr>
      <w:t>Document2</w:t>
    </w:r>
    <w:r>
      <w:rPr>
        <w:lang w:val="en-US"/>
      </w:rPr>
      <w:fldChar w:fldCharType="end"/>
    </w:r>
    <w:r>
      <w:rPr>
        <w:lang w:val="en-US"/>
      </w:rPr>
      <w:tab/>
    </w:r>
    <w:r>
      <w:fldChar w:fldCharType="begin"/>
    </w:r>
    <w:r>
      <w:instrText xml:space="preserve"> savedate \@ dd.MM.yy </w:instrText>
    </w:r>
    <w:r>
      <w:fldChar w:fldCharType="separate"/>
    </w:r>
    <w:r>
      <w:t>00.00.00</w:t>
    </w:r>
    <w:r>
      <w:fldChar w:fldCharType="end"/>
    </w:r>
    <w:r>
      <w:rPr>
        <w:lang w:val="en-US"/>
      </w:rPr>
      <w:tab/>
    </w:r>
    <w:r>
      <w:fldChar w:fldCharType="begin"/>
    </w:r>
    <w:r>
      <w:instrText xml:space="preserve"> printdate \@ dd.MM.yy </w:instrText>
    </w:r>
    <w:r>
      <w:fldChar w:fldCharType="separate"/>
    </w:r>
    <w:r>
      <w:t>11.10.99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8" w:rsidRDefault="00DF0748">
    <w:pPr>
      <w:pStyle w:val="Footer"/>
      <w:rPr>
        <w:lang w:val="en-US"/>
      </w:rPr>
    </w:pPr>
    <w:r>
      <w:fldChar w:fldCharType="begin"/>
    </w:r>
    <w:r w:rsidRPr="00A9055C">
      <w:rPr>
        <w:lang w:val="en-US"/>
      </w:rPr>
      <w:instrText xml:space="preserve"> FILENAME \p \* MERGEFORMAT </w:instrText>
    </w:r>
    <w:r>
      <w:fldChar w:fldCharType="separate"/>
    </w:r>
    <w:r w:rsidR="00B94C7E">
      <w:rPr>
        <w:lang w:val="en-US"/>
      </w:rPr>
      <w:t>P:\FRA\ITU-R\AG\RAG\RAG15\000\024F.docx</w:t>
    </w:r>
    <w:r>
      <w:rPr>
        <w:lang w:val="en-US"/>
      </w:rPr>
      <w:fldChar w:fldCharType="end"/>
    </w:r>
    <w:r w:rsidR="00B94C7E">
      <w:rPr>
        <w:lang w:val="en-US"/>
      </w:rPr>
      <w:t xml:space="preserve"> (379990)</w:t>
    </w:r>
    <w:r>
      <w:rPr>
        <w:lang w:val="en-US"/>
      </w:rPr>
      <w:tab/>
    </w:r>
    <w:r>
      <w:fldChar w:fldCharType="begin"/>
    </w:r>
    <w:r>
      <w:instrText xml:space="preserve"> savedate \@ dd.MM.yy </w:instrText>
    </w:r>
    <w:r>
      <w:fldChar w:fldCharType="separate"/>
    </w:r>
    <w:r>
      <w:t>00.00.00</w:t>
    </w:r>
    <w:r>
      <w:fldChar w:fldCharType="end"/>
    </w:r>
    <w:r>
      <w:rPr>
        <w:lang w:val="en-US"/>
      </w:rPr>
      <w:tab/>
    </w:r>
    <w:r>
      <w:fldChar w:fldCharType="begin"/>
    </w:r>
    <w:r>
      <w:instrText xml:space="preserve"> printdate \@ dd.MM.yy </w:instrText>
    </w:r>
    <w:r>
      <w:fldChar w:fldCharType="separate"/>
    </w:r>
    <w:r>
      <w:t>11.10.99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8" w:rsidRDefault="00DF0748">
    <w:pPr>
      <w:pStyle w:val="Footer"/>
      <w:rPr>
        <w:lang w:val="en-US"/>
      </w:rPr>
    </w:pPr>
    <w:r>
      <w:fldChar w:fldCharType="begin"/>
    </w:r>
    <w:r w:rsidRPr="00A9055C">
      <w:rPr>
        <w:lang w:val="en-US"/>
      </w:rPr>
      <w:instrText xml:space="preserve"> FILENAME \p \* MERGEFORMAT </w:instrText>
    </w:r>
    <w:r>
      <w:fldChar w:fldCharType="separate"/>
    </w:r>
    <w:r w:rsidR="00B94C7E">
      <w:rPr>
        <w:lang w:val="en-US"/>
      </w:rPr>
      <w:t>P:\FRA\ITU-R\AG\RAG\RAG15\000\024F.docx</w:t>
    </w:r>
    <w:r>
      <w:rPr>
        <w:lang w:val="en-US"/>
      </w:rPr>
      <w:fldChar w:fldCharType="end"/>
    </w:r>
    <w:r w:rsidR="00B94C7E">
      <w:rPr>
        <w:lang w:val="en-US"/>
      </w:rPr>
      <w:t xml:space="preserve"> (379990)</w:t>
    </w:r>
    <w:r>
      <w:rPr>
        <w:lang w:val="en-US"/>
      </w:rPr>
      <w:tab/>
    </w:r>
    <w:r>
      <w:fldChar w:fldCharType="begin"/>
    </w:r>
    <w:r>
      <w:instrText xml:space="preserve"> savedate \@ dd.MM.yy </w:instrText>
    </w:r>
    <w:r>
      <w:fldChar w:fldCharType="separate"/>
    </w:r>
    <w:r>
      <w:t>00.00.00</w:t>
    </w:r>
    <w:r>
      <w:fldChar w:fldCharType="end"/>
    </w:r>
    <w:r>
      <w:rPr>
        <w:lang w:val="en-US"/>
      </w:rPr>
      <w:tab/>
    </w:r>
    <w:r>
      <w:fldChar w:fldCharType="begin"/>
    </w:r>
    <w:r>
      <w:instrText xml:space="preserve"> printdate \@ dd.MM.yy </w:instrText>
    </w:r>
    <w:r>
      <w:fldChar w:fldCharType="separate"/>
    </w:r>
    <w:r>
      <w:t>11.10.99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748" w:rsidRDefault="00DF0748">
      <w:r>
        <w:t>____________________</w:t>
      </w:r>
    </w:p>
  </w:footnote>
  <w:footnote w:type="continuationSeparator" w:id="0">
    <w:p w:rsidR="00DF0748" w:rsidRDefault="00DF0748">
      <w:r>
        <w:continuationSeparator/>
      </w:r>
    </w:p>
  </w:footnote>
  <w:footnote w:id="1">
    <w:p w:rsidR="00DF0748" w:rsidRPr="003F28C5" w:rsidRDefault="00DF0748">
      <w:pPr>
        <w:pStyle w:val="FootnoteText"/>
        <w:rPr>
          <w:lang w:val="fr-CH"/>
        </w:rPr>
      </w:pPr>
      <w:r>
        <w:rPr>
          <w:rStyle w:val="FootnoteReference"/>
        </w:rPr>
        <w:footnoteRef/>
      </w:r>
      <w:r>
        <w:t xml:space="preserve"> </w:t>
      </w:r>
      <w:r>
        <w:rPr>
          <w:lang w:val="fr-CH"/>
        </w:rPr>
        <w:tab/>
      </w:r>
      <w:r w:rsidRPr="00B2640B">
        <w:rPr>
          <w:szCs w:val="18"/>
          <w:lang w:val="fr-CH"/>
        </w:rPr>
        <w:t>Les cadres et les croix indiquent les liens primaires et secondaires avec les buts.</w:t>
      </w:r>
    </w:p>
  </w:footnote>
  <w:footnote w:id="2">
    <w:p w:rsidR="00DF0748" w:rsidRPr="00457A5F" w:rsidRDefault="00DF0748">
      <w:pPr>
        <w:pStyle w:val="FootnoteText"/>
      </w:pPr>
      <w:r>
        <w:rPr>
          <w:rStyle w:val="FootnoteReference"/>
        </w:rPr>
        <w:footnoteRef/>
      </w:r>
      <w:r>
        <w:t xml:space="preserve"> </w:t>
      </w:r>
      <w:r>
        <w:tab/>
      </w:r>
      <w:r w:rsidRPr="009F58ED">
        <w:rPr>
          <w:lang w:val="fr-CH"/>
        </w:rPr>
        <w:t>Les pilotes de risques seront désignés par le Secrétaire général</w:t>
      </w:r>
      <w:r w:rsidRPr="009F58ED">
        <w:rPr>
          <w:szCs w:val="18"/>
          <w:lang w:val="fr-CH"/>
        </w:rPr>
        <w:t>.</w:t>
      </w:r>
    </w:p>
  </w:footnote>
  <w:footnote w:id="3">
    <w:p w:rsidR="00DF0748" w:rsidRPr="00E77E07" w:rsidRDefault="00DF0748">
      <w:pPr>
        <w:pStyle w:val="FootnoteText"/>
      </w:pPr>
      <w:r>
        <w:rPr>
          <w:rStyle w:val="FootnoteReference"/>
        </w:rPr>
        <w:footnoteRef/>
      </w:r>
      <w:r>
        <w:t xml:space="preserve"> </w:t>
      </w:r>
      <w:r>
        <w:tab/>
      </w:r>
      <w:r>
        <w:rPr>
          <w:lang w:val="fr-CH"/>
        </w:rPr>
        <w:t>D</w:t>
      </w:r>
      <w:r w:rsidRPr="004828E2">
        <w:rPr>
          <w:lang w:val="fr-CH"/>
        </w:rPr>
        <w:t xml:space="preserve">es enquêtes de satisfaction des utilisateurs </w:t>
      </w:r>
      <w:r>
        <w:rPr>
          <w:lang w:val="fr-CH"/>
        </w:rPr>
        <w:t>seront réalisées à intervalles réguliers depuis 2015</w:t>
      </w:r>
      <w:r w:rsidRPr="00892B93">
        <w:rPr>
          <w:szCs w:val="18"/>
          <w:lang w:val="fr-CH"/>
        </w:rPr>
        <w:t>.</w:t>
      </w:r>
    </w:p>
  </w:footnote>
  <w:footnote w:id="4">
    <w:p w:rsidR="00DF0748" w:rsidRPr="00E77E07" w:rsidRDefault="00DF0748">
      <w:pPr>
        <w:pStyle w:val="FootnoteText"/>
      </w:pPr>
      <w:r>
        <w:rPr>
          <w:rStyle w:val="FootnoteReference"/>
        </w:rPr>
        <w:footnoteRef/>
      </w:r>
      <w:r>
        <w:t xml:space="preserve"> </w:t>
      </w:r>
      <w:r>
        <w:tab/>
      </w:r>
      <w:r>
        <w:rPr>
          <w:lang w:val="fr-CH"/>
        </w:rPr>
        <w:t>D</w:t>
      </w:r>
      <w:r w:rsidRPr="004828E2">
        <w:rPr>
          <w:lang w:val="fr-CH"/>
        </w:rPr>
        <w:t xml:space="preserve">es enquêtes de satisfaction des utilisateurs </w:t>
      </w:r>
      <w:r>
        <w:rPr>
          <w:lang w:val="fr-CH"/>
        </w:rPr>
        <w:t>seront réalisées à intervalles réguliers à compter de 2015</w:t>
      </w:r>
      <w:r w:rsidRPr="004828E2">
        <w:rPr>
          <w:szCs w:val="18"/>
          <w:lang w:val="fr-CH"/>
        </w:rPr>
        <w:t>.</w:t>
      </w:r>
    </w:p>
  </w:footnote>
  <w:footnote w:id="5">
    <w:p w:rsidR="00DF0748" w:rsidRPr="00E77E07" w:rsidRDefault="00DF0748">
      <w:pPr>
        <w:pStyle w:val="FootnoteText"/>
        <w:rPr>
          <w:lang w:val="fr-CH"/>
        </w:rPr>
      </w:pPr>
      <w:r>
        <w:rPr>
          <w:rStyle w:val="FootnoteReference"/>
        </w:rPr>
        <w:footnoteRef/>
      </w:r>
      <w:r>
        <w:t xml:space="preserve"> </w:t>
      </w:r>
      <w:r>
        <w:rPr>
          <w:lang w:val="fr-CH"/>
        </w:rPr>
        <w:tab/>
        <w:t>Axée</w:t>
      </w:r>
      <w:r w:rsidRPr="004828E2">
        <w:rPr>
          <w:lang w:val="fr-CH"/>
        </w:rPr>
        <w:t xml:space="preserve"> sur les services de communication, sera mesuré</w:t>
      </w:r>
      <w:r>
        <w:rPr>
          <w:lang w:val="fr-CH"/>
        </w:rPr>
        <w:t>e</w:t>
      </w:r>
      <w:r w:rsidRPr="004828E2">
        <w:rPr>
          <w:lang w:val="fr-CH"/>
        </w:rPr>
        <w:t xml:space="preserve"> à compter de 2015.</w:t>
      </w:r>
    </w:p>
  </w:footnote>
  <w:footnote w:id="6">
    <w:p w:rsidR="00DF0748" w:rsidRPr="00E77E07" w:rsidRDefault="00DF0748">
      <w:pPr>
        <w:pStyle w:val="FootnoteText"/>
        <w:rPr>
          <w:lang w:val="fr-CH"/>
        </w:rPr>
      </w:pPr>
      <w:r>
        <w:rPr>
          <w:rStyle w:val="FootnoteReference"/>
        </w:rPr>
        <w:footnoteRef/>
      </w:r>
      <w:r>
        <w:t xml:space="preserve"> </w:t>
      </w:r>
      <w:r>
        <w:rPr>
          <w:lang w:val="fr-CH"/>
        </w:rPr>
        <w:tab/>
      </w:r>
      <w:r w:rsidRPr="004828E2">
        <w:rPr>
          <w:lang w:val="fr-CH"/>
        </w:rPr>
        <w:t>Sera mesuré</w:t>
      </w:r>
      <w:r>
        <w:rPr>
          <w:lang w:val="fr-CH"/>
        </w:rPr>
        <w:t>e</w:t>
      </w:r>
      <w:r w:rsidRPr="004828E2">
        <w:rPr>
          <w:lang w:val="fr-CH"/>
        </w:rPr>
        <w:t xml:space="preserve"> à compter de 2015.</w:t>
      </w:r>
    </w:p>
  </w:footnote>
  <w:footnote w:id="7">
    <w:p w:rsidR="00DF0748" w:rsidRPr="00CC34B6" w:rsidRDefault="00DF0748">
      <w:pPr>
        <w:pStyle w:val="FootnoteText"/>
      </w:pPr>
      <w:r>
        <w:rPr>
          <w:rStyle w:val="FootnoteReference"/>
        </w:rPr>
        <w:footnoteRef/>
      </w:r>
      <w:r>
        <w:t xml:space="preserve"> </w:t>
      </w:r>
      <w:r>
        <w:tab/>
      </w:r>
      <w:r w:rsidRPr="004828E2">
        <w:rPr>
          <w:lang w:val="fr-CH"/>
        </w:rPr>
        <w:t>Sera mesuré pendan</w:t>
      </w:r>
      <w:r>
        <w:rPr>
          <w:lang w:val="fr-CH"/>
        </w:rPr>
        <w:t>t</w:t>
      </w:r>
      <w:r w:rsidRPr="004828E2">
        <w:rPr>
          <w:lang w:val="fr-CH"/>
        </w:rPr>
        <w:t xml:space="preserve"> la mise en oeuvre du </w:t>
      </w:r>
      <w:r>
        <w:rPr>
          <w:lang w:val="fr-CH"/>
        </w:rPr>
        <w:t>P</w:t>
      </w:r>
      <w:r w:rsidRPr="004828E2">
        <w:rPr>
          <w:lang w:val="fr-CH"/>
        </w:rPr>
        <w:t>lan stratégique pour la période 2016-2019.</w:t>
      </w:r>
    </w:p>
  </w:footnote>
  <w:footnote w:id="8">
    <w:p w:rsidR="00DF0748" w:rsidRPr="000C2D0F" w:rsidRDefault="00DF0748">
      <w:pPr>
        <w:pStyle w:val="FootnoteText"/>
      </w:pPr>
      <w:r>
        <w:rPr>
          <w:rStyle w:val="FootnoteReference"/>
        </w:rPr>
        <w:footnoteRef/>
      </w:r>
      <w:r>
        <w:t xml:space="preserve"> </w:t>
      </w:r>
      <w:r>
        <w:tab/>
      </w:r>
      <w:r w:rsidRPr="00F11506">
        <w:rPr>
          <w:szCs w:val="18"/>
          <w:lang w:val="fr-CH"/>
        </w:rPr>
        <w:t>Sera mesuré à compter de 2015.</w:t>
      </w:r>
    </w:p>
  </w:footnote>
  <w:footnote w:id="9">
    <w:p w:rsidR="00DF0748" w:rsidRPr="000C2D0F" w:rsidRDefault="00DF0748">
      <w:pPr>
        <w:pStyle w:val="FootnoteText"/>
        <w:rPr>
          <w:lang w:val="fr-CH"/>
        </w:rPr>
      </w:pPr>
      <w:r>
        <w:rPr>
          <w:rStyle w:val="FootnoteReference"/>
        </w:rPr>
        <w:footnoteRef/>
      </w:r>
      <w:r>
        <w:t xml:space="preserve"> </w:t>
      </w:r>
      <w:r>
        <w:rPr>
          <w:lang w:val="fr-CH"/>
        </w:rPr>
        <w:tab/>
      </w:r>
      <w:r w:rsidRPr="00F11506">
        <w:rPr>
          <w:szCs w:val="18"/>
          <w:lang w:val="fr-CH"/>
        </w:rPr>
        <w:t>Estimation</w:t>
      </w:r>
      <w:r>
        <w:rPr>
          <w:szCs w:val="18"/>
          <w:lang w:val="fr-CH"/>
        </w:rPr>
        <w:t>s</w:t>
      </w:r>
      <w:r w:rsidRPr="00F11506">
        <w:rPr>
          <w:szCs w:val="18"/>
          <w:lang w:val="fr-CH"/>
        </w:rPr>
        <w:t xml:space="preserve">, en particulier pour la période 2018–2019. </w:t>
      </w:r>
      <w:r>
        <w:rPr>
          <w:szCs w:val="18"/>
          <w:lang w:val="fr-CH"/>
        </w:rPr>
        <w:t>L'affectation des ressources pour les prochaines années pourra être modifiée à la suite de décisions de la haute direction.</w:t>
      </w:r>
    </w:p>
  </w:footnote>
  <w:footnote w:id="10">
    <w:p w:rsidR="00DF0748" w:rsidRPr="000C2D0F" w:rsidRDefault="00DF0748" w:rsidP="00DF0748">
      <w:pPr>
        <w:pStyle w:val="FootnoteText"/>
        <w:rPr>
          <w:lang w:val="fr-CH"/>
        </w:rPr>
      </w:pPr>
      <w:r>
        <w:rPr>
          <w:rStyle w:val="FootnoteReference"/>
        </w:rPr>
        <w:footnoteRef/>
      </w:r>
      <w:r>
        <w:tab/>
      </w:r>
      <w:r w:rsidRPr="00F11506">
        <w:rPr>
          <w:lang w:val="fr-CH"/>
        </w:rPr>
        <w:t>Les ressources extrabudgétaires de Telecom et du SMSI ne sont pas prises en compte.</w:t>
      </w:r>
    </w:p>
  </w:footnote>
  <w:footnote w:id="11">
    <w:p w:rsidR="00DF0748" w:rsidRPr="00EF0052" w:rsidRDefault="00DF0748">
      <w:pPr>
        <w:pStyle w:val="FootnoteText"/>
        <w:rPr>
          <w:lang w:val="fr-CH"/>
        </w:rPr>
      </w:pPr>
      <w:r>
        <w:rPr>
          <w:rStyle w:val="FootnoteReference"/>
        </w:rPr>
        <w:footnoteRef/>
      </w:r>
      <w:r>
        <w:rPr>
          <w:lang w:val="fr-CH"/>
        </w:rPr>
        <w:tab/>
      </w:r>
      <w:r w:rsidRPr="00F11506">
        <w:rPr>
          <w:szCs w:val="18"/>
          <w:lang w:val="fr-CH"/>
        </w:rPr>
        <w:t>Estimation</w:t>
      </w:r>
      <w:r>
        <w:rPr>
          <w:szCs w:val="18"/>
          <w:lang w:val="fr-CH"/>
        </w:rPr>
        <w:t>s</w:t>
      </w:r>
      <w:r w:rsidRPr="00F11506">
        <w:rPr>
          <w:szCs w:val="18"/>
          <w:lang w:val="fr-CH"/>
        </w:rPr>
        <w:t>, en particulier pour la période 2018</w:t>
      </w:r>
      <w:r>
        <w:rPr>
          <w:szCs w:val="18"/>
          <w:lang w:val="fr-CH"/>
        </w:rPr>
        <w:t>-</w:t>
      </w:r>
      <w:r w:rsidRPr="00F11506">
        <w:rPr>
          <w:szCs w:val="18"/>
          <w:lang w:val="fr-CH"/>
        </w:rPr>
        <w:t xml:space="preserve">2019. </w:t>
      </w:r>
      <w:r>
        <w:rPr>
          <w:szCs w:val="18"/>
          <w:lang w:val="fr-CH"/>
        </w:rPr>
        <w:t>L'affectation des ressources pour les prochaines années pourra être modifiée à la suite de décisions de la haute direction</w:t>
      </w:r>
      <w:r w:rsidRPr="0033553E">
        <w:rPr>
          <w:szCs w:val="18"/>
          <w:lang w:val="fr-CH"/>
        </w:rPr>
        <w:t>.</w:t>
      </w:r>
    </w:p>
  </w:footnote>
  <w:footnote w:id="12">
    <w:p w:rsidR="00DF0748" w:rsidRPr="00EF0052" w:rsidRDefault="00DF0748">
      <w:pPr>
        <w:pStyle w:val="FootnoteText"/>
        <w:rPr>
          <w:lang w:val="fr-CH"/>
        </w:rPr>
      </w:pPr>
      <w:r>
        <w:rPr>
          <w:rStyle w:val="FootnoteReference"/>
        </w:rPr>
        <w:footnoteRef/>
      </w:r>
      <w:r>
        <w:rPr>
          <w:lang w:val="fr-CH"/>
        </w:rPr>
        <w:tab/>
        <w:t xml:space="preserve">Sera mesuré à compter de </w:t>
      </w:r>
      <w:r w:rsidRPr="0033553E">
        <w:rPr>
          <w:lang w:val="fr-CH"/>
        </w:rPr>
        <w:t>2015.</w:t>
      </w:r>
    </w:p>
  </w:footnote>
  <w:footnote w:id="13">
    <w:p w:rsidR="00DF0748" w:rsidRPr="00EF0052" w:rsidRDefault="00DF0748" w:rsidP="00DF0748">
      <w:pPr>
        <w:pStyle w:val="FootnoteText"/>
        <w:rPr>
          <w:lang w:val="fr-CH"/>
        </w:rPr>
      </w:pPr>
      <w:r>
        <w:rPr>
          <w:rStyle w:val="FootnoteReference"/>
        </w:rPr>
        <w:footnoteRef/>
      </w:r>
      <w:r>
        <w:rPr>
          <w:lang w:val="fr-CH"/>
        </w:rPr>
        <w:tab/>
      </w:r>
      <w:r w:rsidRPr="00F11506">
        <w:rPr>
          <w:szCs w:val="18"/>
          <w:lang w:val="fr-CH"/>
        </w:rPr>
        <w:t>Estimation</w:t>
      </w:r>
      <w:r>
        <w:rPr>
          <w:szCs w:val="18"/>
          <w:lang w:val="fr-CH"/>
        </w:rPr>
        <w:t>s</w:t>
      </w:r>
      <w:r w:rsidRPr="00F11506">
        <w:rPr>
          <w:szCs w:val="18"/>
          <w:lang w:val="fr-CH"/>
        </w:rPr>
        <w:t>, en p</w:t>
      </w:r>
      <w:r>
        <w:rPr>
          <w:szCs w:val="18"/>
          <w:lang w:val="fr-CH"/>
        </w:rPr>
        <w:t>articulier pour la période 2018-</w:t>
      </w:r>
      <w:r w:rsidRPr="00F11506">
        <w:rPr>
          <w:szCs w:val="18"/>
          <w:lang w:val="fr-CH"/>
        </w:rPr>
        <w:t xml:space="preserve">2019. </w:t>
      </w:r>
      <w:r>
        <w:rPr>
          <w:szCs w:val="18"/>
          <w:lang w:val="fr-CH"/>
        </w:rPr>
        <w:t>L'affectation des ressources pour les années suivantes peut changer en fonction des décisions de la haute direction</w:t>
      </w:r>
      <w:r w:rsidRPr="0033553E">
        <w:rPr>
          <w:szCs w:val="18"/>
          <w:lang w:val="fr-CH"/>
        </w:rPr>
        <w:t>.</w:t>
      </w:r>
    </w:p>
  </w:footnote>
  <w:footnote w:id="14">
    <w:p w:rsidR="00DF0748" w:rsidRPr="008204EA" w:rsidRDefault="00DF0748" w:rsidP="00DF0748">
      <w:pPr>
        <w:pStyle w:val="FootnoteText"/>
        <w:rPr>
          <w:lang w:val="fr-CH"/>
        </w:rPr>
      </w:pPr>
      <w:r>
        <w:rPr>
          <w:rStyle w:val="FootnoteReference"/>
        </w:rPr>
        <w:footnoteRef/>
      </w:r>
      <w:r>
        <w:rPr>
          <w:lang w:val="fr-CH"/>
        </w:rPr>
        <w:tab/>
      </w:r>
      <w:r w:rsidRPr="00F11506">
        <w:rPr>
          <w:szCs w:val="18"/>
          <w:lang w:val="fr-CH"/>
        </w:rPr>
        <w:t>Estimation</w:t>
      </w:r>
      <w:r>
        <w:rPr>
          <w:szCs w:val="18"/>
          <w:lang w:val="fr-CH"/>
        </w:rPr>
        <w:t>s</w:t>
      </w:r>
      <w:r w:rsidRPr="00F11506">
        <w:rPr>
          <w:szCs w:val="18"/>
          <w:lang w:val="fr-CH"/>
        </w:rPr>
        <w:t xml:space="preserve">, en particulier pour la période 2018–2019. </w:t>
      </w:r>
      <w:r>
        <w:rPr>
          <w:szCs w:val="18"/>
          <w:lang w:val="fr-CH"/>
        </w:rPr>
        <w:t>L'affectation des ressources pour les prochaines années pourra être modifiée à la suite de décisions de la haute direction</w:t>
      </w:r>
      <w:r w:rsidRPr="005F533D">
        <w:rPr>
          <w:szCs w:val="18"/>
          <w:lang w:val="fr-CH"/>
        </w:rPr>
        <w:t>.</w:t>
      </w:r>
    </w:p>
  </w:footnote>
  <w:footnote w:id="15">
    <w:p w:rsidR="00DF0748" w:rsidRPr="006D3733" w:rsidRDefault="00DF0748">
      <w:pPr>
        <w:pStyle w:val="FootnoteText"/>
        <w:rPr>
          <w:lang w:val="fr-CH"/>
        </w:rPr>
      </w:pPr>
      <w:r>
        <w:rPr>
          <w:rStyle w:val="FootnoteReference"/>
        </w:rPr>
        <w:footnoteRef/>
      </w:r>
      <w:r>
        <w:rPr>
          <w:lang w:val="fr-CH"/>
        </w:rPr>
        <w:tab/>
        <w:t xml:space="preserve">Sera mesuré à compter de </w:t>
      </w:r>
      <w:r w:rsidRPr="0033553E">
        <w:rPr>
          <w:lang w:val="fr-CH"/>
        </w:rPr>
        <w:t>2015</w:t>
      </w:r>
      <w:r w:rsidRPr="005F533D">
        <w:rPr>
          <w:lang w:val="fr-CH"/>
        </w:rPr>
        <w:t>.</w:t>
      </w:r>
    </w:p>
  </w:footnote>
  <w:footnote w:id="16">
    <w:p w:rsidR="00DF0748" w:rsidRPr="006D3733" w:rsidRDefault="00DF0748" w:rsidP="00DF0748">
      <w:pPr>
        <w:pStyle w:val="FootnoteText"/>
        <w:rPr>
          <w:lang w:val="fr-CH"/>
        </w:rPr>
      </w:pPr>
      <w:r>
        <w:rPr>
          <w:rStyle w:val="FootnoteReference"/>
        </w:rPr>
        <w:footnoteRef/>
      </w:r>
      <w:r>
        <w:rPr>
          <w:lang w:val="fr-CH"/>
        </w:rPr>
        <w:tab/>
      </w:r>
      <w:r w:rsidRPr="00F11506">
        <w:rPr>
          <w:szCs w:val="18"/>
          <w:lang w:val="fr-CH"/>
        </w:rPr>
        <w:t>Estimation</w:t>
      </w:r>
      <w:r>
        <w:rPr>
          <w:szCs w:val="18"/>
          <w:lang w:val="fr-CH"/>
        </w:rPr>
        <w:t>s</w:t>
      </w:r>
      <w:r w:rsidRPr="00F11506">
        <w:rPr>
          <w:szCs w:val="18"/>
          <w:lang w:val="fr-CH"/>
        </w:rPr>
        <w:t>, en particulier pour la période 20</w:t>
      </w:r>
      <w:r>
        <w:rPr>
          <w:szCs w:val="18"/>
          <w:lang w:val="fr-CH"/>
        </w:rPr>
        <w:t>18</w:t>
      </w:r>
      <w:r>
        <w:rPr>
          <w:szCs w:val="18"/>
          <w:lang w:val="fr-CH"/>
        </w:rPr>
        <w:noBreakHyphen/>
      </w:r>
      <w:r w:rsidRPr="00F11506">
        <w:rPr>
          <w:szCs w:val="18"/>
          <w:lang w:val="fr-CH"/>
        </w:rPr>
        <w:t xml:space="preserve">2019. </w:t>
      </w:r>
      <w:r>
        <w:rPr>
          <w:szCs w:val="18"/>
          <w:lang w:val="fr-CH"/>
        </w:rPr>
        <w:t>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8" w:rsidRPr="00972BCD" w:rsidRDefault="00DF0748" w:rsidP="00DF0748">
    <w:pPr>
      <w:tabs>
        <w:tab w:val="clear" w:pos="794"/>
        <w:tab w:val="clear" w:pos="1191"/>
        <w:tab w:val="clear" w:pos="1588"/>
        <w:tab w:val="clear" w:pos="1985"/>
        <w:tab w:val="center" w:pos="4536"/>
        <w:tab w:val="right" w:pos="9639"/>
      </w:tabs>
      <w:ind w:right="1"/>
      <w:rPr>
        <w:smallCaps/>
        <w:spacing w:val="24"/>
        <w:sz w:val="22"/>
        <w:szCs w:val="22"/>
        <w:lang w:val="fr-CH"/>
      </w:rPr>
    </w:pPr>
    <w:r w:rsidRPr="00972BCD">
      <w:rPr>
        <w:sz w:val="22"/>
        <w:szCs w:val="22"/>
      </w:rPr>
      <w:tab/>
    </w:r>
    <w:r w:rsidRPr="00C458ED">
      <w:rPr>
        <w:sz w:val="22"/>
        <w:szCs w:val="22"/>
      </w:rPr>
      <w:t>ITU-D/</w:t>
    </w:r>
    <w:bookmarkStart w:id="5" w:name="DocRef2"/>
    <w:bookmarkEnd w:id="5"/>
    <w:r w:rsidRPr="00C458ED">
      <w:rPr>
        <w:sz w:val="22"/>
        <w:szCs w:val="22"/>
      </w:rPr>
      <w:t>TDAG1</w:t>
    </w:r>
    <w:r>
      <w:rPr>
        <w:sz w:val="22"/>
        <w:szCs w:val="22"/>
      </w:rPr>
      <w:t>5</w:t>
    </w:r>
    <w:r w:rsidRPr="00C458ED">
      <w:rPr>
        <w:sz w:val="22"/>
        <w:szCs w:val="22"/>
      </w:rPr>
      <w:t>-</w:t>
    </w:r>
    <w:r>
      <w:rPr>
        <w:sz w:val="22"/>
        <w:szCs w:val="22"/>
      </w:rPr>
      <w:t>20</w:t>
    </w:r>
    <w:r w:rsidRPr="00C458ED">
      <w:rPr>
        <w:sz w:val="22"/>
        <w:szCs w:val="22"/>
      </w:rPr>
      <w:t>/</w:t>
    </w:r>
    <w:bookmarkStart w:id="6" w:name="DocNo2"/>
    <w:bookmarkEnd w:id="6"/>
    <w:r w:rsidRPr="00C458ED">
      <w:rPr>
        <w:sz w:val="22"/>
        <w:szCs w:val="22"/>
      </w:rPr>
      <w:t>x-F</w:t>
    </w:r>
    <w:r w:rsidRPr="00972BCD">
      <w:rPr>
        <w:sz w:val="22"/>
        <w:szCs w:val="22"/>
      </w:rPr>
      <w:tab/>
      <w:t xml:space="preserve">Page </w:t>
    </w:r>
    <w:r w:rsidRPr="00972BCD">
      <w:rPr>
        <w:sz w:val="22"/>
        <w:szCs w:val="22"/>
      </w:rPr>
      <w:fldChar w:fldCharType="begin"/>
    </w:r>
    <w:r w:rsidRPr="00972BCD">
      <w:rPr>
        <w:sz w:val="22"/>
        <w:szCs w:val="22"/>
      </w:rPr>
      <w:instrText xml:space="preserve"> PAGE </w:instrText>
    </w:r>
    <w:r w:rsidRPr="00972BCD">
      <w:rPr>
        <w:sz w:val="22"/>
        <w:szCs w:val="22"/>
      </w:rPr>
      <w:fldChar w:fldCharType="separate"/>
    </w:r>
    <w:r>
      <w:rPr>
        <w:noProof/>
        <w:sz w:val="22"/>
        <w:szCs w:val="22"/>
      </w:rPr>
      <w:t>2</w:t>
    </w:r>
    <w:r w:rsidRPr="00972BCD">
      <w:rPr>
        <w:sz w:val="22"/>
        <w:szCs w:val="22"/>
      </w:rPr>
      <w:fldChar w:fldCharType="end"/>
    </w:r>
  </w:p>
  <w:p w:rsidR="00DF0748" w:rsidRDefault="00DF0748" w:rsidP="00DF074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8" w:rsidRDefault="00DF0748">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DF0748" w:rsidRDefault="00DF0748">
    <w:pPr>
      <w:pStyle w:val="Header"/>
    </w:pPr>
    <w:r>
      <w:t>C2001/#-F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405877"/>
      <w:docPartObj>
        <w:docPartGallery w:val="Page Numbers (Top of Page)"/>
        <w:docPartUnique/>
      </w:docPartObj>
    </w:sdtPr>
    <w:sdtEndPr>
      <w:rPr>
        <w:noProof/>
      </w:rPr>
    </w:sdtEndPr>
    <w:sdtContent>
      <w:p w:rsidR="00B94C7E" w:rsidRDefault="00B94C7E">
        <w:pPr>
          <w:pStyle w:val="Header"/>
        </w:pPr>
        <w:r>
          <w:fldChar w:fldCharType="begin"/>
        </w:r>
        <w:r>
          <w:instrText xml:space="preserve"> PAGE   \* MERGEFORMAT </w:instrText>
        </w:r>
        <w:r>
          <w:fldChar w:fldCharType="separate"/>
        </w:r>
        <w:r w:rsidR="00291C41">
          <w:rPr>
            <w:noProof/>
          </w:rPr>
          <w:t>2</w:t>
        </w:r>
        <w:r>
          <w:rPr>
            <w:noProof/>
          </w:rPr>
          <w:fldChar w:fldCharType="end"/>
        </w:r>
      </w:p>
    </w:sdtContent>
  </w:sdt>
  <w:p w:rsidR="00DF0748" w:rsidRPr="00B94C7E" w:rsidRDefault="00B94C7E" w:rsidP="00B94C7E">
    <w:pPr>
      <w:pStyle w:val="Header"/>
      <w:rPr>
        <w:rFonts w:eastAsia="SimHei"/>
      </w:rPr>
    </w:pPr>
    <w:r>
      <w:rPr>
        <w:rFonts w:eastAsia="SimHei"/>
      </w:rPr>
      <w:t>RAG15-1/24-F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8" w:rsidRDefault="00DF0748">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48" w:rsidRDefault="00DF0748" w:rsidP="00925627">
    <w:pPr>
      <w:pStyle w:val="Header"/>
      <w:rPr>
        <w:lang w:val="es-ES"/>
      </w:rPr>
    </w:pPr>
    <w:r>
      <w:fldChar w:fldCharType="begin"/>
    </w:r>
    <w:r>
      <w:instrText xml:space="preserve"> PAGE </w:instrText>
    </w:r>
    <w:r>
      <w:fldChar w:fldCharType="separate"/>
    </w:r>
    <w:r w:rsidR="00291C41">
      <w:rPr>
        <w:noProof/>
      </w:rPr>
      <w:t>23</w:t>
    </w:r>
    <w:r>
      <w:rPr>
        <w:noProof/>
      </w:rPr>
      <w:fldChar w:fldCharType="end"/>
    </w:r>
  </w:p>
  <w:p w:rsidR="00DF0748" w:rsidRDefault="00DF0748" w:rsidP="00B94C7E">
    <w:pPr>
      <w:pStyle w:val="Header"/>
      <w:rPr>
        <w:lang w:val="es-ES"/>
      </w:rPr>
    </w:pPr>
    <w:r>
      <w:rPr>
        <w:lang w:val="es-ES"/>
      </w:rPr>
      <w:t>RAG15</w:t>
    </w:r>
    <w:r w:rsidR="00BD1B15">
      <w:rPr>
        <w:lang w:val="es-ES"/>
      </w:rPr>
      <w:t>-1</w:t>
    </w:r>
    <w:r>
      <w:rPr>
        <w:lang w:val="es-ES"/>
      </w:rPr>
      <w:t>/</w:t>
    </w:r>
    <w:r w:rsidR="00B94C7E">
      <w:rPr>
        <w:lang w:val="es-ES"/>
      </w:rPr>
      <w:t>24</w:t>
    </w:r>
    <w:r>
      <w:rPr>
        <w:lang w:val="es-ES"/>
      </w:rPr>
      <w:t>-F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769145"/>
      <w:docPartObj>
        <w:docPartGallery w:val="Page Numbers (Top of Page)"/>
        <w:docPartUnique/>
      </w:docPartObj>
    </w:sdtPr>
    <w:sdtEndPr>
      <w:rPr>
        <w:noProof/>
      </w:rPr>
    </w:sdtEndPr>
    <w:sdtContent>
      <w:p w:rsidR="00291C41" w:rsidRDefault="00291C41">
        <w:pPr>
          <w:pStyle w:val="Header"/>
        </w:pPr>
        <w:r>
          <w:fldChar w:fldCharType="begin"/>
        </w:r>
        <w:r>
          <w:instrText xml:space="preserve"> PAGE   \* MERGEFORMAT </w:instrText>
        </w:r>
        <w:r>
          <w:fldChar w:fldCharType="separate"/>
        </w:r>
        <w:r>
          <w:rPr>
            <w:noProof/>
          </w:rPr>
          <w:t>3</w:t>
        </w:r>
        <w:r>
          <w:rPr>
            <w:noProof/>
          </w:rPr>
          <w:fldChar w:fldCharType="end"/>
        </w:r>
      </w:p>
    </w:sdtContent>
  </w:sdt>
  <w:p w:rsidR="00291C41" w:rsidRDefault="00291C41" w:rsidP="00291C41">
    <w:pPr>
      <w:pStyle w:val="Header"/>
    </w:pPr>
    <w:r>
      <w:t>RAG15-1/24-F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nsid w:val="21CF40C8"/>
    <w:multiLevelType w:val="hybridMultilevel"/>
    <w:tmpl w:val="4A3E8B6A"/>
    <w:lvl w:ilvl="0" w:tplc="F728516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A288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3"/>
  </w:num>
  <w:num w:numId="4">
    <w:abstractNumId w:val="20"/>
  </w:num>
  <w:num w:numId="5">
    <w:abstractNumId w:val="18"/>
  </w:num>
  <w:num w:numId="6">
    <w:abstractNumId w:val="24"/>
  </w:num>
  <w:num w:numId="7">
    <w:abstractNumId w:val="8"/>
  </w:num>
  <w:num w:numId="8">
    <w:abstractNumId w:val="9"/>
  </w:num>
  <w:num w:numId="9">
    <w:abstractNumId w:val="6"/>
  </w:num>
  <w:num w:numId="10">
    <w:abstractNumId w:val="25"/>
  </w:num>
  <w:num w:numId="11">
    <w:abstractNumId w:val="4"/>
  </w:num>
  <w:num w:numId="12">
    <w:abstractNumId w:val="5"/>
  </w:num>
  <w:num w:numId="13">
    <w:abstractNumId w:val="14"/>
  </w:num>
  <w:num w:numId="14">
    <w:abstractNumId w:val="7"/>
  </w:num>
  <w:num w:numId="15">
    <w:abstractNumId w:val="23"/>
  </w:num>
  <w:num w:numId="16">
    <w:abstractNumId w:val="16"/>
  </w:num>
  <w:num w:numId="17">
    <w:abstractNumId w:val="3"/>
  </w:num>
  <w:num w:numId="18">
    <w:abstractNumId w:val="11"/>
  </w:num>
  <w:num w:numId="19">
    <w:abstractNumId w:val="26"/>
  </w:num>
  <w:num w:numId="20">
    <w:abstractNumId w:val="1"/>
  </w:num>
  <w:num w:numId="21">
    <w:abstractNumId w:val="21"/>
  </w:num>
  <w:num w:numId="22">
    <w:abstractNumId w:val="22"/>
  </w:num>
  <w:num w:numId="23">
    <w:abstractNumId w:val="27"/>
  </w:num>
  <w:num w:numId="24">
    <w:abstractNumId w:val="17"/>
  </w:num>
  <w:num w:numId="25">
    <w:abstractNumId w:val="12"/>
  </w:num>
  <w:num w:numId="26">
    <w:abstractNumId w:val="0"/>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58E"/>
    <w:rsid w:val="00140AE6"/>
    <w:rsid w:val="00291C41"/>
    <w:rsid w:val="002D238A"/>
    <w:rsid w:val="003A6CEE"/>
    <w:rsid w:val="005430E4"/>
    <w:rsid w:val="0067019B"/>
    <w:rsid w:val="00677EE5"/>
    <w:rsid w:val="00694DEF"/>
    <w:rsid w:val="00773E5E"/>
    <w:rsid w:val="00847AAC"/>
    <w:rsid w:val="0092458E"/>
    <w:rsid w:val="00925627"/>
    <w:rsid w:val="0093101F"/>
    <w:rsid w:val="0097156E"/>
    <w:rsid w:val="00A9055C"/>
    <w:rsid w:val="00AB7F92"/>
    <w:rsid w:val="00AC39EE"/>
    <w:rsid w:val="00B41D84"/>
    <w:rsid w:val="00B94C7E"/>
    <w:rsid w:val="00BA0C7B"/>
    <w:rsid w:val="00BD1B15"/>
    <w:rsid w:val="00CC5B9E"/>
    <w:rsid w:val="00CC7208"/>
    <w:rsid w:val="00D228F7"/>
    <w:rsid w:val="00DF0748"/>
    <w:rsid w:val="00E2659D"/>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B5E97C-94E4-43ED-85CA-2F07899A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uiPriority w:val="9"/>
    <w:qFormat/>
    <w:pPr>
      <w:tabs>
        <w:tab w:val="clear" w:pos="794"/>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 w:val="clear" w:pos="119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uiPriority w:val="99"/>
    <w:rsid w:val="00BA0C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A0C7B"/>
    <w:rPr>
      <w:rFonts w:ascii="Tahoma" w:hAnsi="Tahoma" w:cs="Tahoma"/>
      <w:sz w:val="16"/>
      <w:szCs w:val="16"/>
      <w:lang w:val="fr-FR" w:eastAsia="en-US"/>
    </w:rPr>
  </w:style>
  <w:style w:type="character" w:customStyle="1" w:styleId="Heading1Char">
    <w:name w:val="Heading 1 Char"/>
    <w:basedOn w:val="DefaultParagraphFont"/>
    <w:link w:val="Heading1"/>
    <w:uiPriority w:val="9"/>
    <w:rsid w:val="0092458E"/>
    <w:rPr>
      <w:rFonts w:ascii="Times New Roman" w:hAnsi="Times New Roman"/>
      <w:b/>
      <w:sz w:val="24"/>
      <w:lang w:val="fr-FR" w:eastAsia="en-US"/>
    </w:rPr>
  </w:style>
  <w:style w:type="character" w:customStyle="1" w:styleId="Heading2Char">
    <w:name w:val="Heading 2 Char"/>
    <w:basedOn w:val="DefaultParagraphFont"/>
    <w:link w:val="Heading2"/>
    <w:uiPriority w:val="9"/>
    <w:rsid w:val="0092458E"/>
    <w:rPr>
      <w:rFonts w:ascii="Times New Roman" w:hAnsi="Times New Roman"/>
      <w:b/>
      <w:sz w:val="24"/>
      <w:lang w:val="fr-FR" w:eastAsia="en-US"/>
    </w:rPr>
  </w:style>
  <w:style w:type="character" w:customStyle="1" w:styleId="Heading3Char">
    <w:name w:val="Heading 3 Char"/>
    <w:basedOn w:val="DefaultParagraphFont"/>
    <w:link w:val="Heading3"/>
    <w:uiPriority w:val="9"/>
    <w:rsid w:val="0092458E"/>
    <w:rPr>
      <w:rFonts w:ascii="Times New Roman" w:hAnsi="Times New Roman"/>
      <w:b/>
      <w:sz w:val="24"/>
      <w:lang w:val="fr-FR" w:eastAsia="en-US"/>
    </w:rPr>
  </w:style>
  <w:style w:type="character" w:customStyle="1" w:styleId="Heading4Char">
    <w:name w:val="Heading 4 Char"/>
    <w:basedOn w:val="DefaultParagraphFont"/>
    <w:link w:val="Heading4"/>
    <w:uiPriority w:val="9"/>
    <w:rsid w:val="0092458E"/>
    <w:rPr>
      <w:rFonts w:ascii="Times New Roman" w:hAnsi="Times New Roman"/>
      <w:b/>
      <w:sz w:val="24"/>
      <w:lang w:val="fr-FR" w:eastAsia="en-US"/>
    </w:rPr>
  </w:style>
  <w:style w:type="character" w:customStyle="1" w:styleId="Heading5Char">
    <w:name w:val="Heading 5 Char"/>
    <w:basedOn w:val="DefaultParagraphFont"/>
    <w:link w:val="Heading5"/>
    <w:uiPriority w:val="9"/>
    <w:rsid w:val="0092458E"/>
    <w:rPr>
      <w:rFonts w:ascii="Times New Roman" w:hAnsi="Times New Roman"/>
      <w:b/>
      <w:sz w:val="24"/>
      <w:lang w:val="fr-FR" w:eastAsia="en-US"/>
    </w:rPr>
  </w:style>
  <w:style w:type="character" w:customStyle="1" w:styleId="Heading6Char">
    <w:name w:val="Heading 6 Char"/>
    <w:basedOn w:val="DefaultParagraphFont"/>
    <w:link w:val="Heading6"/>
    <w:uiPriority w:val="9"/>
    <w:rsid w:val="0092458E"/>
    <w:rPr>
      <w:rFonts w:ascii="Times New Roman" w:hAnsi="Times New Roman"/>
      <w:b/>
      <w:sz w:val="24"/>
      <w:lang w:val="fr-FR" w:eastAsia="en-US"/>
    </w:rPr>
  </w:style>
  <w:style w:type="character" w:customStyle="1" w:styleId="Heading7Char">
    <w:name w:val="Heading 7 Char"/>
    <w:basedOn w:val="DefaultParagraphFont"/>
    <w:link w:val="Heading7"/>
    <w:uiPriority w:val="9"/>
    <w:rsid w:val="0092458E"/>
    <w:rPr>
      <w:rFonts w:ascii="Times New Roman" w:hAnsi="Times New Roman"/>
      <w:b/>
      <w:sz w:val="24"/>
      <w:lang w:val="fr-FR" w:eastAsia="en-US"/>
    </w:rPr>
  </w:style>
  <w:style w:type="character" w:customStyle="1" w:styleId="Heading8Char">
    <w:name w:val="Heading 8 Char"/>
    <w:basedOn w:val="DefaultParagraphFont"/>
    <w:link w:val="Heading8"/>
    <w:uiPriority w:val="9"/>
    <w:rsid w:val="0092458E"/>
    <w:rPr>
      <w:rFonts w:ascii="Times New Roman" w:hAnsi="Times New Roman"/>
      <w:b/>
      <w:sz w:val="24"/>
      <w:lang w:val="fr-FR" w:eastAsia="en-US"/>
    </w:rPr>
  </w:style>
  <w:style w:type="character" w:customStyle="1" w:styleId="Heading9Char">
    <w:name w:val="Heading 9 Char"/>
    <w:basedOn w:val="DefaultParagraphFont"/>
    <w:link w:val="Heading9"/>
    <w:uiPriority w:val="9"/>
    <w:rsid w:val="0092458E"/>
    <w:rPr>
      <w:rFonts w:ascii="Times New Roman" w:hAnsi="Times New Roman"/>
      <w:b/>
      <w:sz w:val="24"/>
      <w:lang w:val="fr-FR" w:eastAsia="en-US"/>
    </w:rPr>
  </w:style>
  <w:style w:type="character" w:customStyle="1" w:styleId="HeaderChar">
    <w:name w:val="Header Char"/>
    <w:basedOn w:val="DefaultParagraphFont"/>
    <w:link w:val="Header"/>
    <w:uiPriority w:val="99"/>
    <w:rsid w:val="0092458E"/>
    <w:rPr>
      <w:rFonts w:ascii="Times New Roman" w:hAnsi="Times New Roman"/>
      <w:sz w:val="18"/>
      <w:lang w:val="fr-FR" w:eastAsia="en-US"/>
    </w:rPr>
  </w:style>
  <w:style w:type="character" w:customStyle="1" w:styleId="FooterChar">
    <w:name w:val="Footer Char"/>
    <w:basedOn w:val="DefaultParagraphFont"/>
    <w:link w:val="Footer"/>
    <w:rsid w:val="0092458E"/>
    <w:rPr>
      <w:rFonts w:ascii="Times New Roman" w:hAnsi="Times New Roman"/>
      <w:caps/>
      <w:noProof/>
      <w:sz w:val="16"/>
      <w:lang w:val="fr-FR" w:eastAsia="en-US"/>
    </w:rPr>
  </w:style>
  <w:style w:type="table" w:styleId="TableGrid">
    <w:name w:val="Table Grid"/>
    <w:basedOn w:val="TableNormal"/>
    <w:uiPriority w:val="39"/>
    <w:rsid w:val="009245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aliases w:val="CEO_Hyperlink"/>
    <w:uiPriority w:val="99"/>
    <w:qFormat/>
    <w:rsid w:val="0092458E"/>
    <w:rPr>
      <w:rFonts w:asciiTheme="minorHAnsi" w:hAnsiTheme="minorHAnsi" w:cs="Simplified Arabic"/>
      <w:color w:val="0000FF"/>
      <w:sz w:val="22"/>
      <w:szCs w:val="22"/>
      <w:u w:val="single"/>
      <w:lang w:val="en-US"/>
    </w:rPr>
  </w:style>
  <w:style w:type="paragraph" w:customStyle="1" w:styleId="AnnexNo">
    <w:name w:val="Annex_No"/>
    <w:basedOn w:val="Normal"/>
    <w:next w:val="Normal"/>
    <w:rsid w:val="0092458E"/>
    <w:pPr>
      <w:keepNext/>
      <w:keepLines/>
      <w:spacing w:before="480" w:after="80"/>
      <w:jc w:val="center"/>
    </w:pPr>
    <w:rPr>
      <w:rFonts w:asciiTheme="minorHAnsi" w:hAnsiTheme="minorHAnsi"/>
      <w:caps/>
      <w:sz w:val="28"/>
    </w:rPr>
  </w:style>
  <w:style w:type="paragraph" w:customStyle="1" w:styleId="Annexref">
    <w:name w:val="Annex_ref"/>
    <w:basedOn w:val="Normal"/>
    <w:next w:val="Normal"/>
    <w:rsid w:val="0092458E"/>
    <w:pPr>
      <w:keepNext/>
      <w:keepLines/>
      <w:spacing w:after="280"/>
      <w:jc w:val="center"/>
    </w:pPr>
    <w:rPr>
      <w:rFonts w:asciiTheme="minorHAnsi" w:hAnsiTheme="minorHAnsi"/>
    </w:rPr>
  </w:style>
  <w:style w:type="paragraph" w:customStyle="1" w:styleId="Annextitle">
    <w:name w:val="Annex_title"/>
    <w:basedOn w:val="Normal"/>
    <w:next w:val="Normal"/>
    <w:rsid w:val="0092458E"/>
    <w:pPr>
      <w:keepNext/>
      <w:keepLines/>
      <w:spacing w:before="240" w:after="280"/>
      <w:jc w:val="center"/>
    </w:pPr>
    <w:rPr>
      <w:rFonts w:asciiTheme="minorHAnsi" w:hAnsiTheme="minorHAnsi"/>
      <w:b/>
      <w:sz w:val="28"/>
    </w:rPr>
  </w:style>
  <w:style w:type="paragraph" w:customStyle="1" w:styleId="AppendixNo">
    <w:name w:val="Appendix_No"/>
    <w:basedOn w:val="AnnexNo"/>
    <w:next w:val="Annexref"/>
    <w:rsid w:val="0092458E"/>
  </w:style>
  <w:style w:type="paragraph" w:customStyle="1" w:styleId="Appendixref">
    <w:name w:val="Appendix_ref"/>
    <w:basedOn w:val="Annexref"/>
    <w:next w:val="Annextitle"/>
    <w:rsid w:val="0092458E"/>
  </w:style>
  <w:style w:type="paragraph" w:customStyle="1" w:styleId="Appendixtitle">
    <w:name w:val="Appendix_title"/>
    <w:basedOn w:val="Annextitle"/>
    <w:next w:val="Normal"/>
    <w:rsid w:val="0092458E"/>
  </w:style>
  <w:style w:type="paragraph" w:customStyle="1" w:styleId="CEOcontributionStart">
    <w:name w:val="CEO_contributionStart"/>
    <w:next w:val="Normal"/>
    <w:rsid w:val="0092458E"/>
    <w:pPr>
      <w:spacing w:before="360" w:after="120"/>
    </w:pPr>
    <w:rPr>
      <w:rFonts w:ascii="Calibri" w:eastAsia="SimHei" w:hAnsi="Calibri" w:cs="Simplified Arabic"/>
      <w:sz w:val="24"/>
      <w:szCs w:val="28"/>
      <w:lang w:val="en-GB" w:eastAsia="en-US"/>
    </w:rPr>
  </w:style>
  <w:style w:type="paragraph" w:customStyle="1" w:styleId="Committee">
    <w:name w:val="Committee"/>
    <w:basedOn w:val="Normal"/>
    <w:qFormat/>
    <w:rsid w:val="0092458E"/>
    <w:rPr>
      <w:rFonts w:asciiTheme="minorHAnsi" w:hAnsiTheme="minorHAnsi" w:cs="Times New Roman Bold"/>
      <w:b/>
      <w:caps/>
    </w:rPr>
  </w:style>
  <w:style w:type="paragraph" w:customStyle="1" w:styleId="ddate">
    <w:name w:val="ddate"/>
    <w:basedOn w:val="Normal"/>
    <w:rsid w:val="009245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rPr>
  </w:style>
  <w:style w:type="paragraph" w:customStyle="1" w:styleId="dnum">
    <w:name w:val="dnum"/>
    <w:basedOn w:val="Normal"/>
    <w:rsid w:val="009245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hAnsiTheme="minorHAnsi"/>
      <w:b/>
      <w:bCs/>
    </w:rPr>
  </w:style>
  <w:style w:type="paragraph" w:customStyle="1" w:styleId="dorlang">
    <w:name w:val="dorlang"/>
    <w:basedOn w:val="Normal"/>
    <w:rsid w:val="009245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rPr>
  </w:style>
  <w:style w:type="paragraph" w:customStyle="1" w:styleId="FigureNo">
    <w:name w:val="Figure_No"/>
    <w:basedOn w:val="Normal"/>
    <w:next w:val="Normal"/>
    <w:rsid w:val="0092458E"/>
    <w:pPr>
      <w:keepNext/>
      <w:keepLines/>
      <w:spacing w:before="480" w:after="120"/>
      <w:jc w:val="center"/>
    </w:pPr>
    <w:rPr>
      <w:rFonts w:asciiTheme="minorHAnsi" w:hAnsiTheme="minorHAnsi"/>
      <w:caps/>
      <w:lang w:val="en-GB"/>
    </w:rPr>
  </w:style>
  <w:style w:type="paragraph" w:customStyle="1" w:styleId="Tabletitle">
    <w:name w:val="Table_title"/>
    <w:basedOn w:val="Normal"/>
    <w:next w:val="Normal"/>
    <w:rsid w:val="0092458E"/>
    <w:pPr>
      <w:keepNext/>
      <w:keepLines/>
      <w:spacing w:before="0" w:after="120"/>
      <w:jc w:val="center"/>
    </w:pPr>
    <w:rPr>
      <w:rFonts w:asciiTheme="minorHAnsi" w:hAnsiTheme="minorHAnsi"/>
      <w:b/>
      <w:lang w:val="en-GB"/>
    </w:rPr>
  </w:style>
  <w:style w:type="paragraph" w:customStyle="1" w:styleId="Figuretitle">
    <w:name w:val="Figure_title"/>
    <w:basedOn w:val="Tabletitle"/>
    <w:next w:val="Normal"/>
    <w:rsid w:val="0092458E"/>
    <w:pPr>
      <w:keepNext w:val="0"/>
      <w:spacing w:after="480"/>
    </w:pPr>
  </w:style>
  <w:style w:type="character" w:customStyle="1" w:styleId="FootnoteTextChar">
    <w:name w:val="Footnote Text Char"/>
    <w:basedOn w:val="DefaultParagraphFont"/>
    <w:link w:val="FootnoteText"/>
    <w:rsid w:val="0092458E"/>
    <w:rPr>
      <w:rFonts w:ascii="Times New Roman" w:hAnsi="Times New Roman"/>
      <w:sz w:val="24"/>
      <w:lang w:val="fr-FR" w:eastAsia="en-US"/>
    </w:rPr>
  </w:style>
  <w:style w:type="paragraph" w:styleId="Index4">
    <w:name w:val="index 4"/>
    <w:basedOn w:val="Normal"/>
    <w:next w:val="Normal"/>
    <w:rsid w:val="0092458E"/>
    <w:pPr>
      <w:ind w:left="849"/>
    </w:pPr>
    <w:rPr>
      <w:rFonts w:asciiTheme="minorHAnsi" w:hAnsiTheme="minorHAnsi"/>
    </w:rPr>
  </w:style>
  <w:style w:type="paragraph" w:styleId="Index5">
    <w:name w:val="index 5"/>
    <w:basedOn w:val="Normal"/>
    <w:next w:val="Normal"/>
    <w:rsid w:val="0092458E"/>
    <w:pPr>
      <w:ind w:left="1132"/>
    </w:pPr>
    <w:rPr>
      <w:rFonts w:asciiTheme="minorHAnsi" w:hAnsiTheme="minorHAnsi"/>
    </w:rPr>
  </w:style>
  <w:style w:type="paragraph" w:styleId="Index6">
    <w:name w:val="index 6"/>
    <w:basedOn w:val="Normal"/>
    <w:next w:val="Normal"/>
    <w:rsid w:val="0092458E"/>
    <w:pPr>
      <w:ind w:left="1415"/>
    </w:pPr>
    <w:rPr>
      <w:rFonts w:asciiTheme="minorHAnsi" w:hAnsiTheme="minorHAnsi"/>
    </w:rPr>
  </w:style>
  <w:style w:type="paragraph" w:styleId="Index7">
    <w:name w:val="index 7"/>
    <w:basedOn w:val="Normal"/>
    <w:next w:val="Normal"/>
    <w:rsid w:val="0092458E"/>
    <w:pPr>
      <w:ind w:left="1698"/>
    </w:pPr>
    <w:rPr>
      <w:rFonts w:asciiTheme="minorHAnsi" w:hAnsiTheme="minorHAnsi"/>
    </w:rPr>
  </w:style>
  <w:style w:type="paragraph" w:styleId="IndexHeading">
    <w:name w:val="index heading"/>
    <w:basedOn w:val="Normal"/>
    <w:next w:val="Index1"/>
    <w:rsid w:val="0092458E"/>
    <w:rPr>
      <w:rFonts w:asciiTheme="minorHAnsi" w:hAnsiTheme="minorHAnsi"/>
    </w:rPr>
  </w:style>
  <w:style w:type="character" w:styleId="LineNumber">
    <w:name w:val="line number"/>
    <w:rsid w:val="0092458E"/>
    <w:rPr>
      <w:rFonts w:asciiTheme="minorHAnsi" w:hAnsiTheme="minorHAnsi"/>
    </w:rPr>
  </w:style>
  <w:style w:type="paragraph" w:customStyle="1" w:styleId="Normalaftertitle0">
    <w:name w:val="Normal after title"/>
    <w:basedOn w:val="Normal"/>
    <w:next w:val="Normal"/>
    <w:rsid w:val="0092458E"/>
    <w:pPr>
      <w:spacing w:before="280"/>
    </w:pPr>
    <w:rPr>
      <w:rFonts w:asciiTheme="minorHAnsi" w:hAnsiTheme="minorHAnsi"/>
    </w:rPr>
  </w:style>
  <w:style w:type="paragraph" w:styleId="NormalIndent">
    <w:name w:val="Normal Indent"/>
    <w:basedOn w:val="Normal"/>
    <w:rsid w:val="0092458E"/>
    <w:pPr>
      <w:ind w:left="794"/>
    </w:pPr>
    <w:rPr>
      <w:rFonts w:asciiTheme="minorHAnsi" w:hAnsiTheme="minorHAnsi"/>
    </w:rPr>
  </w:style>
  <w:style w:type="paragraph" w:customStyle="1" w:styleId="TableNo">
    <w:name w:val="Table_No"/>
    <w:basedOn w:val="Normal"/>
    <w:next w:val="Tabletitle"/>
    <w:rsid w:val="0092458E"/>
    <w:pPr>
      <w:keepNext/>
      <w:spacing w:before="560" w:after="120"/>
      <w:jc w:val="center"/>
    </w:pPr>
    <w:rPr>
      <w:rFonts w:asciiTheme="minorHAnsi" w:hAnsiTheme="minorHAnsi"/>
      <w:caps/>
      <w:lang w:val="en-GB"/>
    </w:rPr>
  </w:style>
  <w:style w:type="paragraph" w:styleId="TOC9">
    <w:name w:val="toc 9"/>
    <w:basedOn w:val="TOC3"/>
    <w:rsid w:val="0092458E"/>
    <w:pPr>
      <w:keepLines/>
      <w:tabs>
        <w:tab w:val="clear" w:pos="8789"/>
        <w:tab w:val="clear" w:pos="9639"/>
        <w:tab w:val="left" w:leader="dot" w:pos="8647"/>
        <w:tab w:val="center" w:pos="9526"/>
      </w:tabs>
      <w:spacing w:before="120"/>
      <w:ind w:left="964" w:right="0" w:hanging="964"/>
    </w:pPr>
    <w:rPr>
      <w:rFonts w:asciiTheme="minorHAnsi" w:hAnsiTheme="minorHAnsi"/>
      <w:lang w:val="en-GB"/>
    </w:rPr>
  </w:style>
  <w:style w:type="paragraph" w:customStyle="1" w:styleId="Head">
    <w:name w:val="Head"/>
    <w:basedOn w:val="Normal"/>
    <w:rsid w:val="0092458E"/>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eastAsia="Batang" w:hAnsi="Calibri"/>
    </w:rPr>
  </w:style>
  <w:style w:type="paragraph" w:styleId="List">
    <w:name w:val="List"/>
    <w:basedOn w:val="Normal"/>
    <w:rsid w:val="0092458E"/>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eastAsia="Batang" w:hAnsi="Calibri"/>
    </w:rPr>
  </w:style>
  <w:style w:type="paragraph" w:customStyle="1" w:styleId="docnoted">
    <w:name w:val="docnoted"/>
    <w:basedOn w:val="Normal"/>
    <w:rsid w:val="0092458E"/>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eastAsia="Batang" w:hAnsi="Calibri"/>
      <w:sz w:val="20"/>
    </w:rPr>
  </w:style>
  <w:style w:type="paragraph" w:customStyle="1" w:styleId="Part">
    <w:name w:val="Part"/>
    <w:basedOn w:val="Normal"/>
    <w:rsid w:val="0092458E"/>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eastAsia="Batang" w:hAnsi="Calibri"/>
      <w:caps/>
    </w:rPr>
  </w:style>
  <w:style w:type="paragraph" w:customStyle="1" w:styleId="Reasons">
    <w:name w:val="Reasons"/>
    <w:basedOn w:val="Normal"/>
    <w:qFormat/>
    <w:rsid w:val="0092458E"/>
    <w:pPr>
      <w:tabs>
        <w:tab w:val="clear" w:pos="794"/>
        <w:tab w:val="clear" w:pos="1191"/>
        <w:tab w:val="clear" w:pos="1588"/>
        <w:tab w:val="clear" w:pos="1985"/>
        <w:tab w:val="left" w:pos="567"/>
        <w:tab w:val="left" w:pos="1134"/>
        <w:tab w:val="left" w:pos="1701"/>
        <w:tab w:val="left" w:pos="2268"/>
        <w:tab w:val="left" w:pos="2835"/>
      </w:tabs>
    </w:pPr>
    <w:rPr>
      <w:rFonts w:ascii="Calibri" w:eastAsia="Batang" w:hAnsi="Calibri"/>
    </w:rPr>
  </w:style>
  <w:style w:type="paragraph" w:customStyle="1" w:styleId="meeting">
    <w:name w:val="meeting"/>
    <w:basedOn w:val="Head"/>
    <w:next w:val="Head"/>
    <w:rsid w:val="0092458E"/>
    <w:pPr>
      <w:tabs>
        <w:tab w:val="left" w:pos="7371"/>
      </w:tabs>
      <w:spacing w:after="567"/>
    </w:pPr>
  </w:style>
  <w:style w:type="paragraph" w:customStyle="1" w:styleId="Subject">
    <w:name w:val="Subject"/>
    <w:basedOn w:val="Normal"/>
    <w:next w:val="Source"/>
    <w:rsid w:val="0092458E"/>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eastAsia="Batang" w:hAnsi="Calibri"/>
    </w:rPr>
  </w:style>
  <w:style w:type="paragraph" w:customStyle="1" w:styleId="Object">
    <w:name w:val="Object"/>
    <w:basedOn w:val="Subject"/>
    <w:next w:val="Subject"/>
    <w:rsid w:val="0092458E"/>
  </w:style>
  <w:style w:type="paragraph" w:customStyle="1" w:styleId="Data">
    <w:name w:val="Data"/>
    <w:basedOn w:val="Subject"/>
    <w:next w:val="Subject"/>
    <w:rsid w:val="0092458E"/>
  </w:style>
  <w:style w:type="character" w:styleId="FollowedHyperlink">
    <w:name w:val="FollowedHyperlink"/>
    <w:basedOn w:val="DefaultParagraphFont"/>
    <w:uiPriority w:val="99"/>
    <w:rsid w:val="0092458E"/>
    <w:rPr>
      <w:color w:val="800080"/>
      <w:u w:val="single"/>
    </w:rPr>
  </w:style>
  <w:style w:type="paragraph" w:customStyle="1" w:styleId="firstfooter0">
    <w:name w:val="firstfooter"/>
    <w:basedOn w:val="Normal"/>
    <w:rsid w:val="00924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92458E"/>
    <w:pPr>
      <w:keepNext/>
      <w:overflowPunct/>
      <w:autoSpaceDE/>
      <w:autoSpaceDN/>
      <w:adjustRightInd/>
      <w:spacing w:before="560" w:after="120"/>
      <w:jc w:val="center"/>
      <w:textAlignment w:val="auto"/>
    </w:pPr>
    <w:rPr>
      <w:rFonts w:eastAsia="Batang"/>
      <w:caps/>
      <w:lang w:val="en-GB"/>
    </w:rPr>
  </w:style>
  <w:style w:type="paragraph" w:styleId="Title">
    <w:name w:val="Title"/>
    <w:basedOn w:val="Normal"/>
    <w:next w:val="Normal"/>
    <w:link w:val="TitleChar"/>
    <w:uiPriority w:val="10"/>
    <w:qFormat/>
    <w:rsid w:val="0092458E"/>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92458E"/>
    <w:rPr>
      <w:rFonts w:asciiTheme="majorHAnsi" w:eastAsiaTheme="majorEastAsia" w:hAnsiTheme="majorHAnsi" w:cstheme="majorBidi"/>
      <w:spacing w:val="-10"/>
      <w:kern w:val="28"/>
      <w:sz w:val="52"/>
      <w:szCs w:val="56"/>
      <w:lang w:eastAsia="en-US"/>
    </w:rPr>
  </w:style>
  <w:style w:type="character" w:styleId="Strong">
    <w:name w:val="Strong"/>
    <w:basedOn w:val="DefaultParagraphFont"/>
    <w:uiPriority w:val="22"/>
    <w:qFormat/>
    <w:rsid w:val="0092458E"/>
    <w:rPr>
      <w:b/>
      <w:bCs/>
    </w:rPr>
  </w:style>
  <w:style w:type="paragraph" w:styleId="ListParagraph">
    <w:name w:val="List Paragraph"/>
    <w:basedOn w:val="Normal"/>
    <w:uiPriority w:val="34"/>
    <w:qFormat/>
    <w:rsid w:val="0092458E"/>
    <w:pPr>
      <w:tabs>
        <w:tab w:val="clear" w:pos="794"/>
        <w:tab w:val="clear" w:pos="1191"/>
        <w:tab w:val="clear" w:pos="1588"/>
        <w:tab w:val="clear" w:pos="198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IntenseQuote">
    <w:name w:val="Intense Quote"/>
    <w:basedOn w:val="Normal"/>
    <w:next w:val="Normal"/>
    <w:link w:val="IntenseQuoteChar"/>
    <w:uiPriority w:val="30"/>
    <w:qFormat/>
    <w:rsid w:val="0092458E"/>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92458E"/>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92458E"/>
    <w:rPr>
      <w:b/>
      <w:bCs/>
      <w:smallCaps/>
      <w:color w:val="4F81BD" w:themeColor="accent1"/>
      <w:spacing w:val="5"/>
    </w:rPr>
  </w:style>
  <w:style w:type="character" w:styleId="SubtleReference">
    <w:name w:val="Subtle Reference"/>
    <w:basedOn w:val="DefaultParagraphFont"/>
    <w:uiPriority w:val="31"/>
    <w:qFormat/>
    <w:rsid w:val="0092458E"/>
    <w:rPr>
      <w:smallCaps/>
      <w:color w:val="5A5A5A" w:themeColor="text1" w:themeTint="A5"/>
    </w:rPr>
  </w:style>
  <w:style w:type="paragraph" w:customStyle="1" w:styleId="SimpleHeading">
    <w:name w:val="Simple Heading"/>
    <w:basedOn w:val="Normal"/>
    <w:link w:val="SimpleHeadingChar"/>
    <w:qFormat/>
    <w:rsid w:val="0092458E"/>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92458E"/>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92458E"/>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92458E"/>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92458E"/>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2458E"/>
    <w:rPr>
      <w:sz w:val="16"/>
      <w:szCs w:val="16"/>
    </w:rPr>
  </w:style>
  <w:style w:type="paragraph" w:styleId="CommentText">
    <w:name w:val="annotation text"/>
    <w:basedOn w:val="Normal"/>
    <w:link w:val="CommentTextChar"/>
    <w:uiPriority w:val="99"/>
    <w:semiHidden/>
    <w:unhideWhenUsed/>
    <w:rsid w:val="0092458E"/>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92458E"/>
    <w:rPr>
      <w:rFonts w:asciiTheme="minorHAnsi" w:eastAsiaTheme="minorHAnsi" w:hAnsiTheme="minorHAnsi" w:cstheme="minorBidi"/>
      <w:lang w:eastAsia="en-US"/>
    </w:rPr>
  </w:style>
  <w:style w:type="character" w:customStyle="1" w:styleId="CommentSubjectChar">
    <w:name w:val="Comment Subject Char"/>
    <w:basedOn w:val="CommentTextChar"/>
    <w:link w:val="CommentSubject"/>
    <w:uiPriority w:val="99"/>
    <w:semiHidden/>
    <w:rsid w:val="0092458E"/>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92458E"/>
    <w:rPr>
      <w:b/>
      <w:bCs/>
    </w:rPr>
  </w:style>
  <w:style w:type="character" w:customStyle="1" w:styleId="CommentSubjectChar1">
    <w:name w:val="Comment Subject Char1"/>
    <w:basedOn w:val="CommentTextChar"/>
    <w:semiHidden/>
    <w:rsid w:val="0092458E"/>
    <w:rPr>
      <w:rFonts w:asciiTheme="minorHAnsi" w:eastAsiaTheme="minorHAnsi" w:hAnsiTheme="minorHAnsi" w:cstheme="minorBidi"/>
      <w:b/>
      <w:bCs/>
      <w:lang w:eastAsia="en-US"/>
    </w:rPr>
  </w:style>
  <w:style w:type="paragraph" w:customStyle="1" w:styleId="Otherideas">
    <w:name w:val="Other ideas"/>
    <w:basedOn w:val="Heading2"/>
    <w:link w:val="OtherideasChar"/>
    <w:qFormat/>
    <w:rsid w:val="0092458E"/>
    <w:pPr>
      <w:numPr>
        <w:ilvl w:val="1"/>
      </w:numPr>
      <w:tabs>
        <w:tab w:val="clear" w:pos="794"/>
        <w:tab w:val="clear" w:pos="1191"/>
        <w:tab w:val="clear" w:pos="1588"/>
        <w:tab w:val="clear" w:pos="1985"/>
      </w:tabs>
      <w:overflowPunct/>
      <w:autoSpaceDE/>
      <w:autoSpaceDN/>
      <w:adjustRightInd/>
      <w:spacing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92458E"/>
    <w:rPr>
      <w:rFonts w:asciiTheme="majorHAnsi" w:eastAsiaTheme="majorEastAsia" w:hAnsiTheme="majorHAnsi" w:cstheme="majorBidi"/>
      <w:b w:val="0"/>
      <w:color w:val="E36C0A" w:themeColor="accent6" w:themeShade="BF"/>
      <w:sz w:val="26"/>
      <w:szCs w:val="26"/>
      <w:lang w:val="fr-FR" w:eastAsia="en-US"/>
    </w:rPr>
  </w:style>
  <w:style w:type="table" w:customStyle="1" w:styleId="GridTable4-Accent11">
    <w:name w:val="Grid Table 4 - Accent 11"/>
    <w:basedOn w:val="TableNormal"/>
    <w:uiPriority w:val="49"/>
    <w:rsid w:val="0092458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92458E"/>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92458E"/>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92458E"/>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92458E"/>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md/S15-CL-C-0039/en" TargetMode="Externa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image" Target="media/image1.png"/><Relationship Id="rId12" Type="http://schemas.openxmlformats.org/officeDocument/2006/relationships/hyperlink" Target="http://www.itu.int/council/Basic-Texts/convention-e.docx" TargetMode="External"/><Relationship Id="rId17" Type="http://schemas.openxmlformats.org/officeDocument/2006/relationships/header" Target="header3.xm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council/Basic-Texts/convention-e.docx" TargetMode="External"/><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dms_pub/itu-s/opb/conf/S-CONF-ACTF-2014-PDF-E.pdf" TargetMode="External"/><Relationship Id="rId23" Type="http://schemas.openxmlformats.org/officeDocument/2006/relationships/chart" Target="charts/chart1.xm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tu.int/council/Basic-Texts/convention-e.docx" TargetMode="External"/><Relationship Id="rId22" Type="http://schemas.openxmlformats.org/officeDocument/2006/relationships/package" Target="embeddings/Microsoft_PowerPoint_Slide1.sldx"/><Relationship Id="rId27" Type="http://schemas.openxmlformats.org/officeDocument/2006/relationships/header" Target="header5.xml"/><Relationship Id="rId30" Type="http://schemas.openxmlformats.org/officeDocument/2006/relationships/header" Target="header6.xm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esfer\AppData\Roaming\Microsoft\Templates\POOL%20F%20-%20ITU\PF_RAG15.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 prévisionnelle des ressources </a:t>
            </a:r>
            <a:br>
              <a:rPr lang="en-US" sz="1400" b="0">
                <a:solidFill>
                  <a:schemeClr val="accent1"/>
                </a:solidFill>
                <a:latin typeface="+mj-lt"/>
              </a:rPr>
            </a:br>
            <a:r>
              <a:rPr lang="en-US" sz="1400" b="0">
                <a:solidFill>
                  <a:schemeClr val="accent1"/>
                </a:solidFill>
                <a:latin typeface="+mj-lt"/>
              </a:rPr>
              <a:t>par catalyseur</a:t>
            </a:r>
          </a:p>
        </c:rich>
      </c:tx>
      <c:layout>
        <c:manualLayout>
          <c:xMode val="edge"/>
          <c:yMode val="edge"/>
          <c:x val="8.8370882119939334E-2"/>
          <c:y val="4.257332071901608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52%</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3.4687234976853894E-2"/>
                  <c:y val="7.275605449981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2.0580377644365336E-2"/>
                  <c:y val="5.9989272864070776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Ventilation</a:t>
            </a:r>
            <a:r>
              <a:rPr lang="en-US" sz="1400" b="0" baseline="0">
                <a:solidFill>
                  <a:schemeClr val="accent1"/>
                </a:solidFill>
                <a:latin typeface="+mj-lt"/>
              </a:rPr>
              <a:t> prévisionnelle des ressources </a:t>
            </a:r>
            <a:br>
              <a:rPr lang="en-US" sz="1400" b="0" baseline="0">
                <a:solidFill>
                  <a:schemeClr val="accent1"/>
                </a:solidFill>
                <a:latin typeface="+mj-lt"/>
              </a:rPr>
            </a:br>
            <a:r>
              <a:rPr lang="en-US" sz="1400" b="0" baseline="0">
                <a:solidFill>
                  <a:schemeClr val="accent1"/>
                </a:solidFill>
                <a:latin typeface="+mj-lt"/>
              </a:rPr>
              <a:t>par objectif</a:t>
            </a:r>
            <a:endParaRPr lang="en-US" sz="1400" b="0">
              <a:solidFill>
                <a:schemeClr val="accent1"/>
              </a:solidFill>
              <a:latin typeface="+mj-lt"/>
            </a:endParaRP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29%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PF_RAG15.dotm</Template>
  <TotalTime>35</TotalTime>
  <Pages>23</Pages>
  <Words>5336</Words>
  <Characters>31694</Characters>
  <Application>Microsoft Office Word</Application>
  <DocSecurity>0</DocSecurity>
  <Lines>1407</Lines>
  <Paragraphs>720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OPÉRATIONNEL QUADRIENNAL GLISSANT DU SECRÉTARIAT GÉNÉRAL POUR LA PÉRIODE 2016-2019</dc:title>
  <dc:subject>GROUPE CONSULTATIF DES RADIOCOMMUNICATIONS</dc:subject>
  <dc:creator>General Secretariat</dc:creator>
  <cp:keywords>RAG03-1</cp:keywords>
  <dc:description>Document RAG15-1/24-F  For: _x000d_Document date: 29 avril 2015_x000d_Saved by ITU51007821 at 14:48:29 on 01/05/15</dc:description>
  <cp:lastModifiedBy>Jones, Jacqueline</cp:lastModifiedBy>
  <cp:revision>2</cp:revision>
  <cp:lastPrinted>1999-10-11T14:58:00Z</cp:lastPrinted>
  <dcterms:created xsi:type="dcterms:W3CDTF">2015-05-01T12:06:00Z</dcterms:created>
  <dcterms:modified xsi:type="dcterms:W3CDTF">2015-05-01T12:48:00Z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RAG15-1/24-F</vt:lpwstr>
  </property>
  <property fmtid="{D5CDD505-2E9C-101B-9397-08002B2CF9AE}" pid="3" name="Docdate">
    <vt:lpwstr>29 avril 2015</vt:lpwstr>
  </property>
  <property fmtid="{D5CDD505-2E9C-101B-9397-08002B2CF9AE}" pid="4" name="Docorlang">
    <vt:lpwstr>Original: anglais</vt:lpwstr>
  </property>
  <property fmtid="{D5CDD505-2E9C-101B-9397-08002B2CF9AE}" pid="5" name="Docauthor">
    <vt:lpwstr>General Secretariat</vt:lpwstr>
  </property>
</Properties>
</file>