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782" w:type="dxa"/>
        <w:tblLayout w:type="fixed"/>
        <w:tblLook w:val="0000" w:firstRow="0" w:lastRow="0" w:firstColumn="0" w:lastColumn="0" w:noHBand="0" w:noVBand="0"/>
      </w:tblPr>
      <w:tblGrid>
        <w:gridCol w:w="6495"/>
        <w:gridCol w:w="3287"/>
      </w:tblGrid>
      <w:tr w:rsidR="006E291F" w:rsidTr="001F36AE">
        <w:trPr>
          <w:cantSplit/>
        </w:trPr>
        <w:tc>
          <w:tcPr>
            <w:tcW w:w="6495" w:type="dxa"/>
          </w:tcPr>
          <w:p w:rsidR="006E291F" w:rsidRPr="006E291F" w:rsidRDefault="006E291F" w:rsidP="000D756D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6E291F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0D756D">
              <w:rPr>
                <w:rFonts w:ascii="Verdana" w:hAnsi="Verdana" w:cs="Times New Roman Bold"/>
                <w:b/>
                <w:bCs/>
                <w:sz w:val="20"/>
              </w:rPr>
              <w:t>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0D756D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0D756D">
              <w:rPr>
                <w:rFonts w:ascii="Verdana" w:hAnsi="Verdana" w:cs="Times New Roman Bold"/>
                <w:b/>
                <w:bCs/>
                <w:sz w:val="20"/>
              </w:rPr>
              <w:t>mayo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5D3E02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0D756D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287" w:type="dxa"/>
          </w:tcPr>
          <w:p w:rsidR="006E291F" w:rsidRDefault="000D756D" w:rsidP="000D756D">
            <w:pPr>
              <w:shd w:val="solid" w:color="FFFFFF" w:fill="FFFFFF"/>
              <w:spacing w:before="0"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5F1B26F" wp14:editId="6457256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:rsidTr="001F36AE">
        <w:trPr>
          <w:cantSplit/>
        </w:trPr>
        <w:tc>
          <w:tcPr>
            <w:tcW w:w="6495" w:type="dxa"/>
            <w:tcBorders>
              <w:bottom w:val="single" w:sz="12" w:space="0" w:color="auto"/>
            </w:tcBorders>
          </w:tcPr>
          <w:p w:rsidR="006E291F" w:rsidRPr="0051782D" w:rsidRDefault="00EA4101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FE6F6E">
              <w:rPr>
                <w:rFonts w:ascii="Calibri" w:hAnsi="Calibri"/>
                <w:b/>
                <w:bCs/>
                <w:szCs w:val="24"/>
              </w:rPr>
              <w:t>UNIÓN INTERNACIONAL DE TELECOMUNICACIONES</w:t>
            </w:r>
          </w:p>
        </w:tc>
        <w:tc>
          <w:tcPr>
            <w:tcW w:w="3287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:rsidTr="001F36AE">
        <w:trPr>
          <w:cantSplit/>
        </w:trPr>
        <w:tc>
          <w:tcPr>
            <w:tcW w:w="6495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:rsidTr="001F36AE">
        <w:trPr>
          <w:cantSplit/>
        </w:trPr>
        <w:tc>
          <w:tcPr>
            <w:tcW w:w="6495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287" w:type="dxa"/>
          </w:tcPr>
          <w:p w:rsidR="006E291F" w:rsidRPr="00CD4AB8" w:rsidRDefault="00CD4AB8" w:rsidP="00CD4AB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RAG15-1/16-S</w:t>
            </w:r>
          </w:p>
        </w:tc>
      </w:tr>
      <w:tr w:rsidR="006E291F" w:rsidRPr="002A127E" w:rsidTr="001F36AE">
        <w:trPr>
          <w:cantSplit/>
        </w:trPr>
        <w:tc>
          <w:tcPr>
            <w:tcW w:w="6495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287" w:type="dxa"/>
          </w:tcPr>
          <w:p w:rsidR="006E291F" w:rsidRPr="00CD4AB8" w:rsidRDefault="00CD4AB8" w:rsidP="00CD4AB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de abril de 2015</w:t>
            </w:r>
          </w:p>
        </w:tc>
      </w:tr>
      <w:tr w:rsidR="006E291F" w:rsidRPr="002A127E" w:rsidTr="001F36AE">
        <w:trPr>
          <w:cantSplit/>
        </w:trPr>
        <w:tc>
          <w:tcPr>
            <w:tcW w:w="6495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287" w:type="dxa"/>
          </w:tcPr>
          <w:p w:rsidR="006E291F" w:rsidRPr="00CD4AB8" w:rsidRDefault="00CD4AB8" w:rsidP="00CD4AB8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Tr="00CD4AB8">
        <w:trPr>
          <w:cantSplit/>
        </w:trPr>
        <w:tc>
          <w:tcPr>
            <w:tcW w:w="9782" w:type="dxa"/>
            <w:gridSpan w:val="2"/>
          </w:tcPr>
          <w:p w:rsidR="006E291F" w:rsidRDefault="00CD4AB8" w:rsidP="00CB7A43">
            <w:pPr>
              <w:pStyle w:val="Source"/>
            </w:pPr>
            <w:bookmarkStart w:id="3" w:name="dsource" w:colFirst="0" w:colLast="0"/>
            <w:bookmarkEnd w:id="2"/>
            <w:r>
              <w:t>Corea (República de)</w:t>
            </w:r>
          </w:p>
        </w:tc>
      </w:tr>
      <w:tr w:rsidR="006E291F" w:rsidTr="00CD4AB8">
        <w:trPr>
          <w:cantSplit/>
        </w:trPr>
        <w:tc>
          <w:tcPr>
            <w:tcW w:w="9782" w:type="dxa"/>
            <w:gridSpan w:val="2"/>
          </w:tcPr>
          <w:p w:rsidR="006E291F" w:rsidRDefault="00CD4AB8" w:rsidP="00CB7A43">
            <w:pPr>
              <w:pStyle w:val="Title1"/>
            </w:pPr>
            <w:bookmarkStart w:id="4" w:name="dtitle1" w:colFirst="0" w:colLast="0"/>
            <w:bookmarkEnd w:id="3"/>
            <w:r>
              <w:t>posible revisión de la resolución uit-r 38-4</w:t>
            </w:r>
          </w:p>
        </w:tc>
      </w:tr>
    </w:tbl>
    <w:bookmarkEnd w:id="4"/>
    <w:p w:rsidR="00CD4AB8" w:rsidRPr="00145AB5" w:rsidRDefault="00CD4AB8" w:rsidP="001F36AE">
      <w:pPr>
        <w:pStyle w:val="Heading1"/>
      </w:pPr>
      <w:r w:rsidRPr="00145AB5">
        <w:t>1</w:t>
      </w:r>
      <w:r w:rsidRPr="00145AB5">
        <w:tab/>
      </w:r>
      <w:r>
        <w:t>Introducción</w:t>
      </w:r>
    </w:p>
    <w:p w:rsidR="00CD4AB8" w:rsidRDefault="00CD4AB8" w:rsidP="001F36AE">
      <w:r>
        <w:t>La Asamblea de Radiocomunicaciones refrendó</w:t>
      </w:r>
      <w:r w:rsidRPr="00073BC7">
        <w:t xml:space="preserve"> </w:t>
      </w:r>
      <w:r>
        <w:t xml:space="preserve">la Resolución UIT-R </w:t>
      </w:r>
      <w:r w:rsidRPr="0091632A">
        <w:t>38-4</w:t>
      </w:r>
      <w:r w:rsidR="001F36AE">
        <w:t xml:space="preserve"> en 1995</w:t>
      </w:r>
      <w:r w:rsidRPr="0091632A">
        <w:t xml:space="preserve"> </w:t>
      </w:r>
      <w:r>
        <w:t xml:space="preserve">y creó una </w:t>
      </w:r>
      <w:r w:rsidRPr="0091632A">
        <w:t xml:space="preserve">Comisión Especial para ocuparse de los asuntos reglamentarios y de procedimiento en el marco de la preparación de las Conferencias Mundiales de Radiocomunicaciones </w:t>
      </w:r>
      <w:r>
        <w:t xml:space="preserve">con una Reunión Preparatoria de la Conferencia (RPC). El mandato de la </w:t>
      </w:r>
      <w:r w:rsidRPr="0091632A">
        <w:t>Comisión Especial</w:t>
      </w:r>
      <w:r>
        <w:t xml:space="preserve"> consiste, que son 1) los </w:t>
      </w:r>
      <w:r w:rsidRPr="00C72DFC">
        <w:t>trabajos asignados directamente a la Comisión Especial por la primera sesión de la RPC; y</w:t>
      </w:r>
      <w:r>
        <w:t xml:space="preserve">, 2) las </w:t>
      </w:r>
      <w:r w:rsidRPr="00C72DFC">
        <w:t>tareas relacionadas con los aspectos reglamentarios de los trabajos asignados por la primera sesión de la RPC a las Comisiones de Estudio y sus Grupos de Trabajo</w:t>
      </w:r>
      <w:r>
        <w:t xml:space="preserve"> de acuerdo con lo dispuesto en la </w:t>
      </w:r>
      <w:r w:rsidRPr="00C72DFC">
        <w:t>Resolución UIT-R 38-4</w:t>
      </w:r>
      <w:r>
        <w:t xml:space="preserve">. Se indica expresamente que la RPC determina directamente las actividades de la Comisión Especial. </w:t>
      </w:r>
    </w:p>
    <w:p w:rsidR="00CD4AB8" w:rsidRDefault="00CD4AB8" w:rsidP="001F36AE">
      <w:r>
        <w:t xml:space="preserve">En la Resolución UIT-R 2 se fija de manera concreta cuál es el mandato máximo del Presidente y los Vicepresidentes de la RPC. Sin embargo no se describen en ningún artículo de la Resolución el mandato ni el proceso de nombramiento del Presidente y los Vicepresidentes. No obstante, los procedimientos para el </w:t>
      </w:r>
      <w:r w:rsidRPr="00C72DFC">
        <w:t>nombramiento del Presidente y los Vicepresidentes</w:t>
      </w:r>
      <w:r>
        <w:t>, tanto de la Reunión Preparatoria de la Conferencia (RPC) como de la Comisión Especial, se ajustan a lo dispuesto en la Resolución UIT-R 15, pero no existe ningún tex</w:t>
      </w:r>
      <w:r w:rsidR="001F36AE">
        <w:t>to específico que se refiera al</w:t>
      </w:r>
      <w:r w:rsidRPr="00C72DFC">
        <w:t xml:space="preserve"> </w:t>
      </w:r>
      <w:r>
        <w:t xml:space="preserve">procedimiento para el nombramiento </w:t>
      </w:r>
      <w:r w:rsidRPr="00D9208E">
        <w:t>del Presidente y los Vicepresidentes</w:t>
      </w:r>
      <w:r w:rsidRPr="00C72DFC">
        <w:t xml:space="preserve"> </w:t>
      </w:r>
      <w:r w:rsidRPr="00D9208E">
        <w:t>de la Comisión Especial</w:t>
      </w:r>
      <w:r>
        <w:t xml:space="preserve">. Así pues, deberían aclararse en la </w:t>
      </w:r>
      <w:r w:rsidRPr="00D9208E">
        <w:t xml:space="preserve">Resolución UIT-R 38-4 </w:t>
      </w:r>
      <w:r>
        <w:t xml:space="preserve">el mandato y los procedimientos para nombrar al </w:t>
      </w:r>
      <w:r w:rsidRPr="00D9208E">
        <w:t xml:space="preserve">Presidente y </w:t>
      </w:r>
      <w:r>
        <w:t xml:space="preserve">a </w:t>
      </w:r>
      <w:r w:rsidRPr="00D9208E">
        <w:t>los Vicepresidentes</w:t>
      </w:r>
      <w:r>
        <w:t>.</w:t>
      </w:r>
    </w:p>
    <w:p w:rsidR="00CD4AB8" w:rsidRPr="00145AB5" w:rsidRDefault="00CD4AB8" w:rsidP="001F36AE">
      <w:pPr>
        <w:pStyle w:val="Heading1"/>
      </w:pPr>
      <w:r w:rsidRPr="00145AB5">
        <w:t>2</w:t>
      </w:r>
      <w:r w:rsidRPr="00145AB5">
        <w:tab/>
      </w:r>
      <w:r>
        <w:t xml:space="preserve">Opiniones acerca de la posible revisión de la Resolución UIT-R </w:t>
      </w:r>
      <w:r w:rsidRPr="00D9208E">
        <w:t>38-4</w:t>
      </w:r>
    </w:p>
    <w:p w:rsidR="00CD4AB8" w:rsidRPr="00900974" w:rsidRDefault="00CD4AB8" w:rsidP="001F36AE">
      <w:r>
        <w:t xml:space="preserve">La República de Corea considera que es preciso limitar el mandato máximo de los cargos y reflejar el actual procedimiento de nombramiento </w:t>
      </w:r>
      <w:r w:rsidRPr="00D9208E">
        <w:t xml:space="preserve">del Presidente y los Vicepresidentes </w:t>
      </w:r>
      <w:r>
        <w:t>de la Comisión Especial. Por tanto, una manera de proceder sería modificar la</w:t>
      </w:r>
      <w:r w:rsidRPr="00D9208E">
        <w:t xml:space="preserve"> Resolución UIT-R 38-4</w:t>
      </w:r>
      <w:r>
        <w:t xml:space="preserve"> de modo que el mandato y procedimiento de nombramiento </w:t>
      </w:r>
      <w:r w:rsidRPr="00D9208E">
        <w:t>del Presidente y los Vicepresidentes de la Comisión Especial</w:t>
      </w:r>
      <w:r>
        <w:t xml:space="preserve"> se ajustaran a los previstos para </w:t>
      </w:r>
      <w:r w:rsidRPr="00D9208E">
        <w:t xml:space="preserve">el Presidente y los Vicepresidentes de la </w:t>
      </w:r>
      <w:r>
        <w:t>Reunión Preparatoria de la Conferencia (</w:t>
      </w:r>
      <w:r w:rsidRPr="00D9208E">
        <w:t>RPC</w:t>
      </w:r>
      <w:r>
        <w:t>)</w:t>
      </w:r>
      <w:r w:rsidR="001F36AE">
        <w:t>.</w:t>
      </w:r>
    </w:p>
    <w:p w:rsidR="001F36AE" w:rsidRDefault="001F36AE" w:rsidP="0032202E">
      <w:pPr>
        <w:pStyle w:val="Reasons"/>
      </w:pPr>
    </w:p>
    <w:p w:rsidR="00E72EA7" w:rsidRDefault="001F36AE" w:rsidP="001F36AE">
      <w:pPr>
        <w:jc w:val="center"/>
      </w:pPr>
      <w:r>
        <w:t>______________</w:t>
      </w:r>
      <w:bookmarkStart w:id="5" w:name="_GoBack"/>
      <w:bookmarkEnd w:id="5"/>
    </w:p>
    <w:sectPr w:rsidR="00E72EA7" w:rsidSect="004D6C09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B8" w:rsidRDefault="00CD4AB8">
      <w:r>
        <w:separator/>
      </w:r>
    </w:p>
  </w:endnote>
  <w:endnote w:type="continuationSeparator" w:id="0">
    <w:p w:rsidR="00CD4AB8" w:rsidRDefault="00CD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E72EA7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CD4AB8">
      <w:rPr>
        <w:lang w:val="en-US"/>
      </w:rPr>
      <w:t>Document4</w:t>
    </w:r>
    <w:r>
      <w:rPr>
        <w:lang w:val="en-US"/>
      </w:rPr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savedate \@ dd.MM.yy </w:instrText>
    </w:r>
    <w:r w:rsidR="004D6C09">
      <w:fldChar w:fldCharType="separate"/>
    </w:r>
    <w:r w:rsidR="00CD4AB8">
      <w:t>00.00.00</w:t>
    </w:r>
    <w:r w:rsidR="004D6C09"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printdate \@ dd.MM.yy </w:instrText>
    </w:r>
    <w:r w:rsidR="004D6C09">
      <w:fldChar w:fldCharType="separate"/>
    </w:r>
    <w:r w:rsidR="00CD4AB8">
      <w:t>18.02.93</w:t>
    </w:r>
    <w:r w:rsidR="004D6C0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E72EA7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1F36AE">
      <w:rPr>
        <w:lang w:val="en-US"/>
      </w:rPr>
      <w:t>P:\ESP\ITU-R\AG\RAG\RAG15\000\016S.docx</w:t>
    </w:r>
    <w:r>
      <w:rPr>
        <w:lang w:val="en-US"/>
      </w:rPr>
      <w:fldChar w:fldCharType="end"/>
    </w:r>
    <w:r w:rsidR="001F36AE">
      <w:rPr>
        <w:lang w:val="en-US"/>
      </w:rPr>
      <w:t xml:space="preserve"> (379377)</w:t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savedate \@ dd.MM.yy </w:instrText>
    </w:r>
    <w:r w:rsidR="004D6C09">
      <w:fldChar w:fldCharType="separate"/>
    </w:r>
    <w:r w:rsidR="00CD4AB8">
      <w:t>00.00.00</w:t>
    </w:r>
    <w:r w:rsidR="004D6C09"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printdate \@ dd.MM.yy </w:instrText>
    </w:r>
    <w:r w:rsidR="004D6C09">
      <w:fldChar w:fldCharType="separate"/>
    </w:r>
    <w:r w:rsidR="00CD4AB8">
      <w:t>18.02.93</w:t>
    </w:r>
    <w:r w:rsidR="004D6C0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B8" w:rsidRDefault="00CD4AB8">
      <w:r>
        <w:t>____________________</w:t>
      </w:r>
    </w:p>
  </w:footnote>
  <w:footnote w:type="continuationSeparator" w:id="0">
    <w:p w:rsidR="00CD4AB8" w:rsidRDefault="00CD4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36AE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01" w:rsidRDefault="0034043B" w:rsidP="00F23715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0D756D">
      <w:rPr>
        <w:lang w:val="es-ES"/>
      </w:rPr>
      <w:t>5</w:t>
    </w:r>
    <w:r w:rsidR="00616601">
      <w:rPr>
        <w:lang w:val="es-ES"/>
      </w:rP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B8"/>
    <w:rsid w:val="000C62BA"/>
    <w:rsid w:val="000D756D"/>
    <w:rsid w:val="0012592F"/>
    <w:rsid w:val="001F36AE"/>
    <w:rsid w:val="0031432E"/>
    <w:rsid w:val="0034043B"/>
    <w:rsid w:val="00414D8B"/>
    <w:rsid w:val="00482905"/>
    <w:rsid w:val="004D6C09"/>
    <w:rsid w:val="005D3E02"/>
    <w:rsid w:val="00610642"/>
    <w:rsid w:val="00616601"/>
    <w:rsid w:val="00663829"/>
    <w:rsid w:val="006A42AB"/>
    <w:rsid w:val="006E291F"/>
    <w:rsid w:val="00B32E51"/>
    <w:rsid w:val="00CB7A43"/>
    <w:rsid w:val="00CD4AB8"/>
    <w:rsid w:val="00E72EA7"/>
    <w:rsid w:val="00EA4101"/>
    <w:rsid w:val="00F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A7DF9C-E3EA-4CEB-BB3B-200046EB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1F36A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esfer\AppData\Roaming\Microsoft\Templates\POOL%20S%20-%20ITU\PS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PS_RAG15.dotm</Template>
  <TotalTime>7</TotalTime>
  <Pages>1</Pages>
  <Words>379</Words>
  <Characters>2043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POSIBLE REVISIÓN DE LA RESOLUCIÓN UIT-R 38-4</dc:title>
  <dc:subject>GRUPO ASESOR DE RADIOCOMUNICACIONES</dc:subject>
  <dc:creator>Corea (República de)</dc:creator>
  <cp:keywords>RAG03-1</cp:keywords>
  <dc:description>Documento RAG15-1/16-S  For: _x000d_Document date: 21 de abril de 2015_x000d_Saved by ITU51007821 at 17:20:56 on 30/04/15</dc:description>
  <cp:lastModifiedBy>Jones, Jacqueline</cp:lastModifiedBy>
  <cp:revision>2</cp:revision>
  <cp:lastPrinted>1993-02-18T11:12:00Z</cp:lastPrinted>
  <dcterms:created xsi:type="dcterms:W3CDTF">2015-04-30T15:13:00Z</dcterms:created>
  <dcterms:modified xsi:type="dcterms:W3CDTF">2015-04-30T15:20:00Z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RAG15-1/16-S</vt:lpwstr>
  </property>
  <property fmtid="{D5CDD505-2E9C-101B-9397-08002B2CF9AE}" pid="3" name="Docdate">
    <vt:lpwstr>21 de abril de 2015</vt:lpwstr>
  </property>
  <property fmtid="{D5CDD505-2E9C-101B-9397-08002B2CF9AE}" pid="4" name="Docorlang">
    <vt:lpwstr>Original: inglés</vt:lpwstr>
  </property>
  <property fmtid="{D5CDD505-2E9C-101B-9397-08002B2CF9AE}" pid="5" name="Docauthor">
    <vt:lpwstr>Corea (República de)</vt:lpwstr>
  </property>
</Properties>
</file>