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EG"/>
              </w:rPr>
            </w:pPr>
          </w:p>
        </w:tc>
        <w:tc>
          <w:tcPr>
            <w:tcW w:w="1692" w:type="pct"/>
          </w:tcPr>
          <w:p w:rsidR="00FD6C64" w:rsidRPr="004E6710" w:rsidRDefault="00F7312C" w:rsidP="00B72E51">
            <w:pPr>
              <w:spacing w:before="60" w:after="60" w:line="300" w:lineRule="exact"/>
              <w:jc w:val="left"/>
              <w:rPr>
                <w:rFonts w:ascii="Verdana" w:hAnsi="Verdana"/>
                <w:b/>
                <w:bCs/>
                <w:sz w:val="19"/>
                <w:lang w:bidi="ar-SY"/>
              </w:rPr>
            </w:pPr>
            <w:r w:rsidRPr="00F7312C">
              <w:rPr>
                <w:rFonts w:ascii="Verdana" w:hAnsi="Verdana" w:hint="cs"/>
                <w:b/>
                <w:bCs/>
                <w:sz w:val="19"/>
                <w:rtl/>
                <w:lang w:bidi="ar-SY"/>
              </w:rPr>
              <w:t xml:space="preserve">الوثيقة </w:t>
            </w:r>
            <w:r w:rsidRPr="00F7312C">
              <w:rPr>
                <w:rFonts w:ascii="Verdana" w:hAnsi="Verdana"/>
                <w:b/>
                <w:bCs/>
                <w:sz w:val="19"/>
                <w:lang w:bidi="ar-SY"/>
              </w:rPr>
              <w:t>RAG15-1/1</w:t>
            </w:r>
            <w:r w:rsidR="00B72E51">
              <w:rPr>
                <w:rFonts w:ascii="Verdana" w:hAnsi="Verdana"/>
                <w:b/>
                <w:bCs/>
                <w:sz w:val="19"/>
                <w:lang w:bidi="ar-SY"/>
              </w:rPr>
              <w:t>5</w:t>
            </w:r>
            <w:r w:rsidRPr="00F7312C">
              <w:rPr>
                <w:rFonts w:ascii="Verdana" w:hAnsi="Verdana"/>
                <w:b/>
                <w:bCs/>
                <w:sz w:val="19"/>
                <w:lang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F7312C" w:rsidP="006C0301">
            <w:pPr>
              <w:spacing w:before="60" w:after="60" w:line="300" w:lineRule="exact"/>
              <w:jc w:val="left"/>
              <w:rPr>
                <w:rFonts w:ascii="Verdana" w:hAnsi="Verdana"/>
                <w:b/>
                <w:bCs/>
                <w:sz w:val="19"/>
                <w:rtl/>
                <w:lang w:val="en-GB" w:bidi="ar-EG"/>
              </w:rPr>
            </w:pPr>
            <w:r>
              <w:rPr>
                <w:rFonts w:ascii="Verdana" w:hAnsi="Verdana"/>
                <w:b/>
                <w:bCs/>
                <w:sz w:val="19"/>
                <w:lang w:val="en-GB" w:bidi="ar-SY"/>
              </w:rPr>
              <w:t>21</w:t>
            </w:r>
            <w:r w:rsidRPr="004E6710">
              <w:rPr>
                <w:rFonts w:ascii="Verdana" w:hAnsi="Verdana" w:hint="cs"/>
                <w:b/>
                <w:bCs/>
                <w:sz w:val="19"/>
                <w:rtl/>
                <w:lang w:val="en-GB" w:bidi="ar-SY"/>
              </w:rPr>
              <w:t xml:space="preserve"> </w:t>
            </w:r>
            <w:r>
              <w:rPr>
                <w:rFonts w:ascii="Verdana" w:hAnsi="Verdana" w:hint="cs"/>
                <w:b/>
                <w:bCs/>
                <w:sz w:val="19"/>
                <w:rtl/>
                <w:lang w:val="en-GB" w:bidi="ar-EG"/>
              </w:rPr>
              <w:t xml:space="preserve">أبريل </w:t>
            </w:r>
            <w:r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6C0301">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FD6C64" w:rsidRPr="00FD6C64" w:rsidTr="006C0301">
        <w:trPr>
          <w:cantSplit/>
        </w:trPr>
        <w:tc>
          <w:tcPr>
            <w:tcW w:w="5000" w:type="pct"/>
            <w:gridSpan w:val="2"/>
          </w:tcPr>
          <w:p w:rsidR="00FD6C64" w:rsidRPr="00B85059" w:rsidRDefault="002E282B" w:rsidP="002E282B">
            <w:pPr>
              <w:pStyle w:val="Source"/>
              <w:rPr>
                <w:rFonts w:ascii="Times New Roman Bold" w:hAnsi="Times New Roman Bold"/>
                <w:w w:val="120"/>
              </w:rPr>
            </w:pPr>
            <w:r w:rsidRPr="00B85059">
              <w:rPr>
                <w:rFonts w:ascii="Times New Roman Bold" w:hAnsi="Times New Roman Bold"/>
                <w:w w:val="120"/>
                <w:rtl/>
              </w:rPr>
              <w:t>جمهورية كوريا</w:t>
            </w:r>
          </w:p>
        </w:tc>
      </w:tr>
      <w:tr w:rsidR="00FD6C64" w:rsidRPr="00FD6C64" w:rsidTr="006C0301">
        <w:trPr>
          <w:cantSplit/>
        </w:trPr>
        <w:tc>
          <w:tcPr>
            <w:tcW w:w="5000" w:type="pct"/>
            <w:gridSpan w:val="2"/>
          </w:tcPr>
          <w:p w:rsidR="00FD6C64" w:rsidRPr="00B85059" w:rsidRDefault="002E282B" w:rsidP="00B85059">
            <w:pPr>
              <w:pStyle w:val="Title1"/>
              <w:spacing w:after="0"/>
              <w:rPr>
                <w:w w:val="120"/>
              </w:rPr>
            </w:pPr>
            <w:r w:rsidRPr="00B85059">
              <w:rPr>
                <w:w w:val="120"/>
                <w:rtl/>
              </w:rPr>
              <w:t xml:space="preserve">إمكان مراجعة القرار </w:t>
            </w:r>
            <w:r w:rsidR="00B72E51" w:rsidRPr="00B85059">
              <w:rPr>
                <w:w w:val="120"/>
              </w:rPr>
              <w:t>ITU</w:t>
            </w:r>
            <w:r w:rsidR="00E44AC8" w:rsidRPr="00B85059">
              <w:rPr>
                <w:w w:val="120"/>
              </w:rPr>
              <w:noBreakHyphen/>
            </w:r>
            <w:r w:rsidR="00B72E51" w:rsidRPr="00B85059">
              <w:rPr>
                <w:w w:val="120"/>
              </w:rPr>
              <w:t>R</w:t>
            </w:r>
            <w:r w:rsidR="00E44AC8" w:rsidRPr="00B85059">
              <w:rPr>
                <w:w w:val="120"/>
              </w:rPr>
              <w:t> </w:t>
            </w:r>
            <w:r w:rsidR="00B72E51" w:rsidRPr="00B85059">
              <w:rPr>
                <w:w w:val="120"/>
              </w:rPr>
              <w:t>15</w:t>
            </w:r>
            <w:r w:rsidR="00E44AC8" w:rsidRPr="00B85059">
              <w:rPr>
                <w:w w:val="120"/>
              </w:rPr>
              <w:noBreakHyphen/>
            </w:r>
            <w:r w:rsidR="00B72E51" w:rsidRPr="00B85059">
              <w:rPr>
                <w:w w:val="120"/>
              </w:rPr>
              <w:t>5</w:t>
            </w:r>
          </w:p>
        </w:tc>
      </w:tr>
    </w:tbl>
    <w:p w:rsidR="00F7312C" w:rsidRPr="00E85B58" w:rsidRDefault="00F7312C" w:rsidP="002E282B">
      <w:pPr>
        <w:pStyle w:val="Heading1"/>
        <w:spacing w:before="240"/>
        <w:rPr>
          <w:rFonts w:hint="cs"/>
          <w:rtl/>
          <w:lang w:bidi="ar-EG"/>
        </w:rPr>
      </w:pPr>
      <w:r w:rsidRPr="00E85B58">
        <w:rPr>
          <w:lang w:bidi="ar-EG"/>
        </w:rPr>
        <w:t>1</w:t>
      </w:r>
      <w:r w:rsidRPr="00E85B58">
        <w:rPr>
          <w:rtl/>
          <w:lang w:bidi="ar-EG"/>
        </w:rPr>
        <w:tab/>
      </w:r>
      <w:r w:rsidRPr="00E85B58">
        <w:rPr>
          <w:rFonts w:hint="cs"/>
          <w:rtl/>
          <w:lang w:bidi="ar-EG"/>
        </w:rPr>
        <w:t>مقدمة</w:t>
      </w:r>
    </w:p>
    <w:p w:rsidR="000169C3" w:rsidRPr="00C04F55" w:rsidRDefault="000169C3" w:rsidP="00C04F55">
      <w:pPr>
        <w:rPr>
          <w:spacing w:val="-2"/>
          <w:rtl/>
        </w:rPr>
      </w:pPr>
      <w:r w:rsidRPr="00C04F55">
        <w:rPr>
          <w:rFonts w:hint="cs"/>
          <w:spacing w:val="-2"/>
          <w:rtl/>
        </w:rPr>
        <w:t>تُدْرِج</w:t>
      </w:r>
      <w:r w:rsidRPr="00C04F55">
        <w:rPr>
          <w:spacing w:val="-2"/>
          <w:rtl/>
        </w:rPr>
        <w:t xml:space="preserve"> اتفاقية الاتحاد الدولي للاتصالات ضمن وظائف لجان دراسات الاتصالات الراديوية دراسة المسائل التقنية والتشغيلية والإجرائية </w:t>
      </w:r>
      <w:r w:rsidRPr="00C04F55">
        <w:rPr>
          <w:rFonts w:hint="cs"/>
          <w:spacing w:val="-2"/>
          <w:rtl/>
        </w:rPr>
        <w:t>المراد أن تنظر فيها المؤتمرات العالمية والإقليمية للاتصالات الراديوية، أو جمعية الاتصالات الراديوية، أو المجلس (الرقم</w:t>
      </w:r>
      <w:r w:rsidR="00E44AC8" w:rsidRPr="00C04F55">
        <w:rPr>
          <w:rFonts w:hint="eastAsia"/>
          <w:spacing w:val="-2"/>
          <w:rtl/>
        </w:rPr>
        <w:t> </w:t>
      </w:r>
      <w:r w:rsidRPr="00C04F55">
        <w:rPr>
          <w:spacing w:val="-2"/>
        </w:rPr>
        <w:t>156</w:t>
      </w:r>
      <w:r w:rsidRPr="00C04F55">
        <w:rPr>
          <w:rFonts w:hint="cs"/>
          <w:spacing w:val="-2"/>
          <w:rtl/>
        </w:rPr>
        <w:t xml:space="preserve"> من</w:t>
      </w:r>
      <w:r w:rsidRPr="00C04F55">
        <w:rPr>
          <w:rFonts w:hint="eastAsia"/>
          <w:spacing w:val="-2"/>
          <w:rtl/>
        </w:rPr>
        <w:t> </w:t>
      </w:r>
      <w:r w:rsidRPr="00C04F55">
        <w:rPr>
          <w:rFonts w:hint="cs"/>
          <w:spacing w:val="-2"/>
          <w:rtl/>
        </w:rPr>
        <w:t>الاتفاقية). وتقوم لجان دراسات الاتصالات الراديوية بدراسة المسائل وبإعداد مشاريع توصيات ذات صلة وفقاً لأحكام الأرقام</w:t>
      </w:r>
      <w:r w:rsidRPr="00C04F55">
        <w:rPr>
          <w:rFonts w:hint="eastAsia"/>
          <w:spacing w:val="-2"/>
          <w:rtl/>
        </w:rPr>
        <w:t> </w:t>
      </w:r>
      <w:r w:rsidRPr="00C04F55">
        <w:rPr>
          <w:spacing w:val="-2"/>
        </w:rPr>
        <w:t>246A</w:t>
      </w:r>
      <w:r w:rsidRPr="00C04F55">
        <w:rPr>
          <w:rFonts w:hint="cs"/>
          <w:spacing w:val="-2"/>
          <w:rtl/>
        </w:rPr>
        <w:t xml:space="preserve"> حتى</w:t>
      </w:r>
      <w:r w:rsidR="00C04F55">
        <w:rPr>
          <w:rFonts w:hint="eastAsia"/>
          <w:spacing w:val="-2"/>
          <w:rtl/>
        </w:rPr>
        <w:t> </w:t>
      </w:r>
      <w:r w:rsidRPr="00C04F55">
        <w:rPr>
          <w:spacing w:val="-2"/>
        </w:rPr>
        <w:t>247</w:t>
      </w:r>
      <w:r w:rsidR="00C04F55">
        <w:rPr>
          <w:rFonts w:hint="eastAsia"/>
          <w:spacing w:val="-2"/>
          <w:rtl/>
        </w:rPr>
        <w:t> </w:t>
      </w:r>
      <w:r w:rsidRPr="00C04F55">
        <w:rPr>
          <w:rFonts w:hint="cs"/>
          <w:spacing w:val="-2"/>
          <w:rtl/>
        </w:rPr>
        <w:t>من اتفاقية الاتحاد.</w:t>
      </w:r>
    </w:p>
    <w:p w:rsidR="000169C3" w:rsidRPr="000169C3" w:rsidRDefault="000169C3" w:rsidP="000169C3">
      <w:pPr>
        <w:rPr>
          <w:rtl/>
        </w:rPr>
      </w:pPr>
      <w:r w:rsidRPr="000169C3">
        <w:rPr>
          <w:rFonts w:hint="cs"/>
          <w:rtl/>
        </w:rPr>
        <w:t>ويجوز للجان الدراسات أن تنشئ الأفرقة الفرعية اللازمة لتيسير إنجاز عملها. وتقوم لجان الدراسات عادة بإنشاء فرق عمل لدراسة المسائل المندرجة ضمن نطاق اختصاصها. ويجوز أن يستمر وجود فرق العمل لفترة غير محدَّدة لكي تتسنى لها الإجابة عن المسائل وتدارس المواضيع التي تعهد بها إليها لجنة الدراسات. وتقوم كل فرقة من فرق العمل بدراسة المسائل والمواضيع المعنية وبإعداد مشاريع توصيات وغيرها من النصوص لكي تنظر فيها لجنة الدراسات.</w:t>
      </w:r>
    </w:p>
    <w:p w:rsidR="000169C3" w:rsidRPr="00F32E3C" w:rsidRDefault="000169C3" w:rsidP="00D71720">
      <w:pPr>
        <w:rPr>
          <w:spacing w:val="-2"/>
          <w:rtl/>
        </w:rPr>
      </w:pPr>
      <w:r w:rsidRPr="00F32E3C">
        <w:rPr>
          <w:rFonts w:hint="cs"/>
          <w:spacing w:val="-2"/>
          <w:rtl/>
        </w:rPr>
        <w:t>وعند إنشاء لجنة دراسات بناء</w:t>
      </w:r>
      <w:r w:rsidR="00E44AC8" w:rsidRPr="00F32E3C">
        <w:rPr>
          <w:rFonts w:hint="cs"/>
          <w:spacing w:val="-2"/>
          <w:rtl/>
          <w:lang w:bidi="ar-EG"/>
        </w:rPr>
        <w:t>ً</w:t>
      </w:r>
      <w:r w:rsidRPr="00F32E3C">
        <w:rPr>
          <w:rFonts w:hint="cs"/>
          <w:spacing w:val="-2"/>
          <w:rtl/>
        </w:rPr>
        <w:t xml:space="preserve"> على توافق الآراء، ينبغي قصر عدد فرق العمل المراد تشكيلها على الحد الأدنى اللازم وفقاً </w:t>
      </w:r>
      <w:r w:rsidR="00D43115" w:rsidRPr="00F32E3C">
        <w:rPr>
          <w:rFonts w:hint="cs"/>
          <w:spacing w:val="-2"/>
          <w:rtl/>
        </w:rPr>
        <w:t>للقرار </w:t>
      </w:r>
      <w:r w:rsidR="00D43115" w:rsidRPr="00F32E3C">
        <w:rPr>
          <w:spacing w:val="-2"/>
        </w:rPr>
        <w:t>ITU</w:t>
      </w:r>
      <w:r w:rsidR="00D43115" w:rsidRPr="00F32E3C">
        <w:rPr>
          <w:spacing w:val="-2"/>
        </w:rPr>
        <w:noBreakHyphen/>
        <w:t>R</w:t>
      </w:r>
      <w:r w:rsidRPr="00F32E3C">
        <w:rPr>
          <w:rFonts w:hint="cs"/>
          <w:spacing w:val="-2"/>
          <w:rtl/>
        </w:rPr>
        <w:t xml:space="preserve">. وينص </w:t>
      </w:r>
      <w:r w:rsidRPr="00F32E3C">
        <w:rPr>
          <w:spacing w:val="-2"/>
          <w:rtl/>
        </w:rPr>
        <w:t>القرار</w:t>
      </w:r>
      <w:r w:rsidR="00D71720">
        <w:rPr>
          <w:rFonts w:hint="cs"/>
          <w:spacing w:val="-2"/>
          <w:rtl/>
        </w:rPr>
        <w:t> </w:t>
      </w:r>
      <w:r w:rsidRPr="00F32E3C">
        <w:rPr>
          <w:spacing w:val="-2"/>
        </w:rPr>
        <w:t>ITU</w:t>
      </w:r>
      <w:r w:rsidR="00E44AC8" w:rsidRPr="00F32E3C">
        <w:rPr>
          <w:spacing w:val="-2"/>
        </w:rPr>
        <w:noBreakHyphen/>
      </w:r>
      <w:r w:rsidRPr="00F32E3C">
        <w:rPr>
          <w:spacing w:val="-2"/>
        </w:rPr>
        <w:t>R</w:t>
      </w:r>
      <w:r w:rsidR="00E44AC8" w:rsidRPr="00F32E3C">
        <w:rPr>
          <w:spacing w:val="-2"/>
        </w:rPr>
        <w:t> </w:t>
      </w:r>
      <w:r w:rsidRPr="00F32E3C">
        <w:rPr>
          <w:rFonts w:hint="eastAsia"/>
          <w:spacing w:val="-2"/>
        </w:rPr>
        <w:t>15</w:t>
      </w:r>
      <w:r w:rsidR="00E44AC8" w:rsidRPr="00F32E3C">
        <w:rPr>
          <w:spacing w:val="-2"/>
        </w:rPr>
        <w:noBreakHyphen/>
      </w:r>
      <w:r w:rsidRPr="00F32E3C">
        <w:rPr>
          <w:rFonts w:hint="eastAsia"/>
          <w:spacing w:val="-2"/>
        </w:rPr>
        <w:t>5</w:t>
      </w:r>
      <w:r w:rsidRPr="00F32E3C">
        <w:rPr>
          <w:rFonts w:hint="cs"/>
          <w:spacing w:val="-2"/>
          <w:rtl/>
        </w:rPr>
        <w:t xml:space="preserve"> على وجه التحديد على المدة القصوى لولاية رؤساء لجان الدراسات ونواب رؤسائها وعلى إجراءات تعيينهم. بيد أنه لا</w:t>
      </w:r>
      <w:r w:rsidR="00C04F55" w:rsidRPr="00F32E3C">
        <w:rPr>
          <w:rFonts w:hint="eastAsia"/>
          <w:spacing w:val="-2"/>
          <w:rtl/>
        </w:rPr>
        <w:t> </w:t>
      </w:r>
      <w:r w:rsidRPr="00F32E3C">
        <w:rPr>
          <w:rFonts w:hint="cs"/>
          <w:spacing w:val="-2"/>
          <w:rtl/>
        </w:rPr>
        <w:t xml:space="preserve">يرد أي نص في أي مادة من مواد </w:t>
      </w:r>
      <w:r w:rsidR="00F32E3C" w:rsidRPr="00F32E3C">
        <w:rPr>
          <w:rFonts w:hint="cs"/>
          <w:spacing w:val="-2"/>
          <w:rtl/>
        </w:rPr>
        <w:t>القرار </w:t>
      </w:r>
      <w:r w:rsidR="00F32E3C" w:rsidRPr="00F32E3C">
        <w:rPr>
          <w:spacing w:val="-2"/>
        </w:rPr>
        <w:t>ITU</w:t>
      </w:r>
      <w:r w:rsidR="00F32E3C" w:rsidRPr="00F32E3C">
        <w:rPr>
          <w:spacing w:val="-2"/>
        </w:rPr>
        <w:noBreakHyphen/>
        <w:t>R</w:t>
      </w:r>
      <w:r w:rsidRPr="00F32E3C">
        <w:rPr>
          <w:rFonts w:hint="cs"/>
          <w:spacing w:val="-2"/>
          <w:rtl/>
        </w:rPr>
        <w:t xml:space="preserve"> على مدة ولاية رؤساء الأفرقة الفرعية وإجراءات تعيينهم.</w:t>
      </w:r>
    </w:p>
    <w:p w:rsidR="000169C3" w:rsidRPr="000169C3" w:rsidRDefault="000169C3" w:rsidP="009F09D8">
      <w:pPr>
        <w:rPr>
          <w:rtl/>
        </w:rPr>
      </w:pPr>
      <w:r w:rsidRPr="000169C3">
        <w:rPr>
          <w:rFonts w:hint="cs"/>
          <w:rtl/>
        </w:rPr>
        <w:t xml:space="preserve">ولئن كانت لجان الدراسات تمارس على الأقل سلطتها الاستنسابية لإنشاء أفرقة فرعية تابعة لها فإن مدة ولاية مسؤولي هذه الأفرقة الفرعية ينبغي أن </w:t>
      </w:r>
      <w:proofErr w:type="spellStart"/>
      <w:r w:rsidRPr="000169C3">
        <w:rPr>
          <w:rFonts w:hint="cs"/>
          <w:rtl/>
        </w:rPr>
        <w:t>تتواءم</w:t>
      </w:r>
      <w:proofErr w:type="spellEnd"/>
      <w:r w:rsidRPr="000169C3">
        <w:rPr>
          <w:rFonts w:hint="cs"/>
          <w:rtl/>
        </w:rPr>
        <w:t xml:space="preserve"> مع مدة ولاية رؤساء لجان الدراسات ونواب رؤسائها كما يرد في </w:t>
      </w:r>
      <w:r w:rsidRPr="000169C3">
        <w:rPr>
          <w:rtl/>
        </w:rPr>
        <w:t>القرار</w:t>
      </w:r>
      <w:r w:rsidR="009F09D8">
        <w:rPr>
          <w:rFonts w:hint="cs"/>
          <w:rtl/>
        </w:rPr>
        <w:t> </w:t>
      </w:r>
      <w:r w:rsidRPr="000169C3">
        <w:t>ITU</w:t>
      </w:r>
      <w:r w:rsidR="00E44AC8">
        <w:noBreakHyphen/>
      </w:r>
      <w:r w:rsidRPr="000169C3">
        <w:t>R</w:t>
      </w:r>
      <w:r w:rsidR="00E44AC8">
        <w:t> </w:t>
      </w:r>
      <w:r w:rsidRPr="000169C3">
        <w:rPr>
          <w:rFonts w:hint="eastAsia"/>
        </w:rPr>
        <w:t>15</w:t>
      </w:r>
      <w:r w:rsidR="00E44AC8">
        <w:noBreakHyphen/>
      </w:r>
      <w:r w:rsidRPr="000169C3">
        <w:rPr>
          <w:rFonts w:hint="eastAsia"/>
        </w:rPr>
        <w:t>5</w:t>
      </w:r>
      <w:r w:rsidRPr="000169C3">
        <w:rPr>
          <w:rFonts w:hint="cs"/>
          <w:rtl/>
        </w:rPr>
        <w:t>.</w:t>
      </w:r>
    </w:p>
    <w:p w:rsidR="002E282B" w:rsidRPr="000169C3" w:rsidRDefault="002E282B" w:rsidP="004F7C99">
      <w:pPr>
        <w:pStyle w:val="Heading1"/>
        <w:spacing w:before="240"/>
        <w:rPr>
          <w:rtl/>
          <w:lang w:bidi="ar-EG"/>
        </w:rPr>
      </w:pPr>
      <w:r w:rsidRPr="000169C3">
        <w:rPr>
          <w:lang w:bidi="ar-EG"/>
        </w:rPr>
        <w:t>2</w:t>
      </w:r>
      <w:r w:rsidRPr="000169C3">
        <w:rPr>
          <w:rtl/>
          <w:lang w:bidi="ar-EG"/>
        </w:rPr>
        <w:tab/>
      </w:r>
      <w:r w:rsidRPr="000169C3">
        <w:rPr>
          <w:rFonts w:hint="cs"/>
          <w:rtl/>
          <w:lang w:bidi="ar-EG"/>
        </w:rPr>
        <w:t xml:space="preserve">الآراء بشأن إمكان مراجعة القرار </w:t>
      </w:r>
      <w:r w:rsidR="0003183A">
        <w:t>ITU</w:t>
      </w:r>
      <w:r w:rsidR="004F7C99">
        <w:noBreakHyphen/>
      </w:r>
      <w:r w:rsidR="0003183A">
        <w:t>R</w:t>
      </w:r>
      <w:r w:rsidR="004F7C99">
        <w:t> </w:t>
      </w:r>
      <w:r w:rsidR="0003183A">
        <w:t>15</w:t>
      </w:r>
      <w:r w:rsidR="004F7C99">
        <w:noBreakHyphen/>
      </w:r>
      <w:r w:rsidR="0003183A">
        <w:t>5</w:t>
      </w:r>
    </w:p>
    <w:p w:rsidR="000F11BE" w:rsidRPr="000169C3" w:rsidRDefault="000169C3" w:rsidP="00E44AC8">
      <w:pPr>
        <w:rPr>
          <w:rtl/>
        </w:rPr>
      </w:pPr>
      <w:r w:rsidRPr="000169C3">
        <w:rPr>
          <w:rFonts w:hint="cs"/>
          <w:rtl/>
        </w:rPr>
        <w:t xml:space="preserve">ترى جمهورية كوريا أنه يتعيَّن قصر المدة القصوى لولاية مسؤولي الأفرقة الفرعية التابعة للجان الدراسات. وعليه فإن أحد سبل المضي قدماً على هذا الصعيد قد يتمثل في تعديل القرار </w:t>
      </w:r>
      <w:r w:rsidRPr="000169C3">
        <w:t>ITU</w:t>
      </w:r>
      <w:r w:rsidR="00E44AC8">
        <w:noBreakHyphen/>
      </w:r>
      <w:r w:rsidRPr="000169C3">
        <w:t>R</w:t>
      </w:r>
      <w:r w:rsidR="00E44AC8">
        <w:t> </w:t>
      </w:r>
      <w:r w:rsidRPr="000169C3">
        <w:t>15</w:t>
      </w:r>
      <w:r w:rsidR="00E44AC8">
        <w:noBreakHyphen/>
      </w:r>
      <w:r w:rsidRPr="000169C3">
        <w:t>5</w:t>
      </w:r>
      <w:r w:rsidRPr="000169C3">
        <w:rPr>
          <w:rFonts w:hint="cs"/>
          <w:rtl/>
        </w:rPr>
        <w:t xml:space="preserve"> ع</w:t>
      </w:r>
      <w:bookmarkStart w:id="1" w:name="_GoBack"/>
      <w:bookmarkEnd w:id="1"/>
      <w:r w:rsidRPr="000169C3">
        <w:rPr>
          <w:rFonts w:hint="cs"/>
          <w:rtl/>
        </w:rPr>
        <w:t>لى نحو تتسنى به مواءمةُ المدة القصوى لولاية رؤساء فرق العمل ونواب رؤسائها مع المدة القصوى لولاية رؤساء لجان الدراسات ونواب رؤسائها ويجوز به إنهاؤها عند إلغاء فرق العمل.</w:t>
      </w:r>
    </w:p>
    <w:p w:rsidR="00BD3072" w:rsidRDefault="00E44AC8" w:rsidP="00E44AC8">
      <w:pPr>
        <w:spacing w:before="600"/>
        <w:jc w:val="center"/>
        <w:rPr>
          <w:rtl/>
          <w:lang w:val="en-GB" w:bidi="ar-EG"/>
        </w:rPr>
      </w:pPr>
      <w:r>
        <w:rPr>
          <w:rFonts w:hint="cs"/>
          <w:rtl/>
          <w:lang w:val="en-GB" w:bidi="ar-EG"/>
        </w:rPr>
        <w:t>___________</w:t>
      </w:r>
    </w:p>
    <w:sectPr w:rsidR="00BD3072" w:rsidSect="0087040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54" w:rsidRDefault="00067F54" w:rsidP="00057D34">
      <w:pPr>
        <w:spacing w:before="0" w:line="240" w:lineRule="auto"/>
      </w:pPr>
      <w:r>
        <w:separator/>
      </w:r>
    </w:p>
  </w:endnote>
  <w:endnote w:type="continuationSeparator" w:id="0">
    <w:p w:rsidR="00067F54" w:rsidRDefault="00067F54"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BD30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noProof/>
        <w:sz w:val="16"/>
        <w:szCs w:val="16"/>
      </w:rPr>
    </w:pPr>
    <w:r w:rsidRPr="00057D34">
      <w:rPr>
        <w:rFonts w:cs="Calibri"/>
        <w:noProof/>
        <w:sz w:val="16"/>
        <w:szCs w:val="16"/>
      </w:rPr>
      <w:fldChar w:fldCharType="begin"/>
    </w:r>
    <w:r w:rsidRPr="00057D34">
      <w:rPr>
        <w:rFonts w:cs="Calibri"/>
        <w:noProof/>
        <w:sz w:val="16"/>
        <w:szCs w:val="16"/>
      </w:rPr>
      <w:instrText xml:space="preserve"> FILENAME \p \* MERGEFORMAT </w:instrText>
    </w:r>
    <w:r w:rsidRPr="00057D34">
      <w:rPr>
        <w:rFonts w:cs="Calibri"/>
        <w:noProof/>
        <w:sz w:val="16"/>
        <w:szCs w:val="16"/>
      </w:rPr>
      <w:fldChar w:fldCharType="separate"/>
    </w:r>
    <w:r w:rsidR="00B5232B">
      <w:rPr>
        <w:rFonts w:cs="Calibri"/>
        <w:noProof/>
        <w:sz w:val="16"/>
        <w:szCs w:val="16"/>
      </w:rPr>
      <w:t>P:\ARA\ITU-R\AG\RAG\RAG15\000\015A.docx</w:t>
    </w:r>
    <w:r w:rsidRPr="00057D34">
      <w:rPr>
        <w:rFonts w:cs="Calibri"/>
        <w:noProof/>
        <w:sz w:val="16"/>
        <w:szCs w:val="16"/>
      </w:rPr>
      <w:fldChar w:fldCharType="end"/>
    </w:r>
    <w:r w:rsidRPr="00057D34">
      <w:rPr>
        <w:rFonts w:cs="Calibri"/>
        <w:noProof/>
        <w:sz w:val="16"/>
        <w:szCs w:val="16"/>
      </w:rPr>
      <w:t xml:space="preserve"> </w:t>
    </w:r>
    <w:r>
      <w:rPr>
        <w:rFonts w:cs="Calibri"/>
        <w:noProof/>
        <w:sz w:val="16"/>
        <w:szCs w:val="16"/>
      </w:rPr>
      <w:t xml:space="preserve">  </w:t>
    </w:r>
    <w:r w:rsidRPr="00057D34">
      <w:rPr>
        <w:rFonts w:cs="Calibri"/>
        <w:noProof/>
        <w:sz w:val="16"/>
        <w:szCs w:val="16"/>
      </w:rPr>
      <w:t>(</w:t>
    </w:r>
    <w:r w:rsidR="00F7312C">
      <w:rPr>
        <w:rFonts w:cs="Calibri"/>
        <w:noProof/>
        <w:sz w:val="16"/>
        <w:szCs w:val="16"/>
      </w:rPr>
      <w:t>37937</w:t>
    </w:r>
    <w:r w:rsidR="00BD3072">
      <w:rPr>
        <w:rFonts w:cs="Calibri"/>
        <w:noProof/>
        <w:sz w:val="16"/>
        <w:szCs w:val="16"/>
      </w:rPr>
      <w:t>6</w:t>
    </w:r>
    <w:r w:rsidRPr="00057D34">
      <w:rPr>
        <w:rFonts w:cs="Calibri"/>
        <w:noProof/>
        <w:sz w:val="16"/>
        <w:szCs w:val="16"/>
      </w:rPr>
      <w:t>)</w:t>
    </w:r>
    <w:r w:rsidRPr="00057D34">
      <w:rPr>
        <w:rFonts w:cs="Calibri"/>
        <w:noProof/>
        <w:sz w:val="16"/>
        <w:szCs w:val="16"/>
      </w:rPr>
      <w:tab/>
    </w:r>
    <w:r w:rsidRPr="00057D34">
      <w:rPr>
        <w:rFonts w:cs="Calibri"/>
        <w:noProof/>
        <w:sz w:val="16"/>
        <w:szCs w:val="16"/>
      </w:rPr>
      <w:fldChar w:fldCharType="begin"/>
    </w:r>
    <w:r w:rsidRPr="00F7312C">
      <w:rPr>
        <w:rFonts w:cs="Calibri"/>
        <w:noProof/>
        <w:sz w:val="16"/>
        <w:szCs w:val="16"/>
      </w:rPr>
      <w:instrText xml:space="preserve"> savedate \@ dd.MM.yy </w:instrText>
    </w:r>
    <w:r w:rsidRPr="00057D34">
      <w:rPr>
        <w:rFonts w:cs="Calibri"/>
        <w:noProof/>
        <w:sz w:val="16"/>
        <w:szCs w:val="16"/>
      </w:rPr>
      <w:fldChar w:fldCharType="separate"/>
    </w:r>
    <w:r w:rsidR="00E44AC8">
      <w:rPr>
        <w:rFonts w:cs="Calibri"/>
        <w:noProof/>
        <w:sz w:val="16"/>
        <w:szCs w:val="16"/>
      </w:rPr>
      <w:t>28.04.15</w:t>
    </w:r>
    <w:r w:rsidRPr="00057D34">
      <w:rPr>
        <w:rFonts w:cs="Calibri"/>
        <w:noProof/>
        <w:sz w:val="16"/>
        <w:szCs w:val="16"/>
      </w:rPr>
      <w:fldChar w:fldCharType="end"/>
    </w:r>
    <w:r w:rsidRPr="00057D34">
      <w:rPr>
        <w:rFonts w:cs="Calibri"/>
        <w:noProof/>
        <w:sz w:val="16"/>
        <w:szCs w:val="16"/>
      </w:rPr>
      <w:tab/>
    </w:r>
    <w:r w:rsidRPr="00057D34">
      <w:rPr>
        <w:rFonts w:cs="Calibri"/>
        <w:noProof/>
        <w:sz w:val="16"/>
        <w:szCs w:val="16"/>
      </w:rPr>
      <w:fldChar w:fldCharType="begin"/>
    </w:r>
    <w:r w:rsidRPr="00F7312C">
      <w:rPr>
        <w:rFonts w:cs="Calibri"/>
        <w:noProof/>
        <w:sz w:val="16"/>
        <w:szCs w:val="16"/>
      </w:rPr>
      <w:instrText xml:space="preserve"> printdate \@ dd.MM.yy </w:instrText>
    </w:r>
    <w:r w:rsidRPr="00057D34">
      <w:rPr>
        <w:rFonts w:cs="Calibri"/>
        <w:noProof/>
        <w:sz w:val="16"/>
        <w:szCs w:val="16"/>
      </w:rPr>
      <w:fldChar w:fldCharType="separate"/>
    </w:r>
    <w:r w:rsidR="006608E6">
      <w:rPr>
        <w:rFonts w:cs="Calibri"/>
        <w:noProof/>
        <w:sz w:val="16"/>
        <w:szCs w:val="16"/>
      </w:rPr>
      <w:t>28.04.15</w:t>
    </w:r>
    <w:r w:rsidRPr="00057D34">
      <w:rPr>
        <w:rFonts w:cs="Calibr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413" w:rsidRPr="00057D34" w:rsidRDefault="00973413" w:rsidP="00BD30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F27DA7">
      <w:rPr>
        <w:rFonts w:cs="Calibri"/>
        <w:noProof/>
        <w:sz w:val="16"/>
        <w:szCs w:val="16"/>
      </w:rPr>
      <w:t>P:\ARA\ITU-R\AG\RAG\RAG15\000\015A.docx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sidR="00F7312C">
      <w:rPr>
        <w:rFonts w:cs="Calibri"/>
        <w:sz w:val="16"/>
        <w:szCs w:val="16"/>
      </w:rPr>
      <w:t>37937</w:t>
    </w:r>
    <w:r w:rsidR="00BD3072">
      <w:rPr>
        <w:rFonts w:cs="Calibri"/>
        <w:sz w:val="16"/>
        <w:szCs w:val="16"/>
      </w:rPr>
      <w:t>6</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F27DA7">
      <w:rPr>
        <w:rFonts w:cs="Calibri"/>
        <w:noProof/>
        <w:sz w:val="16"/>
        <w:szCs w:val="16"/>
        <w:lang w:val="en-GB"/>
      </w:rPr>
      <w:t>28.04.15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F27DA7">
      <w:rPr>
        <w:rFonts w:cs="Calibri"/>
        <w:noProof/>
        <w:sz w:val="16"/>
        <w:szCs w:val="16"/>
        <w:lang w:val="en-GB"/>
      </w:rPr>
      <w:t>28.04.15</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54" w:rsidRDefault="00067F54" w:rsidP="00057D34">
      <w:pPr>
        <w:spacing w:before="0" w:line="240" w:lineRule="auto"/>
      </w:pPr>
      <w:r>
        <w:separator/>
      </w:r>
    </w:p>
  </w:footnote>
  <w:footnote w:type="continuationSeparator" w:id="0">
    <w:p w:rsidR="00067F54" w:rsidRDefault="00067F54" w:rsidP="00057D3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34" w:rsidRPr="00057D34" w:rsidRDefault="00057D34" w:rsidP="00BD3072">
    <w:pPr>
      <w:pStyle w:val="Header"/>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704A2E" w:rsidRPr="00704A2E">
      <w:rPr>
        <w:rFonts w:cs="Calibri"/>
        <w:noProof/>
        <w:sz w:val="20"/>
        <w:szCs w:val="20"/>
        <w:rtl/>
        <w:lang w:val="en-GB"/>
      </w:rPr>
      <w:t>2</w:t>
    </w:r>
    <w:r w:rsidRPr="00057D34">
      <w:rPr>
        <w:rFonts w:cs="Calibri"/>
        <w:sz w:val="20"/>
        <w:szCs w:val="20"/>
      </w:rPr>
      <w:fldChar w:fldCharType="end"/>
    </w:r>
    <w:r w:rsidRPr="00057D34">
      <w:rPr>
        <w:rFonts w:cs="Calibri"/>
        <w:sz w:val="20"/>
        <w:szCs w:val="20"/>
        <w:lang w:val="en-GB"/>
      </w:rPr>
      <w:br/>
      <w:t>RAG15</w:t>
    </w:r>
    <w:r w:rsidR="00275A49">
      <w:rPr>
        <w:rFonts w:cs="Calibri"/>
        <w:sz w:val="20"/>
        <w:szCs w:val="20"/>
        <w:lang w:val="en-GB"/>
      </w:rPr>
      <w:t>-1</w:t>
    </w:r>
    <w:r w:rsidRPr="00057D34">
      <w:rPr>
        <w:rFonts w:cs="Calibri"/>
        <w:sz w:val="20"/>
        <w:szCs w:val="20"/>
        <w:lang w:val="en-GB"/>
      </w:rPr>
      <w:t>/</w:t>
    </w:r>
    <w:r w:rsidR="00F7312C">
      <w:rPr>
        <w:rFonts w:cs="Calibri"/>
        <w:sz w:val="20"/>
        <w:szCs w:val="20"/>
        <w:lang w:val="en-GB"/>
      </w:rPr>
      <w:t>1</w:t>
    </w:r>
    <w:r w:rsidR="00BD3072">
      <w:rPr>
        <w:rFonts w:cs="Calibri"/>
        <w:sz w:val="20"/>
        <w:szCs w:val="20"/>
        <w:lang w:val="en-GB"/>
      </w:rPr>
      <w:t>5</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54"/>
    <w:rsid w:val="000169C3"/>
    <w:rsid w:val="0003183A"/>
    <w:rsid w:val="00057D34"/>
    <w:rsid w:val="00067F54"/>
    <w:rsid w:val="00090574"/>
    <w:rsid w:val="000E6A63"/>
    <w:rsid w:val="000F11BE"/>
    <w:rsid w:val="00127425"/>
    <w:rsid w:val="0017278F"/>
    <w:rsid w:val="00173915"/>
    <w:rsid w:val="001B753F"/>
    <w:rsid w:val="001C4D41"/>
    <w:rsid w:val="001C59F5"/>
    <w:rsid w:val="0023283D"/>
    <w:rsid w:val="00275A49"/>
    <w:rsid w:val="002815C1"/>
    <w:rsid w:val="002978F4"/>
    <w:rsid w:val="002B028D"/>
    <w:rsid w:val="002C7ED5"/>
    <w:rsid w:val="002E282B"/>
    <w:rsid w:val="002E6541"/>
    <w:rsid w:val="002E6BF2"/>
    <w:rsid w:val="002F74D8"/>
    <w:rsid w:val="0034087F"/>
    <w:rsid w:val="00357185"/>
    <w:rsid w:val="003F678F"/>
    <w:rsid w:val="0042686F"/>
    <w:rsid w:val="00443869"/>
    <w:rsid w:val="004E6710"/>
    <w:rsid w:val="004F7C99"/>
    <w:rsid w:val="00501E0E"/>
    <w:rsid w:val="00533501"/>
    <w:rsid w:val="0055516A"/>
    <w:rsid w:val="006608E6"/>
    <w:rsid w:val="00671822"/>
    <w:rsid w:val="006C0301"/>
    <w:rsid w:val="006D0554"/>
    <w:rsid w:val="006F63F7"/>
    <w:rsid w:val="00704A2E"/>
    <w:rsid w:val="007058EC"/>
    <w:rsid w:val="00706D7A"/>
    <w:rsid w:val="00803F08"/>
    <w:rsid w:val="008235CD"/>
    <w:rsid w:val="008513CB"/>
    <w:rsid w:val="00870407"/>
    <w:rsid w:val="008A41FB"/>
    <w:rsid w:val="00973413"/>
    <w:rsid w:val="00982B28"/>
    <w:rsid w:val="009C0EE0"/>
    <w:rsid w:val="009F09D8"/>
    <w:rsid w:val="00A4446C"/>
    <w:rsid w:val="00A700B7"/>
    <w:rsid w:val="00A71856"/>
    <w:rsid w:val="00A93254"/>
    <w:rsid w:val="00A97F94"/>
    <w:rsid w:val="00B5232B"/>
    <w:rsid w:val="00B52975"/>
    <w:rsid w:val="00B72E51"/>
    <w:rsid w:val="00B85059"/>
    <w:rsid w:val="00B97CEB"/>
    <w:rsid w:val="00BD3072"/>
    <w:rsid w:val="00BE1464"/>
    <w:rsid w:val="00C04F55"/>
    <w:rsid w:val="00C61D12"/>
    <w:rsid w:val="00C65537"/>
    <w:rsid w:val="00C674FE"/>
    <w:rsid w:val="00C75633"/>
    <w:rsid w:val="00CE2EE1"/>
    <w:rsid w:val="00CF3FFD"/>
    <w:rsid w:val="00D06289"/>
    <w:rsid w:val="00D43115"/>
    <w:rsid w:val="00D45BE1"/>
    <w:rsid w:val="00D71720"/>
    <w:rsid w:val="00D77D0F"/>
    <w:rsid w:val="00DA1CF0"/>
    <w:rsid w:val="00DC24B4"/>
    <w:rsid w:val="00DF16DC"/>
    <w:rsid w:val="00DF42EC"/>
    <w:rsid w:val="00E17033"/>
    <w:rsid w:val="00E44AC8"/>
    <w:rsid w:val="00E45211"/>
    <w:rsid w:val="00E736D0"/>
    <w:rsid w:val="00F27DA7"/>
    <w:rsid w:val="00F32E3C"/>
    <w:rsid w:val="00F7312C"/>
    <w:rsid w:val="00F84366"/>
    <w:rsid w:val="00F85089"/>
    <w:rsid w:val="00FD6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AB8179D-4B78-42F9-A51D-0D90A78A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067F54"/>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67F54"/>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67F54"/>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67F54"/>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67F54"/>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67F54"/>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67F54"/>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67F54"/>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67F54"/>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067F54"/>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067F54"/>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067F54"/>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067F54"/>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067F54"/>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067F54"/>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067F54"/>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067F54"/>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067F54"/>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iPriority w:val="99"/>
    <w:unhideWhenUsed/>
    <w:qFormat/>
    <w:rsid w:val="000F11BE"/>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067F54"/>
    <w:pPr>
      <w:keepNext/>
      <w:spacing w:before="240"/>
      <w:ind w:left="794" w:hanging="794"/>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 w:type="paragraph" w:customStyle="1" w:styleId="Normalaftertitle0">
    <w:name w:val="Normal_after_title"/>
    <w:basedOn w:val="Normal"/>
    <w:next w:val="Normal"/>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link w:val="Call"/>
    <w:rsid w:val="00F7312C"/>
    <w:rPr>
      <w:rFonts w:ascii="Times New Roman" w:hAnsi="Times New Roman" w:cs="Traditional Arabic"/>
      <w:i/>
      <w:iCs/>
      <w:szCs w:val="30"/>
    </w:rPr>
  </w:style>
  <w:style w:type="paragraph" w:customStyle="1" w:styleId="enumlev10">
    <w:name w:val="enumlev1"/>
    <w:basedOn w:val="Normal"/>
    <w:link w:val="enumlev1Char"/>
    <w:uiPriority w:val="99"/>
    <w:qFormat/>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ResNo">
    <w:name w:val="Res_No"/>
    <w:basedOn w:val="Normal"/>
    <w:next w:val="Normal"/>
    <w:link w:val="ResNoChar"/>
    <w:rsid w:val="00F7312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Annextitle0">
    <w:name w:val="Annex_title"/>
    <w:basedOn w:val="Normal"/>
    <w:next w:val="Normal"/>
    <w:link w:val="AnnextitleChar"/>
    <w:rsid w:val="00F7312C"/>
    <w:pPr>
      <w:keepNext/>
      <w:tabs>
        <w:tab w:val="clear" w:pos="794"/>
        <w:tab w:val="clear" w:pos="1361"/>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ascii="Times New Roman Bold" w:eastAsia="Times New Roman" w:hAnsi="Times New Roman Bold"/>
      <w:b/>
      <w:bCs/>
      <w:sz w:val="26"/>
      <w:szCs w:val="36"/>
      <w:lang w:eastAsia="en-US"/>
    </w:rPr>
  </w:style>
  <w:style w:type="character" w:customStyle="1" w:styleId="AnnextitleChar">
    <w:name w:val="Annex_title Char"/>
    <w:link w:val="Annextitle0"/>
    <w:rsid w:val="00F7312C"/>
    <w:rPr>
      <w:rFonts w:ascii="Times New Roman Bold" w:eastAsia="Times New Roman" w:hAnsi="Times New Roman Bold" w:cs="Traditional Arabic"/>
      <w:b/>
      <w:bCs/>
      <w:sz w:val="26"/>
      <w:szCs w:val="36"/>
      <w:lang w:eastAsia="en-US"/>
    </w:rPr>
  </w:style>
  <w:style w:type="character" w:customStyle="1" w:styleId="ResNoChar">
    <w:name w:val="Res_No Char"/>
    <w:link w:val="ResNo"/>
    <w:rsid w:val="00F7312C"/>
    <w:rPr>
      <w:rFonts w:ascii="Times New Roman" w:eastAsia="SimSun" w:hAnsi="Times New Roman" w:cs="Traditional Arabic"/>
      <w:sz w:val="28"/>
      <w:szCs w:val="40"/>
      <w:lang w:val="en-GB" w:eastAsia="en-US"/>
    </w:rPr>
  </w:style>
  <w:style w:type="character" w:customStyle="1" w:styleId="enumlev1Char">
    <w:name w:val="enumlev1 Char"/>
    <w:link w:val="enumlev10"/>
    <w:uiPriority w:val="99"/>
    <w:rsid w:val="00F7312C"/>
    <w:rPr>
      <w:rFonts w:ascii="Times New Roman" w:eastAsia="Batang" w:hAnsi="Times New Roman" w:cs="Traditional Arabic"/>
      <w:szCs w:val="30"/>
      <w:lang w:val="en-GB" w:eastAsia="en-US"/>
    </w:rPr>
  </w:style>
  <w:style w:type="paragraph" w:customStyle="1" w:styleId="AnnexNo0">
    <w:name w:val="Annex_No"/>
    <w:basedOn w:val="Normal"/>
    <w:link w:val="AnnexNoCar"/>
    <w:qFormat/>
    <w:rsid w:val="00F731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character" w:customStyle="1" w:styleId="AnnexNoCar">
    <w:name w:val="Annex_No Car"/>
    <w:link w:val="AnnexNo0"/>
    <w:locked/>
    <w:rsid w:val="00F7312C"/>
    <w:rPr>
      <w:rFonts w:ascii="Times New Roman" w:eastAsia="Times New Roman" w:hAnsi="Times New Roman" w:cs="Traditional Arabic"/>
      <w:sz w:val="28"/>
      <w:szCs w:val="40"/>
      <w:lang w:val="en-GB" w:eastAsia="en-US" w:bidi="ar-EG"/>
    </w:rPr>
  </w:style>
  <w:style w:type="paragraph" w:customStyle="1" w:styleId="ResNoTitle">
    <w:name w:val="Res_No&amp;Title"/>
    <w:basedOn w:val="Normal"/>
    <w:qFormat/>
    <w:rsid w:val="00F7312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b/>
      <w:bCs/>
      <w:sz w:val="28"/>
      <w:szCs w:val="40"/>
      <w:lang w:eastAsia="en-US"/>
    </w:rPr>
  </w:style>
  <w:style w:type="paragraph" w:customStyle="1" w:styleId="Resdate">
    <w:name w:val="Res_date"/>
    <w:basedOn w:val="Normal"/>
    <w:next w:val="Normal"/>
    <w:link w:val="ResdateChar"/>
    <w:qFormat/>
    <w:rsid w:val="00F7312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F7312C"/>
    <w:rPr>
      <w:rFonts w:ascii="Times New Roman" w:eastAsia="Times New Roman" w:hAnsi="Times New Roman" w:cs="Times New Roman"/>
      <w:lang w:val="en-GB" w:eastAsia="en-US"/>
    </w:rPr>
  </w:style>
  <w:style w:type="paragraph" w:customStyle="1" w:styleId="AnnexNotitle">
    <w:name w:val="Annex_No &amp; title"/>
    <w:basedOn w:val="Normal"/>
    <w:next w:val="Normal"/>
    <w:qFormat/>
    <w:rsid w:val="000F11B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4E4E-8EEA-475F-A82E-AC705302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330</Words>
  <Characters>1682</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15</cp:revision>
  <cp:lastPrinted>2015-04-28T09:11:00Z</cp:lastPrinted>
  <dcterms:created xsi:type="dcterms:W3CDTF">2015-04-28T09:12:00Z</dcterms:created>
  <dcterms:modified xsi:type="dcterms:W3CDTF">2015-04-28T14:39:00Z</dcterms:modified>
</cp:coreProperties>
</file>