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EG"/>
              </w:rPr>
            </w:pPr>
          </w:p>
        </w:tc>
        <w:tc>
          <w:tcPr>
            <w:tcW w:w="1692" w:type="pct"/>
          </w:tcPr>
          <w:p w:rsidR="00FD6C64" w:rsidRPr="004E6710" w:rsidRDefault="00F7312C" w:rsidP="00BE1464">
            <w:pPr>
              <w:spacing w:before="60" w:after="60" w:line="300" w:lineRule="exact"/>
              <w:jc w:val="left"/>
              <w:rPr>
                <w:rFonts w:ascii="Verdana" w:hAnsi="Verdana"/>
                <w:b/>
                <w:bCs/>
                <w:sz w:val="19"/>
                <w:lang w:bidi="ar-SY"/>
              </w:rPr>
            </w:pPr>
            <w:r w:rsidRPr="00F7312C">
              <w:rPr>
                <w:rFonts w:ascii="Verdana" w:hAnsi="Verdana" w:hint="cs"/>
                <w:b/>
                <w:bCs/>
                <w:sz w:val="19"/>
                <w:rtl/>
                <w:lang w:bidi="ar-SY"/>
              </w:rPr>
              <w:t xml:space="preserve">الوثيقة </w:t>
            </w:r>
            <w:r w:rsidRPr="00F7312C">
              <w:rPr>
                <w:rFonts w:ascii="Verdana" w:hAnsi="Verdana"/>
                <w:b/>
                <w:bCs/>
                <w:sz w:val="19"/>
                <w:lang w:bidi="ar-SY"/>
              </w:rPr>
              <w:t>RAG15-1/1</w:t>
            </w:r>
            <w:r w:rsidR="00BE1464">
              <w:rPr>
                <w:rFonts w:ascii="Verdana" w:hAnsi="Verdana"/>
                <w:b/>
                <w:bCs/>
                <w:sz w:val="19"/>
                <w:lang w:bidi="ar-SY"/>
              </w:rPr>
              <w:t>4</w:t>
            </w:r>
            <w:r w:rsidRPr="00F7312C">
              <w:rPr>
                <w:rFonts w:ascii="Verdana" w:hAnsi="Verdana"/>
                <w:b/>
                <w:bCs/>
                <w:sz w:val="19"/>
                <w:lang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F7312C" w:rsidP="006C0301">
            <w:pPr>
              <w:spacing w:before="60" w:after="60" w:line="300" w:lineRule="exact"/>
              <w:jc w:val="left"/>
              <w:rPr>
                <w:rFonts w:ascii="Verdana" w:hAnsi="Verdana"/>
                <w:b/>
                <w:bCs/>
                <w:sz w:val="19"/>
                <w:rtl/>
                <w:lang w:val="en-GB" w:bidi="ar-EG"/>
              </w:rPr>
            </w:pPr>
            <w:r>
              <w:rPr>
                <w:rFonts w:ascii="Verdana" w:hAnsi="Verdana"/>
                <w:b/>
                <w:bCs/>
                <w:sz w:val="19"/>
                <w:lang w:val="en-GB" w:bidi="ar-SY"/>
              </w:rPr>
              <w:t>21</w:t>
            </w:r>
            <w:r w:rsidRPr="004E6710">
              <w:rPr>
                <w:rFonts w:ascii="Verdana" w:hAnsi="Verdana" w:hint="cs"/>
                <w:b/>
                <w:bCs/>
                <w:sz w:val="19"/>
                <w:rtl/>
                <w:lang w:val="en-GB" w:bidi="ar-SY"/>
              </w:rPr>
              <w:t xml:space="preserve"> </w:t>
            </w:r>
            <w:r>
              <w:rPr>
                <w:rFonts w:ascii="Verdana" w:hAnsi="Verdana" w:hint="cs"/>
                <w:b/>
                <w:bCs/>
                <w:sz w:val="19"/>
                <w:rtl/>
                <w:lang w:val="en-GB" w:bidi="ar-EG"/>
              </w:rPr>
              <w:t xml:space="preserve">أبريل </w:t>
            </w:r>
            <w:r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4E6169" w:rsidRDefault="002E282B" w:rsidP="002E282B">
            <w:pPr>
              <w:pStyle w:val="Source"/>
              <w:rPr>
                <w:rFonts w:ascii="Times New Roman Bold" w:hAnsi="Times New Roman Bold"/>
                <w:w w:val="120"/>
              </w:rPr>
            </w:pPr>
            <w:r w:rsidRPr="004E6169">
              <w:rPr>
                <w:rFonts w:ascii="Times New Roman Bold" w:hAnsi="Times New Roman Bold"/>
                <w:w w:val="120"/>
                <w:rtl/>
              </w:rPr>
              <w:t>جمهورية كوريا</w:t>
            </w:r>
          </w:p>
        </w:tc>
      </w:tr>
      <w:tr w:rsidR="00FD6C64" w:rsidRPr="00FD6C64" w:rsidTr="006C0301">
        <w:trPr>
          <w:cantSplit/>
        </w:trPr>
        <w:tc>
          <w:tcPr>
            <w:tcW w:w="5000" w:type="pct"/>
            <w:gridSpan w:val="2"/>
          </w:tcPr>
          <w:p w:rsidR="00FD6C64" w:rsidRPr="004E6169" w:rsidRDefault="002E282B" w:rsidP="004E6169">
            <w:pPr>
              <w:pStyle w:val="Title1"/>
              <w:spacing w:after="0"/>
              <w:rPr>
                <w:w w:val="120"/>
                <w:lang w:val="en-GB"/>
              </w:rPr>
            </w:pPr>
            <w:r w:rsidRPr="004E6169">
              <w:rPr>
                <w:w w:val="120"/>
                <w:rtl/>
              </w:rPr>
              <w:t xml:space="preserve">إمكان مراجعة القرار </w:t>
            </w:r>
            <w:r w:rsidRPr="004E6169">
              <w:rPr>
                <w:w w:val="120"/>
              </w:rPr>
              <w:t>ITU-R</w:t>
            </w:r>
            <w:r w:rsidR="004E6169">
              <w:rPr>
                <w:w w:val="120"/>
              </w:rPr>
              <w:t> </w:t>
            </w:r>
            <w:r w:rsidRPr="004E6169">
              <w:rPr>
                <w:w w:val="120"/>
              </w:rPr>
              <w:t>2-6</w:t>
            </w:r>
          </w:p>
        </w:tc>
      </w:tr>
    </w:tbl>
    <w:p w:rsidR="00F7312C" w:rsidRPr="00E85B58" w:rsidRDefault="00F7312C" w:rsidP="002E282B">
      <w:pPr>
        <w:pStyle w:val="Heading1"/>
        <w:spacing w:before="240"/>
        <w:rPr>
          <w:rtl/>
          <w:lang w:bidi="ar-EG"/>
        </w:rPr>
      </w:pPr>
      <w:r w:rsidRPr="00E85B58">
        <w:rPr>
          <w:lang w:bidi="ar-EG"/>
        </w:rPr>
        <w:t>1</w:t>
      </w:r>
      <w:r w:rsidRPr="00E85B58">
        <w:rPr>
          <w:rtl/>
          <w:lang w:bidi="ar-EG"/>
        </w:rPr>
        <w:tab/>
      </w:r>
      <w:r w:rsidRPr="00E85B58">
        <w:rPr>
          <w:rFonts w:hint="cs"/>
          <w:rtl/>
          <w:lang w:bidi="ar-EG"/>
        </w:rPr>
        <w:t>مقدمة</w:t>
      </w:r>
    </w:p>
    <w:p w:rsidR="002E282B" w:rsidRPr="00BE1464" w:rsidRDefault="002E282B" w:rsidP="00FF2451">
      <w:pPr>
        <w:rPr>
          <w:rtl/>
        </w:rPr>
      </w:pPr>
      <w:r w:rsidRPr="00BE1464">
        <w:rPr>
          <w:rFonts w:hint="cs"/>
          <w:rtl/>
        </w:rPr>
        <w:t xml:space="preserve">يتناول القرار </w:t>
      </w:r>
      <w:r w:rsidRPr="00BE1464">
        <w:t>ITU</w:t>
      </w:r>
      <w:r w:rsidR="00FF2451">
        <w:noBreakHyphen/>
      </w:r>
      <w:r w:rsidRPr="00BE1464">
        <w:t>R</w:t>
      </w:r>
      <w:r w:rsidR="00FF2451">
        <w:t> </w:t>
      </w:r>
      <w:r w:rsidRPr="00BE1464">
        <w:t>2</w:t>
      </w:r>
      <w:r w:rsidR="00FF2451">
        <w:noBreakHyphen/>
      </w:r>
      <w:r w:rsidRPr="00BE1464">
        <w:t>6</w:t>
      </w:r>
      <w:r w:rsidRPr="00BE1464">
        <w:rPr>
          <w:rtl/>
        </w:rPr>
        <w:t xml:space="preserve"> </w:t>
      </w:r>
      <w:r w:rsidRPr="00BE1464">
        <w:rPr>
          <w:rFonts w:hint="cs"/>
          <w:rtl/>
        </w:rPr>
        <w:t>مبادئ الدعوة إلى الاجتماع التحضيري للمؤتمر العالمي للاتصالات الراديوية ("المؤتمر") وتنظيمه، ونطاقه، وطرائق عمله (الملحق</w:t>
      </w:r>
      <w:r w:rsidR="002E51AF">
        <w:rPr>
          <w:rFonts w:hint="eastAsia"/>
          <w:rtl/>
        </w:rPr>
        <w:t> </w:t>
      </w:r>
      <w:r w:rsidRPr="00BE1464">
        <w:t>1</w:t>
      </w:r>
      <w:r w:rsidRPr="00BE1464">
        <w:rPr>
          <w:rFonts w:hint="cs"/>
          <w:rtl/>
        </w:rPr>
        <w:t xml:space="preserve"> بالقرار)، والمبادئ التوجيهية لإعداد مشروع تقريره (الملحق</w:t>
      </w:r>
      <w:r w:rsidR="00C10BAE">
        <w:rPr>
          <w:rFonts w:hint="eastAsia"/>
          <w:rtl/>
        </w:rPr>
        <w:t> </w:t>
      </w:r>
      <w:r w:rsidRPr="00BE1464">
        <w:t>2</w:t>
      </w:r>
      <w:r w:rsidRPr="00BE1464">
        <w:rPr>
          <w:rFonts w:hint="cs"/>
          <w:rtl/>
        </w:rPr>
        <w:t xml:space="preserve"> بالقرار).</w:t>
      </w:r>
    </w:p>
    <w:p w:rsidR="002E282B" w:rsidRPr="002E282B" w:rsidRDefault="002E282B" w:rsidP="00215503">
      <w:pPr>
        <w:rPr>
          <w:rFonts w:ascii="Calibri" w:hAnsi="Calibri"/>
          <w:rtl/>
        </w:rPr>
      </w:pPr>
      <w:r w:rsidRPr="002E282B">
        <w:rPr>
          <w:rFonts w:ascii="Calibri" w:hAnsi="Calibri" w:hint="cs"/>
          <w:rtl/>
        </w:rPr>
        <w:t xml:space="preserve">وقد بُذلت جهود طائلة لإعداد تقرير الاجتماع التحضيري للمؤتمر العالمي للاتصالات الراديوية من خلال جلسات عديدة عقدتها لجان الدراسات المسؤولة والأفرقة المعنية بالبنود ذات الصلة من بنود جدول أعمال المؤتمر، بما في ذلك الاجتماع التحضيري للمؤتمر. وثمة بين المواضيع المشمولة بتقرير الاجتماع التحضيري للمؤتمر مواضيع استغرق إعدادها وقتاً طويلاً، منها </w:t>
      </w:r>
      <w:r w:rsidR="00215503">
        <w:rPr>
          <w:rFonts w:ascii="Calibri" w:hAnsi="Calibri" w:hint="cs"/>
          <w:rtl/>
        </w:rPr>
        <w:t>أساليب الوفاء ببنود جدول أعمال المؤتمر</w:t>
      </w:r>
      <w:r w:rsidRPr="002E282B">
        <w:rPr>
          <w:rFonts w:ascii="Calibri" w:hAnsi="Calibri" w:hint="cs"/>
          <w:rtl/>
        </w:rPr>
        <w:t>. ويشار بصورة خاصة إلى أنه جرت مناقشات مديدة بصدد صياغة النصوص المتعلقة بمزايا وعيوب كل أسلوب من الأساليب المعنية.</w:t>
      </w:r>
    </w:p>
    <w:p w:rsidR="000F11BE" w:rsidRPr="002E282B" w:rsidRDefault="002E282B" w:rsidP="00044F91">
      <w:pPr>
        <w:rPr>
          <w:rFonts w:eastAsia="SimSun"/>
          <w:spacing w:val="-2"/>
          <w:rtl/>
          <w:lang w:bidi="ar-EG"/>
        </w:rPr>
      </w:pPr>
      <w:r w:rsidRPr="002E282B">
        <w:rPr>
          <w:rFonts w:hint="cs"/>
          <w:spacing w:val="-2"/>
          <w:rtl/>
        </w:rPr>
        <w:t xml:space="preserve">وينص القسم </w:t>
      </w:r>
      <w:r w:rsidRPr="002E282B">
        <w:rPr>
          <w:spacing w:val="-2"/>
        </w:rPr>
        <w:t>4</w:t>
      </w:r>
      <w:r w:rsidRPr="002E282B">
        <w:rPr>
          <w:rFonts w:hint="cs"/>
          <w:spacing w:val="-2"/>
          <w:rtl/>
        </w:rPr>
        <w:t xml:space="preserve"> من الملحق </w:t>
      </w:r>
      <w:r w:rsidRPr="002E282B">
        <w:rPr>
          <w:spacing w:val="-2"/>
        </w:rPr>
        <w:t>2</w:t>
      </w:r>
      <w:r w:rsidRPr="002E282B">
        <w:rPr>
          <w:rFonts w:hint="cs"/>
          <w:spacing w:val="-2"/>
          <w:rtl/>
        </w:rPr>
        <w:t xml:space="preserve"> من القرار </w:t>
      </w:r>
      <w:r w:rsidRPr="002E282B">
        <w:rPr>
          <w:spacing w:val="-2"/>
        </w:rPr>
        <w:t>ITU</w:t>
      </w:r>
      <w:r w:rsidR="00044F91">
        <w:rPr>
          <w:spacing w:val="-2"/>
        </w:rPr>
        <w:noBreakHyphen/>
      </w:r>
      <w:r w:rsidRPr="002E282B">
        <w:rPr>
          <w:spacing w:val="-2"/>
        </w:rPr>
        <w:t>R</w:t>
      </w:r>
      <w:r w:rsidR="00044F91">
        <w:rPr>
          <w:spacing w:val="-2"/>
        </w:rPr>
        <w:t> </w:t>
      </w:r>
      <w:r w:rsidRPr="002E282B">
        <w:rPr>
          <w:spacing w:val="-2"/>
        </w:rPr>
        <w:t>2</w:t>
      </w:r>
      <w:r w:rsidR="00044F91">
        <w:rPr>
          <w:spacing w:val="-2"/>
        </w:rPr>
        <w:noBreakHyphen/>
      </w:r>
      <w:r w:rsidRPr="002E282B">
        <w:rPr>
          <w:spacing w:val="-2"/>
        </w:rPr>
        <w:t>6</w:t>
      </w:r>
      <w:r w:rsidRPr="002E282B">
        <w:rPr>
          <w:spacing w:val="-2"/>
          <w:rtl/>
        </w:rPr>
        <w:t xml:space="preserve"> </w:t>
      </w:r>
      <w:r w:rsidRPr="002E282B">
        <w:rPr>
          <w:rFonts w:hint="cs"/>
          <w:spacing w:val="-2"/>
          <w:rtl/>
        </w:rPr>
        <w:t xml:space="preserve">على أنه </w:t>
      </w:r>
      <w:r w:rsidRPr="005F4B20">
        <w:rPr>
          <w:rFonts w:hint="cs"/>
          <w:spacing w:val="-2"/>
          <w:rtl/>
        </w:rPr>
        <w:t>"</w:t>
      </w:r>
      <w:r w:rsidR="005F4B20" w:rsidRPr="005F4B20">
        <w:rPr>
          <w:rFonts w:hint="eastAsia"/>
          <w:spacing w:val="-2"/>
          <w:sz w:val="20"/>
          <w:szCs w:val="20"/>
          <w:rtl/>
        </w:rPr>
        <w:t> </w:t>
      </w:r>
      <w:r w:rsidRPr="002E282B">
        <w:rPr>
          <w:i/>
          <w:iCs/>
          <w:spacing w:val="-2"/>
          <w:rtl/>
        </w:rPr>
        <w:t xml:space="preserve">قد يكون من </w:t>
      </w:r>
      <w:r w:rsidRPr="002E282B">
        <w:rPr>
          <w:rFonts w:hint="cs"/>
          <w:i/>
          <w:iCs/>
          <w:spacing w:val="-2"/>
          <w:rtl/>
        </w:rPr>
        <w:t>الممكن</w:t>
      </w:r>
      <w:r w:rsidRPr="002E282B">
        <w:rPr>
          <w:i/>
          <w:iCs/>
          <w:spacing w:val="-2"/>
          <w:rtl/>
        </w:rPr>
        <w:t xml:space="preserve"> في بعض الحالات عند تقديم أكثر من أسلوب، عرض مزايا كل أسلوب وعيوبه. ومع ذلك ت</w:t>
      </w:r>
      <w:r w:rsidRPr="002E282B">
        <w:rPr>
          <w:rFonts w:hint="cs"/>
          <w:i/>
          <w:iCs/>
          <w:spacing w:val="-2"/>
          <w:rtl/>
        </w:rPr>
        <w:t>ُ</w:t>
      </w:r>
      <w:r w:rsidRPr="002E282B">
        <w:rPr>
          <w:i/>
          <w:iCs/>
          <w:spacing w:val="-2"/>
          <w:rtl/>
        </w:rPr>
        <w:t>ح</w:t>
      </w:r>
      <w:r w:rsidRPr="002E282B">
        <w:rPr>
          <w:rFonts w:hint="cs"/>
          <w:i/>
          <w:iCs/>
          <w:spacing w:val="-2"/>
          <w:rtl/>
        </w:rPr>
        <w:t>َ</w:t>
      </w:r>
      <w:r w:rsidRPr="002E282B">
        <w:rPr>
          <w:i/>
          <w:iCs/>
          <w:spacing w:val="-2"/>
          <w:rtl/>
        </w:rPr>
        <w:t>ث</w:t>
      </w:r>
      <w:r w:rsidRPr="002E282B">
        <w:rPr>
          <w:rFonts w:hint="cs"/>
          <w:i/>
          <w:iCs/>
          <w:spacing w:val="-2"/>
          <w:rtl/>
        </w:rPr>
        <w:t>ّ</w:t>
      </w:r>
      <w:r w:rsidRPr="002E282B">
        <w:rPr>
          <w:i/>
          <w:iCs/>
          <w:spacing w:val="-2"/>
          <w:rtl/>
        </w:rPr>
        <w:t xml:space="preserve"> الأفرقة المسؤولة في مثل هذه الحالات </w:t>
      </w:r>
      <w:r w:rsidRPr="002E282B">
        <w:rPr>
          <w:rFonts w:hint="cs"/>
          <w:i/>
          <w:iCs/>
          <w:spacing w:val="-2"/>
          <w:rtl/>
        </w:rPr>
        <w:t xml:space="preserve">شديد الحث </w:t>
      </w:r>
      <w:r w:rsidRPr="002E282B">
        <w:rPr>
          <w:i/>
          <w:iCs/>
          <w:spacing w:val="-2"/>
          <w:rtl/>
        </w:rPr>
        <w:t>على أن تحصر عدد مزايا كل أسلوب وعيوبه فيما لا</w:t>
      </w:r>
      <w:bookmarkStart w:id="1" w:name="_GoBack"/>
      <w:bookmarkEnd w:id="1"/>
      <w:r w:rsidRPr="002E282B">
        <w:rPr>
          <w:i/>
          <w:iCs/>
          <w:spacing w:val="-2"/>
          <w:rtl/>
        </w:rPr>
        <w:t xml:space="preserve"> يزيد على </w:t>
      </w:r>
      <w:r w:rsidR="00BE1464">
        <w:rPr>
          <w:i/>
          <w:iCs/>
          <w:spacing w:val="-2"/>
        </w:rPr>
        <w:t>(3)</w:t>
      </w:r>
      <w:r w:rsidRPr="002E282B">
        <w:rPr>
          <w:i/>
          <w:iCs/>
          <w:spacing w:val="-2"/>
          <w:rtl/>
        </w:rPr>
        <w:t xml:space="preserve"> ثلاث مزايا وثلاثة عيوب</w:t>
      </w:r>
      <w:r w:rsidRPr="005F4B20">
        <w:rPr>
          <w:rFonts w:hint="cs"/>
          <w:spacing w:val="-2"/>
          <w:rtl/>
        </w:rPr>
        <w:t>"</w:t>
      </w:r>
      <w:r w:rsidRPr="002E282B">
        <w:rPr>
          <w:rFonts w:hint="cs"/>
          <w:i/>
          <w:iCs/>
          <w:spacing w:val="-2"/>
          <w:rtl/>
        </w:rPr>
        <w:t>.</w:t>
      </w:r>
      <w:r w:rsidRPr="002E282B">
        <w:rPr>
          <w:rFonts w:hint="cs"/>
          <w:spacing w:val="-2"/>
          <w:rtl/>
        </w:rPr>
        <w:t xml:space="preserve"> ولئن لم يكن من الإلزامي عرض مزايا وعيوب كل أسلوب فقد قضت الأفرقة المسؤولة وقتاً طويلاً في إعداد نصوص المزايا والعيوب. وكان من الأفضل تفادي مثل هذه الأوضاع حيث يُقضى وقت زائد الطول في إعداد هذه النصوص. وبالنظر إلى الممارسة التي عُمِل بها في </w:t>
      </w:r>
      <w:r w:rsidR="00284B40">
        <w:rPr>
          <w:rFonts w:hint="cs"/>
          <w:spacing w:val="-2"/>
          <w:rtl/>
        </w:rPr>
        <w:t>الاجتماعات</w:t>
      </w:r>
      <w:r w:rsidRPr="002E282B">
        <w:rPr>
          <w:rFonts w:hint="cs"/>
          <w:spacing w:val="-2"/>
          <w:rtl/>
        </w:rPr>
        <w:t xml:space="preserve"> السابقة لإعداد تقارير الاجتماع التحضيري للمؤتمر فإنه يتعيَّن تحسين المبادئ التوجيهية لإعداد مشروع تقرير الاجتماع التحضيري للمؤتمر بغية زيادة نجاعة العمل ذي الصلة.</w:t>
      </w:r>
    </w:p>
    <w:p w:rsidR="002E282B" w:rsidRPr="002E282B" w:rsidRDefault="002E282B" w:rsidP="00044F91">
      <w:pPr>
        <w:pStyle w:val="Heading1"/>
        <w:spacing w:before="240"/>
        <w:rPr>
          <w:rtl/>
          <w:lang w:bidi="ar-EG"/>
        </w:rPr>
      </w:pPr>
      <w:r w:rsidRPr="002E282B">
        <w:rPr>
          <w:lang w:bidi="ar-EG"/>
        </w:rPr>
        <w:t>2</w:t>
      </w:r>
      <w:r w:rsidRPr="002E282B">
        <w:rPr>
          <w:rtl/>
          <w:lang w:bidi="ar-EG"/>
        </w:rPr>
        <w:tab/>
      </w:r>
      <w:r w:rsidRPr="002E282B">
        <w:rPr>
          <w:rFonts w:hint="cs"/>
          <w:rtl/>
          <w:lang w:bidi="ar-EG"/>
        </w:rPr>
        <w:t xml:space="preserve">الآراء بشأن إمكان مراجعة القرار </w:t>
      </w:r>
      <w:r w:rsidRPr="002E282B">
        <w:rPr>
          <w:lang w:bidi="ar-EG"/>
        </w:rPr>
        <w:t>ITU</w:t>
      </w:r>
      <w:r w:rsidR="00044F91">
        <w:rPr>
          <w:lang w:bidi="ar-EG"/>
        </w:rPr>
        <w:noBreakHyphen/>
      </w:r>
      <w:r w:rsidRPr="002E282B">
        <w:rPr>
          <w:lang w:bidi="ar-EG"/>
        </w:rPr>
        <w:t>R</w:t>
      </w:r>
      <w:r w:rsidR="00044F91">
        <w:rPr>
          <w:lang w:bidi="ar-EG"/>
        </w:rPr>
        <w:t> </w:t>
      </w:r>
      <w:r w:rsidRPr="002E282B">
        <w:rPr>
          <w:lang w:bidi="ar-EG"/>
        </w:rPr>
        <w:t>2</w:t>
      </w:r>
      <w:r w:rsidR="00044F91">
        <w:rPr>
          <w:lang w:bidi="ar-EG"/>
        </w:rPr>
        <w:noBreakHyphen/>
      </w:r>
      <w:r w:rsidRPr="002E282B">
        <w:rPr>
          <w:lang w:bidi="ar-EG"/>
        </w:rPr>
        <w:t>6</w:t>
      </w:r>
    </w:p>
    <w:p w:rsidR="000F11BE" w:rsidRPr="004E6169" w:rsidRDefault="002E282B" w:rsidP="004E6169">
      <w:pPr>
        <w:rPr>
          <w:rtl/>
        </w:rPr>
      </w:pPr>
      <w:r w:rsidRPr="004E6169">
        <w:rPr>
          <w:rFonts w:hint="cs"/>
          <w:rtl/>
        </w:rPr>
        <w:t>ترى جمهورية كوريا أنه يتعيَّن تهيئة مبادئ توجيهية أفضل لإعداد مشروع تقرير الاجتماع التحضيري للمؤتمر بغية زيادة نجاعة</w:t>
      </w:r>
      <w:r w:rsidR="00BE1464" w:rsidRPr="004E6169">
        <w:rPr>
          <w:rFonts w:hint="cs"/>
          <w:rtl/>
        </w:rPr>
        <w:t xml:space="preserve"> العمل في</w:t>
      </w:r>
      <w:r w:rsidR="00BE1464" w:rsidRPr="004E6169">
        <w:rPr>
          <w:rFonts w:hint="eastAsia"/>
          <w:rtl/>
        </w:rPr>
        <w:t> </w:t>
      </w:r>
      <w:r w:rsidRPr="004E6169">
        <w:rPr>
          <w:rFonts w:hint="cs"/>
          <w:rtl/>
        </w:rPr>
        <w:t>الأفرقة المسؤولة وفي الاجتماع التحضيري للمؤتمر. وعليه فإن أحد سبل المضي قدماً على هذا الصعيد قد يتمثل في تعديل القسم</w:t>
      </w:r>
      <w:r w:rsidR="00BE1464" w:rsidRPr="004E6169">
        <w:rPr>
          <w:rFonts w:hint="eastAsia"/>
          <w:rtl/>
        </w:rPr>
        <w:t> </w:t>
      </w:r>
      <w:r w:rsidRPr="004E6169">
        <w:t>4</w:t>
      </w:r>
      <w:r w:rsidRPr="004E6169">
        <w:rPr>
          <w:rFonts w:hint="cs"/>
          <w:rtl/>
        </w:rPr>
        <w:t xml:space="preserve"> من الملحق </w:t>
      </w:r>
      <w:r w:rsidRPr="004E6169">
        <w:t>2</w:t>
      </w:r>
      <w:r w:rsidRPr="004E6169">
        <w:rPr>
          <w:rFonts w:hint="cs"/>
          <w:rtl/>
        </w:rPr>
        <w:t xml:space="preserve"> بالقرار </w:t>
      </w:r>
      <w:r w:rsidRPr="004E6169">
        <w:t>ITU</w:t>
      </w:r>
      <w:r w:rsidR="004E6169" w:rsidRPr="004E6169">
        <w:noBreakHyphen/>
      </w:r>
      <w:r w:rsidRPr="004E6169">
        <w:t>R</w:t>
      </w:r>
      <w:r w:rsidR="004E6169" w:rsidRPr="004E6169">
        <w:t> </w:t>
      </w:r>
      <w:r w:rsidRPr="004E6169">
        <w:t>2</w:t>
      </w:r>
      <w:r w:rsidR="004E6169" w:rsidRPr="004E6169">
        <w:noBreakHyphen/>
      </w:r>
      <w:r w:rsidRPr="004E6169">
        <w:t>6</w:t>
      </w:r>
      <w:r w:rsidRPr="004E6169">
        <w:rPr>
          <w:rFonts w:hint="cs"/>
          <w:rtl/>
        </w:rPr>
        <w:t xml:space="preserve"> على نحو يحول، عند إعداد النصوص المتعلقة بمزا</w:t>
      </w:r>
      <w:r w:rsidR="00B101E3">
        <w:rPr>
          <w:rFonts w:hint="cs"/>
          <w:rtl/>
        </w:rPr>
        <w:t>يا وعيوب كل أسلوب، دون تبيان أي</w:t>
      </w:r>
      <w:r w:rsidRPr="004E6169">
        <w:rPr>
          <w:rFonts w:hint="cs"/>
          <w:rtl/>
        </w:rPr>
        <w:t xml:space="preserve"> آراء مؤيدة للأسلوب المعني</w:t>
      </w:r>
      <w:r w:rsidR="00BE1464" w:rsidRPr="004E6169">
        <w:rPr>
          <w:rFonts w:hint="cs"/>
          <w:rtl/>
        </w:rPr>
        <w:t xml:space="preserve"> أو</w:t>
      </w:r>
      <w:r w:rsidR="00BE1464" w:rsidRPr="004E6169">
        <w:rPr>
          <w:rFonts w:hint="eastAsia"/>
          <w:rtl/>
        </w:rPr>
        <w:t> </w:t>
      </w:r>
      <w:r w:rsidRPr="004E6169">
        <w:rPr>
          <w:rFonts w:hint="cs"/>
          <w:rtl/>
        </w:rPr>
        <w:t>معارضة له بحيث تصاغ النصوص ذات الصلة على أساس الوقائع، مع الإبقاء بمثابة مبدأ توجيهي إلزامي على الحد الأقصى البالغ ثلاثة</w:t>
      </w:r>
      <w:r w:rsidR="00BE1464" w:rsidRPr="004E6169">
        <w:rPr>
          <w:rFonts w:hint="eastAsia"/>
          <w:rtl/>
        </w:rPr>
        <w:t> </w:t>
      </w:r>
      <w:r w:rsidR="00BE1464" w:rsidRPr="004E6169">
        <w:t>(</w:t>
      </w:r>
      <w:r w:rsidRPr="004E6169">
        <w:t>3</w:t>
      </w:r>
      <w:r w:rsidR="00BE1464" w:rsidRPr="004E6169">
        <w:t>)</w:t>
      </w:r>
      <w:r w:rsidRPr="004E6169">
        <w:rPr>
          <w:rtl/>
        </w:rPr>
        <w:t xml:space="preserve"> </w:t>
      </w:r>
      <w:r w:rsidRPr="004E6169">
        <w:rPr>
          <w:rFonts w:hint="cs"/>
          <w:rtl/>
        </w:rPr>
        <w:t>لعدد مزايا كل أسلوب ولعدد عيوبه، إذا حدث أن راجعت جمعية الاتصالات الراديوية</w:t>
      </w:r>
      <w:r w:rsidR="004E6169" w:rsidRPr="004E6169">
        <w:rPr>
          <w:rFonts w:hint="cs"/>
          <w:rtl/>
          <w:lang w:bidi="ar-EG"/>
        </w:rPr>
        <w:t xml:space="preserve"> لعام </w:t>
      </w:r>
      <w:r w:rsidR="004E6169" w:rsidRPr="004E6169">
        <w:rPr>
          <w:lang w:bidi="ar-EG"/>
        </w:rPr>
        <w:t>2015</w:t>
      </w:r>
      <w:r w:rsidR="004E6169" w:rsidRPr="004E6169">
        <w:rPr>
          <w:rFonts w:hint="cs"/>
          <w:rtl/>
          <w:lang w:bidi="ar-EG"/>
        </w:rPr>
        <w:t xml:space="preserve"> </w:t>
      </w:r>
      <w:r w:rsidR="004E6169" w:rsidRPr="004E6169">
        <w:rPr>
          <w:lang w:bidi="ar-EG"/>
        </w:rPr>
        <w:t>(RA</w:t>
      </w:r>
      <w:r w:rsidR="004E6169" w:rsidRPr="004E6169">
        <w:rPr>
          <w:lang w:bidi="ar-EG"/>
        </w:rPr>
        <w:noBreakHyphen/>
        <w:t>15)</w:t>
      </w:r>
      <w:r w:rsidRPr="004E6169">
        <w:rPr>
          <w:rFonts w:hint="cs"/>
          <w:rtl/>
        </w:rPr>
        <w:t xml:space="preserve"> القرار </w:t>
      </w:r>
      <w:r w:rsidRPr="004E6169">
        <w:t>ITU</w:t>
      </w:r>
      <w:r w:rsidR="004E6169" w:rsidRPr="004E6169">
        <w:noBreakHyphen/>
      </w:r>
      <w:r w:rsidRPr="004E6169">
        <w:t>R</w:t>
      </w:r>
      <w:r w:rsidR="004E6169" w:rsidRPr="004E6169">
        <w:t> </w:t>
      </w:r>
      <w:r w:rsidRPr="004E6169">
        <w:t>2</w:t>
      </w:r>
      <w:r w:rsidR="004E6169" w:rsidRPr="004E6169">
        <w:noBreakHyphen/>
      </w:r>
      <w:r w:rsidRPr="004E6169">
        <w:t>6</w:t>
      </w:r>
      <w:r w:rsidRPr="004E6169">
        <w:rPr>
          <w:rFonts w:hint="cs"/>
          <w:rtl/>
        </w:rPr>
        <w:t>.</w:t>
      </w:r>
    </w:p>
    <w:p w:rsidR="000F11BE" w:rsidRDefault="004E6169" w:rsidP="004E6169">
      <w:pPr>
        <w:jc w:val="center"/>
        <w:rPr>
          <w:lang w:val="en-GB" w:bidi="ar-EG"/>
        </w:rPr>
      </w:pPr>
      <w:r>
        <w:rPr>
          <w:rFonts w:hint="cs"/>
          <w:rtl/>
          <w:lang w:val="en-GB" w:bidi="ar-EG"/>
        </w:rPr>
        <w:t>___________</w:t>
      </w:r>
    </w:p>
    <w:sectPr w:rsidR="000F11BE" w:rsidSect="0087040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54" w:rsidRDefault="00067F54" w:rsidP="00057D34">
      <w:pPr>
        <w:spacing w:before="0" w:line="240" w:lineRule="auto"/>
      </w:pPr>
      <w:r>
        <w:separator/>
      </w:r>
    </w:p>
  </w:endnote>
  <w:endnote w:type="continuationSeparator" w:id="0">
    <w:p w:rsidR="00067F54" w:rsidRDefault="00067F5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2E6BF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noProof/>
        <w:sz w:val="16"/>
        <w:szCs w:val="16"/>
      </w:rPr>
    </w:pPr>
    <w:r w:rsidRPr="00057D34">
      <w:rPr>
        <w:rFonts w:cs="Calibri"/>
        <w:noProof/>
        <w:sz w:val="16"/>
        <w:szCs w:val="16"/>
      </w:rPr>
      <w:fldChar w:fldCharType="begin"/>
    </w:r>
    <w:r w:rsidRPr="00057D34">
      <w:rPr>
        <w:rFonts w:cs="Calibri"/>
        <w:noProof/>
        <w:sz w:val="16"/>
        <w:szCs w:val="16"/>
      </w:rPr>
      <w:instrText xml:space="preserve"> FILENAME \p \* MERGEFORMAT </w:instrText>
    </w:r>
    <w:r w:rsidRPr="00057D34">
      <w:rPr>
        <w:rFonts w:cs="Calibri"/>
        <w:noProof/>
        <w:sz w:val="16"/>
        <w:szCs w:val="16"/>
      </w:rPr>
      <w:fldChar w:fldCharType="separate"/>
    </w:r>
    <w:r w:rsidR="002E6BF2">
      <w:rPr>
        <w:rFonts w:cs="Calibri"/>
        <w:noProof/>
        <w:sz w:val="16"/>
        <w:szCs w:val="16"/>
      </w:rPr>
      <w:t>P:\ARA\ITU-R\AG\RAG\RAG15\000\014A.docx</w:t>
    </w:r>
    <w:r w:rsidRPr="00057D34">
      <w:rPr>
        <w:rFonts w:cs="Calibri"/>
        <w:noProof/>
        <w:sz w:val="16"/>
        <w:szCs w:val="16"/>
      </w:rPr>
      <w:fldChar w:fldCharType="end"/>
    </w:r>
    <w:r w:rsidRPr="00057D34">
      <w:rPr>
        <w:rFonts w:cs="Calibri"/>
        <w:noProof/>
        <w:sz w:val="16"/>
        <w:szCs w:val="16"/>
      </w:rPr>
      <w:t xml:space="preserve"> </w:t>
    </w:r>
    <w:r>
      <w:rPr>
        <w:rFonts w:cs="Calibri"/>
        <w:noProof/>
        <w:sz w:val="16"/>
        <w:szCs w:val="16"/>
      </w:rPr>
      <w:t xml:space="preserve">  </w:t>
    </w:r>
    <w:r w:rsidRPr="00057D34">
      <w:rPr>
        <w:rFonts w:cs="Calibri"/>
        <w:noProof/>
        <w:sz w:val="16"/>
        <w:szCs w:val="16"/>
      </w:rPr>
      <w:t>(</w:t>
    </w:r>
    <w:r w:rsidR="00F7312C">
      <w:rPr>
        <w:rFonts w:cs="Calibri"/>
        <w:noProof/>
        <w:sz w:val="16"/>
        <w:szCs w:val="16"/>
      </w:rPr>
      <w:t>37937</w:t>
    </w:r>
    <w:r w:rsidR="002E6BF2">
      <w:rPr>
        <w:rFonts w:cs="Calibri"/>
        <w:noProof/>
        <w:sz w:val="16"/>
        <w:szCs w:val="16"/>
      </w:rPr>
      <w:t>5</w:t>
    </w:r>
    <w:r w:rsidRPr="00057D34">
      <w:rPr>
        <w:rFonts w:cs="Calibri"/>
        <w:noProof/>
        <w:sz w:val="16"/>
        <w:szCs w:val="16"/>
      </w:rPr>
      <w:t>)</w:t>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savedate \@ dd.MM.yy </w:instrText>
    </w:r>
    <w:r w:rsidRPr="00057D34">
      <w:rPr>
        <w:rFonts w:cs="Calibri"/>
        <w:noProof/>
        <w:sz w:val="16"/>
        <w:szCs w:val="16"/>
      </w:rPr>
      <w:fldChar w:fldCharType="separate"/>
    </w:r>
    <w:r w:rsidR="004E6169">
      <w:rPr>
        <w:rFonts w:cs="Calibri"/>
        <w:noProof/>
        <w:sz w:val="16"/>
        <w:szCs w:val="16"/>
      </w:rPr>
      <w:t>28.04.15</w:t>
    </w:r>
    <w:r w:rsidRPr="00057D34">
      <w:rPr>
        <w:rFonts w:cs="Calibri"/>
        <w:noProof/>
        <w:sz w:val="16"/>
        <w:szCs w:val="16"/>
      </w:rPr>
      <w:fldChar w:fldCharType="end"/>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printdate \@ dd.MM.yy </w:instrText>
    </w:r>
    <w:r w:rsidRPr="00057D34">
      <w:rPr>
        <w:rFonts w:cs="Calibri"/>
        <w:noProof/>
        <w:sz w:val="16"/>
        <w:szCs w:val="16"/>
      </w:rPr>
      <w:fldChar w:fldCharType="separate"/>
    </w:r>
    <w:r w:rsidR="001C59F5">
      <w:rPr>
        <w:rFonts w:cs="Calibri"/>
        <w:noProof/>
        <w:sz w:val="16"/>
        <w:szCs w:val="16"/>
      </w:rPr>
      <w:t>28.04.15</w:t>
    </w:r>
    <w:r w:rsidRPr="00057D34">
      <w:rPr>
        <w:rFonts w:cs="Calibr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1C59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D3526">
      <w:rPr>
        <w:rFonts w:cs="Calibri"/>
        <w:noProof/>
        <w:sz w:val="16"/>
        <w:szCs w:val="16"/>
      </w:rPr>
      <w:t>P:\ARA\ITU-R\AG\RAG\RAG15\000\014A.docx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F7312C">
      <w:rPr>
        <w:rFonts w:cs="Calibri"/>
        <w:sz w:val="16"/>
        <w:szCs w:val="16"/>
      </w:rPr>
      <w:t>37937</w:t>
    </w:r>
    <w:r w:rsidR="002E6BF2">
      <w:rPr>
        <w:rFonts w:cs="Calibri"/>
        <w:sz w:val="16"/>
        <w:szCs w:val="16"/>
      </w:rPr>
      <w:t>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D3526">
      <w:rPr>
        <w:rFonts w:cs="Calibri"/>
        <w:noProof/>
        <w:sz w:val="16"/>
        <w:szCs w:val="16"/>
        <w:lang w:val="en-GB"/>
      </w:rPr>
      <w:t>28.04.15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D3526">
      <w:rPr>
        <w:rFonts w:cs="Calibri"/>
        <w:noProof/>
        <w:sz w:val="16"/>
        <w:szCs w:val="16"/>
        <w:lang w:val="en-GB"/>
      </w:rPr>
      <w:t>28.04.15</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54" w:rsidRDefault="00067F54" w:rsidP="00057D34">
      <w:pPr>
        <w:spacing w:before="0" w:line="240" w:lineRule="auto"/>
      </w:pPr>
      <w:r>
        <w:separator/>
      </w:r>
    </w:p>
  </w:footnote>
  <w:footnote w:type="continuationSeparator" w:id="0">
    <w:p w:rsidR="00067F54" w:rsidRDefault="00067F54"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4E6169">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4E6169">
      <w:rPr>
        <w:rFonts w:cs="Calibri"/>
        <w:noProof/>
        <w:sz w:val="20"/>
        <w:szCs w:val="20"/>
        <w:lang w:val="en-GB"/>
      </w:rPr>
      <w:t>2</w:t>
    </w:r>
    <w:r w:rsidRPr="00057D34">
      <w:rPr>
        <w:rFonts w:cs="Calibri"/>
        <w:sz w:val="20"/>
        <w:szCs w:val="20"/>
      </w:rPr>
      <w:fldChar w:fldCharType="end"/>
    </w:r>
    <w:r w:rsidRPr="00057D34">
      <w:rPr>
        <w:rFonts w:cs="Calibri"/>
        <w:sz w:val="20"/>
        <w:szCs w:val="20"/>
        <w:lang w:val="en-GB"/>
      </w:rPr>
      <w:br/>
      <w:t>RAG15</w:t>
    </w:r>
    <w:r w:rsidR="00275A49">
      <w:rPr>
        <w:rFonts w:cs="Calibri"/>
        <w:sz w:val="20"/>
        <w:szCs w:val="20"/>
        <w:lang w:val="en-GB"/>
      </w:rPr>
      <w:t>-1</w:t>
    </w:r>
    <w:r w:rsidRPr="00057D34">
      <w:rPr>
        <w:rFonts w:cs="Calibri"/>
        <w:sz w:val="20"/>
        <w:szCs w:val="20"/>
        <w:lang w:val="en-GB"/>
      </w:rPr>
      <w:t>/</w:t>
    </w:r>
    <w:r w:rsidR="00F7312C">
      <w:rPr>
        <w:rFonts w:cs="Calibri"/>
        <w:sz w:val="20"/>
        <w:szCs w:val="20"/>
        <w:lang w:val="en-GB"/>
      </w:rPr>
      <w:t>1</w:t>
    </w:r>
    <w:r w:rsidR="002E6BF2">
      <w:rPr>
        <w:rFonts w:cs="Calibri"/>
        <w:sz w:val="20"/>
        <w:szCs w:val="20"/>
        <w:lang w:val="en-GB"/>
      </w:rPr>
      <w:t>4</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54"/>
    <w:rsid w:val="00044F91"/>
    <w:rsid w:val="00057D34"/>
    <w:rsid w:val="00067F54"/>
    <w:rsid w:val="00090574"/>
    <w:rsid w:val="000E6A63"/>
    <w:rsid w:val="000F11BE"/>
    <w:rsid w:val="00127425"/>
    <w:rsid w:val="0017278F"/>
    <w:rsid w:val="00173915"/>
    <w:rsid w:val="001B753F"/>
    <w:rsid w:val="001C4D41"/>
    <w:rsid w:val="001C59F5"/>
    <w:rsid w:val="00215503"/>
    <w:rsid w:val="0023283D"/>
    <w:rsid w:val="00275A49"/>
    <w:rsid w:val="002815C1"/>
    <w:rsid w:val="00284B40"/>
    <w:rsid w:val="002978F4"/>
    <w:rsid w:val="002B028D"/>
    <w:rsid w:val="002C7ED5"/>
    <w:rsid w:val="002E0F25"/>
    <w:rsid w:val="002E282B"/>
    <w:rsid w:val="002E51AF"/>
    <w:rsid w:val="002E6541"/>
    <w:rsid w:val="002E6BF2"/>
    <w:rsid w:val="002F74D8"/>
    <w:rsid w:val="0034087F"/>
    <w:rsid w:val="00357185"/>
    <w:rsid w:val="003F678F"/>
    <w:rsid w:val="0042686F"/>
    <w:rsid w:val="00443869"/>
    <w:rsid w:val="004E6169"/>
    <w:rsid w:val="004E6710"/>
    <w:rsid w:val="00501E0E"/>
    <w:rsid w:val="00533501"/>
    <w:rsid w:val="0055516A"/>
    <w:rsid w:val="005D3526"/>
    <w:rsid w:val="005F4B20"/>
    <w:rsid w:val="00671822"/>
    <w:rsid w:val="006C0301"/>
    <w:rsid w:val="006D0554"/>
    <w:rsid w:val="006F63F7"/>
    <w:rsid w:val="007058EC"/>
    <w:rsid w:val="00706D7A"/>
    <w:rsid w:val="00803F08"/>
    <w:rsid w:val="008235CD"/>
    <w:rsid w:val="008513CB"/>
    <w:rsid w:val="00870407"/>
    <w:rsid w:val="008A41FB"/>
    <w:rsid w:val="00912AE7"/>
    <w:rsid w:val="00973413"/>
    <w:rsid w:val="00982B28"/>
    <w:rsid w:val="009C0EE0"/>
    <w:rsid w:val="00A4446C"/>
    <w:rsid w:val="00A700B7"/>
    <w:rsid w:val="00A71856"/>
    <w:rsid w:val="00A93254"/>
    <w:rsid w:val="00A97F94"/>
    <w:rsid w:val="00B101E3"/>
    <w:rsid w:val="00B52975"/>
    <w:rsid w:val="00B97CEB"/>
    <w:rsid w:val="00BE1464"/>
    <w:rsid w:val="00C10BAE"/>
    <w:rsid w:val="00C61D12"/>
    <w:rsid w:val="00C65537"/>
    <w:rsid w:val="00C674FE"/>
    <w:rsid w:val="00C75633"/>
    <w:rsid w:val="00CE2EE1"/>
    <w:rsid w:val="00CF3FFD"/>
    <w:rsid w:val="00D06289"/>
    <w:rsid w:val="00D45BE1"/>
    <w:rsid w:val="00D77D0F"/>
    <w:rsid w:val="00DA1CF0"/>
    <w:rsid w:val="00DC24B4"/>
    <w:rsid w:val="00DF16DC"/>
    <w:rsid w:val="00DF42EC"/>
    <w:rsid w:val="00E17033"/>
    <w:rsid w:val="00E45211"/>
    <w:rsid w:val="00E736D0"/>
    <w:rsid w:val="00F7312C"/>
    <w:rsid w:val="00F84366"/>
    <w:rsid w:val="00F85089"/>
    <w:rsid w:val="00FD6C64"/>
    <w:rsid w:val="00FF2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AB8179D-4B78-42F9-A51D-0D90A78A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067F5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67F54"/>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67F54"/>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67F54"/>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67F54"/>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67F54"/>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67F54"/>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67F54"/>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67F54"/>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067F5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067F54"/>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67F54"/>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67F54"/>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67F54"/>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067F54"/>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067F54"/>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067F54"/>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067F54"/>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iPriority w:val="99"/>
    <w:unhideWhenUsed/>
    <w:qFormat/>
    <w:rsid w:val="000F11BE"/>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067F54"/>
    <w:pPr>
      <w:keepNext/>
      <w:spacing w:before="240"/>
      <w:ind w:left="794" w:hanging="794"/>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 w:type="paragraph" w:customStyle="1" w:styleId="Normalaftertitle0">
    <w:name w:val="Normal_after_title"/>
    <w:basedOn w:val="Normal"/>
    <w:next w:val="Normal"/>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link w:val="Call"/>
    <w:rsid w:val="00F7312C"/>
    <w:rPr>
      <w:rFonts w:ascii="Times New Roman" w:hAnsi="Times New Roman" w:cs="Traditional Arabic"/>
      <w:i/>
      <w:iCs/>
      <w:szCs w:val="30"/>
    </w:rPr>
  </w:style>
  <w:style w:type="paragraph" w:customStyle="1" w:styleId="enumlev10">
    <w:name w:val="enumlev1"/>
    <w:basedOn w:val="Normal"/>
    <w:link w:val="enumlev1Char"/>
    <w:uiPriority w:val="99"/>
    <w:qFormat/>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ResNo">
    <w:name w:val="Res_No"/>
    <w:basedOn w:val="Normal"/>
    <w:next w:val="Normal"/>
    <w:link w:val="ResNoChar"/>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Annextitle0">
    <w:name w:val="Annex_title"/>
    <w:basedOn w:val="Normal"/>
    <w:next w:val="Normal"/>
    <w:link w:val="AnnextitleChar"/>
    <w:rsid w:val="00F7312C"/>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F7312C"/>
    <w:rPr>
      <w:rFonts w:ascii="Times New Roman Bold" w:eastAsia="Times New Roman" w:hAnsi="Times New Roman Bold" w:cs="Traditional Arabic"/>
      <w:b/>
      <w:bCs/>
      <w:sz w:val="26"/>
      <w:szCs w:val="36"/>
      <w:lang w:eastAsia="en-US"/>
    </w:rPr>
  </w:style>
  <w:style w:type="character" w:customStyle="1" w:styleId="ResNoChar">
    <w:name w:val="Res_No Char"/>
    <w:link w:val="ResNo"/>
    <w:rsid w:val="00F7312C"/>
    <w:rPr>
      <w:rFonts w:ascii="Times New Roman" w:eastAsia="SimSun" w:hAnsi="Times New Roman" w:cs="Traditional Arabic"/>
      <w:sz w:val="28"/>
      <w:szCs w:val="40"/>
      <w:lang w:val="en-GB" w:eastAsia="en-US"/>
    </w:rPr>
  </w:style>
  <w:style w:type="character" w:customStyle="1" w:styleId="enumlev1Char">
    <w:name w:val="enumlev1 Char"/>
    <w:link w:val="enumlev10"/>
    <w:uiPriority w:val="99"/>
    <w:rsid w:val="00F7312C"/>
    <w:rPr>
      <w:rFonts w:ascii="Times New Roman" w:eastAsia="Batang" w:hAnsi="Times New Roman" w:cs="Traditional Arabic"/>
      <w:szCs w:val="30"/>
      <w:lang w:val="en-GB" w:eastAsia="en-US"/>
    </w:rPr>
  </w:style>
  <w:style w:type="paragraph" w:customStyle="1" w:styleId="AnnexNo0">
    <w:name w:val="Annex_No"/>
    <w:basedOn w:val="Normal"/>
    <w:link w:val="AnnexNoCar"/>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F7312C"/>
    <w:rPr>
      <w:rFonts w:ascii="Times New Roman" w:eastAsia="Times New Roman" w:hAnsi="Times New Roman" w:cs="Traditional Arabic"/>
      <w:sz w:val="28"/>
      <w:szCs w:val="40"/>
      <w:lang w:val="en-GB" w:eastAsia="en-US" w:bidi="ar-EG"/>
    </w:rPr>
  </w:style>
  <w:style w:type="paragraph" w:customStyle="1" w:styleId="ResNoTitle">
    <w:name w:val="Res_No&amp;Title"/>
    <w:basedOn w:val="Normal"/>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Resdate">
    <w:name w:val="Res_date"/>
    <w:basedOn w:val="Normal"/>
    <w:next w:val="Normal"/>
    <w:link w:val="ResdateChar"/>
    <w:qFormat/>
    <w:rsid w:val="00F7312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F7312C"/>
    <w:rPr>
      <w:rFonts w:ascii="Times New Roman" w:eastAsia="Times New Roman" w:hAnsi="Times New Roman" w:cs="Times New Roman"/>
      <w:lang w:val="en-GB" w:eastAsia="en-US"/>
    </w:rPr>
  </w:style>
  <w:style w:type="paragraph" w:customStyle="1" w:styleId="AnnexNotitle">
    <w:name w:val="Annex_No &amp; title"/>
    <w:basedOn w:val="Normal"/>
    <w:next w:val="Normal"/>
    <w:qFormat/>
    <w:rsid w:val="000F11B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8F81-8A35-4859-A2FC-6DC715FE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344</Words>
  <Characters>1944</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19</cp:revision>
  <cp:lastPrinted>2015-04-28T08:49:00Z</cp:lastPrinted>
  <dcterms:created xsi:type="dcterms:W3CDTF">2015-04-28T09:02:00Z</dcterms:created>
  <dcterms:modified xsi:type="dcterms:W3CDTF">2015-04-28T12:53:00Z</dcterms:modified>
</cp:coreProperties>
</file>