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557E3F">
        <w:trPr>
          <w:cantSplit/>
        </w:trPr>
        <w:tc>
          <w:tcPr>
            <w:tcW w:w="6771" w:type="dxa"/>
          </w:tcPr>
          <w:p w:rsidR="006E291F" w:rsidRPr="00557E3F" w:rsidRDefault="006E291F" w:rsidP="000D75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es-ES"/>
              </w:rPr>
            </w:pPr>
            <w:r w:rsidRPr="00557E3F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 xml:space="preserve">Grupo Asesor </w:t>
            </w:r>
            <w:r w:rsidR="00610642" w:rsidRPr="00557E3F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d</w:t>
            </w:r>
            <w:r w:rsidRPr="00557E3F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e Radiocomunicaciones</w:t>
            </w:r>
            <w:r w:rsidRPr="00557E3F">
              <w:rPr>
                <w:b/>
                <w:caps/>
                <w:sz w:val="32"/>
                <w:lang w:val="es-ES"/>
              </w:rPr>
              <w:br/>
            </w:r>
            <w:r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Ginebra, </w:t>
            </w:r>
            <w:r w:rsidR="000D756D"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5</w:t>
            </w:r>
            <w:r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-</w:t>
            </w:r>
            <w:r w:rsidR="000D756D"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8</w:t>
            </w:r>
            <w:r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</w:t>
            </w:r>
            <w:r w:rsidR="000D756D"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mayo</w:t>
            </w:r>
            <w:r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20</w:t>
            </w:r>
            <w:r w:rsidR="005D3E02"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1</w:t>
            </w:r>
            <w:r w:rsidR="000D756D" w:rsidRPr="00557E3F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5</w:t>
            </w:r>
          </w:p>
        </w:tc>
        <w:tc>
          <w:tcPr>
            <w:tcW w:w="3118" w:type="dxa"/>
          </w:tcPr>
          <w:p w:rsidR="006E291F" w:rsidRPr="00557E3F" w:rsidRDefault="000D756D" w:rsidP="000D756D">
            <w:pPr>
              <w:shd w:val="solid" w:color="FFFFFF" w:fill="FFFFFF"/>
              <w:spacing w:before="0" w:line="240" w:lineRule="atLeast"/>
              <w:jc w:val="right"/>
              <w:rPr>
                <w:lang w:val="es-ES"/>
              </w:rPr>
            </w:pPr>
            <w:r w:rsidRPr="00557E3F"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57E3F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57E3F" w:rsidRDefault="00E20E18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es-ES"/>
              </w:rPr>
            </w:pPr>
            <w:r w:rsidRPr="00557E3F">
              <w:rPr>
                <w:rFonts w:ascii="Verdana" w:hAnsi="Verdana" w:cs="Times New Roman Bold"/>
                <w:b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57E3F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s-ES"/>
              </w:rPr>
            </w:pPr>
          </w:p>
        </w:tc>
      </w:tr>
      <w:tr w:rsidR="006E291F" w:rsidRPr="00557E3F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57E3F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557E3F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6E291F" w:rsidRPr="00557E3F">
        <w:trPr>
          <w:cantSplit/>
        </w:trPr>
        <w:tc>
          <w:tcPr>
            <w:tcW w:w="6771" w:type="dxa"/>
            <w:vMerge w:val="restart"/>
          </w:tcPr>
          <w:p w:rsidR="006E291F" w:rsidRPr="00557E3F" w:rsidRDefault="006E291F" w:rsidP="00CB7A43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557E3F" w:rsidRDefault="00E20E18" w:rsidP="00E329F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557E3F">
              <w:rPr>
                <w:rFonts w:ascii="Verdana" w:hAnsi="Verdana"/>
                <w:b/>
                <w:sz w:val="20"/>
                <w:lang w:val="es-ES"/>
              </w:rPr>
              <w:t>Documento RAG15</w:t>
            </w:r>
            <w:r w:rsidR="000E2503" w:rsidRPr="00557E3F">
              <w:rPr>
                <w:rFonts w:ascii="Verdana" w:hAnsi="Verdana"/>
                <w:b/>
                <w:sz w:val="20"/>
                <w:lang w:val="es-ES"/>
              </w:rPr>
              <w:t>-1</w:t>
            </w:r>
            <w:r w:rsidRPr="00557E3F">
              <w:rPr>
                <w:rFonts w:ascii="Verdana" w:hAnsi="Verdana"/>
                <w:b/>
                <w:sz w:val="20"/>
                <w:lang w:val="es-ES"/>
              </w:rPr>
              <w:t>/</w:t>
            </w:r>
            <w:r w:rsidR="00E329FF" w:rsidRPr="00557E3F">
              <w:rPr>
                <w:rFonts w:ascii="Verdana" w:hAnsi="Verdana"/>
                <w:b/>
                <w:sz w:val="20"/>
                <w:lang w:val="es-ES"/>
              </w:rPr>
              <w:t>3</w:t>
            </w:r>
            <w:r w:rsidRPr="00557E3F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6E291F" w:rsidRPr="00557E3F">
        <w:trPr>
          <w:cantSplit/>
        </w:trPr>
        <w:tc>
          <w:tcPr>
            <w:tcW w:w="6771" w:type="dxa"/>
            <w:vMerge/>
          </w:tcPr>
          <w:p w:rsidR="006E291F" w:rsidRPr="00557E3F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557E3F" w:rsidRDefault="00E329FF" w:rsidP="00901DA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557E3F">
              <w:rPr>
                <w:rFonts w:ascii="Verdana" w:hAnsi="Verdana"/>
                <w:b/>
                <w:sz w:val="20"/>
                <w:lang w:val="es-ES"/>
              </w:rPr>
              <w:t>2</w:t>
            </w:r>
            <w:r w:rsidR="00E20E18" w:rsidRPr="00557E3F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="00901DA0" w:rsidRPr="00557E3F">
              <w:rPr>
                <w:rFonts w:ascii="Verdana" w:hAnsi="Verdana"/>
                <w:b/>
                <w:sz w:val="20"/>
                <w:lang w:val="es-ES"/>
              </w:rPr>
              <w:t>abril</w:t>
            </w:r>
            <w:r w:rsidR="00E20E18" w:rsidRPr="00557E3F">
              <w:rPr>
                <w:rFonts w:ascii="Verdana" w:hAnsi="Verdana"/>
                <w:b/>
                <w:sz w:val="20"/>
                <w:lang w:val="es-ES"/>
              </w:rPr>
              <w:t xml:space="preserve"> de 2015</w:t>
            </w:r>
          </w:p>
        </w:tc>
      </w:tr>
      <w:tr w:rsidR="006E291F" w:rsidRPr="00557E3F">
        <w:trPr>
          <w:cantSplit/>
        </w:trPr>
        <w:tc>
          <w:tcPr>
            <w:tcW w:w="6771" w:type="dxa"/>
            <w:vMerge/>
          </w:tcPr>
          <w:p w:rsidR="006E291F" w:rsidRPr="00557E3F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557E3F" w:rsidRDefault="00E20E18" w:rsidP="00E20E1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557E3F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E291F" w:rsidRPr="00557E3F">
        <w:trPr>
          <w:cantSplit/>
        </w:trPr>
        <w:tc>
          <w:tcPr>
            <w:tcW w:w="9889" w:type="dxa"/>
            <w:gridSpan w:val="2"/>
          </w:tcPr>
          <w:p w:rsidR="006E291F" w:rsidRPr="00557E3F" w:rsidRDefault="006567F4" w:rsidP="006567F4">
            <w:pPr>
              <w:pStyle w:val="Source"/>
              <w:rPr>
                <w:lang w:val="es-ES"/>
              </w:rPr>
            </w:pPr>
            <w:bookmarkStart w:id="3" w:name="dsource" w:colFirst="0" w:colLast="0"/>
            <w:bookmarkEnd w:id="2"/>
            <w:r w:rsidRPr="00557E3F">
              <w:rPr>
                <w:lang w:val="es-ES"/>
              </w:rPr>
              <w:t>Coordinador del Grupo por Correspondencia del GAR sobre tratamiento electrónico de documentos (EDH)</w:t>
            </w:r>
            <w:r w:rsidRPr="00557E3F">
              <w:rPr>
                <w:rStyle w:val="FootnoteReference"/>
                <w:lang w:val="es-ES"/>
              </w:rPr>
              <w:footnoteReference w:id="1"/>
            </w:r>
          </w:p>
        </w:tc>
      </w:tr>
      <w:tr w:rsidR="006E291F" w:rsidRPr="00557E3F">
        <w:trPr>
          <w:cantSplit/>
        </w:trPr>
        <w:tc>
          <w:tcPr>
            <w:tcW w:w="9889" w:type="dxa"/>
            <w:gridSpan w:val="2"/>
          </w:tcPr>
          <w:p w:rsidR="00901DA0" w:rsidRPr="00557E3F" w:rsidRDefault="006567F4" w:rsidP="00901DA0">
            <w:pPr>
              <w:pStyle w:val="Title2"/>
              <w:rPr>
                <w:lang w:val="es-ES"/>
              </w:rPr>
            </w:pPr>
            <w:bookmarkStart w:id="4" w:name="dtitle1" w:colFirst="0" w:colLast="0"/>
            <w:bookmarkEnd w:id="3"/>
            <w:r w:rsidRPr="00557E3F">
              <w:rPr>
                <w:lang w:val="es-ES"/>
              </w:rPr>
              <w:t>ACTUALIZACION DE LAS ACTIVIDADES SOBRE EDH</w:t>
            </w:r>
          </w:p>
        </w:tc>
      </w:tr>
    </w:tbl>
    <w:bookmarkEnd w:id="4"/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lang w:val="es-ES"/>
        </w:rPr>
        <w:t>1</w:t>
      </w:r>
      <w:r w:rsidRPr="006567F4">
        <w:rPr>
          <w:lang w:val="es-ES"/>
        </w:rPr>
        <w:tab/>
        <w:t>Introducción</w:t>
      </w:r>
    </w:p>
    <w:p w:rsidR="006567F4" w:rsidRPr="006567F4" w:rsidRDefault="006567F4" w:rsidP="003520BB">
      <w:pPr>
        <w:rPr>
          <w:lang w:val="es-ES"/>
        </w:rPr>
      </w:pPr>
      <w:r w:rsidRPr="006567F4">
        <w:rPr>
          <w:lang w:val="es-ES"/>
        </w:rPr>
        <w:t>La Asamblea de Radiocomunicaciones estableció el Grupo por Correspondencia sobre tratamiento electrónico de documentos (</w:t>
      </w:r>
      <w:r w:rsidRPr="006567F4">
        <w:rPr>
          <w:i/>
          <w:iCs/>
          <w:lang w:val="es-ES"/>
        </w:rPr>
        <w:t>electronic document handling</w:t>
      </w:r>
      <w:r w:rsidRPr="006567F4">
        <w:rPr>
          <w:lang w:val="es-ES"/>
        </w:rPr>
        <w:t xml:space="preserve">, EDH) que debe informar al GAR, como se anunció en la </w:t>
      </w:r>
      <w:hyperlink r:id="rId8" w:history="1">
        <w:r w:rsidRPr="00557E3F">
          <w:rPr>
            <w:color w:val="0000FF"/>
            <w:szCs w:val="24"/>
            <w:u w:val="single"/>
            <w:lang w:val="es-ES"/>
          </w:rPr>
          <w:t>Circular Administrativa CA/130</w:t>
        </w:r>
      </w:hyperlink>
      <w:r w:rsidRPr="006567F4">
        <w:rPr>
          <w:lang w:val="es-ES"/>
        </w:rPr>
        <w:t>.</w:t>
      </w:r>
    </w:p>
    <w:p w:rsidR="006567F4" w:rsidRPr="006567F4" w:rsidRDefault="006567F4" w:rsidP="003520BB">
      <w:pPr>
        <w:rPr>
          <w:lang w:val="es-ES"/>
        </w:rPr>
      </w:pPr>
      <w:r w:rsidRPr="006567F4">
        <w:rPr>
          <w:lang w:val="es-ES"/>
        </w:rPr>
        <w:t>Desde la reunión de 201</w:t>
      </w:r>
      <w:r w:rsidRPr="00557E3F">
        <w:rPr>
          <w:lang w:val="es-ES"/>
        </w:rPr>
        <w:t>4</w:t>
      </w:r>
      <w:r w:rsidRPr="006567F4">
        <w:rPr>
          <w:lang w:val="es-ES"/>
        </w:rPr>
        <w:t xml:space="preserve"> del GAR no ha habido actividad en el seno del Grupo por Correspondencia sobre EDH, lo que puede ser una indicación de que se están produciendo notables progresos respecto a la utilización de medios electrónicos en el UIT-R. La correspondencia pasada se encuentra disponible en el </w:t>
      </w:r>
      <w:hyperlink r:id="rId9" w:tgtFrame="_new" w:history="1">
        <w:r w:rsidRPr="00557E3F">
          <w:rPr>
            <w:color w:val="0000FF"/>
            <w:szCs w:val="24"/>
            <w:u w:val="single"/>
            <w:lang w:val="es-ES"/>
          </w:rPr>
          <w:t>Archiv</w:t>
        </w:r>
      </w:hyperlink>
      <w:r w:rsidRPr="00557E3F">
        <w:rPr>
          <w:color w:val="0000FF"/>
          <w:szCs w:val="24"/>
          <w:u w:val="single"/>
          <w:lang w:val="es-ES"/>
        </w:rPr>
        <w:t>o</w:t>
      </w:r>
      <w:r w:rsidRPr="00557E3F">
        <w:rPr>
          <w:position w:val="6"/>
          <w:sz w:val="18"/>
          <w:lang w:val="es-ES"/>
        </w:rPr>
        <w:footnoteReference w:id="2"/>
      </w:r>
      <w:r w:rsidRPr="006567F4">
        <w:rPr>
          <w:lang w:val="es-ES"/>
        </w:rPr>
        <w:t xml:space="preserve"> del reflector de correo electrónico </w:t>
      </w:r>
      <w:hyperlink r:id="rId10" w:history="1">
        <w:r w:rsidRPr="00557E3F">
          <w:rPr>
            <w:color w:val="0000FF"/>
            <w:szCs w:val="24"/>
            <w:u w:val="single"/>
            <w:lang w:val="es-ES"/>
          </w:rPr>
          <w:t>rag-edh@itu.int</w:t>
        </w:r>
      </w:hyperlink>
      <w:r w:rsidRPr="006567F4">
        <w:rPr>
          <w:lang w:val="es-ES"/>
        </w:rPr>
        <w:t xml:space="preserve">. En la BR se han celebrado algunos debates informales y se han seguido </w:t>
      </w:r>
      <w:r w:rsidR="000724C5" w:rsidRPr="006567F4">
        <w:rPr>
          <w:lang w:val="es-ES"/>
        </w:rPr>
        <w:t>algunas sugerencias</w:t>
      </w:r>
      <w:r w:rsidRPr="006567F4">
        <w:rPr>
          <w:lang w:val="es-ES"/>
        </w:rPr>
        <w:t xml:space="preserve"> formuladas por los delegados y el Coordinador del EDH.</w:t>
      </w:r>
    </w:p>
    <w:p w:rsidR="006567F4" w:rsidRPr="006567F4" w:rsidRDefault="006567F4" w:rsidP="003520BB">
      <w:pPr>
        <w:rPr>
          <w:lang w:val="es-ES"/>
        </w:rPr>
      </w:pPr>
      <w:r w:rsidRPr="006567F4">
        <w:rPr>
          <w:lang w:val="es-ES"/>
        </w:rPr>
        <w:t xml:space="preserve">También cabe señalar las actividades del Sector de Normalización de las Telecomunicaciones, en particular la </w:t>
      </w:r>
      <w:hyperlink r:id="rId11" w:history="1">
        <w:r w:rsidRPr="00557E3F">
          <w:rPr>
            <w:color w:val="0000FF"/>
            <w:u w:val="single"/>
            <w:lang w:val="es-ES"/>
          </w:rPr>
          <w:t>Resolución 32 de la AMNT – Fortalecimiento de los métodos de trabajo electrónico del UIT</w:t>
        </w:r>
        <w:r w:rsidRPr="00557E3F">
          <w:rPr>
            <w:color w:val="0000FF"/>
            <w:u w:val="single"/>
            <w:lang w:val="es-ES"/>
          </w:rPr>
          <w:noBreakHyphen/>
          <w:t>T</w:t>
        </w:r>
      </w:hyperlink>
      <w:r w:rsidRPr="006567F4">
        <w:rPr>
          <w:lang w:val="es-ES"/>
        </w:rPr>
        <w:t>.</w:t>
      </w:r>
    </w:p>
    <w:p w:rsidR="006567F4" w:rsidRPr="006567F4" w:rsidRDefault="006567F4" w:rsidP="003520BB">
      <w:pPr>
        <w:rPr>
          <w:lang w:val="es-ES"/>
        </w:rPr>
      </w:pPr>
      <w:r w:rsidRPr="006567F4">
        <w:rPr>
          <w:lang w:val="es-ES"/>
        </w:rPr>
        <w:t>La actualización precedente se encuentra en e</w:t>
      </w:r>
      <w:r w:rsidR="002F046A" w:rsidRPr="00557E3F">
        <w:rPr>
          <w:lang w:val="es-ES"/>
        </w:rPr>
        <w:t xml:space="preserve">l </w:t>
      </w:r>
      <w:hyperlink r:id="rId12" w:history="1">
        <w:r w:rsidR="002F046A" w:rsidRPr="00557E3F">
          <w:rPr>
            <w:color w:val="0000FF"/>
            <w:szCs w:val="24"/>
            <w:u w:val="single"/>
            <w:lang w:val="es-ES"/>
          </w:rPr>
          <w:t>Documento RAG14-1/19</w:t>
        </w:r>
      </w:hyperlink>
      <w:r w:rsidRPr="00557E3F">
        <w:rPr>
          <w:position w:val="6"/>
          <w:sz w:val="18"/>
          <w:lang w:val="es-ES"/>
        </w:rPr>
        <w:footnoteReference w:id="3"/>
      </w:r>
      <w:r w:rsidRPr="006567F4">
        <w:rPr>
          <w:lang w:val="es-ES"/>
        </w:rPr>
        <w:t xml:space="preserve">. </w:t>
      </w:r>
    </w:p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lang w:val="es-ES"/>
        </w:rPr>
        <w:t>2</w:t>
      </w:r>
      <w:r w:rsidRPr="006567F4">
        <w:rPr>
          <w:lang w:val="es-ES"/>
        </w:rPr>
        <w:tab/>
        <w:t>Inscripción de delegados</w:t>
      </w:r>
    </w:p>
    <w:p w:rsidR="006567F4" w:rsidRPr="006567F4" w:rsidRDefault="006567F4" w:rsidP="006567F4">
      <w:pPr>
        <w:rPr>
          <w:lang w:val="es-ES"/>
        </w:rPr>
      </w:pPr>
      <w:r w:rsidRPr="006567F4">
        <w:rPr>
          <w:lang w:val="es-ES"/>
        </w:rPr>
        <w:t>El sistema de inscripción de delegados para eventos (</w:t>
      </w:r>
      <w:r w:rsidRPr="006567F4">
        <w:rPr>
          <w:rFonts w:eastAsia="SimSun"/>
          <w:i/>
          <w:iCs/>
          <w:lang w:val="es-ES" w:eastAsia="zh-CN"/>
        </w:rPr>
        <w:t>event delegate registration system</w:t>
      </w:r>
      <w:r w:rsidRPr="006567F4">
        <w:rPr>
          <w:rFonts w:eastAsia="SimSun"/>
          <w:lang w:val="es-ES" w:eastAsia="zh-CN"/>
        </w:rPr>
        <w:t>,</w:t>
      </w:r>
      <w:r w:rsidRPr="006567F4">
        <w:rPr>
          <w:lang w:val="es-ES"/>
        </w:rPr>
        <w:t xml:space="preserve"> EDRS) en línea se está utilizando actualmente en todas las reuniones del UIT-R.</w:t>
      </w:r>
    </w:p>
    <w:p w:rsidR="006567F4" w:rsidRPr="006567F4" w:rsidRDefault="006567F4" w:rsidP="002F046A">
      <w:pPr>
        <w:rPr>
          <w:lang w:val="es-ES"/>
        </w:rPr>
      </w:pPr>
      <w:r w:rsidRPr="006567F4">
        <w:rPr>
          <w:lang w:val="es-ES"/>
        </w:rPr>
        <w:t xml:space="preserve">La UIT </w:t>
      </w:r>
      <w:r w:rsidR="002F046A" w:rsidRPr="00557E3F">
        <w:rPr>
          <w:lang w:val="es-ES"/>
        </w:rPr>
        <w:t>sigue desarrollando</w:t>
      </w:r>
      <w:r w:rsidRPr="006567F4">
        <w:rPr>
          <w:lang w:val="es-ES"/>
        </w:rPr>
        <w:t xml:space="preserve"> una plataforma única e integrada de gestión de </w:t>
      </w:r>
      <w:r w:rsidR="00945D8E" w:rsidRPr="00557E3F">
        <w:rPr>
          <w:lang w:val="es-ES"/>
        </w:rPr>
        <w:t xml:space="preserve">la </w:t>
      </w:r>
      <w:r w:rsidRPr="006567F4">
        <w:rPr>
          <w:lang w:val="es-ES"/>
        </w:rPr>
        <w:t xml:space="preserve">relación con el cliente </w:t>
      </w:r>
      <w:r w:rsidRPr="006567F4">
        <w:rPr>
          <w:rFonts w:eastAsia="SimSun"/>
          <w:lang w:val="es-ES" w:eastAsia="zh-CN"/>
        </w:rPr>
        <w:t>(</w:t>
      </w:r>
      <w:r w:rsidRPr="006567F4">
        <w:rPr>
          <w:rFonts w:eastAsia="SimSun"/>
          <w:i/>
          <w:iCs/>
          <w:lang w:val="es-ES" w:eastAsia="zh-CN"/>
        </w:rPr>
        <w:t>customer relationship management</w:t>
      </w:r>
      <w:r w:rsidRPr="006567F4">
        <w:rPr>
          <w:rFonts w:eastAsia="SimSun"/>
          <w:lang w:val="es-ES" w:eastAsia="zh-CN"/>
        </w:rPr>
        <w:t>, CRM)</w:t>
      </w:r>
      <w:r w:rsidRPr="006567F4">
        <w:rPr>
          <w:lang w:val="es-ES"/>
        </w:rPr>
        <w:t xml:space="preserve"> para la gestión de clientes, miembros, eventos, etc.</w:t>
      </w:r>
      <w:r w:rsidR="002F046A" w:rsidRPr="00557E3F">
        <w:rPr>
          <w:lang w:val="es-ES"/>
        </w:rPr>
        <w:t>, con funciones adicionales de inscripción de delegados respecto del EDRS.</w:t>
      </w:r>
      <w:r w:rsidRPr="006567F4">
        <w:rPr>
          <w:lang w:val="es-ES"/>
        </w:rPr>
        <w:t xml:space="preserve"> </w:t>
      </w:r>
      <w:r w:rsidR="002F046A" w:rsidRPr="00557E3F">
        <w:rPr>
          <w:lang w:val="es-ES"/>
        </w:rPr>
        <w:t xml:space="preserve">El sistema ya se ha utilizado para Telecom en 2014, y está en fase de ampliación al resto de la UIT. </w:t>
      </w:r>
    </w:p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lang w:val="es-ES"/>
        </w:rPr>
        <w:lastRenderedPageBreak/>
        <w:t>3</w:t>
      </w:r>
      <w:r w:rsidRPr="006567F4">
        <w:rPr>
          <w:lang w:val="es-ES"/>
        </w:rPr>
        <w:tab/>
      </w:r>
      <w:r w:rsidR="002F046A" w:rsidRPr="00557E3F">
        <w:rPr>
          <w:lang w:val="es-ES"/>
        </w:rPr>
        <w:t>Utiliza</w:t>
      </w:r>
      <w:r w:rsidRPr="006567F4">
        <w:rPr>
          <w:lang w:val="es-ES"/>
        </w:rPr>
        <w:t xml:space="preserve">ción de </w:t>
      </w:r>
      <w:r w:rsidR="002F046A" w:rsidRPr="00557E3F">
        <w:rPr>
          <w:lang w:val="es-ES"/>
        </w:rPr>
        <w:t>SharePoint para los Grupos por Correspondencia</w:t>
      </w:r>
    </w:p>
    <w:p w:rsidR="006567F4" w:rsidRPr="006567F4" w:rsidRDefault="00E707F8" w:rsidP="003520BB">
      <w:pPr>
        <w:rPr>
          <w:lang w:val="es-ES"/>
        </w:rPr>
      </w:pPr>
      <w:r w:rsidRPr="00557E3F">
        <w:rPr>
          <w:lang w:val="es-ES"/>
        </w:rPr>
        <w:t xml:space="preserve">Se está concibiendo una plantilla de comunicación a fin de proporcionar una única interfaz para las reuniones de los </w:t>
      </w:r>
      <w:r w:rsidR="00557E3F" w:rsidRPr="00557E3F">
        <w:rPr>
          <w:lang w:val="es-ES"/>
        </w:rPr>
        <w:t xml:space="preserve">Grupos </w:t>
      </w:r>
      <w:r w:rsidRPr="00557E3F">
        <w:rPr>
          <w:lang w:val="es-ES"/>
        </w:rPr>
        <w:t xml:space="preserve">por </w:t>
      </w:r>
      <w:r w:rsidR="00557E3F" w:rsidRPr="00557E3F">
        <w:rPr>
          <w:lang w:val="es-ES"/>
        </w:rPr>
        <w:t xml:space="preserve">Correspondencia </w:t>
      </w:r>
      <w:r w:rsidRPr="00557E3F">
        <w:rPr>
          <w:lang w:val="es-ES"/>
        </w:rPr>
        <w:t xml:space="preserve">y los </w:t>
      </w:r>
      <w:r w:rsidR="00557E3F" w:rsidRPr="00557E3F">
        <w:rPr>
          <w:lang w:val="es-ES"/>
        </w:rPr>
        <w:t xml:space="preserve">Grupos </w:t>
      </w:r>
      <w:r w:rsidRPr="00557E3F">
        <w:rPr>
          <w:lang w:val="es-ES"/>
        </w:rPr>
        <w:t xml:space="preserve">de </w:t>
      </w:r>
      <w:r w:rsidR="00557E3F" w:rsidRPr="00557E3F">
        <w:rPr>
          <w:lang w:val="es-ES"/>
        </w:rPr>
        <w:t>Relator</w:t>
      </w:r>
      <w:r w:rsidRPr="00557E3F">
        <w:rPr>
          <w:lang w:val="es-ES"/>
        </w:rPr>
        <w:t xml:space="preserve">. Las funcionalidades incluyen la utilización de SharePoint para la presentación de documentos y la gestión de las listas de distribución y las listas de correo. </w:t>
      </w:r>
    </w:p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szCs w:val="24"/>
          <w:lang w:val="es-ES"/>
        </w:rPr>
        <w:t>4</w:t>
      </w:r>
      <w:r w:rsidRPr="006567F4">
        <w:rPr>
          <w:szCs w:val="24"/>
          <w:lang w:val="es-ES"/>
        </w:rPr>
        <w:tab/>
      </w:r>
      <w:r w:rsidR="002F046A" w:rsidRPr="00557E3F">
        <w:rPr>
          <w:lang w:val="es-ES"/>
        </w:rPr>
        <w:t>Migración y remodelación del sitio web de la UIT</w:t>
      </w:r>
    </w:p>
    <w:p w:rsidR="00E707F8" w:rsidRPr="00557E3F" w:rsidRDefault="00E707F8" w:rsidP="003520BB">
      <w:pPr>
        <w:rPr>
          <w:lang w:val="es-ES"/>
        </w:rPr>
      </w:pPr>
      <w:r w:rsidRPr="00557E3F">
        <w:rPr>
          <w:lang w:val="es-ES"/>
        </w:rPr>
        <w:t xml:space="preserve">La UIT ha actualizado su sitio web y, a finales de 2013, la infraestructura de servidor se renovó y migró a SharePoint 2013. Ya casi se ha completado la migración de la mayoría de las páginas web más importantes del UIT-R. Los servicios web de FrontPage se congelaron a finales de junio de 2014 (algunos sitios y páginas serán retirados, otros se mantendrán como están en la actualidad, y los demás ya se han migrado). </w:t>
      </w:r>
    </w:p>
    <w:p w:rsidR="006567F4" w:rsidRPr="006567F4" w:rsidRDefault="002F046A" w:rsidP="003520BB">
      <w:pPr>
        <w:rPr>
          <w:szCs w:val="24"/>
          <w:lang w:val="es-ES"/>
        </w:rPr>
      </w:pPr>
      <w:r w:rsidRPr="006567F4">
        <w:rPr>
          <w:lang w:val="es-ES"/>
        </w:rPr>
        <w:t>Es importante que</w:t>
      </w:r>
      <w:r w:rsidR="00557E3F" w:rsidRPr="00557E3F">
        <w:rPr>
          <w:lang w:val="es-ES"/>
        </w:rPr>
        <w:t>,</w:t>
      </w:r>
      <w:r w:rsidRPr="006567F4">
        <w:rPr>
          <w:lang w:val="es-ES"/>
        </w:rPr>
        <w:t xml:space="preserve"> con todas estas actualizaciones</w:t>
      </w:r>
      <w:r w:rsidR="00557E3F" w:rsidRPr="00557E3F">
        <w:rPr>
          <w:lang w:val="es-ES"/>
        </w:rPr>
        <w:t>,</w:t>
      </w:r>
      <w:r w:rsidRPr="006567F4">
        <w:rPr>
          <w:lang w:val="es-ES"/>
        </w:rPr>
        <w:t xml:space="preserve"> las páginas web de la UIT tengan enlaces permanentes y si</w:t>
      </w:r>
      <w:r w:rsidR="00E707F8" w:rsidRPr="00557E3F">
        <w:rPr>
          <w:lang w:val="es-ES"/>
        </w:rPr>
        <w:t>,</w:t>
      </w:r>
      <w:r w:rsidRPr="006567F4">
        <w:rPr>
          <w:lang w:val="es-ES"/>
        </w:rPr>
        <w:t xml:space="preserve"> debido a las nuevas estructuras del directorio</w:t>
      </w:r>
      <w:r w:rsidR="00E707F8" w:rsidRPr="00557E3F">
        <w:rPr>
          <w:lang w:val="es-ES"/>
        </w:rPr>
        <w:t>,</w:t>
      </w:r>
      <w:r w:rsidRPr="006567F4">
        <w:rPr>
          <w:lang w:val="es-ES"/>
        </w:rPr>
        <w:t xml:space="preserve"> deben modificarse ciertos emplazamientos</w:t>
      </w:r>
      <w:r w:rsidR="00E707F8" w:rsidRPr="00557E3F">
        <w:rPr>
          <w:lang w:val="es-ES"/>
        </w:rPr>
        <w:t>,</w:t>
      </w:r>
      <w:r w:rsidRPr="006567F4">
        <w:rPr>
          <w:lang w:val="es-ES"/>
        </w:rPr>
        <w:t xml:space="preserve"> es fundamental dotar </w:t>
      </w:r>
      <w:r w:rsidR="00E707F8" w:rsidRPr="006567F4">
        <w:rPr>
          <w:lang w:val="es-ES"/>
        </w:rPr>
        <w:t>a los antiguos URL</w:t>
      </w:r>
      <w:r w:rsidR="00E707F8" w:rsidRPr="00557E3F">
        <w:rPr>
          <w:lang w:val="es-ES"/>
        </w:rPr>
        <w:t xml:space="preserve"> </w:t>
      </w:r>
      <w:r w:rsidRPr="006567F4">
        <w:rPr>
          <w:lang w:val="es-ES"/>
        </w:rPr>
        <w:t>de características de correspondencia o direccionamiento.</w:t>
      </w:r>
      <w:r w:rsidR="00E707F8" w:rsidRPr="00557E3F">
        <w:rPr>
          <w:lang w:val="es-ES"/>
        </w:rPr>
        <w:t xml:space="preserve"> Se han desarrollado mecanismos para generar enlaces permanentes a las páginas (por ejemplo </w:t>
      </w:r>
      <w:hyperlink r:id="rId13" w:history="1">
        <w:r w:rsidR="00E707F8" w:rsidRPr="00557E3F">
          <w:rPr>
            <w:rStyle w:val="Hyperlink"/>
            <w:lang w:val="es-ES"/>
          </w:rPr>
          <w:t>www.itu.int/cybersecurity</w:t>
        </w:r>
      </w:hyperlink>
      <w:r w:rsidR="00E707F8" w:rsidRPr="00557E3F">
        <w:rPr>
          <w:lang w:val="es-ES"/>
        </w:rPr>
        <w:t xml:space="preserve"> siempre llevará a la página principal sobre la ciberseguridad, dondequiera que ésta </w:t>
      </w:r>
      <w:r w:rsidR="00557E3F" w:rsidRPr="00557E3F">
        <w:rPr>
          <w:lang w:val="es-ES"/>
        </w:rPr>
        <w:t>se ubique</w:t>
      </w:r>
      <w:r w:rsidR="00E707F8" w:rsidRPr="00557E3F">
        <w:rPr>
          <w:lang w:val="es-ES"/>
        </w:rPr>
        <w:t xml:space="preserve">). </w:t>
      </w:r>
    </w:p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lang w:val="es-ES"/>
        </w:rPr>
        <w:t>5</w:t>
      </w:r>
      <w:r w:rsidRPr="006567F4">
        <w:rPr>
          <w:lang w:val="es-ES"/>
        </w:rPr>
        <w:tab/>
      </w:r>
      <w:r w:rsidR="002F046A" w:rsidRPr="00557E3F">
        <w:rPr>
          <w:lang w:val="es-ES"/>
        </w:rPr>
        <w:t>Distribución de Cartas Circulares por correo-e</w:t>
      </w:r>
    </w:p>
    <w:p w:rsidR="006567F4" w:rsidRPr="006567F4" w:rsidRDefault="00E707F8" w:rsidP="003520BB">
      <w:pPr>
        <w:rPr>
          <w:lang w:val="es-ES"/>
        </w:rPr>
      </w:pPr>
      <w:r w:rsidRPr="00557E3F">
        <w:rPr>
          <w:lang w:val="es-ES"/>
        </w:rPr>
        <w:t xml:space="preserve">Es posible que haya que revisar la práctica actual de la BR para la distribución de cartas circulares a fin de ajustarla a lo dispuesto en el Anexo 2 de la Decisión 5 (Rev. Busán, 2014) </w:t>
      </w:r>
      <w:r w:rsidR="0022244A" w:rsidRPr="00557E3F">
        <w:rPr>
          <w:lang w:val="es-ES"/>
        </w:rPr>
        <w:t>sobre Medidas destinadas a reducir gastos</w:t>
      </w:r>
      <w:r w:rsidRPr="00557E3F">
        <w:rPr>
          <w:lang w:val="es-ES"/>
        </w:rPr>
        <w:t xml:space="preserve">, y los resultados reflejados en la revisión de la Resolución UIT-R 1-6. </w:t>
      </w:r>
    </w:p>
    <w:p w:rsidR="006567F4" w:rsidRPr="006567F4" w:rsidRDefault="006567F4" w:rsidP="003520BB">
      <w:pPr>
        <w:pStyle w:val="Heading1"/>
        <w:rPr>
          <w:lang w:val="es-ES"/>
        </w:rPr>
      </w:pPr>
      <w:r w:rsidRPr="006567F4">
        <w:rPr>
          <w:lang w:val="es-ES"/>
        </w:rPr>
        <w:t>6</w:t>
      </w:r>
      <w:r w:rsidRPr="006567F4">
        <w:rPr>
          <w:lang w:val="es-ES"/>
        </w:rPr>
        <w:tab/>
      </w:r>
      <w:r w:rsidR="002F046A" w:rsidRPr="00557E3F">
        <w:rPr>
          <w:lang w:val="es-ES"/>
        </w:rPr>
        <w:t>Propuesta</w:t>
      </w:r>
    </w:p>
    <w:p w:rsidR="002F046A" w:rsidRPr="00557E3F" w:rsidRDefault="002F046A" w:rsidP="003520BB">
      <w:pPr>
        <w:rPr>
          <w:lang w:val="es-ES"/>
        </w:rPr>
      </w:pPr>
      <w:r w:rsidRPr="006567F4">
        <w:rPr>
          <w:lang w:val="es-ES"/>
        </w:rPr>
        <w:t>Se propone que más Grupos prueben los diversos métodos disponibles en el UIT-R para el EDH con el objetivo de facilitar el trabajo del UIT-R y hacerlo más productivo. Las experiencias y sugerencias sobre nuevas mejoras deben remitirse al Grupo por Correspondencia GAR-EDH</w:t>
      </w:r>
      <w:r w:rsidRPr="006567F4">
        <w:rPr>
          <w:szCs w:val="24"/>
          <w:lang w:val="es-ES"/>
        </w:rPr>
        <w:t xml:space="preserve">: </w:t>
      </w:r>
      <w:hyperlink r:id="rId14" w:history="1">
        <w:r w:rsidRPr="00557E3F">
          <w:rPr>
            <w:color w:val="0000FF"/>
            <w:szCs w:val="24"/>
            <w:u w:val="single"/>
            <w:lang w:val="es-ES"/>
          </w:rPr>
          <w:t>rag</w:t>
        </w:r>
        <w:r w:rsidRPr="00557E3F">
          <w:rPr>
            <w:color w:val="0000FF"/>
            <w:szCs w:val="24"/>
            <w:u w:val="single"/>
            <w:lang w:val="es-ES"/>
          </w:rPr>
          <w:noBreakHyphen/>
          <w:t>edh@itu.int</w:t>
        </w:r>
      </w:hyperlink>
      <w:r w:rsidRPr="006567F4">
        <w:rPr>
          <w:lang w:val="es-ES"/>
        </w:rPr>
        <w:t>.</w:t>
      </w:r>
    </w:p>
    <w:p w:rsidR="0022244A" w:rsidRPr="006567F4" w:rsidRDefault="0022244A" w:rsidP="003520BB">
      <w:pPr>
        <w:rPr>
          <w:lang w:val="es-ES"/>
        </w:rPr>
      </w:pPr>
      <w:r w:rsidRPr="00557E3F">
        <w:rPr>
          <w:lang w:val="es-ES"/>
        </w:rPr>
        <w:t xml:space="preserve">No obstante, la última contribución al </w:t>
      </w:r>
      <w:r w:rsidR="00050051" w:rsidRPr="00557E3F">
        <w:rPr>
          <w:lang w:val="es-ES"/>
        </w:rPr>
        <w:t xml:space="preserve">Grupo </w:t>
      </w:r>
      <w:r w:rsidRPr="00557E3F">
        <w:rPr>
          <w:lang w:val="es-ES"/>
        </w:rPr>
        <w:t xml:space="preserve">por </w:t>
      </w:r>
      <w:r w:rsidR="00050051" w:rsidRPr="00557E3F">
        <w:rPr>
          <w:lang w:val="es-ES"/>
        </w:rPr>
        <w:t xml:space="preserve">Correspondencia </w:t>
      </w:r>
      <w:r w:rsidRPr="00557E3F">
        <w:rPr>
          <w:lang w:val="es-ES"/>
        </w:rPr>
        <w:t>se recibió en 2005, y los informes sobr</w:t>
      </w:r>
      <w:bookmarkStart w:id="5" w:name="_GoBack"/>
      <w:bookmarkEnd w:id="5"/>
      <w:r w:rsidRPr="00557E3F">
        <w:rPr>
          <w:lang w:val="es-ES"/>
        </w:rPr>
        <w:t xml:space="preserve">e los avances en las actividades de EDH se han limitado a ofrecer actualizaciones acerca de la evolución del EDH en el UIT-R reunidas por la BR y el </w:t>
      </w:r>
      <w:r w:rsidR="00557E3F" w:rsidRPr="00557E3F">
        <w:rPr>
          <w:lang w:val="es-ES"/>
        </w:rPr>
        <w:t>D</w:t>
      </w:r>
      <w:r w:rsidRPr="00557E3F">
        <w:rPr>
          <w:lang w:val="es-ES"/>
        </w:rPr>
        <w:t>epartamento de IS</w:t>
      </w:r>
      <w:r w:rsidR="00557E3F" w:rsidRPr="00557E3F">
        <w:rPr>
          <w:lang w:val="es-ES"/>
        </w:rPr>
        <w:t xml:space="preserve">. Esto duplica en cierto modo la información facilitada en otros documentos, incluido el Informe del Director al GAR (por ejemplo, véase el </w:t>
      </w:r>
      <w:hyperlink r:id="rId15" w:history="1">
        <w:r w:rsidR="00557E3F" w:rsidRPr="00557E3F">
          <w:rPr>
            <w:color w:val="0000FF"/>
            <w:u w:val="single"/>
            <w:lang w:val="es-ES"/>
          </w:rPr>
          <w:t>Addéndum 2</w:t>
        </w:r>
      </w:hyperlink>
      <w:r w:rsidR="00557E3F" w:rsidRPr="00557E3F">
        <w:rPr>
          <w:lang w:val="es-ES"/>
        </w:rPr>
        <w:t xml:space="preserve"> al </w:t>
      </w:r>
      <w:hyperlink r:id="rId16" w:history="1">
        <w:r w:rsidR="00557E3F" w:rsidRPr="00557E3F">
          <w:rPr>
            <w:color w:val="0000FF"/>
            <w:u w:val="single"/>
            <w:lang w:val="es-ES"/>
          </w:rPr>
          <w:t>Doc. RAG15-1/1</w:t>
        </w:r>
      </w:hyperlink>
      <w:r w:rsidR="00557E3F" w:rsidRPr="00557E3F">
        <w:rPr>
          <w:lang w:val="es-ES"/>
        </w:rPr>
        <w:t xml:space="preserve">). Por estos motivos, el GAR tal vez desee </w:t>
      </w:r>
      <w:r w:rsidR="00ED0035">
        <w:rPr>
          <w:lang w:val="es-ES"/>
        </w:rPr>
        <w:t xml:space="preserve">plantearse si </w:t>
      </w:r>
      <w:r w:rsidR="00050051">
        <w:rPr>
          <w:lang w:val="es-ES"/>
        </w:rPr>
        <w:t xml:space="preserve">debe proseguir o disolverse el </w:t>
      </w:r>
      <w:r w:rsidR="00ED0035" w:rsidRPr="00ED0035">
        <w:rPr>
          <w:lang w:val="es-ES"/>
        </w:rPr>
        <w:t xml:space="preserve">Grupo por Correspondencia sobre </w:t>
      </w:r>
      <w:r w:rsidR="00ED0035">
        <w:rPr>
          <w:lang w:val="es-ES"/>
        </w:rPr>
        <w:t>EDH.</w:t>
      </w:r>
    </w:p>
    <w:p w:rsidR="006567F4" w:rsidRPr="006567F4" w:rsidRDefault="006567F4" w:rsidP="006567F4">
      <w:pPr>
        <w:rPr>
          <w:lang w:val="es-ES"/>
        </w:rPr>
      </w:pPr>
    </w:p>
    <w:p w:rsidR="006567F4" w:rsidRPr="006567F4" w:rsidRDefault="006567F4" w:rsidP="006567F4">
      <w:pPr>
        <w:rPr>
          <w:lang w:val="es-ES"/>
        </w:rPr>
      </w:pPr>
    </w:p>
    <w:p w:rsidR="00E20E18" w:rsidRPr="00557E3F" w:rsidRDefault="00E20E18">
      <w:pPr>
        <w:jc w:val="center"/>
        <w:rPr>
          <w:lang w:val="es-ES"/>
        </w:rPr>
      </w:pPr>
      <w:r w:rsidRPr="00557E3F">
        <w:rPr>
          <w:lang w:val="es-ES"/>
        </w:rPr>
        <w:t>______________</w:t>
      </w:r>
    </w:p>
    <w:sectPr w:rsidR="00E20E18" w:rsidRPr="00557E3F" w:rsidSect="004D6C09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C0" w:rsidRDefault="00F45CC0">
      <w:r>
        <w:separator/>
      </w:r>
    </w:p>
  </w:endnote>
  <w:endnote w:type="continuationSeparator" w:id="0">
    <w:p w:rsidR="00F45CC0" w:rsidRDefault="00F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C0" w:rsidRPr="00366154" w:rsidRDefault="00BC7F2B" w:rsidP="002F046A">
    <w:pPr>
      <w:pStyle w:val="Footer"/>
    </w:pPr>
    <w:r>
      <w:fldChar w:fldCharType="begin"/>
    </w:r>
    <w:r>
      <w:instrText xml:space="preserve"> FILENAME \p</w:instrText>
    </w:r>
    <w:r>
      <w:instrText xml:space="preserve">  \* MERGEFORMAT </w:instrText>
    </w:r>
    <w:r>
      <w:fldChar w:fldCharType="separate"/>
    </w:r>
    <w:r>
      <w:t>P:\ESP\ITU-R\AG\RAG\RAG15\000\003S.docx</w:t>
    </w:r>
    <w:r>
      <w:fldChar w:fldCharType="end"/>
    </w:r>
    <w:r w:rsidR="003520BB">
      <w:t xml:space="preserve"> (378589)</w:t>
    </w:r>
    <w:r w:rsidR="00F45CC0">
      <w:tab/>
    </w:r>
    <w:r w:rsidR="00F45CC0">
      <w:fldChar w:fldCharType="begin"/>
    </w:r>
    <w:r w:rsidR="00F45CC0">
      <w:instrText xml:space="preserve"> SAVEDATE \@ DD.MM.YY </w:instrText>
    </w:r>
    <w:r w:rsidR="00F45CC0">
      <w:fldChar w:fldCharType="separate"/>
    </w:r>
    <w:r>
      <w:t>04.05.15</w:t>
    </w:r>
    <w:r w:rsidR="00F45CC0">
      <w:fldChar w:fldCharType="end"/>
    </w:r>
    <w:r w:rsidR="00F45CC0">
      <w:tab/>
    </w:r>
    <w:r w:rsidR="00F45CC0">
      <w:fldChar w:fldCharType="begin"/>
    </w:r>
    <w:r w:rsidR="00F45CC0">
      <w:instrText xml:space="preserve"> PRINTDATE \@ DD.MM.YY </w:instrText>
    </w:r>
    <w:r w:rsidR="00F45CC0">
      <w:fldChar w:fldCharType="separate"/>
    </w:r>
    <w:r>
      <w:t>04.05.15</w:t>
    </w:r>
    <w:r w:rsidR="00F45CC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BB" w:rsidRDefault="00BC7F2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P:\ESP\ITU-R\AG\RAG\RAG15\000\003S.docx</w:t>
    </w:r>
    <w:r>
      <w:fldChar w:fldCharType="end"/>
    </w:r>
    <w:r w:rsidR="003520BB">
      <w:t xml:space="preserve"> (378589)</w:t>
    </w:r>
    <w:r w:rsidR="003520BB">
      <w:tab/>
    </w:r>
    <w:r w:rsidR="003520BB">
      <w:fldChar w:fldCharType="begin"/>
    </w:r>
    <w:r w:rsidR="003520BB">
      <w:instrText xml:space="preserve"> SAVEDATE \@ DD.MM.YY </w:instrText>
    </w:r>
    <w:r w:rsidR="003520BB">
      <w:fldChar w:fldCharType="separate"/>
    </w:r>
    <w:r>
      <w:t>04.05.15</w:t>
    </w:r>
    <w:r w:rsidR="003520BB">
      <w:fldChar w:fldCharType="end"/>
    </w:r>
    <w:r w:rsidR="003520BB">
      <w:tab/>
    </w:r>
    <w:r w:rsidR="003520BB">
      <w:fldChar w:fldCharType="begin"/>
    </w:r>
    <w:r w:rsidR="003520BB">
      <w:instrText xml:space="preserve"> PRINTDATE \@ DD.MM.YY </w:instrText>
    </w:r>
    <w:r w:rsidR="003520BB">
      <w:fldChar w:fldCharType="separate"/>
    </w:r>
    <w:r>
      <w:t>04.05.15</w:t>
    </w:r>
    <w:r w:rsidR="003520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C0" w:rsidRDefault="00F45CC0">
      <w:r>
        <w:t>____________________</w:t>
      </w:r>
    </w:p>
  </w:footnote>
  <w:footnote w:type="continuationSeparator" w:id="0">
    <w:p w:rsidR="00F45CC0" w:rsidRDefault="00F45CC0">
      <w:r>
        <w:continuationSeparator/>
      </w:r>
    </w:p>
  </w:footnote>
  <w:footnote w:id="1">
    <w:p w:rsidR="006567F4" w:rsidRPr="006567F4" w:rsidRDefault="006567F4" w:rsidP="008917B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8917B8">
        <w:tab/>
      </w:r>
      <w:r w:rsidRPr="006567F4">
        <w:rPr>
          <w:sz w:val="22"/>
          <w:szCs w:val="22"/>
          <w:lang w:val="pt-BR"/>
        </w:rPr>
        <w:t xml:space="preserve">José Costa (Ericsson Canada, Inc., Canada), Tel.: +1 613 963-8288, </w:t>
      </w:r>
      <w:r w:rsidR="008917B8">
        <w:rPr>
          <w:sz w:val="22"/>
          <w:szCs w:val="22"/>
          <w:lang w:val="pt-BR"/>
        </w:rPr>
        <w:br/>
      </w:r>
      <w:r w:rsidRPr="006567F4">
        <w:rPr>
          <w:sz w:val="22"/>
          <w:szCs w:val="22"/>
          <w:lang w:val="pt-BR"/>
        </w:rPr>
        <w:t>Correo-e:</w:t>
      </w:r>
      <w:r w:rsidRPr="006567F4">
        <w:rPr>
          <w:lang w:val="pt-BR"/>
        </w:rPr>
        <w:t xml:space="preserve"> </w:t>
      </w:r>
      <w:hyperlink r:id="rId1" w:history="1">
        <w:r w:rsidRPr="006567F4">
          <w:rPr>
            <w:color w:val="0000FF"/>
            <w:sz w:val="22"/>
            <w:szCs w:val="22"/>
            <w:u w:val="single"/>
            <w:lang w:val="pt-BR"/>
          </w:rPr>
          <w:t>jose.costa@ericsson.com</w:t>
        </w:r>
      </w:hyperlink>
      <w:r>
        <w:t>.</w:t>
      </w:r>
    </w:p>
  </w:footnote>
  <w:footnote w:id="2">
    <w:p w:rsidR="006567F4" w:rsidRPr="00837469" w:rsidRDefault="006567F4" w:rsidP="006567F4">
      <w:pPr>
        <w:pStyle w:val="FootnoteText"/>
      </w:pPr>
      <w:r>
        <w:rPr>
          <w:rStyle w:val="FootnoteReference"/>
        </w:rPr>
        <w:footnoteRef/>
      </w:r>
      <w:r w:rsidRPr="000B4AD5">
        <w:rPr>
          <w:lang w:val="pt-BR"/>
        </w:rPr>
        <w:t xml:space="preserve"> </w:t>
      </w:r>
      <w:r>
        <w:rPr>
          <w:lang w:val="pt-BR"/>
        </w:rPr>
        <w:tab/>
      </w:r>
      <w:hyperlink r:id="rId2" w:history="1">
        <w:r w:rsidRPr="00666967">
          <w:rPr>
            <w:rStyle w:val="Hyperlink"/>
            <w:sz w:val="22"/>
            <w:szCs w:val="22"/>
            <w:lang w:val="pt-BR"/>
          </w:rPr>
          <w:t>http://ties.itu.int/listarchives/rag-edh</w:t>
        </w:r>
      </w:hyperlink>
      <w:r w:rsidRPr="00666967">
        <w:rPr>
          <w:sz w:val="22"/>
          <w:szCs w:val="22"/>
          <w:lang w:val="pt-BR"/>
        </w:rPr>
        <w:t xml:space="preserve"> </w:t>
      </w:r>
    </w:p>
  </w:footnote>
  <w:footnote w:id="3">
    <w:p w:rsidR="006567F4" w:rsidRDefault="006567F4" w:rsidP="008917B8">
      <w:pPr>
        <w:pStyle w:val="FootnoteText"/>
      </w:pPr>
      <w:r>
        <w:rPr>
          <w:rStyle w:val="FootnoteReference"/>
        </w:rPr>
        <w:footnoteRef/>
      </w:r>
      <w:r w:rsidRPr="00D16D69">
        <w:t xml:space="preserve"> </w:t>
      </w:r>
      <w:r w:rsidRPr="00D16D69">
        <w:tab/>
      </w:r>
      <w:r w:rsidRPr="00D16D69">
        <w:rPr>
          <w:sz w:val="22"/>
          <w:szCs w:val="22"/>
        </w:rPr>
        <w:t>Los anteriores Informes figuran en los Doc</w:t>
      </w:r>
      <w:r>
        <w:rPr>
          <w:sz w:val="22"/>
          <w:szCs w:val="22"/>
        </w:rPr>
        <w:t>umentos</w:t>
      </w:r>
      <w:r w:rsidR="00945D8E">
        <w:rPr>
          <w:sz w:val="22"/>
          <w:szCs w:val="22"/>
        </w:rPr>
        <w:t xml:space="preserve"> </w:t>
      </w:r>
      <w:hyperlink r:id="rId3" w:history="1">
        <w:r w:rsidR="008917B8" w:rsidRPr="000B348E">
          <w:rPr>
            <w:rStyle w:val="Hyperlink"/>
            <w:szCs w:val="24"/>
            <w:lang w:val="sv-SE"/>
          </w:rPr>
          <w:t>RAG14-1/19</w:t>
        </w:r>
      </w:hyperlink>
      <w:r w:rsidR="008917B8" w:rsidRPr="009D70C8">
        <w:t xml:space="preserve">, </w:t>
      </w:r>
      <w:hyperlink r:id="rId4" w:history="1">
        <w:r w:rsidR="008917B8" w:rsidRPr="000B348E">
          <w:rPr>
            <w:rStyle w:val="Hyperlink"/>
            <w:szCs w:val="24"/>
            <w:lang w:val="sv-SE"/>
          </w:rPr>
          <w:t>RAG13-1/6</w:t>
        </w:r>
      </w:hyperlink>
      <w:r w:rsidR="008917B8" w:rsidRPr="000B348E">
        <w:rPr>
          <w:szCs w:val="24"/>
          <w:lang w:val="sv-SE"/>
        </w:rPr>
        <w:t xml:space="preserve">, </w:t>
      </w:r>
      <w:hyperlink r:id="rId5" w:history="1">
        <w:r w:rsidR="008917B8" w:rsidRPr="000B348E">
          <w:rPr>
            <w:rStyle w:val="Hyperlink"/>
            <w:szCs w:val="24"/>
            <w:lang w:val="sv-SE"/>
          </w:rPr>
          <w:t>Doc. RAG12-1/6</w:t>
        </w:r>
      </w:hyperlink>
      <w:r w:rsidR="008917B8" w:rsidRPr="000B348E">
        <w:rPr>
          <w:szCs w:val="24"/>
          <w:lang w:val="sv-SE"/>
        </w:rPr>
        <w:t xml:space="preserve">, </w:t>
      </w:r>
      <w:hyperlink r:id="rId6" w:history="1">
        <w:r w:rsidR="008917B8" w:rsidRPr="000B348E">
          <w:rPr>
            <w:rStyle w:val="Hyperlink"/>
            <w:szCs w:val="24"/>
            <w:lang w:val="sv-SE"/>
          </w:rPr>
          <w:t>RAG11-1/5</w:t>
        </w:r>
      </w:hyperlink>
      <w:r w:rsidR="008917B8" w:rsidRPr="000B348E">
        <w:rPr>
          <w:szCs w:val="24"/>
          <w:lang w:val="sv-SE"/>
        </w:rPr>
        <w:t xml:space="preserve">, </w:t>
      </w:r>
      <w:hyperlink r:id="rId7" w:history="1">
        <w:r w:rsidR="008917B8" w:rsidRPr="000B348E">
          <w:rPr>
            <w:rStyle w:val="Hyperlink"/>
            <w:szCs w:val="24"/>
            <w:lang w:val="sv-SE"/>
          </w:rPr>
          <w:t>RAG10-1/4</w:t>
        </w:r>
      </w:hyperlink>
      <w:r w:rsidR="008917B8" w:rsidRPr="000B348E">
        <w:rPr>
          <w:szCs w:val="24"/>
          <w:lang w:val="sv-SE"/>
        </w:rPr>
        <w:t xml:space="preserve">, </w:t>
      </w:r>
      <w:hyperlink r:id="rId8" w:history="1">
        <w:r w:rsidR="008917B8" w:rsidRPr="000B348E">
          <w:rPr>
            <w:rStyle w:val="Hyperlink"/>
            <w:szCs w:val="24"/>
            <w:lang w:val="sv-SE"/>
          </w:rPr>
          <w:t>RAG09-1/4</w:t>
        </w:r>
      </w:hyperlink>
      <w:r w:rsidR="008917B8" w:rsidRPr="000B348E">
        <w:rPr>
          <w:szCs w:val="24"/>
          <w:lang w:val="sv-SE"/>
        </w:rPr>
        <w:t xml:space="preserve">, </w:t>
      </w:r>
      <w:hyperlink r:id="rId9" w:history="1">
        <w:r w:rsidR="008917B8" w:rsidRPr="000B348E">
          <w:rPr>
            <w:rStyle w:val="Hyperlink"/>
            <w:szCs w:val="24"/>
            <w:lang w:val="sv-SE"/>
          </w:rPr>
          <w:t>RAG08-1/4</w:t>
        </w:r>
      </w:hyperlink>
      <w:r w:rsidR="008917B8" w:rsidRPr="000B348E">
        <w:rPr>
          <w:szCs w:val="24"/>
          <w:lang w:val="sv-SE"/>
        </w:rPr>
        <w:t xml:space="preserve">, </w:t>
      </w:r>
      <w:hyperlink r:id="rId10" w:history="1">
        <w:r w:rsidR="008917B8" w:rsidRPr="000B348E">
          <w:rPr>
            <w:rStyle w:val="Hyperlink"/>
            <w:szCs w:val="24"/>
            <w:lang w:val="sv-SE"/>
          </w:rPr>
          <w:t>RAG07-1/2</w:t>
        </w:r>
      </w:hyperlink>
      <w:r w:rsidR="008917B8" w:rsidRPr="000B348E">
        <w:rPr>
          <w:szCs w:val="24"/>
          <w:lang w:val="sv-SE"/>
        </w:rPr>
        <w:t xml:space="preserve">, </w:t>
      </w:r>
      <w:hyperlink r:id="rId11" w:history="1">
        <w:r w:rsidR="008917B8" w:rsidRPr="000B348E">
          <w:rPr>
            <w:rStyle w:val="Hyperlink"/>
            <w:szCs w:val="24"/>
            <w:lang w:val="sv-SE"/>
          </w:rPr>
          <w:t>RAG05-1/5</w:t>
        </w:r>
      </w:hyperlink>
      <w:r w:rsidR="008917B8">
        <w:rPr>
          <w:szCs w:val="24"/>
          <w:lang w:val="sv-SE"/>
        </w:rPr>
        <w:t xml:space="preserve"> y</w:t>
      </w:r>
      <w:r w:rsidR="008917B8" w:rsidRPr="000B348E">
        <w:rPr>
          <w:szCs w:val="24"/>
          <w:lang w:val="sv-SE"/>
        </w:rPr>
        <w:t xml:space="preserve"> </w:t>
      </w:r>
      <w:hyperlink r:id="rId12" w:history="1">
        <w:r w:rsidR="008917B8" w:rsidRPr="000B348E">
          <w:rPr>
            <w:rStyle w:val="Hyperlink"/>
            <w:szCs w:val="24"/>
            <w:lang w:val="sv-SE"/>
          </w:rPr>
          <w:t>RAG04-1/15</w:t>
        </w:r>
      </w:hyperlink>
      <w:r w:rsidR="008917B8" w:rsidRPr="000B348E">
        <w:rPr>
          <w:szCs w:val="24"/>
          <w:lang w:val="sv-SE"/>
        </w:rPr>
        <w:t>.</w:t>
      </w:r>
      <w:r w:rsidRPr="00666967">
        <w:rPr>
          <w:sz w:val="22"/>
          <w:szCs w:val="22"/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C0" w:rsidRDefault="00F45CC0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7F2B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CC0" w:rsidRDefault="00F45CC0" w:rsidP="002F046A">
    <w:pPr>
      <w:pStyle w:val="Header"/>
      <w:rPr>
        <w:lang w:val="es-ES"/>
      </w:rPr>
    </w:pPr>
    <w:r>
      <w:rPr>
        <w:lang w:val="es-ES"/>
      </w:rPr>
      <w:t>RAG15-1/</w:t>
    </w:r>
    <w:r w:rsidR="002F046A">
      <w:rPr>
        <w:lang w:val="es-ES"/>
      </w:rPr>
      <w:t>3</w:t>
    </w:r>
    <w:r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18"/>
    <w:rsid w:val="00050051"/>
    <w:rsid w:val="000724C5"/>
    <w:rsid w:val="000C62BA"/>
    <w:rsid w:val="000D756D"/>
    <w:rsid w:val="000E2503"/>
    <w:rsid w:val="0012592F"/>
    <w:rsid w:val="0022244A"/>
    <w:rsid w:val="002F046A"/>
    <w:rsid w:val="002F49BF"/>
    <w:rsid w:val="00301D6A"/>
    <w:rsid w:val="0031432E"/>
    <w:rsid w:val="0034043B"/>
    <w:rsid w:val="003520BB"/>
    <w:rsid w:val="00366154"/>
    <w:rsid w:val="00414D8B"/>
    <w:rsid w:val="00482905"/>
    <w:rsid w:val="004D6C09"/>
    <w:rsid w:val="00557E3F"/>
    <w:rsid w:val="005D3E02"/>
    <w:rsid w:val="00610642"/>
    <w:rsid w:val="00616601"/>
    <w:rsid w:val="006567F4"/>
    <w:rsid w:val="00663829"/>
    <w:rsid w:val="006A42AB"/>
    <w:rsid w:val="006E291F"/>
    <w:rsid w:val="007A7CEA"/>
    <w:rsid w:val="007C08E2"/>
    <w:rsid w:val="008917B8"/>
    <w:rsid w:val="008F0243"/>
    <w:rsid w:val="00901DA0"/>
    <w:rsid w:val="00915835"/>
    <w:rsid w:val="00945D8E"/>
    <w:rsid w:val="00997E1E"/>
    <w:rsid w:val="00B32E51"/>
    <w:rsid w:val="00BC7F2B"/>
    <w:rsid w:val="00CB7A43"/>
    <w:rsid w:val="00E20E18"/>
    <w:rsid w:val="00E329FF"/>
    <w:rsid w:val="00E707F8"/>
    <w:rsid w:val="00E72EA7"/>
    <w:rsid w:val="00ED0035"/>
    <w:rsid w:val="00F23715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3EB8D34-C2E2-48DA-BB29-E7FD794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unhideWhenUsed/>
    <w:rsid w:val="00E20E18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E20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45CC0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locked/>
    <w:rsid w:val="006567F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30/e" TargetMode="External"/><Relationship Id="rId13" Type="http://schemas.openxmlformats.org/officeDocument/2006/relationships/hyperlink" Target="http://www.itu.int/cybersecurit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4-RAG14-C-0019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G15-C-000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pub/T-RES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dologin_md.asp?lang=en&amp;id=R15-RAG15-C-0001!A2!MSW-E" TargetMode="External"/><Relationship Id="rId10" Type="http://schemas.openxmlformats.org/officeDocument/2006/relationships/hyperlink" Target="mailto:rag-edh@itu.in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ties.itu.int/listarchives/rag-edh" TargetMode="External"/><Relationship Id="rId14" Type="http://schemas.openxmlformats.org/officeDocument/2006/relationships/hyperlink" Target="mailto:ragedh@itu.in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9-RAG-C-0004/en" TargetMode="External"/><Relationship Id="rId3" Type="http://schemas.openxmlformats.org/officeDocument/2006/relationships/hyperlink" Target="http://www.itu.int/md/R14-RAG14-C-0019/en" TargetMode="External"/><Relationship Id="rId7" Type="http://schemas.openxmlformats.org/officeDocument/2006/relationships/hyperlink" Target="http://www.itu.int/md/R10-RAG-C-0004/en" TargetMode="External"/><Relationship Id="rId12" Type="http://schemas.openxmlformats.org/officeDocument/2006/relationships/hyperlink" Target="http://www.itu.int/md/R04-RAG-C-0015/e" TargetMode="External"/><Relationship Id="rId2" Type="http://schemas.openxmlformats.org/officeDocument/2006/relationships/hyperlink" Target="http://ties.itu.int/listarchives/rag-edh" TargetMode="External"/><Relationship Id="rId1" Type="http://schemas.openxmlformats.org/officeDocument/2006/relationships/hyperlink" Target="mailto:jose.costa@ericsson.com" TargetMode="External"/><Relationship Id="rId6" Type="http://schemas.openxmlformats.org/officeDocument/2006/relationships/hyperlink" Target="http://www.itu.int/md/R11-RAG2011-C-0005/en" TargetMode="External"/><Relationship Id="rId11" Type="http://schemas.openxmlformats.org/officeDocument/2006/relationships/hyperlink" Target="http://www.itu.int/md/R05-RAG-C-0005/e" TargetMode="External"/><Relationship Id="rId5" Type="http://schemas.openxmlformats.org/officeDocument/2006/relationships/hyperlink" Target="http://www.itu.int/md/R12-RAG-C-0006/en" TargetMode="External"/><Relationship Id="rId10" Type="http://schemas.openxmlformats.org/officeDocument/2006/relationships/hyperlink" Target="http://www.itu.int/md/R07-RAG-C-0002/e" TargetMode="External"/><Relationship Id="rId4" Type="http://schemas.openxmlformats.org/officeDocument/2006/relationships/hyperlink" Target="http://www.itu.int/md/R13-RAG13-C-0006/en" TargetMode="External"/><Relationship Id="rId9" Type="http://schemas.openxmlformats.org/officeDocument/2006/relationships/hyperlink" Target="http://www.itu.int/md/R08-RAG-C-000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013C-115B-4BDB-A385-FB1F19AA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PS_RAG15.dotm</Template>
  <TotalTime>53</TotalTime>
  <Pages>2</Pages>
  <Words>704</Words>
  <Characters>3808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EVOLUCIÓN DE LA HERRAMIENTA DE BÚSQUEDA DE LA BASE DE DATOS DE DOCUMENTOS DEL UIT-R</vt:lpstr>
    </vt:vector>
  </TitlesOfParts>
  <Manager>General Secretariat - Pool</Manager>
  <Company>International Telecommunication Union (ITU)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EVOLUCIÓN DE LA HERRAMIENTA DE BÚSQUEDA DE LA BASE DE DATOS DE DOCUMENTOS DEL UIT-R</dc:title>
  <dc:subject>GRUPO ASESOR DE RADIOCOMUNICACIONES</dc:subject>
  <dc:creator>Director de la Oficina de Radiocomunicaciones</dc:creator>
  <cp:keywords>RAG03-1</cp:keywords>
  <dc:description>Documento RAG15-1/2-S  For: _x000d_Document date: 30 de marzo de 2015_x000d_Saved by ITU51007802 at 15:07:12 on 23/04/2015</dc:description>
  <cp:lastModifiedBy>Garcia Prieto, M. Esperanza</cp:lastModifiedBy>
  <cp:revision>6</cp:revision>
  <cp:lastPrinted>2015-05-04T13:51:00Z</cp:lastPrinted>
  <dcterms:created xsi:type="dcterms:W3CDTF">2015-05-04T12:50:00Z</dcterms:created>
  <dcterms:modified xsi:type="dcterms:W3CDTF">2015-05-04T13:51:00Z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RAG15-1/2-S</vt:lpwstr>
  </property>
  <property fmtid="{D5CDD505-2E9C-101B-9397-08002B2CF9AE}" pid="3" name="Docdate">
    <vt:lpwstr>30 de marzo de 2015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