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13"/>
        <w:bidiVisual/>
        <w:tblW w:w="5000" w:type="pct"/>
        <w:jc w:val="center"/>
        <w:tblLook w:val="0000" w:firstRow="0" w:lastRow="0" w:firstColumn="0" w:lastColumn="0" w:noHBand="0" w:noVBand="0"/>
      </w:tblPr>
      <w:tblGrid>
        <w:gridCol w:w="6377"/>
        <w:gridCol w:w="3262"/>
      </w:tblGrid>
      <w:tr w:rsidR="00FD6C64" w:rsidRPr="00FD6C64" w:rsidTr="006C0301">
        <w:trPr>
          <w:cantSplit/>
          <w:jc w:val="center"/>
        </w:trPr>
        <w:tc>
          <w:tcPr>
            <w:tcW w:w="3308" w:type="pct"/>
          </w:tcPr>
          <w:p w:rsidR="00FD6C64" w:rsidRPr="004E6710" w:rsidRDefault="00FD6C64" w:rsidP="00D06289">
            <w:pPr>
              <w:spacing w:before="360" w:line="168" w:lineRule="auto"/>
              <w:jc w:val="left"/>
              <w:rPr>
                <w:rFonts w:ascii="Calibri" w:hAnsi="Calibri"/>
                <w:b/>
                <w:bCs/>
                <w:sz w:val="24"/>
                <w:szCs w:val="32"/>
                <w:lang w:val="en-GB" w:bidi="ar-SY"/>
              </w:rPr>
            </w:pPr>
            <w:r w:rsidRPr="004E6710">
              <w:rPr>
                <w:rFonts w:ascii="Calibri" w:hAnsi="Calibri" w:hint="cs"/>
                <w:b/>
                <w:bCs/>
                <w:sz w:val="32"/>
                <w:szCs w:val="44"/>
                <w:rtl/>
                <w:lang w:bidi="ar-EG"/>
              </w:rPr>
              <w:t>الفريق الاستشاري للاتصالات الراديوية</w:t>
            </w:r>
            <w:r w:rsidR="00D06289">
              <w:rPr>
                <w:rFonts w:ascii="Calibri" w:hAnsi="Calibri"/>
                <w:b/>
                <w:sz w:val="32"/>
                <w:szCs w:val="44"/>
                <w:rtl/>
                <w:lang w:val="en-GB" w:bidi="ar-SY"/>
              </w:rPr>
              <w:br/>
            </w:r>
            <w:r w:rsidRPr="004E6710">
              <w:rPr>
                <w:rFonts w:ascii="Calibri" w:hAnsi="Calibri"/>
                <w:b/>
                <w:bCs/>
                <w:sz w:val="24"/>
                <w:szCs w:val="32"/>
                <w:rtl/>
                <w:lang w:bidi="ar-EG"/>
              </w:rPr>
              <w:t xml:space="preserve">جنيف، </w:t>
            </w:r>
            <w:r w:rsidRPr="004E6710">
              <w:rPr>
                <w:rFonts w:ascii="Calibri" w:hAnsi="Calibri"/>
                <w:b/>
                <w:bCs/>
                <w:sz w:val="24"/>
                <w:szCs w:val="32"/>
                <w:lang w:val="en-GB" w:bidi="ar-SY"/>
              </w:rPr>
              <w:t>8-5</w:t>
            </w:r>
            <w:r w:rsidRPr="004E6710">
              <w:rPr>
                <w:rFonts w:ascii="Calibri" w:hAnsi="Calibri"/>
                <w:b/>
                <w:bCs/>
                <w:sz w:val="24"/>
                <w:szCs w:val="32"/>
                <w:rtl/>
                <w:lang w:bidi="ar-EG"/>
              </w:rPr>
              <w:t xml:space="preserve"> مايو</w:t>
            </w:r>
            <w:r w:rsidRPr="004E6710">
              <w:rPr>
                <w:rFonts w:ascii="Calibri" w:hAnsi="Calibri"/>
                <w:sz w:val="24"/>
                <w:szCs w:val="32"/>
                <w:rtl/>
                <w:lang w:bidi="ar-EG"/>
              </w:rPr>
              <w:t xml:space="preserve"> </w:t>
            </w:r>
            <w:r w:rsidRPr="004E6710">
              <w:rPr>
                <w:rFonts w:ascii="Calibri" w:hAnsi="Calibri"/>
                <w:b/>
                <w:bCs/>
                <w:sz w:val="24"/>
                <w:szCs w:val="32"/>
                <w:lang w:val="en-GB" w:bidi="ar-SY"/>
              </w:rPr>
              <w:t>2015</w:t>
            </w:r>
          </w:p>
          <w:p w:rsidR="00A93254" w:rsidRPr="004E6710" w:rsidRDefault="00A93254" w:rsidP="0017278F">
            <w:pPr>
              <w:spacing w:before="300" w:line="168" w:lineRule="auto"/>
              <w:jc w:val="left"/>
              <w:rPr>
                <w:rFonts w:ascii="Times New Roman Bold" w:hAnsi="Times New Roman Bold"/>
                <w:b/>
                <w:bCs/>
                <w:sz w:val="26"/>
                <w:szCs w:val="36"/>
                <w:lang w:bidi="ar-SY"/>
              </w:rPr>
            </w:pPr>
            <w:r w:rsidRPr="004E6710">
              <w:rPr>
                <w:rFonts w:ascii="Calibri" w:hAnsi="Calibri" w:hint="cs"/>
                <w:b/>
                <w:bCs/>
                <w:sz w:val="26"/>
                <w:szCs w:val="36"/>
                <w:rtl/>
                <w:lang w:bidi="ar-SY"/>
              </w:rPr>
              <w:t>الاتحـاد الدولـي للاتصـالات</w:t>
            </w:r>
          </w:p>
        </w:tc>
        <w:tc>
          <w:tcPr>
            <w:tcW w:w="1692" w:type="pct"/>
            <w:vAlign w:val="center"/>
          </w:tcPr>
          <w:p w:rsidR="00FD6C64" w:rsidRPr="00FD6C64" w:rsidRDefault="00FD6C64" w:rsidP="00FD6C64">
            <w:pPr>
              <w:spacing w:before="0" w:line="240" w:lineRule="auto"/>
              <w:jc w:val="right"/>
              <w:rPr>
                <w:rtl/>
                <w:lang w:bidi="ar-EG"/>
              </w:rPr>
            </w:pPr>
            <w:bookmarkStart w:id="0" w:name="ditulogo"/>
            <w:bookmarkEnd w:id="0"/>
            <w:r w:rsidRPr="00FD6C64">
              <w:rPr>
                <w:noProof/>
              </w:rPr>
              <w:drawing>
                <wp:inline distT="0" distB="0" distL="0" distR="0" wp14:anchorId="58C7F810" wp14:editId="0A8467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D6C64" w:rsidRPr="00FD6C64" w:rsidTr="006C0301">
        <w:trPr>
          <w:cantSplit/>
          <w:jc w:val="center"/>
        </w:trPr>
        <w:tc>
          <w:tcPr>
            <w:tcW w:w="3308" w:type="pct"/>
            <w:tcBorders>
              <w:bottom w:val="single" w:sz="4" w:space="0" w:color="auto"/>
            </w:tcBorders>
          </w:tcPr>
          <w:p w:rsidR="00FD6C64" w:rsidRPr="000E6A63" w:rsidRDefault="00FD6C64" w:rsidP="000E6A63">
            <w:pPr>
              <w:spacing w:before="0" w:line="20" w:lineRule="exact"/>
              <w:rPr>
                <w:sz w:val="2"/>
                <w:szCs w:val="2"/>
                <w:lang w:val="en-GB" w:bidi="ar-SY"/>
              </w:rPr>
            </w:pPr>
          </w:p>
        </w:tc>
        <w:tc>
          <w:tcPr>
            <w:tcW w:w="1692" w:type="pct"/>
            <w:tcBorders>
              <w:bottom w:val="single" w:sz="4" w:space="0" w:color="auto"/>
            </w:tcBorders>
          </w:tcPr>
          <w:p w:rsidR="00FD6C64" w:rsidRPr="000E6A63" w:rsidRDefault="00FD6C64" w:rsidP="000E6A63">
            <w:pPr>
              <w:spacing w:before="0" w:line="20" w:lineRule="exact"/>
              <w:rPr>
                <w:sz w:val="2"/>
                <w:szCs w:val="2"/>
                <w:lang w:val="en-GB" w:bidi="ar-SY"/>
              </w:rPr>
            </w:pPr>
          </w:p>
        </w:tc>
      </w:tr>
    </w:tbl>
    <w:tbl>
      <w:tblPr>
        <w:tblpPr w:leftFromText="180" w:rightFromText="180" w:vertAnchor="text" w:tblpXSpec="center" w:tblpY="1"/>
        <w:tblOverlap w:val="never"/>
        <w:bidiVisual/>
        <w:tblW w:w="5000" w:type="pct"/>
        <w:tblLook w:val="0000" w:firstRow="0" w:lastRow="0" w:firstColumn="0" w:lastColumn="0" w:noHBand="0" w:noVBand="0"/>
      </w:tblPr>
      <w:tblGrid>
        <w:gridCol w:w="6377"/>
        <w:gridCol w:w="3262"/>
      </w:tblGrid>
      <w:tr w:rsidR="00FD6C64" w:rsidRPr="00FD6C64" w:rsidTr="006C0301">
        <w:trPr>
          <w:cantSplit/>
        </w:trPr>
        <w:tc>
          <w:tcPr>
            <w:tcW w:w="3308" w:type="pct"/>
            <w:tcBorders>
              <w:top w:val="single" w:sz="4" w:space="0" w:color="auto"/>
            </w:tcBorders>
          </w:tcPr>
          <w:p w:rsidR="00FD6C64" w:rsidRPr="004E6710" w:rsidRDefault="00FD6C64" w:rsidP="006C0301">
            <w:pPr>
              <w:spacing w:before="60" w:after="60" w:line="300" w:lineRule="exact"/>
              <w:jc w:val="left"/>
              <w:rPr>
                <w:rFonts w:ascii="Verdana" w:hAnsi="Verdana"/>
                <w:sz w:val="19"/>
                <w:lang w:bidi="ar-SY"/>
              </w:rPr>
            </w:pPr>
          </w:p>
        </w:tc>
        <w:tc>
          <w:tcPr>
            <w:tcW w:w="1692" w:type="pct"/>
            <w:tcBorders>
              <w:top w:val="single" w:sz="4" w:space="0" w:color="auto"/>
            </w:tcBorders>
          </w:tcPr>
          <w:p w:rsidR="00FD6C64" w:rsidRPr="004E6710" w:rsidRDefault="00FD6C64" w:rsidP="006C0301">
            <w:pPr>
              <w:spacing w:before="60" w:after="60" w:line="300" w:lineRule="exact"/>
              <w:jc w:val="left"/>
              <w:rPr>
                <w:rFonts w:ascii="Verdana" w:hAnsi="Verdana"/>
                <w:sz w:val="19"/>
                <w:lang w:val="en-GB" w:bidi="ar-SY"/>
              </w:rPr>
            </w:pPr>
          </w:p>
        </w:tc>
      </w:tr>
      <w:tr w:rsidR="00FD6C64" w:rsidRPr="00FD6C64" w:rsidTr="006C0301">
        <w:trPr>
          <w:cantSplit/>
        </w:trPr>
        <w:tc>
          <w:tcPr>
            <w:tcW w:w="3308" w:type="pct"/>
            <w:vMerge w:val="restart"/>
          </w:tcPr>
          <w:p w:rsidR="00FD6C64" w:rsidRPr="004E6710" w:rsidRDefault="00FD6C64" w:rsidP="006C0301">
            <w:pPr>
              <w:spacing w:before="60" w:after="60" w:line="300" w:lineRule="exact"/>
              <w:jc w:val="left"/>
              <w:rPr>
                <w:rFonts w:ascii="Verdana" w:hAnsi="Verdana"/>
                <w:bCs/>
                <w:sz w:val="19"/>
                <w:lang w:bidi="ar-SY"/>
              </w:rPr>
            </w:pPr>
          </w:p>
        </w:tc>
        <w:tc>
          <w:tcPr>
            <w:tcW w:w="1692" w:type="pct"/>
          </w:tcPr>
          <w:p w:rsidR="00FD6C64" w:rsidRPr="004E6710" w:rsidRDefault="00FD6C64" w:rsidP="00166573">
            <w:pPr>
              <w:spacing w:before="60" w:after="60" w:line="300" w:lineRule="exact"/>
              <w:jc w:val="left"/>
              <w:rPr>
                <w:rFonts w:ascii="Verdana" w:hAnsi="Verdana"/>
                <w:b/>
                <w:bCs/>
                <w:sz w:val="19"/>
                <w:lang w:bidi="ar-SY"/>
              </w:rPr>
            </w:pPr>
            <w:r w:rsidRPr="004E6710">
              <w:rPr>
                <w:rFonts w:ascii="Verdana" w:hAnsi="Verdana" w:hint="cs"/>
                <w:b/>
                <w:bCs/>
                <w:sz w:val="19"/>
                <w:rtl/>
                <w:lang w:val="en-GB" w:bidi="ar-EG"/>
              </w:rPr>
              <w:t xml:space="preserve">الوثيقة </w:t>
            </w:r>
            <w:r w:rsidRPr="004E6710">
              <w:rPr>
                <w:rFonts w:ascii="Verdana" w:hAnsi="Verdana"/>
                <w:b/>
                <w:bCs/>
                <w:sz w:val="19"/>
                <w:lang w:val="en-GB" w:bidi="ar-SY"/>
              </w:rPr>
              <w:t>RAG15</w:t>
            </w:r>
            <w:r w:rsidR="00A93254" w:rsidRPr="004E6710">
              <w:rPr>
                <w:rFonts w:ascii="Verdana" w:hAnsi="Verdana"/>
                <w:b/>
                <w:bCs/>
                <w:sz w:val="19"/>
                <w:lang w:bidi="ar-SY"/>
              </w:rPr>
              <w:t>-1</w:t>
            </w:r>
            <w:r w:rsidRPr="004E6710">
              <w:rPr>
                <w:rFonts w:ascii="Verdana" w:hAnsi="Verdana"/>
                <w:b/>
                <w:bCs/>
                <w:sz w:val="19"/>
                <w:lang w:val="en-GB" w:bidi="ar-SY"/>
              </w:rPr>
              <w:t>/</w:t>
            </w:r>
            <w:r w:rsidR="00166573">
              <w:rPr>
                <w:rFonts w:ascii="Verdana" w:hAnsi="Verdana"/>
                <w:b/>
                <w:bCs/>
                <w:sz w:val="19"/>
                <w:lang w:val="en-GB" w:bidi="ar-SY"/>
              </w:rPr>
              <w:t>3</w:t>
            </w:r>
            <w:r w:rsidRPr="004E6710">
              <w:rPr>
                <w:rFonts w:ascii="Verdana" w:hAnsi="Verdana"/>
                <w:b/>
                <w:bCs/>
                <w:sz w:val="19"/>
                <w:lang w:val="en-GB" w:bidi="ar-SY"/>
              </w:rPr>
              <w:t>-A</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4E6710" w:rsidRDefault="000968CF" w:rsidP="00E90970">
            <w:pPr>
              <w:spacing w:before="60" w:after="60" w:line="300" w:lineRule="exact"/>
              <w:jc w:val="left"/>
              <w:rPr>
                <w:rFonts w:ascii="Verdana" w:hAnsi="Verdana"/>
                <w:b/>
                <w:bCs/>
                <w:sz w:val="19"/>
                <w:rtl/>
                <w:lang w:val="en-GB" w:bidi="ar-EG"/>
              </w:rPr>
            </w:pPr>
            <w:r>
              <w:rPr>
                <w:rFonts w:ascii="Verdana" w:hAnsi="Verdana"/>
                <w:b/>
                <w:bCs/>
                <w:sz w:val="19"/>
                <w:lang w:val="en-GB" w:bidi="ar-SY"/>
              </w:rPr>
              <w:t>2</w:t>
            </w:r>
            <w:r w:rsidR="00127425" w:rsidRPr="004E6710">
              <w:rPr>
                <w:rFonts w:ascii="Verdana" w:hAnsi="Verdana" w:hint="cs"/>
                <w:b/>
                <w:bCs/>
                <w:sz w:val="19"/>
                <w:rtl/>
                <w:lang w:val="en-GB" w:bidi="ar-SY"/>
              </w:rPr>
              <w:t xml:space="preserve"> </w:t>
            </w:r>
            <w:r w:rsidR="00E90970">
              <w:rPr>
                <w:rFonts w:ascii="Verdana" w:hAnsi="Verdana" w:hint="cs"/>
                <w:b/>
                <w:bCs/>
                <w:sz w:val="19"/>
                <w:rtl/>
                <w:lang w:val="en-GB" w:bidi="ar-SY"/>
              </w:rPr>
              <w:t>أبريل</w:t>
            </w:r>
            <w:r w:rsidR="00127425" w:rsidRPr="004E6710">
              <w:rPr>
                <w:rFonts w:ascii="Verdana" w:hAnsi="Verdana" w:hint="cs"/>
                <w:b/>
                <w:bCs/>
                <w:sz w:val="19"/>
                <w:rtl/>
                <w:lang w:val="en-GB" w:bidi="ar-SY"/>
              </w:rPr>
              <w:t xml:space="preserve"> </w:t>
            </w:r>
            <w:r w:rsidR="00FD6C64" w:rsidRPr="004E6710">
              <w:rPr>
                <w:rFonts w:ascii="Verdana" w:hAnsi="Verdana"/>
                <w:b/>
                <w:bCs/>
                <w:sz w:val="19"/>
                <w:lang w:bidi="ar-SY"/>
              </w:rPr>
              <w:t>2015</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D06289" w:rsidRDefault="00FD6C64" w:rsidP="006C0301">
            <w:pPr>
              <w:spacing w:before="60" w:after="60" w:line="300" w:lineRule="exact"/>
              <w:jc w:val="left"/>
              <w:rPr>
                <w:rFonts w:ascii="Verdana" w:hAnsi="Verdana"/>
                <w:b/>
                <w:bCs/>
                <w:sz w:val="19"/>
                <w:rtl/>
                <w:lang w:bidi="ar-EG"/>
              </w:rPr>
            </w:pPr>
            <w:r w:rsidRPr="004E6710">
              <w:rPr>
                <w:rFonts w:ascii="Verdana" w:hAnsi="Verdana" w:hint="cs"/>
                <w:b/>
                <w:bCs/>
                <w:sz w:val="19"/>
                <w:rtl/>
                <w:lang w:val="en-GB" w:bidi="ar-EG"/>
              </w:rPr>
              <w:t>الأصل: بالإنكليزية</w:t>
            </w:r>
          </w:p>
        </w:tc>
      </w:tr>
      <w:tr w:rsidR="00FD6C64" w:rsidRPr="00FD6C64" w:rsidTr="006C0301">
        <w:trPr>
          <w:cantSplit/>
        </w:trPr>
        <w:tc>
          <w:tcPr>
            <w:tcW w:w="5000" w:type="pct"/>
            <w:gridSpan w:val="2"/>
          </w:tcPr>
          <w:p w:rsidR="00FD6C64" w:rsidRPr="00AA3178" w:rsidRDefault="00E75884" w:rsidP="006C0301">
            <w:pPr>
              <w:pStyle w:val="Source"/>
              <w:rPr>
                <w:rFonts w:ascii="Times New Roman Bold" w:hAnsi="Times New Roman Bold"/>
                <w:spacing w:val="-4"/>
              </w:rPr>
            </w:pPr>
            <w:r w:rsidRPr="00AA3178">
              <w:rPr>
                <w:rFonts w:ascii="Times New Roman Bold" w:hAnsi="Times New Roman Bold" w:hint="cs"/>
                <w:spacing w:val="-4"/>
                <w:rtl/>
                <w:lang w:bidi="ar-SY"/>
              </w:rPr>
              <w:t>منسق فريق العمل بالمراسلة التابع للفريق الاستشاري للاتصالات الراديوية </w:t>
            </w:r>
            <w:r w:rsidRPr="00AA3178">
              <w:rPr>
                <w:rFonts w:ascii="Times New Roman Bold" w:hAnsi="Times New Roman Bold"/>
                <w:spacing w:val="-4"/>
                <w:lang w:bidi="ar-SY"/>
              </w:rPr>
              <w:t>(RAG)</w:t>
            </w:r>
            <w:r w:rsidR="00AA3178" w:rsidRPr="00AA3178">
              <w:rPr>
                <w:rFonts w:ascii="Times New Roman Bold" w:hAnsi="Times New Roman Bold" w:hint="cs"/>
                <w:spacing w:val="-4"/>
                <w:rtl/>
                <w:lang w:bidi="ar-EG"/>
              </w:rPr>
              <w:t xml:space="preserve"> </w:t>
            </w:r>
            <w:r w:rsidRPr="00AA3178">
              <w:rPr>
                <w:rFonts w:ascii="Times New Roman Bold" w:hAnsi="Times New Roman Bold" w:hint="cs"/>
                <w:spacing w:val="-4"/>
                <w:rtl/>
                <w:lang w:bidi="ar-EG"/>
              </w:rPr>
              <w:t>المعني بالمعالجة الإلكترونية للوثائق</w:t>
            </w:r>
            <w:r w:rsidR="0059110F" w:rsidRPr="00AA3178">
              <w:rPr>
                <w:rFonts w:ascii="Times New Roman Bold" w:hAnsi="Times New Roman Bold" w:hint="cs"/>
                <w:spacing w:val="-4"/>
                <w:rtl/>
                <w:lang w:bidi="ar-EG"/>
              </w:rPr>
              <w:t xml:space="preserve"> </w:t>
            </w:r>
            <w:r w:rsidR="0059110F" w:rsidRPr="00AA3178">
              <w:rPr>
                <w:rFonts w:ascii="Times New Roman Bold" w:hAnsi="Times New Roman Bold"/>
                <w:spacing w:val="-4"/>
                <w:lang w:bidi="ar-EG"/>
              </w:rPr>
              <w:t>(EDH)</w:t>
            </w:r>
            <w:r w:rsidR="0059110F" w:rsidRPr="00887FC2">
              <w:rPr>
                <w:rStyle w:val="FootnoteReference"/>
                <w:rFonts w:ascii="Times New Roman" w:hAnsi="Times New Roman" w:cs="Times New Roman"/>
                <w:b w:val="0"/>
                <w:bCs w:val="0"/>
                <w:w w:val="115"/>
                <w:sz w:val="22"/>
                <w:szCs w:val="22"/>
                <w:rtl/>
              </w:rPr>
              <w:footnoteReference w:id="1"/>
            </w:r>
          </w:p>
        </w:tc>
      </w:tr>
      <w:tr w:rsidR="00FD6C64" w:rsidRPr="00FD6C64" w:rsidTr="006C0301">
        <w:trPr>
          <w:cantSplit/>
        </w:trPr>
        <w:tc>
          <w:tcPr>
            <w:tcW w:w="5000" w:type="pct"/>
            <w:gridSpan w:val="2"/>
          </w:tcPr>
          <w:p w:rsidR="00FD6C64" w:rsidRPr="009C0EE0" w:rsidRDefault="00E75884" w:rsidP="00E90970">
            <w:pPr>
              <w:pStyle w:val="Title1"/>
            </w:pPr>
            <w:r>
              <w:rPr>
                <w:rFonts w:hint="cs"/>
                <w:rtl/>
              </w:rPr>
              <w:t>تقرير مرحلي بشأن أنشطة ال</w:t>
            </w:r>
            <w:r w:rsidR="005354CC">
              <w:rPr>
                <w:rFonts w:hint="cs"/>
                <w:rtl/>
              </w:rPr>
              <w:t>‍</w:t>
            </w:r>
            <w:r>
              <w:rPr>
                <w:rFonts w:hint="cs"/>
                <w:rtl/>
              </w:rPr>
              <w:t>معال</w:t>
            </w:r>
            <w:r w:rsidR="00337703">
              <w:rPr>
                <w:rFonts w:hint="cs"/>
                <w:rtl/>
              </w:rPr>
              <w:t>‍</w:t>
            </w:r>
            <w:bookmarkStart w:id="1" w:name="_GoBack"/>
            <w:bookmarkEnd w:id="1"/>
            <w:r>
              <w:rPr>
                <w:rFonts w:hint="cs"/>
                <w:rtl/>
              </w:rPr>
              <w:t>جة الإلكترونية للوثائق</w:t>
            </w:r>
          </w:p>
        </w:tc>
      </w:tr>
    </w:tbl>
    <w:p w:rsidR="002F7CF4" w:rsidRPr="0032318B" w:rsidRDefault="002F7CF4" w:rsidP="0032318B">
      <w:pPr>
        <w:pStyle w:val="Heading1"/>
        <w:keepLines w:val="0"/>
        <w:ind w:left="1134" w:hanging="1134"/>
        <w:rPr>
          <w:kern w:val="32"/>
          <w:rtl/>
        </w:rPr>
      </w:pPr>
      <w:r w:rsidRPr="0032318B">
        <w:rPr>
          <w:kern w:val="32"/>
        </w:rPr>
        <w:t>1</w:t>
      </w:r>
      <w:r w:rsidRPr="0032318B">
        <w:rPr>
          <w:kern w:val="32"/>
          <w:rtl/>
        </w:rPr>
        <w:tab/>
        <w:t>مقدمة</w:t>
      </w:r>
    </w:p>
    <w:p w:rsidR="002F7CF4" w:rsidRPr="00C51FE1" w:rsidRDefault="002F7CF4" w:rsidP="00AA1104">
      <w:pPr>
        <w:rPr>
          <w:rtl/>
        </w:rPr>
      </w:pPr>
      <w:r w:rsidRPr="00C51FE1">
        <w:rPr>
          <w:rFonts w:hint="cs"/>
          <w:rtl/>
        </w:rPr>
        <w:t xml:space="preserve">شكَّلت جمعية الاتصالات الراديوية فريق العمل بالمراسلة المعني بالمعالجة الإلكترونية للوثائق </w:t>
      </w:r>
      <w:r w:rsidRPr="00C51FE1">
        <w:t>(EDH)</w:t>
      </w:r>
      <w:r w:rsidRPr="00C51FE1">
        <w:rPr>
          <w:rFonts w:hint="cs"/>
          <w:rtl/>
        </w:rPr>
        <w:t xml:space="preserve"> والمسؤول أمام الفريق الاستشاري للاتصالات الراديوية، كما أُعلن عنه في </w:t>
      </w:r>
      <w:hyperlink r:id="rId9" w:history="1">
        <w:r w:rsidR="00AA1104" w:rsidRPr="00C51FE1">
          <w:rPr>
            <w:rFonts w:hint="cs"/>
            <w:color w:val="0000FF"/>
            <w:u w:val="single"/>
            <w:rtl/>
          </w:rPr>
          <w:t>الرسالة</w:t>
        </w:r>
        <w:r w:rsidRPr="00C51FE1">
          <w:rPr>
            <w:rFonts w:hint="cs"/>
            <w:color w:val="0000FF"/>
            <w:u w:val="single"/>
            <w:rtl/>
          </w:rPr>
          <w:t xml:space="preserve"> الإدارية المعممة </w:t>
        </w:r>
        <w:r w:rsidRPr="00C51FE1">
          <w:rPr>
            <w:color w:val="0000FF"/>
            <w:u w:val="single"/>
          </w:rPr>
          <w:t>CA/130</w:t>
        </w:r>
      </w:hyperlink>
      <w:r w:rsidRPr="00C51FE1">
        <w:rPr>
          <w:rFonts w:hint="cs"/>
          <w:rtl/>
        </w:rPr>
        <w:t>.</w:t>
      </w:r>
    </w:p>
    <w:p w:rsidR="002F7CF4" w:rsidRPr="00C51FE1" w:rsidRDefault="002F7CF4" w:rsidP="00367696">
      <w:pPr>
        <w:rPr>
          <w:rtl/>
        </w:rPr>
      </w:pPr>
      <w:r w:rsidRPr="00C51FE1">
        <w:rPr>
          <w:rFonts w:hint="cs"/>
          <w:rtl/>
        </w:rPr>
        <w:t xml:space="preserve">ومنذ اجتماع </w:t>
      </w:r>
      <w:r w:rsidRPr="00C51FE1">
        <w:rPr>
          <w:rtl/>
        </w:rPr>
        <w:t>الفريق الاستشاري للاتصالات الراديوية</w:t>
      </w:r>
      <w:r w:rsidRPr="00C51FE1">
        <w:rPr>
          <w:rFonts w:hint="cs"/>
          <w:rtl/>
        </w:rPr>
        <w:t xml:space="preserve"> </w:t>
      </w:r>
      <w:r w:rsidRPr="00C51FE1">
        <w:t>(RAG)</w:t>
      </w:r>
      <w:r w:rsidRPr="00C51FE1">
        <w:rPr>
          <w:rFonts w:hint="cs"/>
          <w:rtl/>
        </w:rPr>
        <w:t xml:space="preserve"> في عام </w:t>
      </w:r>
      <w:r w:rsidRPr="00C51FE1">
        <w:t>2014</w:t>
      </w:r>
      <w:r w:rsidRPr="00C51FE1">
        <w:rPr>
          <w:rFonts w:hint="cs"/>
          <w:rtl/>
        </w:rPr>
        <w:t>، لم يُضطلَع بأي نشاط في إطار فريق العمل بالمراسلة، الأمر الذي قد يُعتبر دليلاً على</w:t>
      </w:r>
      <w:r w:rsidRPr="00C51FE1">
        <w:rPr>
          <w:rFonts w:hint="eastAsia"/>
          <w:rtl/>
        </w:rPr>
        <w:t> </w:t>
      </w:r>
      <w:r w:rsidRPr="00C51FE1">
        <w:rPr>
          <w:rFonts w:hint="cs"/>
          <w:rtl/>
        </w:rPr>
        <w:t>أن الأمور تسير على ما يرام فيما يتعلق باستخدام الوسائل الإلكترونية في قطاع الاتصالات الراديوية في</w:t>
      </w:r>
      <w:r w:rsidR="00376F64" w:rsidRPr="00C51FE1">
        <w:rPr>
          <w:rFonts w:hint="eastAsia"/>
          <w:rtl/>
        </w:rPr>
        <w:t> </w:t>
      </w:r>
      <w:r w:rsidRPr="00C51FE1">
        <w:rPr>
          <w:rFonts w:hint="cs"/>
          <w:rtl/>
        </w:rPr>
        <w:t xml:space="preserve">الاتحاد. ويمكن الاطّلاع على المراسلات السابقة في </w:t>
      </w:r>
      <w:hyperlink r:id="rId10" w:history="1">
        <w:r w:rsidRPr="00C51FE1">
          <w:rPr>
            <w:rFonts w:hint="cs"/>
            <w:color w:val="0000FF"/>
            <w:u w:val="single"/>
            <w:rtl/>
          </w:rPr>
          <w:t>محفوظات</w:t>
        </w:r>
      </w:hyperlink>
      <w:r w:rsidRPr="00887FC2">
        <w:rPr>
          <w:rFonts w:cs="Times New Roman"/>
          <w:position w:val="6"/>
          <w:szCs w:val="22"/>
          <w:rtl/>
        </w:rPr>
        <w:footnoteReference w:id="2"/>
      </w:r>
      <w:r w:rsidRPr="00C51FE1">
        <w:rPr>
          <w:rFonts w:hint="cs"/>
          <w:rtl/>
        </w:rPr>
        <w:t xml:space="preserve"> التطبيق الخاص بقائمة البريد الإلكتروني</w:t>
      </w:r>
      <w:r w:rsidR="00367696" w:rsidRPr="00C51FE1">
        <w:rPr>
          <w:rFonts w:hint="eastAsia"/>
          <w:rtl/>
        </w:rPr>
        <w:t> </w:t>
      </w:r>
      <w:hyperlink r:id="rId11" w:history="1">
        <w:r w:rsidRPr="00C51FE1">
          <w:rPr>
            <w:color w:val="0000FF"/>
            <w:u w:val="single"/>
          </w:rPr>
          <w:t>rag-edh@itu.int</w:t>
        </w:r>
      </w:hyperlink>
      <w:r w:rsidRPr="00C51FE1">
        <w:rPr>
          <w:rFonts w:hint="cs"/>
          <w:rtl/>
        </w:rPr>
        <w:t>. وقد توبعت مع مكتب الاتصالات الراديوية بعض المسائل التي بُحثت بصورة غير رسمية وبعض المقترحات التي قدمها المندوبون ومنسق</w:t>
      </w:r>
      <w:r w:rsidR="003C589F" w:rsidRPr="00C51FE1">
        <w:rPr>
          <w:rFonts w:hint="eastAsia"/>
          <w:rtl/>
        </w:rPr>
        <w:t> </w:t>
      </w:r>
      <w:r w:rsidRPr="00C51FE1">
        <w:rPr>
          <w:rFonts w:hint="cs"/>
          <w:rtl/>
        </w:rPr>
        <w:t>الفريق.</w:t>
      </w:r>
    </w:p>
    <w:p w:rsidR="002F7CF4" w:rsidRPr="00C51FE1" w:rsidRDefault="002F7CF4" w:rsidP="002F7CF4">
      <w:pPr>
        <w:rPr>
          <w:spacing w:val="-4"/>
          <w:rtl/>
        </w:rPr>
      </w:pPr>
      <w:r w:rsidRPr="00C51FE1">
        <w:rPr>
          <w:rFonts w:hint="cs"/>
          <w:spacing w:val="-4"/>
          <w:rtl/>
        </w:rPr>
        <w:t>كما ينبغي التنويه بالأنشطة ذات الصلة التي قام بها قطاع تقييس الاتصالات، وبخاصة مقتضيات القرار ذي الصلة الصادر عن الجمعية العالمية لتقييس الاتصالات (</w:t>
      </w:r>
      <w:hyperlink r:id="rId12" w:history="1">
        <w:r w:rsidRPr="00C51FE1">
          <w:rPr>
            <w:rFonts w:hint="cs"/>
            <w:color w:val="0000FF"/>
            <w:spacing w:val="-4"/>
            <w:u w:val="single"/>
            <w:rtl/>
          </w:rPr>
          <w:t>القرار</w:t>
        </w:r>
        <w:r w:rsidRPr="00C51FE1">
          <w:rPr>
            <w:rFonts w:hint="eastAsia"/>
            <w:color w:val="0000FF"/>
            <w:spacing w:val="-4"/>
            <w:u w:val="single"/>
            <w:rtl/>
          </w:rPr>
          <w:t> </w:t>
        </w:r>
        <w:r w:rsidRPr="00C51FE1">
          <w:rPr>
            <w:color w:val="0000FF"/>
            <w:spacing w:val="-4"/>
            <w:u w:val="single"/>
          </w:rPr>
          <w:t>32</w:t>
        </w:r>
        <w:r w:rsidR="00CD5D67" w:rsidRPr="00C51FE1">
          <w:rPr>
            <w:rFonts w:hint="eastAsia"/>
            <w:color w:val="0000FF"/>
            <w:spacing w:val="-4"/>
            <w:u w:val="single"/>
            <w:rtl/>
          </w:rPr>
          <w:t> </w:t>
        </w:r>
        <w:r w:rsidR="00CD5D67" w:rsidRPr="00C51FE1">
          <w:rPr>
            <w:color w:val="0000FF"/>
            <w:spacing w:val="-4"/>
            <w:u w:val="single"/>
            <w:rtl/>
          </w:rPr>
          <w:noBreakHyphen/>
        </w:r>
        <w:r w:rsidR="00CD5D67" w:rsidRPr="00C51FE1">
          <w:rPr>
            <w:rFonts w:hint="cs"/>
            <w:color w:val="0000FF"/>
            <w:spacing w:val="-4"/>
            <w:u w:val="single"/>
            <w:rtl/>
          </w:rPr>
          <w:t> </w:t>
        </w:r>
        <w:r w:rsidRPr="00C51FE1">
          <w:rPr>
            <w:rFonts w:hint="cs"/>
            <w:color w:val="0000FF"/>
            <w:spacing w:val="-4"/>
            <w:u w:val="single"/>
            <w:rtl/>
          </w:rPr>
          <w:t>تعزيز وسائل العمل الإلكترونية في أعمال قطاع تقييس الاتصالات للاتحاد الدولي للاتصالات</w:t>
        </w:r>
      </w:hyperlink>
      <w:r w:rsidRPr="00C51FE1">
        <w:rPr>
          <w:rFonts w:hint="cs"/>
          <w:spacing w:val="-4"/>
          <w:rtl/>
        </w:rPr>
        <w:t>).</w:t>
      </w:r>
    </w:p>
    <w:p w:rsidR="002F7CF4" w:rsidRPr="00C51FE1" w:rsidRDefault="002F7CF4" w:rsidP="00680C8C">
      <w:pPr>
        <w:rPr>
          <w:rtl/>
        </w:rPr>
      </w:pPr>
      <w:r w:rsidRPr="00C51FE1">
        <w:rPr>
          <w:rFonts w:hint="cs"/>
          <w:rtl/>
        </w:rPr>
        <w:t xml:space="preserve">ويرد التقرير المرحلي السابق في </w:t>
      </w:r>
      <w:hyperlink r:id="rId13" w:history="1">
        <w:r w:rsidRPr="00C51FE1">
          <w:rPr>
            <w:rStyle w:val="Hyperlink"/>
            <w:rFonts w:hint="cs"/>
            <w:rtl/>
          </w:rPr>
          <w:t xml:space="preserve">الوثيقة </w:t>
        </w:r>
        <w:r w:rsidR="000136C2" w:rsidRPr="00887FC2">
          <w:rPr>
            <w:rFonts w:cs="Times New Roman"/>
            <w:position w:val="6"/>
            <w:szCs w:val="22"/>
          </w:rPr>
          <w:footnoteReference w:id="3"/>
        </w:r>
        <w:r w:rsidRPr="00C51FE1">
          <w:rPr>
            <w:rStyle w:val="Hyperlink"/>
          </w:rPr>
          <w:t>RAG14</w:t>
        </w:r>
        <w:r w:rsidR="00680C8C">
          <w:rPr>
            <w:rStyle w:val="Hyperlink"/>
          </w:rPr>
          <w:noBreakHyphen/>
        </w:r>
        <w:r w:rsidRPr="00C51FE1">
          <w:rPr>
            <w:rStyle w:val="Hyperlink"/>
          </w:rPr>
          <w:t>1/19</w:t>
        </w:r>
      </w:hyperlink>
      <w:r w:rsidRPr="00C51FE1">
        <w:rPr>
          <w:rFonts w:hint="cs"/>
          <w:rtl/>
        </w:rPr>
        <w:t>.</w:t>
      </w:r>
    </w:p>
    <w:p w:rsidR="002F7CF4" w:rsidRPr="0032318B" w:rsidRDefault="002F7CF4" w:rsidP="0032318B">
      <w:pPr>
        <w:pStyle w:val="Heading1"/>
        <w:keepLines w:val="0"/>
        <w:ind w:left="1134" w:hanging="1134"/>
        <w:rPr>
          <w:kern w:val="32"/>
          <w:rtl/>
          <w:lang w:bidi="ar-EG"/>
        </w:rPr>
      </w:pPr>
      <w:r w:rsidRPr="0032318B">
        <w:rPr>
          <w:kern w:val="32"/>
        </w:rPr>
        <w:t>2</w:t>
      </w:r>
      <w:r w:rsidRPr="0032318B">
        <w:rPr>
          <w:kern w:val="32"/>
          <w:rtl/>
        </w:rPr>
        <w:tab/>
      </w:r>
      <w:r w:rsidRPr="0032318B">
        <w:rPr>
          <w:rFonts w:hint="cs"/>
          <w:kern w:val="32"/>
          <w:rtl/>
        </w:rPr>
        <w:t>تسجيل المندوبين</w:t>
      </w:r>
    </w:p>
    <w:p w:rsidR="002F7CF4" w:rsidRPr="00DF3CF1" w:rsidRDefault="002F7CF4" w:rsidP="002F7CF4">
      <w:pPr>
        <w:rPr>
          <w:rtl/>
          <w:lang w:bidi="ar-EG"/>
        </w:rPr>
      </w:pPr>
      <w:r w:rsidRPr="00DF3CF1">
        <w:rPr>
          <w:rFonts w:hint="cs"/>
          <w:rtl/>
        </w:rPr>
        <w:t xml:space="preserve">يُستعمل حالياً نظام تسجيل المندوبين في </w:t>
      </w:r>
      <w:r>
        <w:rPr>
          <w:rFonts w:hint="cs"/>
          <w:rtl/>
        </w:rPr>
        <w:t>الأحداث</w:t>
      </w:r>
      <w:r w:rsidRPr="00DF3CF1">
        <w:rPr>
          <w:rFonts w:hint="cs"/>
          <w:rtl/>
        </w:rPr>
        <w:t xml:space="preserve"> </w:t>
      </w:r>
      <w:r w:rsidRPr="00DF3CF1">
        <w:t>(EDRS)</w:t>
      </w:r>
      <w:r w:rsidRPr="00DF3CF1">
        <w:rPr>
          <w:rFonts w:hint="cs"/>
          <w:rtl/>
        </w:rPr>
        <w:t xml:space="preserve"> في</w:t>
      </w:r>
      <w:r>
        <w:rPr>
          <w:rFonts w:hint="cs"/>
          <w:rtl/>
        </w:rPr>
        <w:t>ما يخص</w:t>
      </w:r>
      <w:r w:rsidRPr="00DF3CF1">
        <w:rPr>
          <w:rFonts w:hint="cs"/>
          <w:rtl/>
        </w:rPr>
        <w:t xml:space="preserve"> جميع اجتماعات قطاع الاتصالات الراديوية.</w:t>
      </w:r>
    </w:p>
    <w:p w:rsidR="002F7CF4" w:rsidRPr="00BD42B8" w:rsidRDefault="00535618" w:rsidP="001018B3">
      <w:pPr>
        <w:rPr>
          <w:spacing w:val="-6"/>
          <w:rtl/>
        </w:rPr>
      </w:pPr>
      <w:r w:rsidRPr="00BD42B8">
        <w:rPr>
          <w:spacing w:val="-6"/>
          <w:rtl/>
        </w:rPr>
        <w:lastRenderedPageBreak/>
        <w:t>ولـم</w:t>
      </w:r>
      <w:r w:rsidR="002F7CF4" w:rsidRPr="00BD42B8">
        <w:rPr>
          <w:spacing w:val="-6"/>
          <w:rtl/>
        </w:rPr>
        <w:t xml:space="preserve"> يزل الاتحاد يقوم</w:t>
      </w:r>
      <w:r w:rsidR="002F7CF4" w:rsidRPr="00BD42B8">
        <w:rPr>
          <w:rFonts w:hint="cs"/>
          <w:spacing w:val="-6"/>
          <w:rtl/>
        </w:rPr>
        <w:t xml:space="preserve"> بتطوير منصة متكاملة واحدة لإدارة علاقات العملاء </w:t>
      </w:r>
      <w:r w:rsidR="002F7CF4" w:rsidRPr="00BD42B8">
        <w:rPr>
          <w:spacing w:val="-6"/>
        </w:rPr>
        <w:t>(CRM)</w:t>
      </w:r>
      <w:r w:rsidR="002F7CF4" w:rsidRPr="00BD42B8">
        <w:rPr>
          <w:rFonts w:hint="cs"/>
          <w:spacing w:val="-6"/>
          <w:rtl/>
        </w:rPr>
        <w:t>، من أجل إدارة شؤونٍ منها شؤونُ العملاء والأعضاء والفعاليات،</w:t>
      </w:r>
      <w:r w:rsidR="00BD42B8" w:rsidRPr="00BD42B8">
        <w:rPr>
          <w:rFonts w:hint="cs"/>
          <w:spacing w:val="-6"/>
          <w:rtl/>
        </w:rPr>
        <w:t xml:space="preserve"> وما إلى ذلك</w:t>
      </w:r>
      <w:r w:rsidR="002F7CF4" w:rsidRPr="00BD42B8">
        <w:rPr>
          <w:rFonts w:hint="cs"/>
          <w:spacing w:val="-6"/>
          <w:rtl/>
        </w:rPr>
        <w:t xml:space="preserve"> </w:t>
      </w:r>
      <w:r w:rsidR="002F7CF4" w:rsidRPr="00BD42B8">
        <w:rPr>
          <w:spacing w:val="-6"/>
          <w:rtl/>
        </w:rPr>
        <w:t>تشتمل على وظائف إضافية لتسجيل المندوبين فيما يتعلق</w:t>
      </w:r>
      <w:r w:rsidR="002F7CF4" w:rsidRPr="00BD42B8">
        <w:rPr>
          <w:rFonts w:hint="cs"/>
          <w:spacing w:val="-6"/>
          <w:rtl/>
        </w:rPr>
        <w:t xml:space="preserve"> بنظام تسجيل المندوبين في الأحداث</w:t>
      </w:r>
      <w:r w:rsidR="0032318B" w:rsidRPr="00BD42B8">
        <w:rPr>
          <w:rFonts w:hint="eastAsia"/>
          <w:spacing w:val="-6"/>
          <w:rtl/>
        </w:rPr>
        <w:t> </w:t>
      </w:r>
      <w:r w:rsidR="002F7CF4" w:rsidRPr="00BD42B8">
        <w:rPr>
          <w:spacing w:val="-6"/>
        </w:rPr>
        <w:t>(EDRS)</w:t>
      </w:r>
      <w:r w:rsidR="002F7CF4" w:rsidRPr="00BD42B8">
        <w:rPr>
          <w:rFonts w:hint="cs"/>
          <w:spacing w:val="-6"/>
          <w:rtl/>
        </w:rPr>
        <w:t>. و</w:t>
      </w:r>
      <w:r w:rsidR="002F7CF4" w:rsidRPr="00BD42B8">
        <w:rPr>
          <w:spacing w:val="-6"/>
          <w:rtl/>
        </w:rPr>
        <w:t>سبق أن ا</w:t>
      </w:r>
      <w:r w:rsidR="002F7CF4" w:rsidRPr="00BD42B8">
        <w:rPr>
          <w:rFonts w:hint="cs"/>
          <w:spacing w:val="-6"/>
          <w:rtl/>
        </w:rPr>
        <w:t>س</w:t>
      </w:r>
      <w:r w:rsidR="002F7CF4" w:rsidRPr="00BD42B8">
        <w:rPr>
          <w:spacing w:val="-6"/>
          <w:rtl/>
        </w:rPr>
        <w:t xml:space="preserve">تُعمل هذا النظام من أجل تليكوم </w:t>
      </w:r>
      <w:r w:rsidR="00716AFC">
        <w:rPr>
          <w:rFonts w:hint="cs"/>
          <w:spacing w:val="-6"/>
          <w:rtl/>
        </w:rPr>
        <w:t>الاتحاد</w:t>
      </w:r>
      <w:r w:rsidR="002F7CF4" w:rsidRPr="00BD42B8">
        <w:rPr>
          <w:spacing w:val="-6"/>
          <w:rtl/>
        </w:rPr>
        <w:t xml:space="preserve"> في عام </w:t>
      </w:r>
      <w:r w:rsidR="002F7CF4" w:rsidRPr="00BD42B8">
        <w:rPr>
          <w:spacing w:val="-6"/>
        </w:rPr>
        <w:t>2014</w:t>
      </w:r>
      <w:r w:rsidR="002F7CF4" w:rsidRPr="00BD42B8">
        <w:rPr>
          <w:spacing w:val="-6"/>
          <w:rtl/>
        </w:rPr>
        <w:t xml:space="preserve"> ويجري الآن توسيع نطاقه ليشمل</w:t>
      </w:r>
      <w:r w:rsidR="001018B3">
        <w:rPr>
          <w:rFonts w:hint="cs"/>
          <w:spacing w:val="-6"/>
          <w:rtl/>
        </w:rPr>
        <w:t xml:space="preserve"> جميع أنشطة</w:t>
      </w:r>
      <w:r w:rsidR="002F7CF4" w:rsidRPr="00BD42B8">
        <w:rPr>
          <w:spacing w:val="-6"/>
          <w:rtl/>
        </w:rPr>
        <w:t xml:space="preserve"> الاتحاد الدولي</w:t>
      </w:r>
      <w:r w:rsidR="0032318B" w:rsidRPr="00BD42B8">
        <w:rPr>
          <w:rFonts w:hint="cs"/>
          <w:spacing w:val="-6"/>
          <w:rtl/>
        </w:rPr>
        <w:t> </w:t>
      </w:r>
      <w:r w:rsidR="002F7CF4" w:rsidRPr="00BD42B8">
        <w:rPr>
          <w:spacing w:val="-6"/>
          <w:rtl/>
        </w:rPr>
        <w:t>للاتصالات.</w:t>
      </w:r>
    </w:p>
    <w:p w:rsidR="002F7CF4" w:rsidRPr="001F01D5" w:rsidRDefault="002F7CF4" w:rsidP="00431DDE">
      <w:pPr>
        <w:pStyle w:val="Heading1"/>
        <w:keepLines w:val="0"/>
        <w:ind w:left="1134" w:hanging="1134"/>
        <w:rPr>
          <w:kern w:val="32"/>
        </w:rPr>
      </w:pPr>
      <w:r>
        <w:rPr>
          <w:kern w:val="32"/>
        </w:rPr>
        <w:t>3</w:t>
      </w:r>
      <w:r w:rsidRPr="001F01D5">
        <w:rPr>
          <w:kern w:val="32"/>
        </w:rPr>
        <w:tab/>
      </w:r>
      <w:r w:rsidRPr="00BE4D98">
        <w:rPr>
          <w:kern w:val="32"/>
          <w:rtl/>
        </w:rPr>
        <w:t xml:space="preserve">استعمال </w:t>
      </w:r>
      <w:r w:rsidR="00431DDE" w:rsidRPr="00431DDE">
        <w:rPr>
          <w:rFonts w:hint="cs"/>
          <w:kern w:val="32"/>
          <w:rtl/>
        </w:rPr>
        <w:t>الموقع الإلكتروني لتبادل المعلومات</w:t>
      </w:r>
      <w:r w:rsidRPr="00431DDE">
        <w:rPr>
          <w:kern w:val="32"/>
          <w:rtl/>
        </w:rPr>
        <w:t xml:space="preserve"> </w:t>
      </w:r>
      <w:r w:rsidRPr="00431DDE">
        <w:rPr>
          <w:kern w:val="32"/>
        </w:rPr>
        <w:t>SharePoint</w:t>
      </w:r>
      <w:r>
        <w:rPr>
          <w:rFonts w:hint="cs"/>
          <w:kern w:val="32"/>
          <w:rtl/>
        </w:rPr>
        <w:t xml:space="preserve"> </w:t>
      </w:r>
      <w:r w:rsidRPr="00BE4D98">
        <w:rPr>
          <w:kern w:val="32"/>
          <w:rtl/>
        </w:rPr>
        <w:t>من أجل أفرقة العمل بالمراسلة</w:t>
      </w:r>
    </w:p>
    <w:p w:rsidR="002F7CF4" w:rsidRPr="00F13676" w:rsidRDefault="002F7CF4" w:rsidP="00A80AB8">
      <w:pPr>
        <w:rPr>
          <w:rFonts w:eastAsia="SimSun"/>
        </w:rPr>
      </w:pPr>
      <w:r w:rsidRPr="008A40A9">
        <w:rPr>
          <w:rFonts w:eastAsia="SimSun" w:hint="cs"/>
          <w:rtl/>
        </w:rPr>
        <w:t xml:space="preserve">يجري إعداد نموذج </w:t>
      </w:r>
      <w:r>
        <w:rPr>
          <w:rFonts w:eastAsia="SimSun" w:hint="cs"/>
          <w:rtl/>
        </w:rPr>
        <w:t>تبليغ</w:t>
      </w:r>
      <w:r w:rsidRPr="008A40A9">
        <w:rPr>
          <w:rFonts w:eastAsia="SimSun" w:hint="cs"/>
          <w:rtl/>
        </w:rPr>
        <w:t xml:space="preserve"> لتوفير</w:t>
      </w:r>
      <w:r>
        <w:rPr>
          <w:rFonts w:eastAsia="SimSun" w:hint="cs"/>
          <w:rtl/>
        </w:rPr>
        <w:t>ِ</w:t>
      </w:r>
      <w:r w:rsidRPr="008A40A9">
        <w:rPr>
          <w:rFonts w:eastAsia="SimSun" w:hint="cs"/>
          <w:rtl/>
        </w:rPr>
        <w:t xml:space="preserve"> </w:t>
      </w:r>
      <w:r w:rsidR="005508B5">
        <w:rPr>
          <w:rFonts w:eastAsia="SimSun" w:hint="cs"/>
          <w:rtl/>
        </w:rPr>
        <w:t>واجهة وحيدة</w:t>
      </w:r>
      <w:r w:rsidRPr="008A40A9">
        <w:rPr>
          <w:rFonts w:eastAsia="SimSun" w:hint="cs"/>
          <w:rtl/>
        </w:rPr>
        <w:t xml:space="preserve"> من أجل أفرقة العمل بالمراسلة واجتماعات فريق المقرر. وتشتمل الوظائف المعنية على استعمال </w:t>
      </w:r>
      <w:r w:rsidR="007A7F21">
        <w:rPr>
          <w:rFonts w:eastAsia="SimSun" w:hint="cs"/>
          <w:rtl/>
        </w:rPr>
        <w:t>الموقع الإلكتروني لتبادل المعلومات</w:t>
      </w:r>
      <w:r w:rsidR="00A80AB8">
        <w:rPr>
          <w:rFonts w:eastAsia="SimSun" w:hint="eastAsia"/>
          <w:rtl/>
        </w:rPr>
        <w:t> </w:t>
      </w:r>
      <w:r w:rsidRPr="00DA4B27">
        <w:rPr>
          <w:rFonts w:eastAsia="SimSun"/>
        </w:rPr>
        <w:t>SharePoint</w:t>
      </w:r>
      <w:r w:rsidR="0016334A">
        <w:rPr>
          <w:rFonts w:eastAsia="SimSun" w:hint="cs"/>
          <w:rtl/>
        </w:rPr>
        <w:t xml:space="preserve"> </w:t>
      </w:r>
      <w:r w:rsidRPr="008A40A9">
        <w:rPr>
          <w:rFonts w:eastAsia="SimSun" w:hint="cs"/>
          <w:rtl/>
        </w:rPr>
        <w:t xml:space="preserve">لتقديم الوثائق </w:t>
      </w:r>
      <w:r w:rsidR="009129CD">
        <w:rPr>
          <w:rFonts w:eastAsia="SimSun" w:hint="cs"/>
          <w:rtl/>
        </w:rPr>
        <w:t>وإدارة</w:t>
      </w:r>
      <w:r w:rsidRPr="008A40A9">
        <w:rPr>
          <w:rFonts w:eastAsia="SimSun" w:hint="cs"/>
          <w:rtl/>
        </w:rPr>
        <w:t xml:space="preserve"> </w:t>
      </w:r>
      <w:r>
        <w:rPr>
          <w:rFonts w:eastAsia="SimSun" w:hint="cs"/>
          <w:rtl/>
        </w:rPr>
        <w:t>قوائم</w:t>
      </w:r>
      <w:r w:rsidRPr="008A40A9">
        <w:rPr>
          <w:rFonts w:eastAsia="SimSun" w:hint="cs"/>
          <w:rtl/>
        </w:rPr>
        <w:t xml:space="preserve"> التوزيع </w:t>
      </w:r>
      <w:r>
        <w:rPr>
          <w:rFonts w:eastAsia="SimSun" w:hint="cs"/>
          <w:rtl/>
        </w:rPr>
        <w:t>وقوائم</w:t>
      </w:r>
      <w:r w:rsidRPr="008A40A9">
        <w:rPr>
          <w:rFonts w:eastAsia="SimSun" w:hint="cs"/>
          <w:rtl/>
        </w:rPr>
        <w:t xml:space="preserve"> الإرسال بالبريد.</w:t>
      </w:r>
    </w:p>
    <w:p w:rsidR="002F7CF4" w:rsidRPr="001F01D5" w:rsidRDefault="002F7CF4" w:rsidP="006D2A42">
      <w:pPr>
        <w:pStyle w:val="Heading1"/>
        <w:keepLines w:val="0"/>
        <w:ind w:left="1134" w:hanging="1134"/>
        <w:rPr>
          <w:kern w:val="32"/>
          <w:rtl/>
        </w:rPr>
      </w:pPr>
      <w:r w:rsidRPr="00680C8C">
        <w:rPr>
          <w:kern w:val="32"/>
        </w:rPr>
        <w:t>4</w:t>
      </w:r>
      <w:r w:rsidRPr="00680C8C">
        <w:rPr>
          <w:kern w:val="32"/>
        </w:rPr>
        <w:tab/>
      </w:r>
      <w:r w:rsidRPr="00680C8C">
        <w:rPr>
          <w:rFonts w:hint="cs"/>
          <w:kern w:val="32"/>
          <w:rtl/>
        </w:rPr>
        <w:t xml:space="preserve">الانتقال في الموقع </w:t>
      </w:r>
      <w:r w:rsidR="006D2A42" w:rsidRPr="00680C8C">
        <w:rPr>
          <w:rFonts w:hint="cs"/>
          <w:kern w:val="32"/>
          <w:rtl/>
        </w:rPr>
        <w:t>الإلكتروني</w:t>
      </w:r>
      <w:r w:rsidRPr="00680C8C">
        <w:rPr>
          <w:rFonts w:hint="cs"/>
          <w:kern w:val="32"/>
          <w:rtl/>
        </w:rPr>
        <w:t xml:space="preserve"> للاتحاد إلى برمجيات جديدة وإعادة تصميم هذا الموقع</w:t>
      </w:r>
    </w:p>
    <w:p w:rsidR="002F7CF4" w:rsidRPr="0035280D" w:rsidRDefault="002F7CF4" w:rsidP="002024AC">
      <w:pPr>
        <w:rPr>
          <w:rFonts w:eastAsia="SimSun"/>
          <w:spacing w:val="-6"/>
          <w:rtl/>
        </w:rPr>
      </w:pPr>
      <w:r w:rsidRPr="0035280D">
        <w:rPr>
          <w:rFonts w:eastAsia="SimSun" w:hint="cs"/>
          <w:spacing w:val="-6"/>
          <w:rtl/>
        </w:rPr>
        <w:t xml:space="preserve">حدَّث الاتحاد موقعه </w:t>
      </w:r>
      <w:r w:rsidR="001270EB" w:rsidRPr="0035280D">
        <w:rPr>
          <w:rFonts w:eastAsia="SimSun" w:hint="cs"/>
          <w:spacing w:val="-6"/>
          <w:rtl/>
        </w:rPr>
        <w:t>الإلكتروني</w:t>
      </w:r>
      <w:r w:rsidRPr="0035280D">
        <w:rPr>
          <w:rFonts w:eastAsia="SimSun" w:hint="cs"/>
          <w:spacing w:val="-6"/>
          <w:rtl/>
        </w:rPr>
        <w:t xml:space="preserve"> وتم تجديد البنية التحتية </w:t>
      </w:r>
      <w:proofErr w:type="spellStart"/>
      <w:r w:rsidR="009C68D0" w:rsidRPr="0035280D">
        <w:rPr>
          <w:rFonts w:eastAsia="SimSun" w:hint="cs"/>
          <w:spacing w:val="-6"/>
          <w:rtl/>
        </w:rPr>
        <w:t>للمخدمات</w:t>
      </w:r>
      <w:proofErr w:type="spellEnd"/>
      <w:r w:rsidRPr="0035280D">
        <w:rPr>
          <w:rFonts w:eastAsia="SimSun" w:hint="cs"/>
          <w:spacing w:val="-6"/>
          <w:rtl/>
        </w:rPr>
        <w:t xml:space="preserve"> والانتقال إلى إصدار عام </w:t>
      </w:r>
      <w:r w:rsidRPr="0035280D">
        <w:rPr>
          <w:rFonts w:eastAsia="SimSun"/>
          <w:spacing w:val="-6"/>
          <w:lang w:bidi="ar-SY"/>
        </w:rPr>
        <w:t>2013</w:t>
      </w:r>
      <w:r w:rsidRPr="0035280D">
        <w:rPr>
          <w:rFonts w:eastAsia="SimSun" w:hint="cs"/>
          <w:spacing w:val="-6"/>
          <w:rtl/>
        </w:rPr>
        <w:t xml:space="preserve"> من </w:t>
      </w:r>
      <w:r w:rsidR="009C68D0" w:rsidRPr="0035280D">
        <w:rPr>
          <w:rFonts w:eastAsia="SimSun" w:hint="cs"/>
          <w:spacing w:val="-6"/>
          <w:rtl/>
        </w:rPr>
        <w:t>الموقع الإلكتروني لتبادل المعلومات</w:t>
      </w:r>
      <w:r w:rsidR="00EC41DB" w:rsidRPr="0035280D">
        <w:rPr>
          <w:rFonts w:eastAsia="SimSun" w:hint="eastAsia"/>
          <w:spacing w:val="-6"/>
          <w:rtl/>
        </w:rPr>
        <w:t> </w:t>
      </w:r>
      <w:r w:rsidRPr="0035280D">
        <w:rPr>
          <w:rFonts w:eastAsia="SimSun"/>
          <w:spacing w:val="-6"/>
        </w:rPr>
        <w:t>SharePoint</w:t>
      </w:r>
      <w:r w:rsidRPr="0035280D">
        <w:rPr>
          <w:rFonts w:eastAsia="SimSun"/>
          <w:spacing w:val="-6"/>
          <w:rtl/>
        </w:rPr>
        <w:t xml:space="preserve"> </w:t>
      </w:r>
      <w:r w:rsidRPr="0035280D">
        <w:rPr>
          <w:rFonts w:eastAsia="SimSun" w:hint="cs"/>
          <w:spacing w:val="-6"/>
          <w:rtl/>
        </w:rPr>
        <w:t>بحلول نهاية عام</w:t>
      </w:r>
      <w:r w:rsidRPr="0035280D">
        <w:rPr>
          <w:rFonts w:eastAsia="SimSun" w:hint="eastAsia"/>
          <w:spacing w:val="-6"/>
          <w:rtl/>
        </w:rPr>
        <w:t> </w:t>
      </w:r>
      <w:r w:rsidRPr="0035280D">
        <w:rPr>
          <w:rFonts w:eastAsia="SimSun"/>
          <w:spacing w:val="-6"/>
          <w:lang w:bidi="ar-SY"/>
        </w:rPr>
        <w:t>2013</w:t>
      </w:r>
      <w:r w:rsidRPr="0035280D">
        <w:rPr>
          <w:rFonts w:eastAsia="SimSun" w:hint="cs"/>
          <w:spacing w:val="-6"/>
          <w:rtl/>
        </w:rPr>
        <w:t>. وقد شارفت على الانتهاء عمليةُ الانتقال إلى الصيغة الجديدة من البرمجيات فيما</w:t>
      </w:r>
      <w:r w:rsidR="009C68D0" w:rsidRPr="0035280D">
        <w:rPr>
          <w:rFonts w:eastAsia="SimSun" w:hint="eastAsia"/>
          <w:spacing w:val="-6"/>
          <w:rtl/>
        </w:rPr>
        <w:t> </w:t>
      </w:r>
      <w:r w:rsidRPr="0035280D">
        <w:rPr>
          <w:rFonts w:eastAsia="SimSun" w:hint="cs"/>
          <w:spacing w:val="-6"/>
          <w:rtl/>
        </w:rPr>
        <w:t xml:space="preserve">يخص أهم صفحات </w:t>
      </w:r>
      <w:r w:rsidR="000671E1" w:rsidRPr="0035280D">
        <w:rPr>
          <w:rFonts w:eastAsia="SimSun" w:hint="cs"/>
          <w:spacing w:val="-6"/>
          <w:rtl/>
        </w:rPr>
        <w:t>ال</w:t>
      </w:r>
      <w:r w:rsidRPr="0035280D">
        <w:rPr>
          <w:rFonts w:eastAsia="SimSun" w:hint="cs"/>
          <w:spacing w:val="-6"/>
          <w:rtl/>
        </w:rPr>
        <w:t xml:space="preserve">موقع </w:t>
      </w:r>
      <w:r w:rsidR="000671E1" w:rsidRPr="0035280D">
        <w:rPr>
          <w:rFonts w:eastAsia="SimSun" w:hint="cs"/>
          <w:spacing w:val="-6"/>
          <w:rtl/>
        </w:rPr>
        <w:t>الإلكتروني ل</w:t>
      </w:r>
      <w:r w:rsidRPr="0035280D">
        <w:rPr>
          <w:rFonts w:eastAsia="SimSun" w:hint="cs"/>
          <w:spacing w:val="-6"/>
          <w:rtl/>
        </w:rPr>
        <w:t xml:space="preserve">قطاع </w:t>
      </w:r>
      <w:r w:rsidR="009C68D0" w:rsidRPr="0035280D">
        <w:rPr>
          <w:rFonts w:eastAsia="SimSun" w:hint="cs"/>
          <w:spacing w:val="-6"/>
          <w:rtl/>
        </w:rPr>
        <w:t>الاتصالات الراديوية</w:t>
      </w:r>
      <w:r w:rsidRPr="0035280D">
        <w:rPr>
          <w:rFonts w:eastAsia="SimSun" w:hint="cs"/>
          <w:spacing w:val="-6"/>
          <w:rtl/>
        </w:rPr>
        <w:t xml:space="preserve"> في الاتحاد. وقد جُمِّدت في نهاية يونيو </w:t>
      </w:r>
      <w:r w:rsidRPr="0035280D">
        <w:rPr>
          <w:rFonts w:eastAsia="SimSun"/>
          <w:spacing w:val="-6"/>
          <w:lang w:bidi="ar-SY"/>
        </w:rPr>
        <w:t>2014</w:t>
      </w:r>
      <w:r w:rsidRPr="0035280D">
        <w:rPr>
          <w:rFonts w:eastAsia="SimSun" w:hint="cs"/>
          <w:spacing w:val="-6"/>
          <w:rtl/>
        </w:rPr>
        <w:t xml:space="preserve"> خدمات </w:t>
      </w:r>
      <w:r w:rsidR="002024AC" w:rsidRPr="0035280D">
        <w:rPr>
          <w:rFonts w:eastAsia="SimSun" w:hint="cs"/>
          <w:spacing w:val="-6"/>
          <w:rtl/>
        </w:rPr>
        <w:t>برنامج الويب</w:t>
      </w:r>
      <w:r w:rsidR="003D3A0A" w:rsidRPr="0035280D">
        <w:rPr>
          <w:rFonts w:eastAsia="SimSun" w:hint="eastAsia"/>
          <w:spacing w:val="-6"/>
          <w:rtl/>
        </w:rPr>
        <w:t> </w:t>
      </w:r>
      <w:r w:rsidRPr="0035280D">
        <w:rPr>
          <w:rFonts w:eastAsia="SimSun"/>
          <w:spacing w:val="-6"/>
        </w:rPr>
        <w:t>FrontPage</w:t>
      </w:r>
      <w:r w:rsidRPr="0035280D">
        <w:rPr>
          <w:rFonts w:eastAsia="SimSun"/>
          <w:spacing w:val="-6"/>
          <w:rtl/>
        </w:rPr>
        <w:t xml:space="preserve"> </w:t>
      </w:r>
      <w:r w:rsidRPr="0035280D">
        <w:rPr>
          <w:rFonts w:eastAsia="SimSun" w:hint="cs"/>
          <w:spacing w:val="-6"/>
          <w:rtl/>
        </w:rPr>
        <w:t>(سيوقف عمل بعض المواقع/الصفحات، وسيبقى بعضها "على حاله"، وقد تم في</w:t>
      </w:r>
      <w:r w:rsidR="003D3A0A" w:rsidRPr="0035280D">
        <w:rPr>
          <w:rFonts w:eastAsia="SimSun" w:hint="eastAsia"/>
          <w:spacing w:val="-6"/>
          <w:rtl/>
        </w:rPr>
        <w:t> </w:t>
      </w:r>
      <w:proofErr w:type="spellStart"/>
      <w:r w:rsidRPr="0035280D">
        <w:rPr>
          <w:rFonts w:eastAsia="SimSun" w:hint="cs"/>
          <w:spacing w:val="-6"/>
          <w:rtl/>
        </w:rPr>
        <w:t>سائرها</w:t>
      </w:r>
      <w:proofErr w:type="spellEnd"/>
      <w:r w:rsidRPr="0035280D">
        <w:rPr>
          <w:rFonts w:eastAsia="SimSun" w:hint="cs"/>
          <w:spacing w:val="-6"/>
          <w:rtl/>
        </w:rPr>
        <w:t xml:space="preserve"> الانتقال إلى الإصدار الجديد من</w:t>
      </w:r>
      <w:r w:rsidRPr="0035280D">
        <w:rPr>
          <w:rFonts w:eastAsia="SimSun" w:hint="eastAsia"/>
          <w:spacing w:val="-6"/>
          <w:rtl/>
        </w:rPr>
        <w:t> </w:t>
      </w:r>
      <w:r w:rsidRPr="0035280D">
        <w:rPr>
          <w:rFonts w:eastAsia="SimSun" w:hint="cs"/>
          <w:spacing w:val="-6"/>
          <w:rtl/>
        </w:rPr>
        <w:t>البرمجيات).</w:t>
      </w:r>
    </w:p>
    <w:p w:rsidR="002F7CF4" w:rsidRPr="008828CA" w:rsidRDefault="002F7CF4" w:rsidP="0035280D">
      <w:pPr>
        <w:rPr>
          <w:rFonts w:eastAsia="SimSun"/>
          <w:rtl/>
        </w:rPr>
      </w:pPr>
      <w:r w:rsidRPr="008828CA">
        <w:rPr>
          <w:rFonts w:eastAsia="SimSun" w:hint="cs"/>
          <w:rtl/>
        </w:rPr>
        <w:t xml:space="preserve">وعُمِل في عام </w:t>
      </w:r>
      <w:r w:rsidRPr="008828CA">
        <w:rPr>
          <w:rFonts w:eastAsia="SimSun"/>
          <w:lang w:bidi="ar-SY"/>
        </w:rPr>
        <w:t>2013</w:t>
      </w:r>
      <w:r w:rsidRPr="008828CA">
        <w:rPr>
          <w:rFonts w:eastAsia="SimSun" w:hint="cs"/>
          <w:rtl/>
        </w:rPr>
        <w:t xml:space="preserve"> بالتصميم الجديد (الأكثر عصرية "من حيث </w:t>
      </w:r>
      <w:r w:rsidR="0035280D">
        <w:rPr>
          <w:rFonts w:eastAsia="SimSun" w:hint="cs"/>
          <w:rtl/>
        </w:rPr>
        <w:t>المظهر والإدراك</w:t>
      </w:r>
      <w:r w:rsidRPr="008828CA">
        <w:rPr>
          <w:rFonts w:eastAsia="SimSun" w:hint="cs"/>
          <w:rtl/>
        </w:rPr>
        <w:t>") في الصفحات الرئيسية للمواقع.</w:t>
      </w:r>
    </w:p>
    <w:p w:rsidR="002F7CF4" w:rsidRPr="008828CA" w:rsidRDefault="002F7CF4" w:rsidP="00CA0A41">
      <w:pPr>
        <w:rPr>
          <w:rFonts w:eastAsia="SimSun"/>
          <w:rtl/>
        </w:rPr>
      </w:pPr>
      <w:r w:rsidRPr="008828CA">
        <w:rPr>
          <w:rFonts w:eastAsia="SimSun" w:hint="cs"/>
          <w:rtl/>
        </w:rPr>
        <w:t xml:space="preserve">وبالنظر إلى كل هذه التحديثات فإن من المهم أن يكون للصفحات الإلكترونية للاتحاد روابط دائمة، ومن المهم أيضاً، إذا لزم تغيير الأماكن بسبب تنظيم الأدلة الجديد، أن يبيَّن التقابل بين </w:t>
      </w:r>
      <w:proofErr w:type="spellStart"/>
      <w:r w:rsidRPr="008828CA">
        <w:rPr>
          <w:rFonts w:eastAsia="SimSun" w:hint="cs"/>
          <w:rtl/>
        </w:rPr>
        <w:t>قديمها</w:t>
      </w:r>
      <w:proofErr w:type="spellEnd"/>
      <w:r w:rsidRPr="008828CA">
        <w:rPr>
          <w:rFonts w:eastAsia="SimSun" w:hint="cs"/>
          <w:rtl/>
        </w:rPr>
        <w:t xml:space="preserve"> وجديدها أو أن تضاف وظيفة لإعادة التوجيه فيما يخص </w:t>
      </w:r>
      <w:r w:rsidR="004C6174" w:rsidRPr="008828CA">
        <w:rPr>
          <w:rFonts w:eastAsia="SimSun" w:hint="cs"/>
          <w:rtl/>
        </w:rPr>
        <w:t>المواقع</w:t>
      </w:r>
      <w:r w:rsidRPr="008828CA">
        <w:rPr>
          <w:rFonts w:eastAsia="SimSun" w:hint="cs"/>
          <w:rtl/>
        </w:rPr>
        <w:t xml:space="preserve"> الإلكترونية السابقة. وقد وُضعت آليات لإيتاء أيقونات مسارات مختصرة دائمة توصل إلى الصفحات (على سبيل المثال سيوصلك</w:t>
      </w:r>
      <w:r w:rsidR="00CA0A41">
        <w:rPr>
          <w:rFonts w:eastAsia="SimSun" w:hint="eastAsia"/>
          <w:rtl/>
        </w:rPr>
        <w:t> </w:t>
      </w:r>
      <w:hyperlink r:id="rId14" w:history="1">
        <w:r w:rsidRPr="008828CA">
          <w:rPr>
            <w:color w:val="0000FF"/>
            <w:u w:val="single"/>
          </w:rPr>
          <w:t>www.itu.int/cybersecurity</w:t>
        </w:r>
      </w:hyperlink>
      <w:r w:rsidRPr="008828CA">
        <w:rPr>
          <w:rFonts w:eastAsia="SimSun" w:hint="cs"/>
          <w:rtl/>
        </w:rPr>
        <w:t xml:space="preserve"> دائماً إلى الصفحة الرئيسية الخاصة بالأمن السيبراني، أينما كان مكان وجودها).</w:t>
      </w:r>
    </w:p>
    <w:p w:rsidR="002F7CF4" w:rsidRPr="001F01D5" w:rsidRDefault="002F7CF4" w:rsidP="002F7CF4">
      <w:pPr>
        <w:pStyle w:val="Heading1"/>
        <w:keepLines w:val="0"/>
        <w:ind w:left="1134" w:hanging="1134"/>
        <w:rPr>
          <w:kern w:val="32"/>
          <w:rtl/>
        </w:rPr>
      </w:pPr>
      <w:r>
        <w:rPr>
          <w:kern w:val="32"/>
        </w:rPr>
        <w:t>5</w:t>
      </w:r>
      <w:r w:rsidRPr="001F01D5">
        <w:rPr>
          <w:kern w:val="32"/>
        </w:rPr>
        <w:tab/>
      </w:r>
      <w:r w:rsidRPr="005567F2">
        <w:rPr>
          <w:rFonts w:hint="cs"/>
          <w:kern w:val="32"/>
          <w:rtl/>
        </w:rPr>
        <w:t>توزيع الرسائل المعمَّمة بالبريد الإلكتروني</w:t>
      </w:r>
    </w:p>
    <w:p w:rsidR="002F7CF4" w:rsidRPr="0032318B" w:rsidRDefault="002F7CF4" w:rsidP="002F7CF4">
      <w:pPr>
        <w:rPr>
          <w:rFonts w:eastAsia="SimSun"/>
          <w:spacing w:val="-4"/>
          <w:rtl/>
        </w:rPr>
      </w:pPr>
      <w:r w:rsidRPr="0032318B">
        <w:rPr>
          <w:rFonts w:eastAsia="SimSun" w:hint="cs"/>
          <w:spacing w:val="-4"/>
          <w:rtl/>
        </w:rPr>
        <w:t>قد تتعيَّن إعادةُ النظر في الممارسة الحالية المتّبعة في مكتب الاتصالات الراديوية فيما يخص توزيع الرسائل المعمَّمة، وفقَ الملحق</w:t>
      </w:r>
      <w:r w:rsidRPr="0032318B">
        <w:rPr>
          <w:rFonts w:eastAsia="SimSun" w:hint="eastAsia"/>
          <w:spacing w:val="-4"/>
          <w:rtl/>
        </w:rPr>
        <w:t> </w:t>
      </w:r>
      <w:r w:rsidRPr="0032318B">
        <w:rPr>
          <w:rFonts w:eastAsia="SimSun"/>
          <w:spacing w:val="-4"/>
        </w:rPr>
        <w:t>2</w:t>
      </w:r>
      <w:r w:rsidRPr="0032318B">
        <w:rPr>
          <w:rFonts w:eastAsia="SimSun" w:hint="cs"/>
          <w:spacing w:val="-4"/>
          <w:rtl/>
        </w:rPr>
        <w:t xml:space="preserve"> </w:t>
      </w:r>
      <w:r w:rsidRPr="0032318B">
        <w:rPr>
          <w:rFonts w:hint="cs"/>
          <w:color w:val="000000"/>
          <w:spacing w:val="-4"/>
          <w:rtl/>
        </w:rPr>
        <w:t>ل</w:t>
      </w:r>
      <w:r w:rsidRPr="0032318B">
        <w:rPr>
          <w:color w:val="000000"/>
          <w:spacing w:val="-4"/>
          <w:rtl/>
        </w:rPr>
        <w:t>لمقر</w:t>
      </w:r>
      <w:r w:rsidRPr="0032318B">
        <w:rPr>
          <w:rFonts w:hint="cs"/>
          <w:color w:val="000000"/>
          <w:spacing w:val="-4"/>
          <w:rtl/>
        </w:rPr>
        <w:t>َّ</w:t>
      </w:r>
      <w:r w:rsidRPr="0032318B">
        <w:rPr>
          <w:color w:val="000000"/>
          <w:spacing w:val="-4"/>
          <w:rtl/>
        </w:rPr>
        <w:t>ر</w:t>
      </w:r>
      <w:r w:rsidRPr="0032318B">
        <w:rPr>
          <w:rFonts w:hint="cs"/>
          <w:color w:val="000000"/>
          <w:spacing w:val="-4"/>
          <w:rtl/>
        </w:rPr>
        <w:t> </w:t>
      </w:r>
      <w:r w:rsidRPr="0032318B">
        <w:rPr>
          <w:color w:val="000000"/>
          <w:spacing w:val="-4"/>
        </w:rPr>
        <w:t>5</w:t>
      </w:r>
      <w:r w:rsidRPr="0032318B">
        <w:rPr>
          <w:color w:val="000000"/>
          <w:spacing w:val="-4"/>
          <w:rtl/>
        </w:rPr>
        <w:t xml:space="preserve"> (ال‍مراجَع في بوسان، </w:t>
      </w:r>
      <w:r w:rsidRPr="0032318B">
        <w:rPr>
          <w:color w:val="000000"/>
          <w:spacing w:val="-4"/>
        </w:rPr>
        <w:t>2014</w:t>
      </w:r>
      <w:r w:rsidRPr="0032318B">
        <w:rPr>
          <w:color w:val="000000"/>
          <w:spacing w:val="-4"/>
          <w:rtl/>
        </w:rPr>
        <w:t xml:space="preserve">) </w:t>
      </w:r>
      <w:r w:rsidRPr="0032318B">
        <w:rPr>
          <w:rFonts w:hint="cs"/>
          <w:color w:val="000000"/>
          <w:spacing w:val="-4"/>
          <w:rtl/>
        </w:rPr>
        <w:t>المتعلق بال</w:t>
      </w:r>
      <w:r w:rsidRPr="0032318B">
        <w:rPr>
          <w:color w:val="000000"/>
          <w:spacing w:val="-4"/>
          <w:rtl/>
        </w:rPr>
        <w:t xml:space="preserve">تدابير </w:t>
      </w:r>
      <w:r w:rsidRPr="0032318B">
        <w:rPr>
          <w:rFonts w:hint="cs"/>
          <w:color w:val="000000"/>
          <w:spacing w:val="-4"/>
          <w:rtl/>
        </w:rPr>
        <w:t>الرامية إلى</w:t>
      </w:r>
      <w:r w:rsidRPr="0032318B">
        <w:rPr>
          <w:color w:val="000000"/>
          <w:spacing w:val="-4"/>
          <w:rtl/>
        </w:rPr>
        <w:t xml:space="preserve"> تخفيض الإنفاق</w:t>
      </w:r>
      <w:r w:rsidRPr="0032318B">
        <w:rPr>
          <w:rFonts w:hint="cs"/>
          <w:color w:val="000000"/>
          <w:spacing w:val="-4"/>
          <w:rtl/>
        </w:rPr>
        <w:t xml:space="preserve">، وإظهارُ </w:t>
      </w:r>
      <w:r w:rsidRPr="0032318B">
        <w:rPr>
          <w:rFonts w:eastAsia="SimSun" w:hint="cs"/>
          <w:spacing w:val="-4"/>
          <w:rtl/>
        </w:rPr>
        <w:t>النتائج في صيغةٍ مراجَعة من القرار</w:t>
      </w:r>
      <w:r w:rsidRPr="0032318B">
        <w:rPr>
          <w:rFonts w:eastAsia="SimSun" w:hint="eastAsia"/>
          <w:spacing w:val="-4"/>
          <w:rtl/>
        </w:rPr>
        <w:t> </w:t>
      </w:r>
      <w:r w:rsidRPr="0032318B">
        <w:rPr>
          <w:rFonts w:eastAsia="SimSun"/>
          <w:spacing w:val="-4"/>
        </w:rPr>
        <w:t>ITU</w:t>
      </w:r>
      <w:r w:rsidRPr="0032318B">
        <w:rPr>
          <w:rFonts w:eastAsia="SimSun"/>
          <w:spacing w:val="-4"/>
        </w:rPr>
        <w:noBreakHyphen/>
        <w:t>R 1</w:t>
      </w:r>
      <w:r w:rsidRPr="0032318B">
        <w:rPr>
          <w:rFonts w:eastAsia="SimSun"/>
          <w:spacing w:val="-4"/>
        </w:rPr>
        <w:noBreakHyphen/>
        <w:t>6</w:t>
      </w:r>
      <w:r w:rsidRPr="0032318B">
        <w:rPr>
          <w:rFonts w:eastAsia="SimSun" w:hint="cs"/>
          <w:spacing w:val="-4"/>
          <w:rtl/>
        </w:rPr>
        <w:t>.</w:t>
      </w:r>
    </w:p>
    <w:p w:rsidR="002F7CF4" w:rsidRPr="001F01D5" w:rsidRDefault="002F7CF4" w:rsidP="002F7CF4">
      <w:pPr>
        <w:pStyle w:val="Heading1"/>
        <w:keepLines w:val="0"/>
        <w:ind w:left="1134" w:hanging="1134"/>
        <w:rPr>
          <w:kern w:val="32"/>
          <w:rtl/>
        </w:rPr>
      </w:pPr>
      <w:r>
        <w:rPr>
          <w:kern w:val="32"/>
        </w:rPr>
        <w:t>6</w:t>
      </w:r>
      <w:r w:rsidRPr="001F01D5">
        <w:rPr>
          <w:kern w:val="32"/>
        </w:rPr>
        <w:tab/>
      </w:r>
      <w:r>
        <w:rPr>
          <w:rFonts w:hint="cs"/>
          <w:kern w:val="32"/>
          <w:rtl/>
        </w:rPr>
        <w:t>اقتراح</w:t>
      </w:r>
    </w:p>
    <w:p w:rsidR="002F7CF4" w:rsidRPr="00A6503A" w:rsidRDefault="002F7CF4" w:rsidP="000876A6">
      <w:pPr>
        <w:rPr>
          <w:spacing w:val="-6"/>
          <w:rtl/>
        </w:rPr>
      </w:pPr>
      <w:r w:rsidRPr="00A6503A">
        <w:rPr>
          <w:rFonts w:hint="cs"/>
          <w:spacing w:val="-6"/>
          <w:rtl/>
        </w:rPr>
        <w:t>يُقترح أن يسعى عدد أكبر من الأفرقة إلى تجريب مختلف النهوج المتاحة في قطاع الاتصالات الراديوية فيما يخص المعالجة الإلكترونية للوثائق وذلك من أجل جعل عمل هذا القطاع أيسر وأكثر إنتاجية. وينبغي أن ترسَل المعلوماتُ المتعلقة</w:t>
      </w:r>
      <w:r w:rsidRPr="00A6503A">
        <w:rPr>
          <w:rFonts w:hint="eastAsia"/>
          <w:spacing w:val="-6"/>
          <w:rtl/>
        </w:rPr>
        <w:t> </w:t>
      </w:r>
      <w:r w:rsidRPr="00A6503A">
        <w:rPr>
          <w:rFonts w:hint="cs"/>
          <w:spacing w:val="-6"/>
          <w:rtl/>
        </w:rPr>
        <w:t>بالتجارب والمقترحاتُ الرامية إلى تحقيق مزيد من التحسينات إلى فريق العمل بالمراسلة المعني بالمعالجة الإلكترونية للوثائق التابع للفريق الاستشاري للاتصالات الراديوية:</w:t>
      </w:r>
      <w:r w:rsidR="000876A6">
        <w:rPr>
          <w:rFonts w:hint="eastAsia"/>
          <w:spacing w:val="-6"/>
          <w:rtl/>
        </w:rPr>
        <w:t> </w:t>
      </w:r>
      <w:hyperlink r:id="rId15" w:history="1">
        <w:r w:rsidRPr="00A6503A">
          <w:rPr>
            <w:rStyle w:val="Hyperlink"/>
            <w:spacing w:val="-6"/>
          </w:rPr>
          <w:t>rag-edh@itu.int</w:t>
        </w:r>
      </w:hyperlink>
      <w:r w:rsidRPr="00A6503A">
        <w:rPr>
          <w:rFonts w:hint="cs"/>
          <w:spacing w:val="-6"/>
          <w:rtl/>
        </w:rPr>
        <w:t>.</w:t>
      </w:r>
    </w:p>
    <w:p w:rsidR="002F7CF4" w:rsidRPr="00A6503A" w:rsidRDefault="002F7CF4" w:rsidP="00924304">
      <w:pPr>
        <w:rPr>
          <w:rtl/>
        </w:rPr>
      </w:pPr>
      <w:r w:rsidRPr="00A6503A">
        <w:rPr>
          <w:rFonts w:hint="cs"/>
          <w:rtl/>
        </w:rPr>
        <w:t xml:space="preserve">والحال أن أحدث مساهمة في فريق العمل بالمراسلة استُلمت في عام </w:t>
      </w:r>
      <w:r w:rsidRPr="00A6503A">
        <w:t>2005</w:t>
      </w:r>
      <w:r w:rsidRPr="00A6503A">
        <w:rPr>
          <w:rFonts w:hint="cs"/>
          <w:rtl/>
        </w:rPr>
        <w:t xml:space="preserve"> واقتُصر في التقارير المرحلية المتعلقة بأنشطة المعالجة الإلكترونية للوثائق </w:t>
      </w:r>
      <w:r w:rsidRPr="00A6503A">
        <w:t>(EDH)</w:t>
      </w:r>
      <w:r w:rsidRPr="00A6503A">
        <w:rPr>
          <w:rFonts w:hint="cs"/>
          <w:rtl/>
        </w:rPr>
        <w:t xml:space="preserve"> التي رُفعت إلى الفريق الاستشاري للاتصالات الراديوية على تقديم تحديثات بشأن المستجدات في مجال المعالجة الإلكترونية للوثائق ضمن قطاع الاتصالات الراديوية في الاتحاد كما تُجْمَع من مكتب الاتصالات الراديوية ومن دوائر نظم المعلومات. وينطوي ذلك إلى حدٍ ما على تكرار لمعلومات يفاد بها في سياق آخر، بما في ذلك تقرير المدير الذي يقدم إلى الفريق الاستشاري للاتصالات الراديوية (على سبيل المثال </w:t>
      </w:r>
      <w:hyperlink r:id="rId16" w:history="1">
        <w:r w:rsidRPr="005F4F29">
          <w:rPr>
            <w:rStyle w:val="Hyperlink"/>
            <w:rFonts w:hint="cs"/>
            <w:rtl/>
          </w:rPr>
          <w:t xml:space="preserve">الإضافة </w:t>
        </w:r>
        <w:r w:rsidRPr="005F4F29">
          <w:rPr>
            <w:rStyle w:val="Hyperlink"/>
          </w:rPr>
          <w:t>2</w:t>
        </w:r>
      </w:hyperlink>
      <w:r w:rsidRPr="00A6503A">
        <w:rPr>
          <w:rFonts w:hint="cs"/>
          <w:rtl/>
        </w:rPr>
        <w:t xml:space="preserve"> إلى الوثيقة </w:t>
      </w:r>
      <w:hyperlink r:id="rId17" w:history="1">
        <w:r w:rsidRPr="00A6503A">
          <w:rPr>
            <w:rStyle w:val="Hyperlink"/>
          </w:rPr>
          <w:t>RAG15</w:t>
        </w:r>
        <w:r w:rsidR="00924304">
          <w:rPr>
            <w:rStyle w:val="Hyperlink"/>
          </w:rPr>
          <w:noBreakHyphen/>
        </w:r>
        <w:r w:rsidRPr="00A6503A">
          <w:rPr>
            <w:rStyle w:val="Hyperlink"/>
          </w:rPr>
          <w:t>1/1</w:t>
        </w:r>
      </w:hyperlink>
      <w:r w:rsidRPr="00A6503A">
        <w:rPr>
          <w:rFonts w:hint="cs"/>
          <w:rtl/>
        </w:rPr>
        <w:t xml:space="preserve">). ولهذه الأسباب قد ينظر الفريق الاستشاري للاتصالات الراديوية فيما إذا كان يتعيَّن أن يستمر عمل فريق العمل بالمراسلة أم </w:t>
      </w:r>
      <w:r w:rsidR="00262972">
        <w:rPr>
          <w:rFonts w:hint="cs"/>
          <w:rtl/>
        </w:rPr>
        <w:t>يتم حله</w:t>
      </w:r>
      <w:r w:rsidRPr="00A6503A">
        <w:rPr>
          <w:rFonts w:hint="cs"/>
          <w:rtl/>
        </w:rPr>
        <w:t>.</w:t>
      </w:r>
    </w:p>
    <w:p w:rsidR="00057D34" w:rsidRPr="00FD6C64" w:rsidRDefault="00F403DC" w:rsidP="00E673BA">
      <w:pPr>
        <w:spacing w:before="600"/>
        <w:jc w:val="center"/>
        <w:rPr>
          <w:rtl/>
          <w:lang w:val="en-GB" w:bidi="ar-EG"/>
        </w:rPr>
      </w:pPr>
      <w:r>
        <w:rPr>
          <w:rtl/>
          <w:lang w:val="en-GB" w:bidi="ar-SY"/>
        </w:rPr>
        <w:t>___________</w:t>
      </w:r>
    </w:p>
    <w:sectPr w:rsidR="00057D34" w:rsidRPr="00FD6C64" w:rsidSect="00870407">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41" w:rsidRDefault="00B73041" w:rsidP="00057D34">
      <w:pPr>
        <w:spacing w:before="0" w:line="240" w:lineRule="auto"/>
      </w:pPr>
      <w:r>
        <w:separator/>
      </w:r>
    </w:p>
  </w:endnote>
  <w:endnote w:type="continuationSeparator" w:id="0">
    <w:p w:rsidR="00B73041" w:rsidRDefault="00B73041"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C2" w:rsidRPr="00057D34" w:rsidRDefault="00E906C2" w:rsidP="00656F5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D952C4">
      <w:rPr>
        <w:rFonts w:cs="Calibri"/>
        <w:noProof/>
        <w:sz w:val="16"/>
        <w:szCs w:val="16"/>
      </w:rPr>
      <w:t>P:\ARA\ITU-R\AG\RAG\RAG15\000\003A.docx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656F53">
      <w:rPr>
        <w:rFonts w:cs="Calibri"/>
        <w:sz w:val="16"/>
        <w:szCs w:val="16"/>
      </w:rPr>
      <w:t>378589</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952C4">
      <w:rPr>
        <w:rFonts w:cs="Calibri"/>
        <w:noProof/>
        <w:sz w:val="16"/>
        <w:szCs w:val="16"/>
        <w:lang w:val="en-GB"/>
      </w:rPr>
      <w:t>04.05.15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D952C4">
      <w:rPr>
        <w:rFonts w:cs="Calibri"/>
        <w:noProof/>
        <w:sz w:val="16"/>
        <w:szCs w:val="16"/>
        <w:lang w:val="en-GB"/>
      </w:rPr>
      <w:t>04.05.15</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656F5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D952C4">
      <w:rPr>
        <w:rFonts w:cs="Calibri"/>
        <w:noProof/>
        <w:sz w:val="16"/>
        <w:szCs w:val="16"/>
      </w:rPr>
      <w:t>P:\ARA\ITU-R\AG\RAG\RAG15\000\003A.docx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656F53">
      <w:rPr>
        <w:rFonts w:cs="Calibri"/>
        <w:sz w:val="16"/>
        <w:szCs w:val="16"/>
      </w:rPr>
      <w:t>378589</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D952C4">
      <w:rPr>
        <w:rFonts w:cs="Calibri"/>
        <w:noProof/>
        <w:sz w:val="16"/>
        <w:szCs w:val="16"/>
        <w:lang w:val="en-GB"/>
      </w:rPr>
      <w:t>04.05.15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D952C4">
      <w:rPr>
        <w:rFonts w:cs="Calibri"/>
        <w:noProof/>
        <w:sz w:val="16"/>
        <w:szCs w:val="16"/>
        <w:lang w:val="en-GB"/>
      </w:rPr>
      <w:t>04.05.15</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41" w:rsidRDefault="00B73041" w:rsidP="00057D34">
      <w:pPr>
        <w:spacing w:before="0" w:line="240" w:lineRule="auto"/>
      </w:pPr>
      <w:r>
        <w:separator/>
      </w:r>
    </w:p>
  </w:footnote>
  <w:footnote w:type="continuationSeparator" w:id="0">
    <w:p w:rsidR="00B73041" w:rsidRDefault="00B73041" w:rsidP="00057D34">
      <w:pPr>
        <w:spacing w:before="0" w:line="240" w:lineRule="auto"/>
      </w:pPr>
      <w:r>
        <w:continuationSeparator/>
      </w:r>
    </w:p>
  </w:footnote>
  <w:footnote w:id="1">
    <w:p w:rsidR="0059110F" w:rsidRPr="0059110F" w:rsidRDefault="0059110F" w:rsidP="00680C8C">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120"/>
        <w:ind w:left="425" w:hanging="425"/>
        <w:rPr>
          <w:spacing w:val="-4"/>
          <w:sz w:val="22"/>
          <w:szCs w:val="30"/>
          <w:rtl/>
        </w:rPr>
      </w:pPr>
      <w:r w:rsidRPr="0059110F">
        <w:rPr>
          <w:rStyle w:val="FootnoteReference"/>
          <w:rFonts w:ascii="Times New Roman" w:hAnsi="Times New Roman" w:cs="Times New Roman"/>
          <w:spacing w:val="-4"/>
          <w:sz w:val="22"/>
          <w:szCs w:val="22"/>
        </w:rPr>
        <w:footnoteRef/>
      </w:r>
      <w:r w:rsidRPr="0059110F">
        <w:rPr>
          <w:rFonts w:hint="cs"/>
          <w:spacing w:val="-4"/>
          <w:sz w:val="22"/>
          <w:szCs w:val="30"/>
          <w:rtl/>
        </w:rPr>
        <w:tab/>
        <w:t xml:space="preserve">خوسيه كوستا (إريكسون كندا، كندا)، رقم الهاتف: </w:t>
      </w:r>
      <w:r w:rsidRPr="0059110F">
        <w:rPr>
          <w:spacing w:val="-4"/>
          <w:sz w:val="22"/>
          <w:szCs w:val="30"/>
        </w:rPr>
        <w:t>+1 613 963-8288</w:t>
      </w:r>
      <w:r w:rsidRPr="0059110F">
        <w:rPr>
          <w:rFonts w:hint="cs"/>
          <w:spacing w:val="-4"/>
          <w:sz w:val="22"/>
          <w:szCs w:val="30"/>
          <w:rtl/>
        </w:rPr>
        <w:t xml:space="preserve">، البريد الإلكتروني: </w:t>
      </w:r>
      <w:hyperlink r:id="rId1" w:history="1">
        <w:r w:rsidRPr="0059110F">
          <w:rPr>
            <w:rStyle w:val="Hyperlink"/>
            <w:spacing w:val="-4"/>
            <w:sz w:val="22"/>
            <w:szCs w:val="30"/>
          </w:rPr>
          <w:t>jose.costa@ericsson.com</w:t>
        </w:r>
      </w:hyperlink>
      <w:r w:rsidR="00AC0895" w:rsidRPr="00BC5862">
        <w:rPr>
          <w:rFonts w:hint="cs"/>
          <w:spacing w:val="-4"/>
          <w:sz w:val="22"/>
          <w:szCs w:val="30"/>
          <w:rtl/>
        </w:rPr>
        <w:t>.</w:t>
      </w:r>
    </w:p>
  </w:footnote>
  <w:footnote w:id="2">
    <w:p w:rsidR="002F7CF4" w:rsidRPr="002F7CF4" w:rsidRDefault="002F7CF4" w:rsidP="00680C8C">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line="192" w:lineRule="auto"/>
        <w:ind w:left="425" w:hanging="425"/>
        <w:rPr>
          <w:sz w:val="22"/>
          <w:szCs w:val="30"/>
        </w:rPr>
      </w:pPr>
      <w:r w:rsidRPr="00D64426">
        <w:rPr>
          <w:rStyle w:val="FootnoteReference"/>
          <w:rFonts w:ascii="Times New Roman" w:hAnsi="Times New Roman" w:cs="Times New Roman"/>
          <w:sz w:val="22"/>
          <w:szCs w:val="22"/>
        </w:rPr>
        <w:footnoteRef/>
      </w:r>
      <w:r w:rsidRPr="002F7CF4">
        <w:rPr>
          <w:rFonts w:hint="cs"/>
          <w:sz w:val="22"/>
          <w:szCs w:val="30"/>
          <w:rtl/>
        </w:rPr>
        <w:tab/>
      </w:r>
      <w:hyperlink r:id="rId2" w:history="1">
        <w:r w:rsidRPr="002F7CF4">
          <w:rPr>
            <w:rStyle w:val="Hyperlink"/>
            <w:sz w:val="22"/>
            <w:szCs w:val="30"/>
          </w:rPr>
          <w:t>http://ties.itu.int/listarchives/rag-edh</w:t>
        </w:r>
      </w:hyperlink>
    </w:p>
  </w:footnote>
  <w:footnote w:id="3">
    <w:p w:rsidR="000136C2" w:rsidRPr="00680C8C" w:rsidRDefault="000136C2" w:rsidP="00680C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ind w:left="425" w:hanging="425"/>
        <w:rPr>
          <w:rFonts w:eastAsia="SimSun"/>
          <w:spacing w:val="-4"/>
          <w:rtl/>
          <w:lang w:val="sv-SE"/>
        </w:rPr>
      </w:pPr>
      <w:r w:rsidRPr="00D64426">
        <w:rPr>
          <w:rStyle w:val="FootnoteReference"/>
          <w:rFonts w:ascii="Times New Roman" w:hAnsi="Times New Roman" w:cs="Times New Roman"/>
          <w:sz w:val="22"/>
          <w:szCs w:val="22"/>
        </w:rPr>
        <w:footnoteRef/>
      </w:r>
      <w:r w:rsidRPr="002F7CF4">
        <w:rPr>
          <w:rFonts w:hint="cs"/>
          <w:rtl/>
        </w:rPr>
        <w:tab/>
      </w:r>
      <w:r w:rsidRPr="00680C8C">
        <w:rPr>
          <w:rFonts w:hint="cs"/>
          <w:spacing w:val="-4"/>
          <w:rtl/>
        </w:rPr>
        <w:t xml:space="preserve">ترد التقارير السابقة في الوثائق </w:t>
      </w:r>
      <w:hyperlink r:id="rId3" w:history="1">
        <w:r w:rsidRPr="00680C8C">
          <w:rPr>
            <w:color w:val="0000FF"/>
            <w:spacing w:val="-4"/>
            <w:u w:val="single"/>
            <w:lang w:val="sv-SE"/>
          </w:rPr>
          <w:t>RAG14</w:t>
        </w:r>
        <w:r w:rsidR="00680C8C">
          <w:rPr>
            <w:color w:val="0000FF"/>
            <w:spacing w:val="-4"/>
            <w:u w:val="single"/>
            <w:lang w:val="sv-SE"/>
          </w:rPr>
          <w:noBreakHyphen/>
        </w:r>
        <w:r w:rsidRPr="00680C8C">
          <w:rPr>
            <w:color w:val="0000FF"/>
            <w:spacing w:val="-4"/>
            <w:u w:val="single"/>
            <w:lang w:val="sv-SE"/>
          </w:rPr>
          <w:t>1/19</w:t>
        </w:r>
      </w:hyperlink>
      <w:r w:rsidRPr="00680C8C">
        <w:rPr>
          <w:spacing w:val="-4"/>
          <w:rtl/>
        </w:rPr>
        <w:t xml:space="preserve"> و</w:t>
      </w:r>
      <w:hyperlink r:id="rId4" w:history="1">
        <w:r w:rsidRPr="00680C8C">
          <w:rPr>
            <w:color w:val="0000FF"/>
            <w:spacing w:val="-4"/>
            <w:u w:val="single"/>
            <w:lang w:val="sv-SE"/>
          </w:rPr>
          <w:t>RAG13</w:t>
        </w:r>
        <w:r w:rsidR="00680C8C">
          <w:rPr>
            <w:color w:val="0000FF"/>
            <w:spacing w:val="-4"/>
            <w:u w:val="single"/>
            <w:lang w:val="sv-SE"/>
          </w:rPr>
          <w:noBreakHyphen/>
        </w:r>
        <w:r w:rsidRPr="00680C8C">
          <w:rPr>
            <w:color w:val="0000FF"/>
            <w:spacing w:val="-4"/>
            <w:u w:val="single"/>
            <w:lang w:val="sv-SE"/>
          </w:rPr>
          <w:t>1/6</w:t>
        </w:r>
      </w:hyperlink>
      <w:r w:rsidRPr="00680C8C">
        <w:rPr>
          <w:spacing w:val="-4"/>
          <w:rtl/>
          <w:lang w:val="sv-SE"/>
        </w:rPr>
        <w:t xml:space="preserve"> و</w:t>
      </w:r>
      <w:hyperlink r:id="rId5" w:history="1">
        <w:r w:rsidRPr="00680C8C">
          <w:rPr>
            <w:color w:val="0000FF"/>
            <w:spacing w:val="-4"/>
            <w:u w:val="single"/>
            <w:lang w:val="sv-SE"/>
          </w:rPr>
          <w:t>RAG12</w:t>
        </w:r>
        <w:r w:rsidR="00680C8C">
          <w:rPr>
            <w:color w:val="0000FF"/>
            <w:spacing w:val="-4"/>
            <w:u w:val="single"/>
            <w:lang w:val="sv-SE"/>
          </w:rPr>
          <w:noBreakHyphen/>
        </w:r>
        <w:r w:rsidRPr="00680C8C">
          <w:rPr>
            <w:color w:val="0000FF"/>
            <w:spacing w:val="-4"/>
            <w:u w:val="single"/>
            <w:lang w:val="sv-SE"/>
          </w:rPr>
          <w:t>1/6</w:t>
        </w:r>
      </w:hyperlink>
      <w:r w:rsidRPr="00680C8C">
        <w:rPr>
          <w:spacing w:val="-4"/>
          <w:rtl/>
          <w:lang w:val="sv-SE"/>
        </w:rPr>
        <w:t xml:space="preserve"> و</w:t>
      </w:r>
      <w:hyperlink r:id="rId6" w:history="1">
        <w:r w:rsidRPr="00680C8C">
          <w:rPr>
            <w:color w:val="0000FF"/>
            <w:spacing w:val="-4"/>
            <w:u w:val="single"/>
            <w:lang w:val="sv-SE"/>
          </w:rPr>
          <w:t>RAG11</w:t>
        </w:r>
        <w:r w:rsidR="00680C8C">
          <w:rPr>
            <w:color w:val="0000FF"/>
            <w:spacing w:val="-4"/>
            <w:u w:val="single"/>
            <w:lang w:val="sv-SE"/>
          </w:rPr>
          <w:noBreakHyphen/>
        </w:r>
        <w:r w:rsidRPr="00680C8C">
          <w:rPr>
            <w:color w:val="0000FF"/>
            <w:spacing w:val="-4"/>
            <w:u w:val="single"/>
            <w:lang w:val="sv-SE"/>
          </w:rPr>
          <w:t>1/5</w:t>
        </w:r>
      </w:hyperlink>
      <w:r w:rsidRPr="00680C8C">
        <w:rPr>
          <w:spacing w:val="-4"/>
          <w:rtl/>
          <w:lang w:val="sv-SE"/>
        </w:rPr>
        <w:t xml:space="preserve"> و</w:t>
      </w:r>
      <w:hyperlink r:id="rId7" w:history="1">
        <w:r w:rsidRPr="00680C8C">
          <w:rPr>
            <w:color w:val="0000FF"/>
            <w:spacing w:val="-4"/>
            <w:u w:val="single"/>
            <w:lang w:val="sv-SE"/>
          </w:rPr>
          <w:t>RAG10</w:t>
        </w:r>
        <w:r w:rsidR="00680C8C">
          <w:rPr>
            <w:color w:val="0000FF"/>
            <w:spacing w:val="-4"/>
            <w:u w:val="single"/>
            <w:lang w:val="sv-SE"/>
          </w:rPr>
          <w:noBreakHyphen/>
        </w:r>
        <w:r w:rsidRPr="00680C8C">
          <w:rPr>
            <w:color w:val="0000FF"/>
            <w:spacing w:val="-4"/>
            <w:u w:val="single"/>
            <w:lang w:val="sv-SE"/>
          </w:rPr>
          <w:t>1/4</w:t>
        </w:r>
      </w:hyperlink>
      <w:r w:rsidRPr="00680C8C">
        <w:rPr>
          <w:spacing w:val="-4"/>
          <w:rtl/>
          <w:lang w:val="sv-SE"/>
        </w:rPr>
        <w:t xml:space="preserve"> و</w:t>
      </w:r>
      <w:hyperlink r:id="rId8" w:history="1">
        <w:r w:rsidRPr="00680C8C">
          <w:rPr>
            <w:color w:val="0000FF"/>
            <w:spacing w:val="-4"/>
            <w:u w:val="single"/>
            <w:lang w:val="sv-SE"/>
          </w:rPr>
          <w:t>RAG09</w:t>
        </w:r>
        <w:r w:rsidR="00680C8C">
          <w:rPr>
            <w:color w:val="0000FF"/>
            <w:spacing w:val="-4"/>
            <w:u w:val="single"/>
            <w:lang w:val="sv-SE"/>
          </w:rPr>
          <w:noBreakHyphen/>
        </w:r>
        <w:r w:rsidRPr="00680C8C">
          <w:rPr>
            <w:color w:val="0000FF"/>
            <w:spacing w:val="-4"/>
            <w:u w:val="single"/>
            <w:lang w:val="sv-SE"/>
          </w:rPr>
          <w:t>1/4</w:t>
        </w:r>
      </w:hyperlink>
      <w:r w:rsidRPr="00680C8C">
        <w:rPr>
          <w:spacing w:val="-4"/>
          <w:rtl/>
          <w:lang w:val="sv-SE"/>
        </w:rPr>
        <w:t xml:space="preserve"> و</w:t>
      </w:r>
      <w:hyperlink r:id="rId9" w:history="1">
        <w:r w:rsidRPr="00680C8C">
          <w:rPr>
            <w:color w:val="0000FF"/>
            <w:spacing w:val="-4"/>
            <w:u w:val="single"/>
            <w:lang w:val="sv-SE"/>
          </w:rPr>
          <w:t>RAG08</w:t>
        </w:r>
        <w:r w:rsidR="00680C8C">
          <w:rPr>
            <w:color w:val="0000FF"/>
            <w:spacing w:val="-4"/>
            <w:u w:val="single"/>
            <w:lang w:val="sv-SE"/>
          </w:rPr>
          <w:noBreakHyphen/>
        </w:r>
        <w:r w:rsidRPr="00680C8C">
          <w:rPr>
            <w:color w:val="0000FF"/>
            <w:spacing w:val="-4"/>
            <w:u w:val="single"/>
            <w:lang w:val="sv-SE"/>
          </w:rPr>
          <w:t>1/4</w:t>
        </w:r>
      </w:hyperlink>
      <w:r w:rsidRPr="00680C8C">
        <w:rPr>
          <w:spacing w:val="-4"/>
          <w:rtl/>
          <w:lang w:val="sv-SE"/>
        </w:rPr>
        <w:t xml:space="preserve"> و</w:t>
      </w:r>
      <w:hyperlink r:id="rId10" w:history="1">
        <w:r w:rsidRPr="00680C8C">
          <w:rPr>
            <w:color w:val="0000FF"/>
            <w:spacing w:val="-4"/>
            <w:u w:val="single"/>
            <w:lang w:val="sv-SE"/>
          </w:rPr>
          <w:t>RAG07</w:t>
        </w:r>
        <w:r w:rsidR="00680C8C">
          <w:rPr>
            <w:color w:val="0000FF"/>
            <w:spacing w:val="-4"/>
            <w:u w:val="single"/>
            <w:lang w:val="sv-SE"/>
          </w:rPr>
          <w:noBreakHyphen/>
        </w:r>
        <w:r w:rsidRPr="00680C8C">
          <w:rPr>
            <w:color w:val="0000FF"/>
            <w:spacing w:val="-4"/>
            <w:u w:val="single"/>
            <w:lang w:val="sv-SE"/>
          </w:rPr>
          <w:t>1/2</w:t>
        </w:r>
      </w:hyperlink>
      <w:r w:rsidRPr="00680C8C">
        <w:rPr>
          <w:spacing w:val="-4"/>
          <w:rtl/>
          <w:lang w:val="sv-SE"/>
        </w:rPr>
        <w:t xml:space="preserve"> و</w:t>
      </w:r>
      <w:hyperlink r:id="rId11" w:history="1">
        <w:r w:rsidRPr="00680C8C">
          <w:rPr>
            <w:color w:val="0000FF"/>
            <w:spacing w:val="-4"/>
            <w:u w:val="single"/>
            <w:lang w:val="sv-SE"/>
          </w:rPr>
          <w:t>RAG05</w:t>
        </w:r>
        <w:r w:rsidR="00680C8C">
          <w:rPr>
            <w:color w:val="0000FF"/>
            <w:spacing w:val="-4"/>
            <w:u w:val="single"/>
            <w:lang w:val="sv-SE"/>
          </w:rPr>
          <w:noBreakHyphen/>
        </w:r>
        <w:r w:rsidRPr="00680C8C">
          <w:rPr>
            <w:color w:val="0000FF"/>
            <w:spacing w:val="-4"/>
            <w:u w:val="single"/>
            <w:lang w:val="sv-SE"/>
          </w:rPr>
          <w:t>1/5</w:t>
        </w:r>
      </w:hyperlink>
      <w:r w:rsidRPr="00680C8C">
        <w:rPr>
          <w:spacing w:val="-4"/>
          <w:rtl/>
          <w:lang w:val="sv-SE"/>
        </w:rPr>
        <w:t xml:space="preserve"> و</w:t>
      </w:r>
      <w:hyperlink r:id="rId12" w:history="1">
        <w:r w:rsidRPr="00680C8C">
          <w:rPr>
            <w:color w:val="0000FF"/>
            <w:spacing w:val="-4"/>
            <w:u w:val="single"/>
            <w:lang w:val="sv-SE"/>
          </w:rPr>
          <w:t>RAG04</w:t>
        </w:r>
        <w:r w:rsidR="00680C8C">
          <w:rPr>
            <w:color w:val="0000FF"/>
            <w:spacing w:val="-4"/>
            <w:u w:val="single"/>
            <w:lang w:val="sv-SE"/>
          </w:rPr>
          <w:noBreakHyphen/>
        </w:r>
        <w:r w:rsidRPr="00680C8C">
          <w:rPr>
            <w:color w:val="0000FF"/>
            <w:spacing w:val="-4"/>
            <w:u w:val="single"/>
            <w:lang w:val="sv-SE"/>
          </w:rPr>
          <w:t>1/15</w:t>
        </w:r>
      </w:hyperlink>
      <w:r w:rsidR="006309C1" w:rsidRPr="00680C8C">
        <w:rPr>
          <w:rFonts w:eastAsia="SimSun" w:hint="cs"/>
          <w:spacing w:val="-4"/>
          <w:rtl/>
          <w:lang w:val="sv-S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656F53">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D952C4">
      <w:rPr>
        <w:rFonts w:cs="Calibri"/>
        <w:noProof/>
        <w:sz w:val="20"/>
        <w:szCs w:val="20"/>
        <w:lang w:val="en-GB"/>
      </w:rPr>
      <w:t>2</w:t>
    </w:r>
    <w:r w:rsidRPr="00057D34">
      <w:rPr>
        <w:rFonts w:cs="Calibri"/>
        <w:sz w:val="20"/>
        <w:szCs w:val="20"/>
      </w:rPr>
      <w:fldChar w:fldCharType="end"/>
    </w:r>
    <w:r w:rsidRPr="00057D34">
      <w:rPr>
        <w:rFonts w:cs="Calibri"/>
        <w:sz w:val="20"/>
        <w:szCs w:val="20"/>
        <w:lang w:val="en-GB"/>
      </w:rPr>
      <w:br/>
      <w:t>RAG15</w:t>
    </w:r>
    <w:r w:rsidR="00275A49">
      <w:rPr>
        <w:rFonts w:cs="Calibri"/>
        <w:sz w:val="20"/>
        <w:szCs w:val="20"/>
        <w:lang w:val="en-GB"/>
      </w:rPr>
      <w:t>-1</w:t>
    </w:r>
    <w:r w:rsidRPr="00057D34">
      <w:rPr>
        <w:rFonts w:cs="Calibri"/>
        <w:sz w:val="20"/>
        <w:szCs w:val="20"/>
        <w:lang w:val="en-GB"/>
      </w:rPr>
      <w:t>/</w:t>
    </w:r>
    <w:r w:rsidR="00656F53">
      <w:rPr>
        <w:rFonts w:cs="Calibri"/>
        <w:sz w:val="20"/>
        <w:szCs w:val="20"/>
        <w:lang w:val="en-GB"/>
      </w:rPr>
      <w:t>3</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41"/>
    <w:rsid w:val="000136C2"/>
    <w:rsid w:val="00057D34"/>
    <w:rsid w:val="00065D6D"/>
    <w:rsid w:val="000671E1"/>
    <w:rsid w:val="00067F54"/>
    <w:rsid w:val="000876A6"/>
    <w:rsid w:val="00090574"/>
    <w:rsid w:val="000968CF"/>
    <w:rsid w:val="000E6A63"/>
    <w:rsid w:val="001018B3"/>
    <w:rsid w:val="001270EB"/>
    <w:rsid w:val="00127425"/>
    <w:rsid w:val="00152C6E"/>
    <w:rsid w:val="001540AE"/>
    <w:rsid w:val="0016334A"/>
    <w:rsid w:val="00166573"/>
    <w:rsid w:val="0017194E"/>
    <w:rsid w:val="0017278F"/>
    <w:rsid w:val="00173915"/>
    <w:rsid w:val="001A6540"/>
    <w:rsid w:val="001B753F"/>
    <w:rsid w:val="001C4D41"/>
    <w:rsid w:val="001D0B66"/>
    <w:rsid w:val="002024AC"/>
    <w:rsid w:val="00221642"/>
    <w:rsid w:val="0023283D"/>
    <w:rsid w:val="00262972"/>
    <w:rsid w:val="00275A49"/>
    <w:rsid w:val="002815C1"/>
    <w:rsid w:val="002978F4"/>
    <w:rsid w:val="002B028D"/>
    <w:rsid w:val="002E6541"/>
    <w:rsid w:val="002F74D8"/>
    <w:rsid w:val="002F7CF4"/>
    <w:rsid w:val="00313CD0"/>
    <w:rsid w:val="00315722"/>
    <w:rsid w:val="0032318B"/>
    <w:rsid w:val="00337703"/>
    <w:rsid w:val="0035280D"/>
    <w:rsid w:val="00357185"/>
    <w:rsid w:val="00367696"/>
    <w:rsid w:val="00376F64"/>
    <w:rsid w:val="003C589F"/>
    <w:rsid w:val="003D3A0A"/>
    <w:rsid w:val="003F678F"/>
    <w:rsid w:val="0042686F"/>
    <w:rsid w:val="00431DDE"/>
    <w:rsid w:val="00434BAF"/>
    <w:rsid w:val="00443869"/>
    <w:rsid w:val="004C6174"/>
    <w:rsid w:val="004E6710"/>
    <w:rsid w:val="00501E0E"/>
    <w:rsid w:val="00533501"/>
    <w:rsid w:val="005354CC"/>
    <w:rsid w:val="00535618"/>
    <w:rsid w:val="005508B5"/>
    <w:rsid w:val="0055516A"/>
    <w:rsid w:val="0059110F"/>
    <w:rsid w:val="005C6991"/>
    <w:rsid w:val="005F4949"/>
    <w:rsid w:val="005F4F29"/>
    <w:rsid w:val="006309C1"/>
    <w:rsid w:val="00656F53"/>
    <w:rsid w:val="00680C8C"/>
    <w:rsid w:val="006B1E95"/>
    <w:rsid w:val="006C0301"/>
    <w:rsid w:val="006D0554"/>
    <w:rsid w:val="006D2A42"/>
    <w:rsid w:val="006F63F7"/>
    <w:rsid w:val="00706D7A"/>
    <w:rsid w:val="00716AFC"/>
    <w:rsid w:val="007A2635"/>
    <w:rsid w:val="007A7F21"/>
    <w:rsid w:val="00803F08"/>
    <w:rsid w:val="008235CD"/>
    <w:rsid w:val="008513CB"/>
    <w:rsid w:val="00870407"/>
    <w:rsid w:val="008828CA"/>
    <w:rsid w:val="00887FC2"/>
    <w:rsid w:val="008A41FB"/>
    <w:rsid w:val="009129CD"/>
    <w:rsid w:val="00924304"/>
    <w:rsid w:val="009252FA"/>
    <w:rsid w:val="00973413"/>
    <w:rsid w:val="00982B28"/>
    <w:rsid w:val="009C0EE0"/>
    <w:rsid w:val="009C68D0"/>
    <w:rsid w:val="00A4446C"/>
    <w:rsid w:val="00A461B4"/>
    <w:rsid w:val="00A64E3E"/>
    <w:rsid w:val="00A6503A"/>
    <w:rsid w:val="00A700B7"/>
    <w:rsid w:val="00A71856"/>
    <w:rsid w:val="00A80AB8"/>
    <w:rsid w:val="00A93254"/>
    <w:rsid w:val="00A97F94"/>
    <w:rsid w:val="00AA1104"/>
    <w:rsid w:val="00AA3178"/>
    <w:rsid w:val="00AC0895"/>
    <w:rsid w:val="00AD158E"/>
    <w:rsid w:val="00B3285A"/>
    <w:rsid w:val="00B73041"/>
    <w:rsid w:val="00B97CEB"/>
    <w:rsid w:val="00BC5862"/>
    <w:rsid w:val="00BD42B8"/>
    <w:rsid w:val="00BF66A7"/>
    <w:rsid w:val="00C51FE1"/>
    <w:rsid w:val="00C61D12"/>
    <w:rsid w:val="00C674FE"/>
    <w:rsid w:val="00C75633"/>
    <w:rsid w:val="00CA0A41"/>
    <w:rsid w:val="00CC2778"/>
    <w:rsid w:val="00CD5D67"/>
    <w:rsid w:val="00CE2EE1"/>
    <w:rsid w:val="00CF3FFD"/>
    <w:rsid w:val="00D06289"/>
    <w:rsid w:val="00D24147"/>
    <w:rsid w:val="00D45BE1"/>
    <w:rsid w:val="00D64426"/>
    <w:rsid w:val="00D77D0F"/>
    <w:rsid w:val="00D952C4"/>
    <w:rsid w:val="00DA1CF0"/>
    <w:rsid w:val="00DC24B4"/>
    <w:rsid w:val="00DC58C0"/>
    <w:rsid w:val="00DF16DC"/>
    <w:rsid w:val="00DF42EC"/>
    <w:rsid w:val="00E17033"/>
    <w:rsid w:val="00E2213D"/>
    <w:rsid w:val="00E24EA9"/>
    <w:rsid w:val="00E45211"/>
    <w:rsid w:val="00E673BA"/>
    <w:rsid w:val="00E75884"/>
    <w:rsid w:val="00E906C2"/>
    <w:rsid w:val="00E90970"/>
    <w:rsid w:val="00EB4BC4"/>
    <w:rsid w:val="00EC41DB"/>
    <w:rsid w:val="00F0508E"/>
    <w:rsid w:val="00F403DC"/>
    <w:rsid w:val="00F54AE3"/>
    <w:rsid w:val="00F84366"/>
    <w:rsid w:val="00F85089"/>
    <w:rsid w:val="00FC64C2"/>
    <w:rsid w:val="00FD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6627FF7-3967-4B67-8850-98F6BE9C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067F54"/>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67F54"/>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67F54"/>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67F54"/>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67F54"/>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67F54"/>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67F54"/>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67F54"/>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67F54"/>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rsid w:val="00067F54"/>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067F54"/>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067F54"/>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067F54"/>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067F54"/>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067F54"/>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067F54"/>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067F54"/>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067F54"/>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067F54"/>
    <w:pPr>
      <w:keepNext/>
      <w:spacing w:before="240"/>
      <w:ind w:left="794" w:hanging="794"/>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nhideWhenUsed/>
    <w:rsid w:val="001C4D41"/>
    <w:rPr>
      <w:color w:val="0000F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4-RAG14-C-0019/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pub/T-RES/en" TargetMode="External"/><Relationship Id="rId17" Type="http://schemas.openxmlformats.org/officeDocument/2006/relationships/hyperlink" Target="http://www.itu.int/md/R15-RAG15-C-0001/en" TargetMode="External"/><Relationship Id="rId2" Type="http://schemas.openxmlformats.org/officeDocument/2006/relationships/numbering" Target="numbering.xml"/><Relationship Id="rId16" Type="http://schemas.openxmlformats.org/officeDocument/2006/relationships/hyperlink" Target="https://www.itu.int/md/dologin_md.asp?lang=en&amp;id=R15-RAG15-C-0001!A2!MSW-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g-edh@itu.int" TargetMode="External"/><Relationship Id="rId5" Type="http://schemas.openxmlformats.org/officeDocument/2006/relationships/webSettings" Target="webSettings.xml"/><Relationship Id="rId15" Type="http://schemas.openxmlformats.org/officeDocument/2006/relationships/hyperlink" Target="mailto:rag-edh@itu.int" TargetMode="External"/><Relationship Id="rId10" Type="http://schemas.openxmlformats.org/officeDocument/2006/relationships/hyperlink" Target="mailto:&#1605;&#1581;&#1601;&#1608;&#1592;&#1575;&#157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A-CIR-0130/e" TargetMode="External"/><Relationship Id="rId14" Type="http://schemas.openxmlformats.org/officeDocument/2006/relationships/hyperlink" Target="http://www.itu.int/cybersecurit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R09-RAG-C-0004/en" TargetMode="External"/><Relationship Id="rId3" Type="http://schemas.openxmlformats.org/officeDocument/2006/relationships/hyperlink" Target="http://www.itu.int/md/R14-RAG14-C-0019/en" TargetMode="External"/><Relationship Id="rId7" Type="http://schemas.openxmlformats.org/officeDocument/2006/relationships/hyperlink" Target="http://www.itu.int/md/R10-RAG-C-0004/en" TargetMode="External"/><Relationship Id="rId12" Type="http://schemas.openxmlformats.org/officeDocument/2006/relationships/hyperlink" Target="http://www.itu.int/md/R04-RAG-C-0015/e" TargetMode="External"/><Relationship Id="rId2" Type="http://schemas.openxmlformats.org/officeDocument/2006/relationships/hyperlink" Target="http://ties.itu.int/listarchives/rag-edh" TargetMode="External"/><Relationship Id="rId1" Type="http://schemas.openxmlformats.org/officeDocument/2006/relationships/hyperlink" Target="mailto:jose.costa@ericsson.com" TargetMode="External"/><Relationship Id="rId6" Type="http://schemas.openxmlformats.org/officeDocument/2006/relationships/hyperlink" Target="http://www.itu.int/md/R11-RAG2011-C-0005/en" TargetMode="External"/><Relationship Id="rId11" Type="http://schemas.openxmlformats.org/officeDocument/2006/relationships/hyperlink" Target="http://www.itu.int/md/R05-RAG-C-0005/e" TargetMode="External"/><Relationship Id="rId5" Type="http://schemas.openxmlformats.org/officeDocument/2006/relationships/hyperlink" Target="http://www.itu.int/md/R12-RAG-C-0006/en" TargetMode="External"/><Relationship Id="rId10" Type="http://schemas.openxmlformats.org/officeDocument/2006/relationships/hyperlink" Target="http://www.itu.int/md/R07-RAG-C-0002/e" TargetMode="External"/><Relationship Id="rId4" Type="http://schemas.openxmlformats.org/officeDocument/2006/relationships/hyperlink" Target="http://www.itu.int/md/R13-RAG13-C-0006/en" TargetMode="External"/><Relationship Id="rId9" Type="http://schemas.openxmlformats.org/officeDocument/2006/relationships/hyperlink" Target="http://www.itu.int/md/R08-RAG-C-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12D9-63EF-48D7-A21E-258BD3B1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PA_RAG15.dotx</Template>
  <TotalTime>99</TotalTime>
  <Pages>2</Pages>
  <Words>701</Words>
  <Characters>3966</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82</cp:revision>
  <cp:lastPrinted>2015-05-04T11:29:00Z</cp:lastPrinted>
  <dcterms:created xsi:type="dcterms:W3CDTF">2015-05-04T08:36:00Z</dcterms:created>
  <dcterms:modified xsi:type="dcterms:W3CDTF">2015-05-04T11:29:00Z</dcterms:modified>
</cp:coreProperties>
</file>