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4442E2" w:rsidRPr="00E21A78" w:rsidTr="009D287B">
        <w:trPr>
          <w:cantSplit/>
        </w:trPr>
        <w:tc>
          <w:tcPr>
            <w:tcW w:w="6487" w:type="dxa"/>
          </w:tcPr>
          <w:p w:rsidR="004442E2" w:rsidRPr="00E21A7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E21A78">
              <w:rPr>
                <w:rFonts w:ascii="Verdana" w:hAnsi="Verdana" w:cs="Times New Roman Bold"/>
                <w:b/>
                <w:szCs w:val="24"/>
              </w:rPr>
              <w:t>Assemblée des Radiocommunications (AR-15)</w:t>
            </w:r>
            <w:r w:rsidRPr="00E21A78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E21A78">
              <w:rPr>
                <w:rFonts w:ascii="Verdana" w:hAnsi="Verdana" w:cs="Times"/>
                <w:b/>
                <w:sz w:val="20"/>
              </w:rPr>
              <w:t>Genève, 26-30 octobre 2015</w:t>
            </w:r>
          </w:p>
        </w:tc>
        <w:tc>
          <w:tcPr>
            <w:tcW w:w="3544" w:type="dxa"/>
          </w:tcPr>
          <w:p w:rsidR="004442E2" w:rsidRPr="00E21A78" w:rsidRDefault="004442E2" w:rsidP="00223DF9">
            <w:pPr>
              <w:spacing w:line="240" w:lineRule="atLeast"/>
              <w:jc w:val="right"/>
            </w:pPr>
            <w:bookmarkStart w:id="0" w:name="ditulogo"/>
            <w:bookmarkEnd w:id="0"/>
            <w:r w:rsidRPr="00E21A78"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E21A78" w:rsidTr="009D287B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4442E2" w:rsidRPr="00E21A78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E21A78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4442E2" w:rsidRPr="00E21A78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E21A78" w:rsidTr="009D287B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4442E2" w:rsidRPr="00E21A7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4442E2" w:rsidRPr="00E21A7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E21A78" w:rsidTr="009D287B">
        <w:trPr>
          <w:cantSplit/>
          <w:trHeight w:val="23"/>
        </w:trPr>
        <w:tc>
          <w:tcPr>
            <w:tcW w:w="6487" w:type="dxa"/>
            <w:vMerge w:val="restart"/>
          </w:tcPr>
          <w:p w:rsidR="004442E2" w:rsidRPr="00E21A78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544" w:type="dxa"/>
          </w:tcPr>
          <w:p w:rsidR="004442E2" w:rsidRPr="00E21A78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21A78">
              <w:rPr>
                <w:rFonts w:ascii="Verdana" w:hAnsi="Verdana"/>
                <w:b/>
                <w:sz w:val="20"/>
              </w:rPr>
              <w:t>Document RA15/</w:t>
            </w:r>
            <w:r w:rsidR="009D287B" w:rsidRPr="00E21A78">
              <w:rPr>
                <w:rFonts w:ascii="Verdana" w:hAnsi="Verdana"/>
                <w:b/>
                <w:sz w:val="20"/>
              </w:rPr>
              <w:t>PLEN/101</w:t>
            </w:r>
            <w:r w:rsidRPr="00E21A7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E21A78" w:rsidTr="009D287B">
        <w:trPr>
          <w:cantSplit/>
          <w:trHeight w:val="23"/>
        </w:trPr>
        <w:tc>
          <w:tcPr>
            <w:tcW w:w="6487" w:type="dxa"/>
            <w:vMerge/>
          </w:tcPr>
          <w:p w:rsidR="004442E2" w:rsidRPr="00E21A7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544" w:type="dxa"/>
          </w:tcPr>
          <w:p w:rsidR="004442E2" w:rsidRPr="00E21A78" w:rsidRDefault="009D287B" w:rsidP="009D287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21A78">
              <w:rPr>
                <w:rFonts w:ascii="Verdana" w:hAnsi="Verdana"/>
                <w:b/>
                <w:sz w:val="20"/>
              </w:rPr>
              <w:t xml:space="preserve">10 novembre </w:t>
            </w:r>
            <w:r w:rsidR="004442E2" w:rsidRPr="00E21A78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4442E2" w:rsidRPr="00E21A78" w:rsidTr="009D287B">
        <w:trPr>
          <w:cantSplit/>
          <w:trHeight w:val="23"/>
        </w:trPr>
        <w:tc>
          <w:tcPr>
            <w:tcW w:w="6487" w:type="dxa"/>
            <w:vMerge/>
          </w:tcPr>
          <w:p w:rsidR="004442E2" w:rsidRPr="00E21A7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544" w:type="dxa"/>
          </w:tcPr>
          <w:p w:rsidR="004442E2" w:rsidRPr="00E21A78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 w:rsidRPr="00E21A78">
        <w:trPr>
          <w:cantSplit/>
        </w:trPr>
        <w:tc>
          <w:tcPr>
            <w:tcW w:w="10031" w:type="dxa"/>
          </w:tcPr>
          <w:p w:rsidR="004442E2" w:rsidRPr="00E21A78" w:rsidRDefault="009D287B">
            <w:pPr>
              <w:pStyle w:val="Source"/>
              <w:rPr>
                <w:b w:val="0"/>
                <w:bCs/>
              </w:rPr>
            </w:pPr>
            <w:bookmarkStart w:id="7" w:name="dsource" w:colFirst="0" w:colLast="0"/>
            <w:bookmarkEnd w:id="4"/>
            <w:bookmarkEnd w:id="6"/>
            <w:r w:rsidRPr="00E21A78">
              <w:rPr>
                <w:b w:val="0"/>
                <w:bCs/>
              </w:rPr>
              <w:t xml:space="preserve">COMPTE RENDU DE LA QUATRIÈME SÉANCE PLÉNIÈRE </w:t>
            </w:r>
            <w:r w:rsidRPr="00E21A78">
              <w:rPr>
                <w:b w:val="0"/>
                <w:bCs/>
              </w:rPr>
              <w:br/>
              <w:t>DE L'ASSEMBLÉE DES RADIOCOMMUNICATIONS</w:t>
            </w:r>
          </w:p>
        </w:tc>
      </w:tr>
      <w:tr w:rsidR="004442E2" w:rsidRPr="00E21A78">
        <w:trPr>
          <w:cantSplit/>
        </w:trPr>
        <w:tc>
          <w:tcPr>
            <w:tcW w:w="10031" w:type="dxa"/>
          </w:tcPr>
          <w:p w:rsidR="004442E2" w:rsidRPr="00E21A78" w:rsidRDefault="009D287B">
            <w:pPr>
              <w:pStyle w:val="Title1"/>
            </w:pPr>
            <w:bookmarkStart w:id="8" w:name="dtitle1" w:colFirst="0" w:colLast="0"/>
            <w:bookmarkEnd w:id="7"/>
            <w:r w:rsidRPr="00E21A78">
              <w:t>J</w:t>
            </w:r>
            <w:r w:rsidRPr="00E21A78">
              <w:rPr>
                <w:caps w:val="0"/>
              </w:rPr>
              <w:t>eudi 29 octobre 2015 à 14 heures</w:t>
            </w:r>
          </w:p>
        </w:tc>
      </w:tr>
      <w:tr w:rsidR="004442E2" w:rsidRPr="00E21A78">
        <w:trPr>
          <w:cantSplit/>
        </w:trPr>
        <w:tc>
          <w:tcPr>
            <w:tcW w:w="10031" w:type="dxa"/>
          </w:tcPr>
          <w:p w:rsidR="004442E2" w:rsidRPr="00E21A78" w:rsidRDefault="009D287B" w:rsidP="009D287B">
            <w:pPr>
              <w:pStyle w:val="Title2"/>
              <w:spacing w:before="240"/>
            </w:pPr>
            <w:bookmarkStart w:id="9" w:name="dtitle2" w:colFirst="0" w:colLast="0"/>
            <w:bookmarkEnd w:id="8"/>
            <w:r w:rsidRPr="00E21A78">
              <w:t>(S</w:t>
            </w:r>
            <w:r w:rsidRPr="00E21A78">
              <w:rPr>
                <w:caps w:val="0"/>
              </w:rPr>
              <w:t>alle 1</w:t>
            </w:r>
            <w:r w:rsidRPr="00E21A78">
              <w:t>, CICG)</w:t>
            </w:r>
          </w:p>
        </w:tc>
      </w:tr>
      <w:bookmarkEnd w:id="9"/>
    </w:tbl>
    <w:p w:rsidR="004442E2" w:rsidRPr="00E21A78" w:rsidRDefault="004442E2" w:rsidP="00BC313A"/>
    <w:tbl>
      <w:tblPr>
        <w:tblW w:w="5312" w:type="pct"/>
        <w:tblInd w:w="-34" w:type="dxa"/>
        <w:tblLook w:val="0000" w:firstRow="0" w:lastRow="0" w:firstColumn="0" w:lastColumn="0" w:noHBand="0" w:noVBand="0"/>
      </w:tblPr>
      <w:tblGrid>
        <w:gridCol w:w="336"/>
        <w:gridCol w:w="6787"/>
        <w:gridCol w:w="3117"/>
      </w:tblGrid>
      <w:tr w:rsidR="009D287B" w:rsidRPr="00E21A78" w:rsidTr="00B548E7">
        <w:trPr>
          <w:trHeight w:val="340"/>
        </w:trPr>
        <w:tc>
          <w:tcPr>
            <w:tcW w:w="164" w:type="pct"/>
          </w:tcPr>
          <w:p w:rsidR="009D287B" w:rsidRPr="00E21A78" w:rsidRDefault="009D287B" w:rsidP="00405588">
            <w:pPr>
              <w:pStyle w:val="toc0"/>
              <w:spacing w:before="80"/>
            </w:pPr>
          </w:p>
        </w:tc>
        <w:tc>
          <w:tcPr>
            <w:tcW w:w="3313" w:type="pct"/>
          </w:tcPr>
          <w:p w:rsidR="009D287B" w:rsidRPr="00E21A78" w:rsidRDefault="009D287B" w:rsidP="00405588">
            <w:pPr>
              <w:pStyle w:val="toc0"/>
              <w:spacing w:before="80"/>
            </w:pPr>
          </w:p>
        </w:tc>
        <w:tc>
          <w:tcPr>
            <w:tcW w:w="1522" w:type="pct"/>
          </w:tcPr>
          <w:p w:rsidR="009D287B" w:rsidRPr="00E21A78" w:rsidRDefault="009D287B" w:rsidP="00405588">
            <w:pPr>
              <w:pStyle w:val="toc0"/>
              <w:spacing w:before="80"/>
              <w:jc w:val="center"/>
            </w:pPr>
            <w:r w:rsidRPr="00E21A78">
              <w:t>Documents</w:t>
            </w:r>
          </w:p>
        </w:tc>
      </w:tr>
      <w:tr w:rsidR="009D287B" w:rsidRPr="00E21A78" w:rsidTr="00B548E7">
        <w:trPr>
          <w:trHeight w:val="340"/>
        </w:trPr>
        <w:tc>
          <w:tcPr>
            <w:tcW w:w="164" w:type="pct"/>
          </w:tcPr>
          <w:p w:rsidR="009D287B" w:rsidRPr="00E21A78" w:rsidRDefault="009D287B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1</w:t>
            </w:r>
          </w:p>
        </w:tc>
        <w:tc>
          <w:tcPr>
            <w:tcW w:w="3313" w:type="pct"/>
          </w:tcPr>
          <w:p w:rsidR="009D287B" w:rsidRPr="00E21A78" w:rsidRDefault="00D03CA3" w:rsidP="00405588">
            <w:pPr>
              <w:spacing w:before="80"/>
            </w:pPr>
            <w:r w:rsidRPr="00E21A78">
              <w:t>Ouverture de la séance</w:t>
            </w:r>
          </w:p>
        </w:tc>
        <w:tc>
          <w:tcPr>
            <w:tcW w:w="1522" w:type="pct"/>
          </w:tcPr>
          <w:p w:rsidR="009D287B" w:rsidRPr="00E21A78" w:rsidRDefault="009D287B" w:rsidP="00405588">
            <w:pPr>
              <w:spacing w:before="80"/>
              <w:jc w:val="center"/>
            </w:pPr>
          </w:p>
        </w:tc>
      </w:tr>
      <w:tr w:rsidR="009D287B" w:rsidRPr="00E21A78" w:rsidTr="00B548E7">
        <w:trPr>
          <w:trHeight w:val="340"/>
        </w:trPr>
        <w:tc>
          <w:tcPr>
            <w:tcW w:w="164" w:type="pct"/>
          </w:tcPr>
          <w:p w:rsidR="009D287B" w:rsidRPr="00E21A78" w:rsidRDefault="009D287B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2</w:t>
            </w:r>
          </w:p>
        </w:tc>
        <w:tc>
          <w:tcPr>
            <w:tcW w:w="3313" w:type="pct"/>
          </w:tcPr>
          <w:p w:rsidR="009D287B" w:rsidRPr="00E21A78" w:rsidRDefault="00D03CA3" w:rsidP="00405588">
            <w:pPr>
              <w:spacing w:before="80"/>
            </w:pPr>
            <w:r w:rsidRPr="00E21A78">
              <w:t>Adoption de l'ordre du jour</w:t>
            </w:r>
          </w:p>
          <w:p w:rsidR="009D287B" w:rsidRPr="00E21A78" w:rsidRDefault="00D03CA3" w:rsidP="00405588">
            <w:pPr>
              <w:spacing w:before="80"/>
            </w:pPr>
            <w:r w:rsidRPr="00E21A78">
              <w:rPr>
                <w:color w:val="000000"/>
              </w:rPr>
              <w:t>L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 xml:space="preserve">ordre du jour a été </w:t>
            </w:r>
            <w:r w:rsidR="00170430" w:rsidRPr="00E21A78">
              <w:rPr>
                <w:color w:val="000000"/>
              </w:rPr>
              <w:t>adopté</w:t>
            </w:r>
            <w:r w:rsidRPr="00E21A78">
              <w:rPr>
                <w:color w:val="000000"/>
              </w:rPr>
              <w:t xml:space="preserve"> tel que modifié (le point 6 a été supprimé).</w:t>
            </w:r>
          </w:p>
        </w:tc>
        <w:tc>
          <w:tcPr>
            <w:tcW w:w="1522" w:type="pct"/>
          </w:tcPr>
          <w:p w:rsidR="009D287B" w:rsidRPr="00E21A78" w:rsidRDefault="009D287B" w:rsidP="00405588">
            <w:pPr>
              <w:spacing w:before="80"/>
              <w:jc w:val="center"/>
            </w:pPr>
            <w:r w:rsidRPr="00E21A78">
              <w:t>ADM/22</w:t>
            </w:r>
          </w:p>
        </w:tc>
      </w:tr>
      <w:tr w:rsidR="00D03CA3" w:rsidRPr="00E21A78" w:rsidTr="00B548E7">
        <w:trPr>
          <w:trHeight w:val="340"/>
        </w:trPr>
        <w:tc>
          <w:tcPr>
            <w:tcW w:w="164" w:type="pct"/>
          </w:tcPr>
          <w:p w:rsidR="00D03CA3" w:rsidRPr="00E21A78" w:rsidRDefault="00D03CA3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3</w:t>
            </w:r>
          </w:p>
        </w:tc>
        <w:tc>
          <w:tcPr>
            <w:tcW w:w="3313" w:type="pct"/>
          </w:tcPr>
          <w:p w:rsidR="00D03CA3" w:rsidRPr="00E21A78" w:rsidRDefault="00D03CA3" w:rsidP="00405588">
            <w:pPr>
              <w:spacing w:before="80"/>
              <w:rPr>
                <w:color w:val="000000"/>
              </w:rPr>
            </w:pPr>
            <w:r w:rsidRPr="00E21A78">
              <w:rPr>
                <w:color w:val="000000"/>
              </w:rPr>
              <w:t>Rapport du Président et documents émanant de la Commission d'études 6</w:t>
            </w:r>
          </w:p>
          <w:p w:rsidR="00D03CA3" w:rsidRPr="00E21A78" w:rsidRDefault="00D03CA3" w:rsidP="00B7072A">
            <w:pPr>
              <w:spacing w:before="80"/>
              <w:rPr>
                <w:color w:val="000000"/>
              </w:rPr>
            </w:pPr>
            <w:r w:rsidRPr="00E21A78">
              <w:t>M. C. </w:t>
            </w:r>
            <w:proofErr w:type="spellStart"/>
            <w:r w:rsidRPr="00E21A78">
              <w:t>Dosch</w:t>
            </w:r>
            <w:proofErr w:type="spellEnd"/>
            <w:r w:rsidRPr="00E21A78">
              <w:t xml:space="preserve">, Président de la Commission </w:t>
            </w:r>
            <w:r w:rsidRPr="00E21A78">
              <w:rPr>
                <w:color w:val="000000"/>
              </w:rPr>
              <w:t xml:space="preserve">d'études </w:t>
            </w:r>
            <w:r w:rsidRPr="00E21A78">
              <w:t xml:space="preserve">6 (CE 6), a présenté le </w:t>
            </w:r>
            <w:r w:rsidRPr="00E21A78">
              <w:rPr>
                <w:color w:val="000000"/>
              </w:rPr>
              <w:t xml:space="preserve">Rapport et les documents émanant de la Commission d'études 6. </w:t>
            </w:r>
            <w:r w:rsidRPr="00E21A78">
              <w:t>Il a été pris note des d</w:t>
            </w:r>
            <w:r w:rsidR="00406464">
              <w:t>ocuments 6/1001 et 6/1002. Les D</w:t>
            </w:r>
            <w:r w:rsidRPr="00E21A78">
              <w:t xml:space="preserve">ocuments 6/1003 et 6/1004 </w:t>
            </w:r>
            <w:r w:rsidRPr="00E21A78">
              <w:rPr>
                <w:color w:val="000000"/>
              </w:rPr>
              <w:t xml:space="preserve">ont été examinés par la Commission 4. M. </w:t>
            </w:r>
            <w:proofErr w:type="spellStart"/>
            <w:r w:rsidRPr="00E21A78">
              <w:rPr>
                <w:color w:val="000000"/>
              </w:rPr>
              <w:t>Dosch</w:t>
            </w:r>
            <w:proofErr w:type="spellEnd"/>
            <w:r w:rsidRPr="00E21A78">
              <w:rPr>
                <w:color w:val="000000"/>
              </w:rPr>
              <w:t xml:space="preserve"> a insisté sur les activités communes de la Commission d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>études, à travers ses Groupes de travail 6B et 6C, avec les commissions d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>études de l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 xml:space="preserve">UIT-T dans les trois Groupes du Rapporteur intersectoriels </w:t>
            </w:r>
            <w:r w:rsidRPr="00E21A78">
              <w:t xml:space="preserve">(IRG-AVA, IRG-AVQA et IRG-IBB). </w:t>
            </w:r>
            <w:proofErr w:type="spellStart"/>
            <w:r w:rsidRPr="00E21A78">
              <w:rPr>
                <w:color w:val="000000"/>
              </w:rPr>
              <w:t>La</w:t>
            </w:r>
            <w:proofErr w:type="spellEnd"/>
            <w:r w:rsidRPr="00E21A78">
              <w:rPr>
                <w:color w:val="000000"/>
              </w:rPr>
              <w:t xml:space="preserve"> CE 6 a également </w:t>
            </w:r>
            <w:proofErr w:type="spellStart"/>
            <w:r w:rsidR="00B7072A">
              <w:rPr>
                <w:color w:val="000000"/>
              </w:rPr>
              <w:t>oe</w:t>
            </w:r>
            <w:r w:rsidRPr="00E21A78">
              <w:rPr>
                <w:color w:val="000000"/>
              </w:rPr>
              <w:t>uvré</w:t>
            </w:r>
            <w:proofErr w:type="spellEnd"/>
            <w:r w:rsidRPr="00E21A78">
              <w:rPr>
                <w:color w:val="000000"/>
              </w:rPr>
              <w:t xml:space="preserve"> pour encourager l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 xml:space="preserve">acquisition et le partage de connaissances et de savoir-faire en matière de radiocommunications dans le cadre de divers ateliers, séminaires et colloques ayant rencontré un franc succès. M. </w:t>
            </w:r>
            <w:proofErr w:type="spellStart"/>
            <w:r w:rsidRPr="00E21A78">
              <w:rPr>
                <w:color w:val="000000"/>
              </w:rPr>
              <w:t>Dosch</w:t>
            </w:r>
            <w:proofErr w:type="spellEnd"/>
            <w:r w:rsidRPr="00E21A78">
              <w:rPr>
                <w:color w:val="000000"/>
              </w:rPr>
              <w:t xml:space="preserve"> a remercié les Présidents et les Vice</w:t>
            </w:r>
            <w:r w:rsidR="00170430" w:rsidRPr="00E21A78">
              <w:rPr>
                <w:color w:val="000000"/>
              </w:rPr>
              <w:noBreakHyphen/>
            </w:r>
            <w:r w:rsidRPr="00E21A78">
              <w:rPr>
                <w:color w:val="000000"/>
              </w:rPr>
              <w:t xml:space="preserve">Présidents des Groupes de travail, le Secrétariat du BR et </w:t>
            </w:r>
            <w:r w:rsidR="00170430" w:rsidRPr="00E21A78">
              <w:rPr>
                <w:color w:val="000000"/>
              </w:rPr>
              <w:t xml:space="preserve">tous les </w:t>
            </w:r>
            <w:r w:rsidRPr="00E21A78">
              <w:rPr>
                <w:color w:val="000000"/>
              </w:rPr>
              <w:t>participants aux activités de la CE 6. M. </w:t>
            </w:r>
            <w:proofErr w:type="spellStart"/>
            <w:r w:rsidRPr="00E21A78">
              <w:rPr>
                <w:color w:val="000000"/>
              </w:rPr>
              <w:t>Dosch</w:t>
            </w:r>
            <w:proofErr w:type="spellEnd"/>
            <w:r w:rsidRPr="00E21A78">
              <w:rPr>
                <w:color w:val="000000"/>
              </w:rPr>
              <w:t xml:space="preserve"> a tenu à évoquer le dévouement sans faille du Président honoraire de la CE 6, M. </w:t>
            </w:r>
            <w:proofErr w:type="spellStart"/>
            <w:r w:rsidRPr="00E21A78">
              <w:rPr>
                <w:color w:val="000000"/>
              </w:rPr>
              <w:t>Krivocheev</w:t>
            </w:r>
            <w:proofErr w:type="spellEnd"/>
            <w:r w:rsidRPr="00E21A78">
              <w:rPr>
                <w:color w:val="000000"/>
              </w:rPr>
              <w:t>, aux travaux de la Commission d'études, et les précieux conseils qu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>il n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>a cessé de prodiguer. Les participants à la réunion ont salué</w:t>
            </w:r>
            <w:r w:rsidR="00170430" w:rsidRPr="00E21A78">
              <w:rPr>
                <w:color w:val="000000"/>
              </w:rPr>
              <w:t xml:space="preserve"> par acclamation</w:t>
            </w:r>
            <w:r w:rsidRPr="00E21A78">
              <w:rPr>
                <w:color w:val="000000"/>
              </w:rPr>
              <w:t xml:space="preserve"> la contribution de M. </w:t>
            </w:r>
            <w:proofErr w:type="spellStart"/>
            <w:r w:rsidRPr="00E21A78">
              <w:rPr>
                <w:color w:val="000000"/>
              </w:rPr>
              <w:t>Krivocheev</w:t>
            </w:r>
            <w:proofErr w:type="spellEnd"/>
            <w:r w:rsidRPr="00E21A78">
              <w:rPr>
                <w:color w:val="000000"/>
              </w:rPr>
              <w:t xml:space="preserve"> aux travaux de la CE 6.</w:t>
            </w:r>
          </w:p>
        </w:tc>
        <w:tc>
          <w:tcPr>
            <w:tcW w:w="1522" w:type="pct"/>
          </w:tcPr>
          <w:p w:rsidR="00D03CA3" w:rsidRPr="00E21A78" w:rsidRDefault="009B65B2" w:rsidP="00405588">
            <w:pPr>
              <w:spacing w:before="80"/>
              <w:jc w:val="center"/>
            </w:pPr>
            <w:hyperlink r:id="rId8" w:history="1">
              <w:r w:rsidR="00D03CA3" w:rsidRPr="00E21A78">
                <w:rPr>
                  <w:rStyle w:val="Hyperlink"/>
                </w:rPr>
                <w:t>6/1001</w:t>
              </w:r>
            </w:hyperlink>
            <w:r w:rsidR="00D03CA3" w:rsidRPr="00E21A78">
              <w:t xml:space="preserve">, </w:t>
            </w:r>
            <w:hyperlink r:id="rId9" w:history="1">
              <w:r w:rsidR="00D03CA3" w:rsidRPr="00E21A78">
                <w:rPr>
                  <w:rStyle w:val="Hyperlink"/>
                </w:rPr>
                <w:t>1002</w:t>
              </w:r>
            </w:hyperlink>
            <w:r w:rsidR="00D03CA3" w:rsidRPr="00E21A78">
              <w:t xml:space="preserve">, </w:t>
            </w:r>
            <w:hyperlink r:id="rId10" w:history="1">
              <w:r w:rsidR="00D03CA3" w:rsidRPr="00E21A78">
                <w:rPr>
                  <w:rStyle w:val="Hyperlink"/>
                </w:rPr>
                <w:t>1003</w:t>
              </w:r>
            </w:hyperlink>
            <w:r w:rsidR="00D03CA3" w:rsidRPr="00E21A78">
              <w:t xml:space="preserve">, </w:t>
            </w:r>
            <w:hyperlink r:id="rId11" w:history="1">
              <w:r w:rsidR="00D03CA3" w:rsidRPr="00E21A78">
                <w:rPr>
                  <w:rStyle w:val="Hyperlink"/>
                </w:rPr>
                <w:t>1004</w:t>
              </w:r>
            </w:hyperlink>
          </w:p>
        </w:tc>
      </w:tr>
      <w:tr w:rsidR="00405588" w:rsidRPr="00E21A78" w:rsidTr="00B548E7">
        <w:trPr>
          <w:trHeight w:val="340"/>
        </w:trPr>
        <w:tc>
          <w:tcPr>
            <w:tcW w:w="164" w:type="pct"/>
          </w:tcPr>
          <w:p w:rsidR="00405588" w:rsidRPr="00E21A78" w:rsidRDefault="00405588" w:rsidP="00405588">
            <w:pPr>
              <w:tabs>
                <w:tab w:val="left" w:pos="567"/>
              </w:tabs>
              <w:spacing w:before="80"/>
              <w:ind w:left="567" w:hanging="567"/>
            </w:pPr>
          </w:p>
        </w:tc>
        <w:tc>
          <w:tcPr>
            <w:tcW w:w="3313" w:type="pct"/>
          </w:tcPr>
          <w:p w:rsidR="00405588" w:rsidRPr="00E21A78" w:rsidRDefault="00405588" w:rsidP="00217316">
            <w:pPr>
              <w:keepNext/>
              <w:keepLines/>
              <w:spacing w:before="80"/>
            </w:pPr>
            <w:r w:rsidRPr="00E21A78">
              <w:rPr>
                <w:color w:val="000000"/>
              </w:rPr>
              <w:t>Le Président de l'AR-15 a adressé ses sincères remerciements à M. </w:t>
            </w:r>
            <w:proofErr w:type="spellStart"/>
            <w:r w:rsidRPr="00E21A78">
              <w:t>Dosch</w:t>
            </w:r>
            <w:proofErr w:type="spellEnd"/>
            <w:r w:rsidRPr="00E21A78">
              <w:t xml:space="preserve">, qui s'apprête à quitter ses fonctions pour prendre sa retraite, </w:t>
            </w:r>
            <w:r w:rsidRPr="00E21A78">
              <w:rPr>
                <w:color w:val="000000"/>
              </w:rPr>
              <w:t>pour l'excellent travail accompli sous sa direction avisée. Le Président a aussi remercié tous les</w:t>
            </w:r>
            <w:r w:rsidR="00B548E7">
              <w:rPr>
                <w:color w:val="000000"/>
              </w:rPr>
              <w:t xml:space="preserve"> participants aux travaux de la </w:t>
            </w:r>
            <w:r w:rsidRPr="00E21A78">
              <w:rPr>
                <w:color w:val="000000"/>
              </w:rPr>
              <w:t>CE 6.</w:t>
            </w:r>
          </w:p>
        </w:tc>
        <w:tc>
          <w:tcPr>
            <w:tcW w:w="1522" w:type="pct"/>
          </w:tcPr>
          <w:p w:rsidR="00405588" w:rsidRPr="00E21A78" w:rsidRDefault="00405588" w:rsidP="00405588">
            <w:pPr>
              <w:spacing w:before="80"/>
              <w:jc w:val="center"/>
            </w:pPr>
          </w:p>
        </w:tc>
      </w:tr>
      <w:tr w:rsidR="00D03CA3" w:rsidRPr="00E21A78" w:rsidTr="00B548E7">
        <w:trPr>
          <w:trHeight w:val="340"/>
        </w:trPr>
        <w:tc>
          <w:tcPr>
            <w:tcW w:w="164" w:type="pct"/>
          </w:tcPr>
          <w:p w:rsidR="00D03CA3" w:rsidRPr="00E21A78" w:rsidRDefault="00D03CA3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4</w:t>
            </w:r>
          </w:p>
        </w:tc>
        <w:tc>
          <w:tcPr>
            <w:tcW w:w="3313" w:type="pct"/>
          </w:tcPr>
          <w:p w:rsidR="00D03CA3" w:rsidRPr="00E21A78" w:rsidRDefault="00D03CA3" w:rsidP="00405588">
            <w:pPr>
              <w:spacing w:before="80"/>
            </w:pPr>
            <w:r w:rsidRPr="00E21A78">
              <w:t xml:space="preserve">Documents émanant de la Commission 4 </w:t>
            </w:r>
            <w:r w:rsidRPr="00E21A78">
              <w:rPr>
                <w:color w:val="000000"/>
              </w:rPr>
              <w:t>(suite)</w:t>
            </w:r>
          </w:p>
          <w:p w:rsidR="00D03CA3" w:rsidRPr="00E21A78" w:rsidRDefault="00D03CA3" w:rsidP="00405588">
            <w:pPr>
              <w:spacing w:before="80"/>
            </w:pPr>
            <w:r w:rsidRPr="00E21A78">
              <w:t xml:space="preserve">Le Président de la Commission 4 a poursuivi la présentation des </w:t>
            </w:r>
            <w:r w:rsidRPr="00E21A78">
              <w:rPr>
                <w:color w:val="000000"/>
              </w:rPr>
              <w:t xml:space="preserve">documents produits </w:t>
            </w:r>
            <w:r w:rsidRPr="00E21A78">
              <w:t xml:space="preserve">par cette Commission </w:t>
            </w:r>
            <w:r w:rsidR="00170430" w:rsidRPr="00E21A78">
              <w:rPr>
                <w:color w:val="000000"/>
              </w:rPr>
              <w:t xml:space="preserve">et </w:t>
            </w:r>
            <w:r w:rsidRPr="00E21A78">
              <w:rPr>
                <w:color w:val="000000"/>
              </w:rPr>
              <w:t>soumis à la plénière pour examen.</w:t>
            </w:r>
            <w:r w:rsidRPr="00E21A78">
              <w:t xml:space="preserve"> Le Document PLEN/81 </w:t>
            </w:r>
            <w:r w:rsidRPr="00E21A78">
              <w:rPr>
                <w:color w:val="000000"/>
              </w:rPr>
              <w:t xml:space="preserve">a été </w:t>
            </w:r>
            <w:r w:rsidR="00170430" w:rsidRPr="00E21A78">
              <w:rPr>
                <w:color w:val="000000"/>
              </w:rPr>
              <w:t>approuvé</w:t>
            </w:r>
            <w:r w:rsidRPr="00E21A78">
              <w:rPr>
                <w:color w:val="000000"/>
              </w:rPr>
              <w:t xml:space="preserve"> sans modification. </w:t>
            </w:r>
            <w:r w:rsidRPr="00E21A78">
              <w:t>Le Président de l</w:t>
            </w:r>
            <w:r w:rsidR="00B7072A">
              <w:t>a Commission 4 a suggéré que la </w:t>
            </w:r>
            <w:r w:rsidRPr="00E21A78">
              <w:t xml:space="preserve">CE 1 soit responsable de cette Question. Le Document PLEN/82 </w:t>
            </w:r>
            <w:r w:rsidRPr="00E21A78">
              <w:rPr>
                <w:color w:val="000000"/>
              </w:rPr>
              <w:t xml:space="preserve">a été </w:t>
            </w:r>
            <w:r w:rsidR="00170430" w:rsidRPr="00E21A78">
              <w:rPr>
                <w:color w:val="000000"/>
              </w:rPr>
              <w:t>approuvé</w:t>
            </w:r>
            <w:r w:rsidRPr="00E21A78">
              <w:rPr>
                <w:color w:val="000000"/>
              </w:rPr>
              <w:t xml:space="preserve"> et doit être </w:t>
            </w:r>
            <w:r w:rsidR="00170430" w:rsidRPr="00E21A78">
              <w:rPr>
                <w:color w:val="000000"/>
              </w:rPr>
              <w:t>joint en annexe à</w:t>
            </w:r>
            <w:r w:rsidRPr="00E21A78">
              <w:rPr>
                <w:color w:val="000000"/>
              </w:rPr>
              <w:t xml:space="preserve"> la Résolution UIT</w:t>
            </w:r>
            <w:r w:rsidRPr="00E21A78">
              <w:t xml:space="preserve">-R 5. Le Document PLEN/89 </w:t>
            </w:r>
            <w:r w:rsidRPr="00E21A78">
              <w:rPr>
                <w:color w:val="000000"/>
              </w:rPr>
              <w:t xml:space="preserve">a été approuvé tel que modifié. Plusieurs erreurs ont été relevées dans la version arabe de ce document et seront corrigées par la Commission de rédaction. Le </w:t>
            </w:r>
            <w:r w:rsidRPr="00E21A78">
              <w:t xml:space="preserve">Document PLEN/90 </w:t>
            </w:r>
            <w:r w:rsidRPr="00E21A78">
              <w:rPr>
                <w:color w:val="000000"/>
              </w:rPr>
              <w:t xml:space="preserve">a été </w:t>
            </w:r>
            <w:r w:rsidR="00170430" w:rsidRPr="00E21A78">
              <w:rPr>
                <w:color w:val="000000"/>
              </w:rPr>
              <w:t>approuvé</w:t>
            </w:r>
            <w:r w:rsidRPr="00E21A78">
              <w:rPr>
                <w:color w:val="000000"/>
              </w:rPr>
              <w:t xml:space="preserve"> avec une légère modification d'ordre rédactionnel. Le </w:t>
            </w:r>
            <w:r w:rsidRPr="00E21A78">
              <w:t xml:space="preserve">Document PLEN/91 </w:t>
            </w:r>
            <w:r w:rsidRPr="00E21A78">
              <w:rPr>
                <w:color w:val="000000"/>
              </w:rPr>
              <w:t xml:space="preserve">a été </w:t>
            </w:r>
            <w:r w:rsidR="00170430" w:rsidRPr="00E21A78">
              <w:rPr>
                <w:color w:val="000000"/>
              </w:rPr>
              <w:t>approuvé</w:t>
            </w:r>
            <w:r w:rsidRPr="00E21A78">
              <w:rPr>
                <w:color w:val="000000"/>
              </w:rPr>
              <w:t>. Les participants à la réunion ont pris note du fait que la nouvelle Résolution UIT-R contient les mêmes principes que ceux exprimés dans la Résolution 11 (CMR-12) existante (Utilisation de positions orbitales de satellite et de fréquences associées pour fournir des services publics internationaux de télécommunication dans les pays en développement), et que la CMR-15 pourrait ainsi envisager la suppression</w:t>
            </w:r>
            <w:r w:rsidR="00170430" w:rsidRPr="00E21A78">
              <w:rPr>
                <w:color w:val="000000"/>
              </w:rPr>
              <w:t xml:space="preserve"> éventuelle</w:t>
            </w:r>
            <w:r w:rsidRPr="00E21A78">
              <w:rPr>
                <w:color w:val="000000"/>
              </w:rPr>
              <w:t xml:space="preserve"> de la Résolution 11 (CMR-12). Une déclaration à cet effet sera intégrée au Rapport de l</w:t>
            </w:r>
            <w:r w:rsidR="00170430" w:rsidRPr="00E21A78">
              <w:rPr>
                <w:color w:val="000000"/>
              </w:rPr>
              <w:t>'</w:t>
            </w:r>
            <w:r w:rsidR="00B7072A">
              <w:rPr>
                <w:color w:val="000000"/>
              </w:rPr>
              <w:t>AR-15 à la </w:t>
            </w:r>
            <w:r w:rsidRPr="00E21A78">
              <w:rPr>
                <w:color w:val="000000"/>
              </w:rPr>
              <w:t xml:space="preserve">CMR-15. </w:t>
            </w:r>
          </w:p>
          <w:p w:rsidR="00D03CA3" w:rsidRPr="00E21A78" w:rsidRDefault="00D03CA3" w:rsidP="009B65B2">
            <w:pPr>
              <w:spacing w:before="80"/>
            </w:pPr>
            <w:r w:rsidRPr="00E21A78">
              <w:t xml:space="preserve">Le Président de la Commission 4 </w:t>
            </w:r>
            <w:r w:rsidRPr="00E21A78">
              <w:rPr>
                <w:color w:val="000000"/>
              </w:rPr>
              <w:t>a remerci</w:t>
            </w:r>
            <w:r w:rsidR="00170430" w:rsidRPr="00E21A78">
              <w:rPr>
                <w:color w:val="000000"/>
              </w:rPr>
              <w:t xml:space="preserve">é les </w:t>
            </w:r>
            <w:r w:rsidRPr="00E21A78">
              <w:rPr>
                <w:color w:val="000000"/>
              </w:rPr>
              <w:t xml:space="preserve">Présidents des Groupes de travail et </w:t>
            </w:r>
            <w:r w:rsidR="00170430" w:rsidRPr="00E21A78">
              <w:rPr>
                <w:color w:val="000000"/>
              </w:rPr>
              <w:t>tous l</w:t>
            </w:r>
            <w:r w:rsidRPr="00E21A78">
              <w:rPr>
                <w:color w:val="000000"/>
              </w:rPr>
              <w:t>es participants pour l</w:t>
            </w:r>
            <w:r w:rsidR="00170430" w:rsidRPr="00E21A78">
              <w:rPr>
                <w:color w:val="000000"/>
              </w:rPr>
              <w:t>'</w:t>
            </w:r>
            <w:r w:rsidRPr="00E21A78">
              <w:rPr>
                <w:color w:val="000000"/>
              </w:rPr>
              <w:t xml:space="preserve">esprit de collaboration dont ils ont fait preuve et qui a permis à </w:t>
            </w:r>
            <w:r w:rsidRPr="00E21A78">
              <w:t xml:space="preserve">la Commission 4 de travailler de manière très efficace. </w:t>
            </w:r>
            <w:r w:rsidRPr="00E21A78">
              <w:rPr>
                <w:color w:val="000000"/>
              </w:rPr>
              <w:t>Le Président de</w:t>
            </w:r>
            <w:r w:rsidR="009B65B2">
              <w:rPr>
                <w:color w:val="000000"/>
              </w:rPr>
              <w:t> </w:t>
            </w:r>
            <w:r w:rsidRPr="00E21A78">
              <w:rPr>
                <w:color w:val="000000"/>
              </w:rPr>
              <w:t xml:space="preserve">l'AR-15 a adressé ses remerciements au </w:t>
            </w:r>
            <w:r w:rsidRPr="00E21A78">
              <w:t>Président de la Commission 4 pour avoir dirigé les travaux d</w:t>
            </w:r>
            <w:r w:rsidR="00170430" w:rsidRPr="00E21A78">
              <w:t>'</w:t>
            </w:r>
            <w:r w:rsidRPr="00E21A78">
              <w:t>une Commission d</w:t>
            </w:r>
            <w:r w:rsidR="00170430" w:rsidRPr="00E21A78">
              <w:t>'</w:t>
            </w:r>
            <w:r w:rsidRPr="00E21A78">
              <w:t xml:space="preserve">études très délicate et pour la production de plusieurs documents importants. Il a remercié </w:t>
            </w:r>
            <w:r w:rsidR="00170430" w:rsidRPr="00E21A78">
              <w:t xml:space="preserve">tous les </w:t>
            </w:r>
            <w:r w:rsidRPr="00E21A78">
              <w:rPr>
                <w:color w:val="000000"/>
              </w:rPr>
              <w:t>participants aux activités de la Commission 4 et a adressé des remerciements particuliers aux Présidents des Groupes de travail.</w:t>
            </w:r>
          </w:p>
        </w:tc>
        <w:tc>
          <w:tcPr>
            <w:tcW w:w="1522" w:type="pct"/>
          </w:tcPr>
          <w:p w:rsidR="00D03CA3" w:rsidRPr="00E21A78" w:rsidRDefault="00D03CA3" w:rsidP="00405588">
            <w:pPr>
              <w:spacing w:before="80"/>
              <w:jc w:val="center"/>
            </w:pPr>
            <w:r w:rsidRPr="00E21A78">
              <w:t>PLEN/</w:t>
            </w:r>
            <w:hyperlink r:id="rId12" w:history="1">
              <w:r w:rsidRPr="00E21A78">
                <w:rPr>
                  <w:rStyle w:val="Hyperlink"/>
                </w:rPr>
                <w:t>81</w:t>
              </w:r>
            </w:hyperlink>
            <w:r w:rsidRPr="00E21A78">
              <w:t xml:space="preserve">, </w:t>
            </w:r>
            <w:hyperlink r:id="rId13" w:history="1">
              <w:r w:rsidRPr="00E21A78">
                <w:rPr>
                  <w:rStyle w:val="Hyperlink"/>
                </w:rPr>
                <w:t>82</w:t>
              </w:r>
            </w:hyperlink>
            <w:r w:rsidRPr="00E21A78">
              <w:t xml:space="preserve">, </w:t>
            </w:r>
            <w:hyperlink r:id="rId14" w:history="1">
              <w:r w:rsidRPr="00E21A78">
                <w:rPr>
                  <w:rStyle w:val="Hyperlink"/>
                </w:rPr>
                <w:t>89</w:t>
              </w:r>
            </w:hyperlink>
            <w:r w:rsidRPr="00E21A78">
              <w:t xml:space="preserve">, </w:t>
            </w:r>
            <w:hyperlink r:id="rId15" w:history="1">
              <w:r w:rsidRPr="00E21A78">
                <w:rPr>
                  <w:rStyle w:val="Hyperlink"/>
                </w:rPr>
                <w:t>90</w:t>
              </w:r>
            </w:hyperlink>
            <w:r w:rsidRPr="00E21A78">
              <w:t xml:space="preserve">, </w:t>
            </w:r>
            <w:hyperlink r:id="rId16" w:history="1">
              <w:r w:rsidRPr="00E21A78">
                <w:rPr>
                  <w:rStyle w:val="Hyperlink"/>
                </w:rPr>
                <w:t>91</w:t>
              </w:r>
            </w:hyperlink>
          </w:p>
        </w:tc>
      </w:tr>
      <w:tr w:rsidR="009D287B" w:rsidRPr="00E21A78" w:rsidTr="00B548E7">
        <w:trPr>
          <w:trHeight w:val="340"/>
        </w:trPr>
        <w:tc>
          <w:tcPr>
            <w:tcW w:w="164" w:type="pct"/>
          </w:tcPr>
          <w:p w:rsidR="009D287B" w:rsidRPr="00E21A78" w:rsidRDefault="009D287B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5</w:t>
            </w:r>
          </w:p>
        </w:tc>
        <w:tc>
          <w:tcPr>
            <w:tcW w:w="3313" w:type="pct"/>
          </w:tcPr>
          <w:p w:rsidR="00D03CA3" w:rsidRPr="00E21A78" w:rsidRDefault="00D03CA3" w:rsidP="00405588">
            <w:pPr>
              <w:spacing w:before="80"/>
            </w:pPr>
            <w:r w:rsidRPr="00E21A78">
              <w:t>Documents émanant de la Commission 5</w:t>
            </w:r>
          </w:p>
          <w:p w:rsidR="009D287B" w:rsidRPr="00217316" w:rsidRDefault="00D03CA3" w:rsidP="00217316">
            <w:pPr>
              <w:spacing w:before="80"/>
              <w:rPr>
                <w:color w:val="000000"/>
              </w:rPr>
            </w:pPr>
            <w:r w:rsidRPr="00E21A78">
              <w:t xml:space="preserve">M. Hofer, Président de la Commission 5, a présenté les </w:t>
            </w:r>
            <w:r w:rsidRPr="00E21A78">
              <w:rPr>
                <w:color w:val="000000"/>
              </w:rPr>
              <w:t xml:space="preserve">documents produits </w:t>
            </w:r>
            <w:r w:rsidRPr="00E21A78">
              <w:t>par cette Commission d</w:t>
            </w:r>
            <w:r w:rsidR="00170430" w:rsidRPr="00E21A78">
              <w:t>'</w:t>
            </w:r>
            <w:r w:rsidRPr="00E21A78">
              <w:t xml:space="preserve">études </w:t>
            </w:r>
            <w:r w:rsidR="00170430" w:rsidRPr="00E21A78">
              <w:rPr>
                <w:color w:val="000000"/>
              </w:rPr>
              <w:t xml:space="preserve">et </w:t>
            </w:r>
            <w:r w:rsidRPr="00E21A78">
              <w:rPr>
                <w:color w:val="000000"/>
              </w:rPr>
              <w:t xml:space="preserve">soumis à la plénière pour examen. Le </w:t>
            </w:r>
            <w:r w:rsidRPr="00E21A78">
              <w:t>Document PLEN/56, qui propose de supprimer la Résolution UIT-R 33 et d</w:t>
            </w:r>
            <w:r w:rsidR="00170430" w:rsidRPr="00E21A78">
              <w:t>'intégrer son contenu dans</w:t>
            </w:r>
            <w:r w:rsidRPr="00E21A78">
              <w:t xml:space="preserve"> une nouvelle Résolution (36), </w:t>
            </w:r>
            <w:r w:rsidRPr="00E21A78">
              <w:rPr>
                <w:color w:val="000000"/>
              </w:rPr>
              <w:t xml:space="preserve">a été </w:t>
            </w:r>
            <w:r w:rsidR="00170430" w:rsidRPr="00E21A78">
              <w:rPr>
                <w:color w:val="000000"/>
              </w:rPr>
              <w:t xml:space="preserve">approuvé </w:t>
            </w:r>
            <w:r w:rsidRPr="00E21A78">
              <w:rPr>
                <w:color w:val="000000"/>
              </w:rPr>
              <w:t xml:space="preserve">sans modification. Les </w:t>
            </w:r>
            <w:r w:rsidRPr="00E21A78">
              <w:t xml:space="preserve">documents PLEN/45 et 46, </w:t>
            </w:r>
            <w:r w:rsidR="00170430" w:rsidRPr="00E21A78">
              <w:t xml:space="preserve">dans lesquels il est proposé d'apporter </w:t>
            </w:r>
            <w:r w:rsidRPr="00E21A78">
              <w:t xml:space="preserve">des </w:t>
            </w:r>
            <w:r w:rsidRPr="00E21A78">
              <w:rPr>
                <w:color w:val="000000"/>
              </w:rPr>
              <w:t xml:space="preserve">modifications d'ordre rédactionnel, ont été </w:t>
            </w:r>
            <w:r w:rsidR="00170430" w:rsidRPr="00E21A78">
              <w:rPr>
                <w:color w:val="000000"/>
              </w:rPr>
              <w:t>approuvés</w:t>
            </w:r>
            <w:r w:rsidRPr="00E21A78">
              <w:rPr>
                <w:color w:val="000000"/>
              </w:rPr>
              <w:t xml:space="preserve"> sans modification. Le </w:t>
            </w:r>
            <w:r w:rsidRPr="00E21A78">
              <w:t xml:space="preserve">Document PLEN/58 (suppression de la Résolution UIT-R 63) </w:t>
            </w:r>
            <w:r w:rsidRPr="00E21A78">
              <w:rPr>
                <w:color w:val="000000"/>
              </w:rPr>
              <w:t xml:space="preserve">a été </w:t>
            </w:r>
            <w:r w:rsidR="00170430" w:rsidRPr="00E21A78">
              <w:rPr>
                <w:color w:val="000000"/>
              </w:rPr>
              <w:t>approuvé</w:t>
            </w:r>
            <w:r w:rsidRPr="00E21A78">
              <w:rPr>
                <w:color w:val="000000"/>
              </w:rPr>
              <w:t xml:space="preserve">. Le </w:t>
            </w:r>
            <w:r w:rsidRPr="00E21A78">
              <w:t xml:space="preserve">Document PLEN/60 (Suppression de la Résolution UIT-R 38) </w:t>
            </w:r>
            <w:r w:rsidRPr="00E21A78">
              <w:rPr>
                <w:color w:val="000000"/>
              </w:rPr>
              <w:t xml:space="preserve">a été </w:t>
            </w:r>
            <w:r w:rsidR="00170430" w:rsidRPr="00E21A78">
              <w:rPr>
                <w:color w:val="000000"/>
              </w:rPr>
              <w:t>approuvé</w:t>
            </w:r>
            <w:r w:rsidRPr="00E21A78">
              <w:rPr>
                <w:color w:val="000000"/>
              </w:rPr>
              <w:t xml:space="preserve">. Le </w:t>
            </w:r>
            <w:r w:rsidRPr="00E21A78">
              <w:t>Document PLEN/85 (Résolution UIT-R 1) a fait l</w:t>
            </w:r>
            <w:r w:rsidR="00170430" w:rsidRPr="00E21A78">
              <w:t>'</w:t>
            </w:r>
            <w:r w:rsidRPr="00E21A78">
              <w:t xml:space="preserve">objet de discussions approfondies et les participants à la réunion sont </w:t>
            </w:r>
            <w:r w:rsidRPr="00E21A78">
              <w:rPr>
                <w:color w:val="000000"/>
              </w:rPr>
              <w:t xml:space="preserve">convenus </w:t>
            </w:r>
            <w:r w:rsidRPr="00E21A78">
              <w:t xml:space="preserve">de convoquer un </w:t>
            </w:r>
            <w:r w:rsidRPr="00E21A78">
              <w:rPr>
                <w:color w:val="000000"/>
              </w:rPr>
              <w:t xml:space="preserve">petit </w:t>
            </w:r>
            <w:r w:rsidRPr="00E21A78">
              <w:rPr>
                <w:color w:val="000000"/>
              </w:rPr>
              <w:lastRenderedPageBreak/>
              <w:t xml:space="preserve">groupe chargé de poursuivre de manière informelle les discussions entamées. Par conséquent, les documents connexes </w:t>
            </w:r>
            <w:r w:rsidRPr="00E21A78">
              <w:t xml:space="preserve">PLEN/83 et 84 ne seront </w:t>
            </w:r>
            <w:r w:rsidRPr="00E21A78">
              <w:rPr>
                <w:color w:val="000000"/>
              </w:rPr>
              <w:t xml:space="preserve">pas examinés pour l'instant. Le </w:t>
            </w:r>
            <w:r w:rsidRPr="00E21A78">
              <w:t xml:space="preserve">Document PLEN/72 (Résolution 2-6) </w:t>
            </w:r>
            <w:r w:rsidRPr="00E21A78">
              <w:rPr>
                <w:color w:val="000000"/>
              </w:rPr>
              <w:t>a été approuvé avec des modifications.</w:t>
            </w:r>
          </w:p>
        </w:tc>
        <w:tc>
          <w:tcPr>
            <w:tcW w:w="1522" w:type="pct"/>
          </w:tcPr>
          <w:p w:rsidR="009D287B" w:rsidRPr="00E21A78" w:rsidRDefault="009D287B" w:rsidP="00217316">
            <w:pPr>
              <w:spacing w:before="80"/>
              <w:jc w:val="center"/>
            </w:pPr>
            <w:r w:rsidRPr="00E21A78">
              <w:lastRenderedPageBreak/>
              <w:t>PLEN/</w:t>
            </w:r>
            <w:hyperlink r:id="rId17" w:history="1">
              <w:r w:rsidRPr="00E21A78">
                <w:rPr>
                  <w:rStyle w:val="Hyperlink"/>
                </w:rPr>
                <w:t>44</w:t>
              </w:r>
            </w:hyperlink>
            <w:r w:rsidRPr="00E21A78">
              <w:t xml:space="preserve">, </w:t>
            </w:r>
            <w:hyperlink r:id="rId18" w:history="1">
              <w:r w:rsidRPr="00E21A78">
                <w:rPr>
                  <w:rStyle w:val="Hyperlink"/>
                </w:rPr>
                <w:t>45</w:t>
              </w:r>
            </w:hyperlink>
            <w:r w:rsidRPr="00E21A78">
              <w:t xml:space="preserve">, </w:t>
            </w:r>
            <w:hyperlink r:id="rId19" w:history="1">
              <w:r w:rsidRPr="00E21A78">
                <w:rPr>
                  <w:rStyle w:val="Hyperlink"/>
                </w:rPr>
                <w:t>46</w:t>
              </w:r>
            </w:hyperlink>
            <w:r w:rsidRPr="00E21A78">
              <w:t xml:space="preserve">, </w:t>
            </w:r>
            <w:hyperlink r:id="rId20" w:history="1">
              <w:r w:rsidRPr="00E21A78">
                <w:rPr>
                  <w:rStyle w:val="Hyperlink"/>
                </w:rPr>
                <w:t>47(R</w:t>
              </w:r>
              <w:r w:rsidR="00217316">
                <w:rPr>
                  <w:rStyle w:val="Hyperlink"/>
                </w:rPr>
                <w:t>é</w:t>
              </w:r>
              <w:r w:rsidRPr="00E21A78">
                <w:rPr>
                  <w:rStyle w:val="Hyperlink"/>
                </w:rPr>
                <w:t>v.1)</w:t>
              </w:r>
            </w:hyperlink>
            <w:r w:rsidRPr="00E21A78">
              <w:t xml:space="preserve">, </w:t>
            </w:r>
            <w:hyperlink r:id="rId21" w:history="1">
              <w:r w:rsidRPr="00E21A78">
                <w:rPr>
                  <w:rStyle w:val="Hyperlink"/>
                </w:rPr>
                <w:t>56</w:t>
              </w:r>
            </w:hyperlink>
            <w:r w:rsidRPr="00E21A78">
              <w:t xml:space="preserve">, </w:t>
            </w:r>
            <w:hyperlink r:id="rId22" w:history="1">
              <w:r w:rsidRPr="00E21A78">
                <w:rPr>
                  <w:rStyle w:val="Hyperlink"/>
                </w:rPr>
                <w:t>58</w:t>
              </w:r>
            </w:hyperlink>
            <w:r w:rsidRPr="00E21A78">
              <w:t>,</w:t>
            </w:r>
            <w:hyperlink r:id="rId23" w:history="1">
              <w:r w:rsidRPr="00E21A78">
                <w:rPr>
                  <w:rStyle w:val="Hyperlink"/>
                </w:rPr>
                <w:t>60</w:t>
              </w:r>
            </w:hyperlink>
            <w:r w:rsidRPr="00E21A78">
              <w:t xml:space="preserve">, </w:t>
            </w:r>
            <w:hyperlink r:id="rId24" w:history="1">
              <w:r w:rsidRPr="00E21A78">
                <w:rPr>
                  <w:rStyle w:val="Hyperlink"/>
                </w:rPr>
                <w:t>72</w:t>
              </w:r>
            </w:hyperlink>
            <w:r w:rsidRPr="00E21A78">
              <w:t xml:space="preserve">, </w:t>
            </w:r>
            <w:hyperlink r:id="rId25" w:history="1">
              <w:r w:rsidRPr="00E21A78">
                <w:rPr>
                  <w:rStyle w:val="Hyperlink"/>
                </w:rPr>
                <w:t>73</w:t>
              </w:r>
            </w:hyperlink>
            <w:r w:rsidRPr="00E21A78">
              <w:t xml:space="preserve">, </w:t>
            </w:r>
            <w:hyperlink r:id="rId26" w:history="1">
              <w:r w:rsidRPr="00E21A78">
                <w:rPr>
                  <w:rStyle w:val="Hyperlink"/>
                </w:rPr>
                <w:t>83</w:t>
              </w:r>
            </w:hyperlink>
            <w:r w:rsidRPr="00E21A78">
              <w:t xml:space="preserve">, </w:t>
            </w:r>
            <w:hyperlink r:id="rId27" w:history="1">
              <w:r w:rsidRPr="00E21A78">
                <w:rPr>
                  <w:rStyle w:val="Hyperlink"/>
                </w:rPr>
                <w:t>84</w:t>
              </w:r>
            </w:hyperlink>
            <w:r w:rsidRPr="00E21A78">
              <w:t xml:space="preserve">, </w:t>
            </w:r>
            <w:hyperlink r:id="rId28" w:history="1">
              <w:r w:rsidRPr="00E21A78">
                <w:rPr>
                  <w:rStyle w:val="Hyperlink"/>
                </w:rPr>
                <w:t>85</w:t>
              </w:r>
            </w:hyperlink>
            <w:r w:rsidRPr="00E21A78">
              <w:t xml:space="preserve">, </w:t>
            </w:r>
            <w:hyperlink r:id="rId29" w:history="1">
              <w:r w:rsidRPr="00E21A78">
                <w:rPr>
                  <w:rStyle w:val="Hyperlink"/>
                </w:rPr>
                <w:t>87</w:t>
              </w:r>
            </w:hyperlink>
          </w:p>
        </w:tc>
      </w:tr>
      <w:tr w:rsidR="00217316" w:rsidRPr="00E21A78" w:rsidTr="00B548E7">
        <w:trPr>
          <w:trHeight w:val="340"/>
        </w:trPr>
        <w:tc>
          <w:tcPr>
            <w:tcW w:w="164" w:type="pct"/>
          </w:tcPr>
          <w:p w:rsidR="00217316" w:rsidRPr="00E21A78" w:rsidRDefault="00217316" w:rsidP="00405588">
            <w:pPr>
              <w:tabs>
                <w:tab w:val="left" w:pos="567"/>
              </w:tabs>
              <w:spacing w:before="80"/>
              <w:ind w:left="567" w:hanging="567"/>
            </w:pPr>
          </w:p>
        </w:tc>
        <w:tc>
          <w:tcPr>
            <w:tcW w:w="3313" w:type="pct"/>
          </w:tcPr>
          <w:p w:rsidR="00217316" w:rsidRPr="00E21A78" w:rsidRDefault="00217316" w:rsidP="00217316">
            <w:pPr>
              <w:spacing w:before="80"/>
              <w:rPr>
                <w:color w:val="000000"/>
              </w:rPr>
            </w:pPr>
            <w:r w:rsidRPr="00E21A78">
              <w:rPr>
                <w:color w:val="000000"/>
              </w:rPr>
              <w:t>En outre, les</w:t>
            </w:r>
            <w:r w:rsidRPr="00E21A78">
              <w:t xml:space="preserve"> participants à la réunion </w:t>
            </w:r>
            <w:r w:rsidRPr="00E21A78">
              <w:rPr>
                <w:color w:val="000000"/>
              </w:rPr>
              <w:t>sont convenus du fait que l'Assemblée des radiocommunications chargerait le Groupe consultatif des radiocommunications d'examiner, en se fondant sur les contributions pertinentes, des propositions visant à améliorer le processus de préparation des CMR, et de soumettre les résultats de cet examen afin qu'ils soient examinés par l'Assemblée des radiocommunications de 2019.</w:t>
            </w:r>
          </w:p>
          <w:p w:rsidR="00217316" w:rsidRPr="00E21A78" w:rsidRDefault="00217316" w:rsidP="00217316">
            <w:pPr>
              <w:spacing w:before="80"/>
            </w:pPr>
            <w:r w:rsidRPr="00E21A78">
              <w:rPr>
                <w:color w:val="000000"/>
              </w:rPr>
              <w:t xml:space="preserve">Le </w:t>
            </w:r>
            <w:r w:rsidRPr="00E21A78">
              <w:t xml:space="preserve">Document PLEN/87 (Résolution 6-1) </w:t>
            </w:r>
            <w:r w:rsidRPr="00E21A78">
              <w:rPr>
                <w:color w:val="000000"/>
              </w:rPr>
              <w:t xml:space="preserve">a été approuvé avec des modifications. Les documents restants émanant de la </w:t>
            </w:r>
            <w:r w:rsidRPr="00E21A78">
              <w:t xml:space="preserve">Commission 5 seront examinés à l'occasion d'une prochaine séance </w:t>
            </w:r>
            <w:r w:rsidRPr="00E21A78">
              <w:rPr>
                <w:color w:val="000000"/>
              </w:rPr>
              <w:t xml:space="preserve">en raison du manque </w:t>
            </w:r>
            <w:r w:rsidRPr="00E21A78">
              <w:t>de temps.</w:t>
            </w:r>
          </w:p>
        </w:tc>
        <w:tc>
          <w:tcPr>
            <w:tcW w:w="1522" w:type="pct"/>
          </w:tcPr>
          <w:p w:rsidR="00217316" w:rsidRPr="00E21A78" w:rsidRDefault="00217316" w:rsidP="00405588">
            <w:pPr>
              <w:spacing w:before="80"/>
              <w:jc w:val="center"/>
            </w:pPr>
          </w:p>
        </w:tc>
      </w:tr>
      <w:tr w:rsidR="009D287B" w:rsidRPr="00E21A78" w:rsidTr="00B548E7">
        <w:trPr>
          <w:trHeight w:val="340"/>
        </w:trPr>
        <w:tc>
          <w:tcPr>
            <w:tcW w:w="164" w:type="pct"/>
          </w:tcPr>
          <w:p w:rsidR="009D287B" w:rsidRPr="00E21A78" w:rsidRDefault="009D287B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6</w:t>
            </w:r>
          </w:p>
        </w:tc>
        <w:tc>
          <w:tcPr>
            <w:tcW w:w="3313" w:type="pct"/>
          </w:tcPr>
          <w:p w:rsidR="009D287B" w:rsidRPr="00E21A78" w:rsidRDefault="00D03CA3" w:rsidP="00405588">
            <w:pPr>
              <w:spacing w:before="80"/>
            </w:pPr>
            <w:r w:rsidRPr="00E21A78">
              <w:t xml:space="preserve">Documents émanant du </w:t>
            </w:r>
            <w:r w:rsidRPr="00E21A78">
              <w:rPr>
                <w:color w:val="000000"/>
              </w:rPr>
              <w:t xml:space="preserve">Groupe ad hoc </w:t>
            </w:r>
            <w:proofErr w:type="spellStart"/>
            <w:r w:rsidRPr="00E21A78">
              <w:rPr>
                <w:color w:val="000000"/>
              </w:rPr>
              <w:t>Plen</w:t>
            </w:r>
            <w:proofErr w:type="spellEnd"/>
            <w:r w:rsidRPr="00E21A78">
              <w:rPr>
                <w:color w:val="000000"/>
              </w:rPr>
              <w:t xml:space="preserve"> 1 (Recommandations de la série M)</w:t>
            </w:r>
          </w:p>
          <w:p w:rsidR="009D287B" w:rsidRPr="00E21A78" w:rsidRDefault="00D03CA3" w:rsidP="00405588">
            <w:pPr>
              <w:spacing w:before="80"/>
            </w:pPr>
            <w:r w:rsidRPr="00E21A78">
              <w:t xml:space="preserve">Non examinés </w:t>
            </w:r>
            <w:r w:rsidRPr="00E21A78">
              <w:rPr>
                <w:color w:val="000000"/>
              </w:rPr>
              <w:t>en raison du manque de temps.</w:t>
            </w:r>
          </w:p>
        </w:tc>
        <w:tc>
          <w:tcPr>
            <w:tcW w:w="1522" w:type="pct"/>
          </w:tcPr>
          <w:p w:rsidR="009D287B" w:rsidRPr="00E21A78" w:rsidRDefault="009D287B" w:rsidP="00405588">
            <w:pPr>
              <w:spacing w:before="80"/>
              <w:jc w:val="center"/>
            </w:pPr>
          </w:p>
        </w:tc>
      </w:tr>
      <w:tr w:rsidR="009D287B" w:rsidRPr="00E21A78" w:rsidTr="00B548E7">
        <w:trPr>
          <w:trHeight w:val="340"/>
        </w:trPr>
        <w:tc>
          <w:tcPr>
            <w:tcW w:w="164" w:type="pct"/>
          </w:tcPr>
          <w:p w:rsidR="009D287B" w:rsidRPr="00E21A78" w:rsidRDefault="009D287B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7</w:t>
            </w:r>
          </w:p>
        </w:tc>
        <w:tc>
          <w:tcPr>
            <w:tcW w:w="3313" w:type="pct"/>
          </w:tcPr>
          <w:p w:rsidR="009D287B" w:rsidRPr="00E21A78" w:rsidRDefault="00D03CA3" w:rsidP="00405588">
            <w:pPr>
              <w:spacing w:before="80"/>
            </w:pPr>
            <w:r w:rsidRPr="00E21A78">
              <w:rPr>
                <w:color w:val="000000"/>
              </w:rPr>
              <w:t xml:space="preserve">Rapport et documents émanant du Groupe de rédaction sur la </w:t>
            </w:r>
            <w:r w:rsidR="009B65B2">
              <w:t>Recommandation/</w:t>
            </w:r>
            <w:r w:rsidRPr="00E21A78">
              <w:t>le Rapport VDES</w:t>
            </w:r>
          </w:p>
          <w:p w:rsidR="009D287B" w:rsidRPr="00E21A78" w:rsidRDefault="00D03CA3" w:rsidP="00405588">
            <w:pPr>
              <w:spacing w:before="80"/>
            </w:pPr>
            <w:r w:rsidRPr="00E21A78">
              <w:t>Reporté.</w:t>
            </w:r>
          </w:p>
        </w:tc>
        <w:tc>
          <w:tcPr>
            <w:tcW w:w="1522" w:type="pct"/>
          </w:tcPr>
          <w:p w:rsidR="009D287B" w:rsidRPr="00E21A78" w:rsidRDefault="009D287B" w:rsidP="00405588">
            <w:pPr>
              <w:spacing w:before="80"/>
              <w:jc w:val="center"/>
            </w:pPr>
            <w:r w:rsidRPr="00E21A78">
              <w:t>PLEN/</w:t>
            </w:r>
            <w:hyperlink r:id="rId30" w:history="1">
              <w:r w:rsidRPr="00E21A78">
                <w:rPr>
                  <w:rStyle w:val="Hyperlink"/>
                </w:rPr>
                <w:t>86</w:t>
              </w:r>
            </w:hyperlink>
          </w:p>
        </w:tc>
      </w:tr>
      <w:tr w:rsidR="009D287B" w:rsidRPr="00E21A78" w:rsidTr="00B548E7">
        <w:trPr>
          <w:trHeight w:val="340"/>
        </w:trPr>
        <w:tc>
          <w:tcPr>
            <w:tcW w:w="164" w:type="pct"/>
          </w:tcPr>
          <w:p w:rsidR="009D287B" w:rsidRPr="00E21A78" w:rsidRDefault="009D287B" w:rsidP="00405588">
            <w:pPr>
              <w:tabs>
                <w:tab w:val="left" w:pos="567"/>
              </w:tabs>
              <w:spacing w:before="80"/>
              <w:ind w:left="567" w:hanging="567"/>
            </w:pPr>
            <w:r w:rsidRPr="00E21A78">
              <w:t>8</w:t>
            </w:r>
          </w:p>
        </w:tc>
        <w:tc>
          <w:tcPr>
            <w:tcW w:w="3313" w:type="pct"/>
          </w:tcPr>
          <w:p w:rsidR="009D287B" w:rsidRPr="00E21A78" w:rsidRDefault="00D03CA3" w:rsidP="00405588">
            <w:pPr>
              <w:spacing w:before="80"/>
            </w:pPr>
            <w:r w:rsidRPr="00E21A78">
              <w:rPr>
                <w:color w:val="000000"/>
              </w:rPr>
              <w:t>Divers</w:t>
            </w:r>
          </w:p>
          <w:p w:rsidR="009D287B" w:rsidRPr="00E21A78" w:rsidRDefault="00D03CA3" w:rsidP="00405588">
            <w:pPr>
              <w:spacing w:before="80"/>
            </w:pPr>
            <w:r w:rsidRPr="00E21A78">
              <w:rPr>
                <w:color w:val="000000"/>
              </w:rPr>
              <w:t>Aucun autre point n'a été traité.</w:t>
            </w:r>
          </w:p>
        </w:tc>
        <w:tc>
          <w:tcPr>
            <w:tcW w:w="1522" w:type="pct"/>
          </w:tcPr>
          <w:p w:rsidR="009D287B" w:rsidRPr="00E21A78" w:rsidRDefault="009D287B" w:rsidP="00405588">
            <w:pPr>
              <w:spacing w:before="80"/>
              <w:jc w:val="center"/>
            </w:pPr>
          </w:p>
        </w:tc>
      </w:tr>
      <w:tr w:rsidR="009D287B" w:rsidRPr="00E21A78" w:rsidTr="00B548E7">
        <w:trPr>
          <w:trHeight w:val="340"/>
        </w:trPr>
        <w:tc>
          <w:tcPr>
            <w:tcW w:w="3478" w:type="pct"/>
            <w:gridSpan w:val="2"/>
          </w:tcPr>
          <w:p w:rsidR="009D287B" w:rsidRPr="00E21A78" w:rsidRDefault="00D03CA3" w:rsidP="00405588">
            <w:pPr>
              <w:spacing w:before="80"/>
            </w:pPr>
            <w:r w:rsidRPr="00E21A78">
              <w:rPr>
                <w:color w:val="000000"/>
              </w:rPr>
              <w:t>Le Président a levé la séanc</w:t>
            </w:r>
            <w:bookmarkStart w:id="10" w:name="_GoBack"/>
            <w:bookmarkEnd w:id="10"/>
            <w:r w:rsidRPr="00E21A78">
              <w:rPr>
                <w:color w:val="000000"/>
              </w:rPr>
              <w:t>e à 18 h 12.</w:t>
            </w:r>
          </w:p>
        </w:tc>
        <w:tc>
          <w:tcPr>
            <w:tcW w:w="1522" w:type="pct"/>
          </w:tcPr>
          <w:p w:rsidR="009D287B" w:rsidRPr="00E21A78" w:rsidRDefault="009D287B" w:rsidP="00405588">
            <w:pPr>
              <w:spacing w:before="80"/>
              <w:jc w:val="center"/>
            </w:pPr>
          </w:p>
        </w:tc>
      </w:tr>
    </w:tbl>
    <w:p w:rsidR="009D287B" w:rsidRPr="00E21A78" w:rsidRDefault="009D287B" w:rsidP="009B65B2">
      <w:pPr>
        <w:tabs>
          <w:tab w:val="clear" w:pos="1134"/>
          <w:tab w:val="clear" w:pos="1871"/>
          <w:tab w:val="clear" w:pos="2268"/>
          <w:tab w:val="center" w:pos="7938"/>
        </w:tabs>
        <w:spacing w:before="840"/>
      </w:pPr>
      <w:r w:rsidRPr="00E21A78">
        <w:tab/>
        <w:t>Akira Hashimoto</w:t>
      </w:r>
      <w:r w:rsidRPr="00E21A78">
        <w:br/>
      </w:r>
      <w:r w:rsidRPr="00E21A78">
        <w:tab/>
      </w:r>
      <w:r w:rsidR="00217316">
        <w:t>Président de l'</w:t>
      </w:r>
      <w:r w:rsidRPr="00E21A78">
        <w:t>A</w:t>
      </w:r>
      <w:r w:rsidR="00217316">
        <w:t>R</w:t>
      </w:r>
      <w:r w:rsidRPr="00E21A78">
        <w:t>-15</w:t>
      </w:r>
    </w:p>
    <w:p w:rsidR="009D287B" w:rsidRPr="00E21A78" w:rsidRDefault="009D287B" w:rsidP="00BC313A"/>
    <w:sectPr w:rsidR="009D287B" w:rsidRPr="00E21A78">
      <w:headerReference w:type="default" r:id="rId31"/>
      <w:footerReference w:type="even" r:id="rId32"/>
      <w:footerReference w:type="default" r:id="rId33"/>
      <w:footerReference w:type="first" r:id="rId3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7B" w:rsidRDefault="009D287B">
      <w:r>
        <w:separator/>
      </w:r>
    </w:p>
  </w:endnote>
  <w:endnote w:type="continuationSeparator" w:id="0">
    <w:p w:rsidR="009D287B" w:rsidRDefault="009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217316" w:rsidRDefault="00EC0EB4">
    <w:pPr>
      <w:rPr>
        <w:lang w:val="es-ES_tradnl"/>
      </w:rPr>
    </w:pPr>
    <w:r>
      <w:fldChar w:fldCharType="begin"/>
    </w:r>
    <w:r w:rsidRPr="00217316">
      <w:rPr>
        <w:lang w:val="es-ES_tradnl"/>
      </w:rPr>
      <w:instrText xml:space="preserve"> FILENAME \p  \* MERGEFORMAT </w:instrText>
    </w:r>
    <w:r>
      <w:fldChar w:fldCharType="separate"/>
    </w:r>
    <w:r w:rsidR="00217316">
      <w:rPr>
        <w:noProof/>
        <w:lang w:val="es-ES_tradnl"/>
      </w:rPr>
      <w:t>P:\FRA\ITU-R\CONF-R\AR15\PLEN\100\101F.docx</w:t>
    </w:r>
    <w:r>
      <w:fldChar w:fldCharType="end"/>
    </w:r>
    <w:r w:rsidRPr="0021731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48E7">
      <w:rPr>
        <w:noProof/>
      </w:rPr>
      <w:t>13.11.15</w:t>
    </w:r>
    <w:r>
      <w:fldChar w:fldCharType="end"/>
    </w:r>
    <w:r w:rsidRPr="0021731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7316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170430" w:rsidRDefault="00170430" w:rsidP="00170430">
    <w:pPr>
      <w:pStyle w:val="Footer"/>
      <w:rPr>
        <w:lang w:val="es-ES_tradnl"/>
      </w:rPr>
    </w:pPr>
    <w:r>
      <w:fldChar w:fldCharType="begin"/>
    </w:r>
    <w:r w:rsidRPr="00170430">
      <w:rPr>
        <w:lang w:val="es-ES_tradnl"/>
      </w:rPr>
      <w:instrText xml:space="preserve"> FILENAME \p  \* MERGEFORMAT </w:instrText>
    </w:r>
    <w:r>
      <w:fldChar w:fldCharType="separate"/>
    </w:r>
    <w:r w:rsidR="00217316">
      <w:rPr>
        <w:lang w:val="es-ES_tradnl"/>
      </w:rPr>
      <w:t>P:\FRA\ITU-R\CONF-R\AR15\PLEN\100\101F.docx</w:t>
    </w:r>
    <w:r>
      <w:fldChar w:fldCharType="end"/>
    </w:r>
    <w:r w:rsidRPr="00170430">
      <w:rPr>
        <w:lang w:val="es-ES_tradnl"/>
      </w:rPr>
      <w:t xml:space="preserve"> (</w:t>
    </w:r>
    <w:r>
      <w:rPr>
        <w:lang w:val="es-ES_tradnl"/>
      </w:rPr>
      <w:t>389935</w:t>
    </w:r>
    <w:r w:rsidRPr="00170430">
      <w:rPr>
        <w:lang w:val="es-ES_tradnl"/>
      </w:rPr>
      <w:t>)</w:t>
    </w:r>
    <w:r w:rsidRPr="0017043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48E7">
      <w:t>13.11.15</w:t>
    </w:r>
    <w:r>
      <w:fldChar w:fldCharType="end"/>
    </w:r>
    <w:r w:rsidRPr="0017043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7316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405588" w:rsidRDefault="00405588" w:rsidP="00405588">
    <w:pPr>
      <w:pStyle w:val="Footer"/>
      <w:rPr>
        <w:lang w:val="es-ES_tradnl"/>
      </w:rPr>
    </w:pPr>
    <w:r>
      <w:fldChar w:fldCharType="begin"/>
    </w:r>
    <w:r w:rsidRPr="00170430">
      <w:rPr>
        <w:lang w:val="es-ES_tradnl"/>
      </w:rPr>
      <w:instrText xml:space="preserve"> FILENAME \p  \* MERGEFORMAT </w:instrText>
    </w:r>
    <w:r>
      <w:fldChar w:fldCharType="separate"/>
    </w:r>
    <w:r w:rsidR="00217316">
      <w:rPr>
        <w:lang w:val="es-ES_tradnl"/>
      </w:rPr>
      <w:t>P:\FRA\ITU-R\CONF-R\AR15\PLEN\100\101F.docx</w:t>
    </w:r>
    <w:r>
      <w:fldChar w:fldCharType="end"/>
    </w:r>
    <w:r w:rsidRPr="00170430">
      <w:rPr>
        <w:lang w:val="es-ES_tradnl"/>
      </w:rPr>
      <w:t xml:space="preserve"> (</w:t>
    </w:r>
    <w:r>
      <w:rPr>
        <w:lang w:val="es-ES_tradnl"/>
      </w:rPr>
      <w:t>389935</w:t>
    </w:r>
    <w:r w:rsidRPr="00170430">
      <w:rPr>
        <w:lang w:val="es-ES_tradnl"/>
      </w:rPr>
      <w:t>)</w:t>
    </w:r>
    <w:r w:rsidRPr="0017043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48E7">
      <w:t>13.11.15</w:t>
    </w:r>
    <w:r>
      <w:fldChar w:fldCharType="end"/>
    </w:r>
    <w:r w:rsidRPr="0017043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7316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7B" w:rsidRDefault="009D287B">
      <w:r>
        <w:rPr>
          <w:b/>
        </w:rPr>
        <w:t>_______________</w:t>
      </w:r>
    </w:p>
  </w:footnote>
  <w:footnote w:type="continuationSeparator" w:id="0">
    <w:p w:rsidR="009D287B" w:rsidRDefault="009D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E2" w:rsidRDefault="004442E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65B2">
      <w:rPr>
        <w:noProof/>
      </w:rPr>
      <w:t>2</w:t>
    </w:r>
    <w:r>
      <w:fldChar w:fldCharType="end"/>
    </w:r>
  </w:p>
  <w:p w:rsidR="004442E2" w:rsidRDefault="004442E2">
    <w:pPr>
      <w:pStyle w:val="Header"/>
    </w:pPr>
    <w:r>
      <w:t>RA15/</w:t>
    </w:r>
    <w:r w:rsidR="00170430">
      <w:t>PLEN/101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7B"/>
    <w:rsid w:val="00006711"/>
    <w:rsid w:val="000B1F11"/>
    <w:rsid w:val="0013523C"/>
    <w:rsid w:val="00160694"/>
    <w:rsid w:val="00170430"/>
    <w:rsid w:val="00217316"/>
    <w:rsid w:val="00223DF9"/>
    <w:rsid w:val="00312771"/>
    <w:rsid w:val="003644F8"/>
    <w:rsid w:val="00405588"/>
    <w:rsid w:val="00406464"/>
    <w:rsid w:val="004442E2"/>
    <w:rsid w:val="00530E6D"/>
    <w:rsid w:val="005A46FB"/>
    <w:rsid w:val="006B7103"/>
    <w:rsid w:val="006F73A7"/>
    <w:rsid w:val="00840A51"/>
    <w:rsid w:val="00852305"/>
    <w:rsid w:val="008962EE"/>
    <w:rsid w:val="008C5FD1"/>
    <w:rsid w:val="009B65B2"/>
    <w:rsid w:val="009D287B"/>
    <w:rsid w:val="00A769F2"/>
    <w:rsid w:val="00AD26C8"/>
    <w:rsid w:val="00B548E7"/>
    <w:rsid w:val="00B7072A"/>
    <w:rsid w:val="00B82926"/>
    <w:rsid w:val="00D03CA3"/>
    <w:rsid w:val="00D278A9"/>
    <w:rsid w:val="00D32DD4"/>
    <w:rsid w:val="00D54910"/>
    <w:rsid w:val="00DC4CBD"/>
    <w:rsid w:val="00E21A78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4D7767C-51CE-4857-8DAB-BDBF100F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styleId="Hyperlink">
    <w:name w:val="Hyperlink"/>
    <w:basedOn w:val="DefaultParagraphFont"/>
    <w:unhideWhenUsed/>
    <w:rsid w:val="009D2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RP-1001/en" TargetMode="External"/><Relationship Id="rId13" Type="http://schemas.openxmlformats.org/officeDocument/2006/relationships/hyperlink" Target="http://www.itu.int/md/R15-RA15-C-0082/en" TargetMode="External"/><Relationship Id="rId18" Type="http://schemas.openxmlformats.org/officeDocument/2006/relationships/hyperlink" Target="http://www.itu.int/md/R15-RA15-C-0045/en" TargetMode="External"/><Relationship Id="rId26" Type="http://schemas.openxmlformats.org/officeDocument/2006/relationships/hyperlink" Target="http://www.itu.int/md/R15-RA15-C-0083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15-RA15-C-0056/en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5-RA15-C-0081/en" TargetMode="External"/><Relationship Id="rId17" Type="http://schemas.openxmlformats.org/officeDocument/2006/relationships/hyperlink" Target="http://www.itu.int/md/R15-RA15-C-0044/en" TargetMode="External"/><Relationship Id="rId25" Type="http://schemas.openxmlformats.org/officeDocument/2006/relationships/hyperlink" Target="http://www.itu.int/md/R15-RA15-C-0073/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md/R15-RA15-C-0091/en" TargetMode="External"/><Relationship Id="rId20" Type="http://schemas.openxmlformats.org/officeDocument/2006/relationships/hyperlink" Target="http://www.itu.int/md/R15-RA15-C-0047/en" TargetMode="External"/><Relationship Id="rId29" Type="http://schemas.openxmlformats.org/officeDocument/2006/relationships/hyperlink" Target="http://www.itu.int/md/R15-RA15-C-008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6-RP-1004/en" TargetMode="External"/><Relationship Id="rId24" Type="http://schemas.openxmlformats.org/officeDocument/2006/relationships/hyperlink" Target="http://www.itu.int/md/R15-RA15-C-0072/en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5-RA15-C-0090/en" TargetMode="External"/><Relationship Id="rId23" Type="http://schemas.openxmlformats.org/officeDocument/2006/relationships/hyperlink" Target="http://www.itu.int/md/R15-RA15-C-0060/en" TargetMode="External"/><Relationship Id="rId28" Type="http://schemas.openxmlformats.org/officeDocument/2006/relationships/hyperlink" Target="http://www.itu.int/md/R15-RA15-C-0085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md/R12-SG06-RP-1003/en" TargetMode="External"/><Relationship Id="rId19" Type="http://schemas.openxmlformats.org/officeDocument/2006/relationships/hyperlink" Target="http://www.itu.int/md/R15-RA15-C-0046/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6-RP-1002/en" TargetMode="External"/><Relationship Id="rId14" Type="http://schemas.openxmlformats.org/officeDocument/2006/relationships/hyperlink" Target="http://www.itu.int/md/R15-RA15-C-0089/en" TargetMode="External"/><Relationship Id="rId22" Type="http://schemas.openxmlformats.org/officeDocument/2006/relationships/hyperlink" Target="http://www.itu.int/md/R15-RA15-C-0058/en" TargetMode="External"/><Relationship Id="rId27" Type="http://schemas.openxmlformats.org/officeDocument/2006/relationships/hyperlink" Target="http://www.itu.int/md/R15-RA15-C-0084/en" TargetMode="External"/><Relationship Id="rId30" Type="http://schemas.openxmlformats.org/officeDocument/2006/relationships/hyperlink" Target="http://www.itu.int/md/R15-RA15-C-0086/en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21</TotalTime>
  <Pages>3</Pages>
  <Words>949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Alidra, Patricia</dc:creator>
  <cp:keywords/>
  <dc:description>PF_RA07.dot  Pour: _x000d_Date du document: _x000d_Enregistré par MM-43480 à 16:09:12 le 16.10.07</dc:description>
  <cp:lastModifiedBy>Royer, Veronique</cp:lastModifiedBy>
  <cp:revision>8</cp:revision>
  <cp:lastPrinted>2015-11-13T08:32:00Z</cp:lastPrinted>
  <dcterms:created xsi:type="dcterms:W3CDTF">2015-11-13T08:11:00Z</dcterms:created>
  <dcterms:modified xsi:type="dcterms:W3CDTF">2015-11-13T11:48:00Z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