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CB3527">
        <w:trPr>
          <w:cantSplit/>
        </w:trPr>
        <w:tc>
          <w:tcPr>
            <w:tcW w:w="6629" w:type="dxa"/>
          </w:tcPr>
          <w:p w:rsidR="00CB3527" w:rsidRPr="00016648" w:rsidRDefault="00CB3527" w:rsidP="00AD26C8">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15</w:t>
            </w:r>
            <w:r w:rsidRPr="00530E6D">
              <w:rPr>
                <w:rFonts w:ascii="Verdana" w:hAnsi="Verdana" w:cs="Times New Roman Bold"/>
                <w:b/>
                <w:szCs w:val="24"/>
              </w:rPr>
              <w:t>)</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CB3527" w:rsidRDefault="00CB3527" w:rsidP="00223DF9">
            <w:pPr>
              <w:spacing w:line="240" w:lineRule="atLeast"/>
              <w:jc w:val="right"/>
            </w:pPr>
            <w:bookmarkStart w:id="0" w:name="ditulogo"/>
            <w:bookmarkEnd w:id="0"/>
            <w:r>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B3527" w:rsidRPr="00617BE4">
        <w:trPr>
          <w:cantSplit/>
        </w:trPr>
        <w:tc>
          <w:tcPr>
            <w:tcW w:w="6629" w:type="dxa"/>
            <w:tcBorders>
              <w:bottom w:val="single" w:sz="12" w:space="0" w:color="auto"/>
            </w:tcBorders>
          </w:tcPr>
          <w:p w:rsidR="00CB3527" w:rsidRPr="00617BE4" w:rsidRDefault="00CB3527" w:rsidP="00CB3527">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CB3527" w:rsidRPr="00617BE4" w:rsidRDefault="00CB3527" w:rsidP="00CB3527">
            <w:pPr>
              <w:spacing w:before="0" w:line="240" w:lineRule="atLeast"/>
              <w:rPr>
                <w:rFonts w:ascii="Verdana" w:hAnsi="Verdana"/>
                <w:szCs w:val="24"/>
              </w:rPr>
            </w:pPr>
          </w:p>
        </w:tc>
      </w:tr>
      <w:tr w:rsidR="00CB3527" w:rsidRPr="00C324A8">
        <w:trPr>
          <w:cantSplit/>
        </w:trPr>
        <w:tc>
          <w:tcPr>
            <w:tcW w:w="6629" w:type="dxa"/>
            <w:tcBorders>
              <w:top w:val="single" w:sz="12" w:space="0" w:color="auto"/>
            </w:tcBorders>
          </w:tcPr>
          <w:p w:rsidR="00CB3527" w:rsidRPr="00C324A8" w:rsidRDefault="00CB3527" w:rsidP="00CB3527">
            <w:pPr>
              <w:spacing w:before="0" w:after="48" w:line="240" w:lineRule="atLeast"/>
              <w:rPr>
                <w:rFonts w:ascii="Verdana" w:hAnsi="Verdana"/>
                <w:b/>
                <w:smallCaps/>
                <w:sz w:val="20"/>
              </w:rPr>
            </w:pPr>
          </w:p>
        </w:tc>
        <w:tc>
          <w:tcPr>
            <w:tcW w:w="3402" w:type="dxa"/>
            <w:tcBorders>
              <w:top w:val="single" w:sz="12" w:space="0" w:color="auto"/>
            </w:tcBorders>
          </w:tcPr>
          <w:p w:rsidR="00CB3527" w:rsidRPr="00C324A8" w:rsidRDefault="00CB3527" w:rsidP="00CB3527">
            <w:pPr>
              <w:spacing w:before="0" w:line="240" w:lineRule="atLeast"/>
              <w:rPr>
                <w:rFonts w:ascii="Verdana" w:hAnsi="Verdana"/>
                <w:sz w:val="20"/>
              </w:rPr>
            </w:pPr>
          </w:p>
        </w:tc>
      </w:tr>
      <w:tr w:rsidR="00CB3527" w:rsidRPr="00C324A8">
        <w:trPr>
          <w:cantSplit/>
          <w:trHeight w:val="23"/>
        </w:trPr>
        <w:tc>
          <w:tcPr>
            <w:tcW w:w="6629" w:type="dxa"/>
            <w:vMerge w:val="restart"/>
          </w:tcPr>
          <w:p w:rsidR="00CB3527" w:rsidRPr="00CB3527" w:rsidRDefault="00CB3527" w:rsidP="00CB3527">
            <w:pPr>
              <w:tabs>
                <w:tab w:val="left" w:pos="851"/>
              </w:tabs>
              <w:spacing w:before="0" w:line="240" w:lineRule="atLeast"/>
              <w:rPr>
                <w:rFonts w:ascii="Verdana" w:hAnsi="Verdana"/>
                <w:sz w:val="20"/>
              </w:rPr>
            </w:pPr>
            <w:bookmarkStart w:id="2" w:name="dnum" w:colFirst="1" w:colLast="1"/>
            <w:bookmarkStart w:id="3" w:name="dmeeting" w:colFirst="0" w:colLast="0"/>
            <w:bookmarkStart w:id="4" w:name="dbluepink" w:colFirst="0" w:colLast="0"/>
            <w:bookmarkEnd w:id="1"/>
          </w:p>
        </w:tc>
        <w:tc>
          <w:tcPr>
            <w:tcW w:w="3402" w:type="dxa"/>
          </w:tcPr>
          <w:p w:rsidR="00CB3527" w:rsidRPr="00CB3527" w:rsidRDefault="00CB3527" w:rsidP="00CB3527">
            <w:pPr>
              <w:tabs>
                <w:tab w:val="left" w:pos="851"/>
              </w:tabs>
              <w:spacing w:before="0" w:line="240" w:lineRule="atLeast"/>
              <w:rPr>
                <w:rFonts w:ascii="Verdana" w:hAnsi="Verdana"/>
                <w:sz w:val="20"/>
              </w:rPr>
            </w:pPr>
            <w:r>
              <w:rPr>
                <w:rFonts w:ascii="Verdana" w:hAnsi="Verdana"/>
                <w:b/>
                <w:sz w:val="20"/>
              </w:rPr>
              <w:t>Document RA15/</w:t>
            </w:r>
            <w:r w:rsidR="00D817A2">
              <w:rPr>
                <w:rFonts w:ascii="Verdana" w:hAnsi="Verdana"/>
                <w:b/>
                <w:sz w:val="20"/>
              </w:rPr>
              <w:t>PLEN/99</w:t>
            </w:r>
            <w:r>
              <w:rPr>
                <w:rFonts w:ascii="Verdana" w:hAnsi="Verdana"/>
                <w:b/>
                <w:sz w:val="20"/>
              </w:rPr>
              <w:t>-F</w:t>
            </w:r>
          </w:p>
        </w:tc>
      </w:tr>
      <w:tr w:rsidR="00CB3527" w:rsidRPr="00C324A8">
        <w:trPr>
          <w:cantSplit/>
          <w:trHeight w:val="23"/>
        </w:trPr>
        <w:tc>
          <w:tcPr>
            <w:tcW w:w="6629" w:type="dxa"/>
            <w:vMerge/>
          </w:tcPr>
          <w:p w:rsidR="00CB3527" w:rsidRPr="00C324A8" w:rsidRDefault="00CB3527">
            <w:pPr>
              <w:tabs>
                <w:tab w:val="left" w:pos="851"/>
              </w:tabs>
              <w:spacing w:line="240" w:lineRule="atLeast"/>
              <w:rPr>
                <w:rFonts w:ascii="Verdana" w:hAnsi="Verdana"/>
                <w:b/>
                <w:sz w:val="20"/>
              </w:rPr>
            </w:pPr>
            <w:bookmarkStart w:id="5" w:name="ddate" w:colFirst="1" w:colLast="1"/>
            <w:bookmarkEnd w:id="2"/>
            <w:bookmarkEnd w:id="3"/>
          </w:p>
        </w:tc>
        <w:tc>
          <w:tcPr>
            <w:tcW w:w="3402" w:type="dxa"/>
          </w:tcPr>
          <w:p w:rsidR="00CB3527" w:rsidRPr="00CB3527" w:rsidRDefault="00801DA5" w:rsidP="00CB3527">
            <w:pPr>
              <w:tabs>
                <w:tab w:val="left" w:pos="993"/>
              </w:tabs>
              <w:spacing w:before="0"/>
              <w:rPr>
                <w:rFonts w:ascii="Verdana" w:hAnsi="Verdana"/>
                <w:sz w:val="20"/>
              </w:rPr>
            </w:pPr>
            <w:r>
              <w:rPr>
                <w:rFonts w:ascii="Verdana" w:hAnsi="Verdana"/>
                <w:b/>
                <w:sz w:val="20"/>
              </w:rPr>
              <w:t>28 octobre</w:t>
            </w:r>
            <w:r w:rsidR="00CB3527">
              <w:rPr>
                <w:rFonts w:ascii="Verdana" w:hAnsi="Verdana"/>
                <w:b/>
                <w:sz w:val="20"/>
              </w:rPr>
              <w:t xml:space="preserve"> 2015</w:t>
            </w:r>
          </w:p>
        </w:tc>
      </w:tr>
      <w:tr w:rsidR="00CB3527" w:rsidRPr="00C324A8">
        <w:trPr>
          <w:cantSplit/>
          <w:trHeight w:val="23"/>
        </w:trPr>
        <w:tc>
          <w:tcPr>
            <w:tcW w:w="6629" w:type="dxa"/>
            <w:vMerge/>
          </w:tcPr>
          <w:p w:rsidR="00CB3527" w:rsidRPr="00C324A8" w:rsidRDefault="00CB3527">
            <w:pPr>
              <w:tabs>
                <w:tab w:val="left" w:pos="851"/>
              </w:tabs>
              <w:spacing w:line="240" w:lineRule="atLeast"/>
              <w:rPr>
                <w:rFonts w:ascii="Verdana" w:hAnsi="Verdana"/>
                <w:b/>
                <w:sz w:val="20"/>
              </w:rPr>
            </w:pPr>
            <w:bookmarkStart w:id="6" w:name="dorlang" w:colFirst="1" w:colLast="1"/>
            <w:bookmarkEnd w:id="5"/>
          </w:p>
        </w:tc>
        <w:tc>
          <w:tcPr>
            <w:tcW w:w="3402" w:type="dxa"/>
          </w:tcPr>
          <w:p w:rsidR="00CB3527" w:rsidRPr="00CB3527" w:rsidRDefault="00CB3527" w:rsidP="00CB3527">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CB3527">
        <w:trPr>
          <w:cantSplit/>
        </w:trPr>
        <w:tc>
          <w:tcPr>
            <w:tcW w:w="10031" w:type="dxa"/>
          </w:tcPr>
          <w:p w:rsidR="00CB3527" w:rsidRDefault="00CB3527" w:rsidP="00801DA5">
            <w:pPr>
              <w:pStyle w:val="Title1"/>
              <w:spacing w:before="480"/>
              <w:rPr>
                <w:lang w:val="fr-CH"/>
              </w:rPr>
            </w:pPr>
            <w:bookmarkStart w:id="7" w:name="dsource" w:colFirst="0" w:colLast="0"/>
            <w:bookmarkEnd w:id="4"/>
            <w:bookmarkEnd w:id="6"/>
            <w:r w:rsidRPr="00536FBA">
              <w:rPr>
                <w:lang w:val="fr-CH"/>
              </w:rPr>
              <w:t>COMPTE RENDU DE LA DEUXIèME séance PLéNIèRE DE</w:t>
            </w:r>
            <w:r w:rsidR="00801DA5">
              <w:rPr>
                <w:lang w:val="fr-CH"/>
              </w:rPr>
              <w:br/>
            </w:r>
            <w:r w:rsidRPr="00536FBA">
              <w:rPr>
                <w:lang w:val="fr-CH"/>
              </w:rPr>
              <w:t>L</w:t>
            </w:r>
            <w:r w:rsidR="00536FBA" w:rsidRPr="00536FBA">
              <w:rPr>
                <w:lang w:val="fr-CH"/>
              </w:rPr>
              <w:t>'</w:t>
            </w:r>
            <w:r w:rsidRPr="00536FBA">
              <w:rPr>
                <w:lang w:val="fr-CH"/>
              </w:rPr>
              <w:t>ASSEMBLéE DES RAdiocommunications</w:t>
            </w:r>
          </w:p>
        </w:tc>
      </w:tr>
      <w:tr w:rsidR="00CB3527">
        <w:trPr>
          <w:cantSplit/>
        </w:trPr>
        <w:tc>
          <w:tcPr>
            <w:tcW w:w="10031" w:type="dxa"/>
          </w:tcPr>
          <w:p w:rsidR="00CB3527" w:rsidRDefault="00CB3527" w:rsidP="00CB3527">
            <w:pPr>
              <w:pStyle w:val="Title3"/>
              <w:rPr>
                <w:lang w:val="fr-CH"/>
              </w:rPr>
            </w:pPr>
            <w:bookmarkStart w:id="8" w:name="dtitle1" w:colFirst="0" w:colLast="0"/>
            <w:bookmarkEnd w:id="7"/>
            <w:r w:rsidRPr="00CB3527">
              <w:rPr>
                <w:lang w:val="en-GB"/>
              </w:rPr>
              <w:t>Mardi 27 octobre 2015, à 14 heures</w:t>
            </w:r>
          </w:p>
        </w:tc>
      </w:tr>
      <w:tr w:rsidR="00CB3527">
        <w:trPr>
          <w:cantSplit/>
        </w:trPr>
        <w:tc>
          <w:tcPr>
            <w:tcW w:w="10031" w:type="dxa"/>
          </w:tcPr>
          <w:p w:rsidR="00CB3527" w:rsidRPr="00CB3527" w:rsidRDefault="00CB3527" w:rsidP="00CB3527">
            <w:pPr>
              <w:pStyle w:val="Title3"/>
              <w:rPr>
                <w:lang w:val="en-GB"/>
              </w:rPr>
            </w:pPr>
            <w:bookmarkStart w:id="9" w:name="dtitle2" w:colFirst="0" w:colLast="0"/>
            <w:bookmarkEnd w:id="8"/>
            <w:r w:rsidRPr="00CB3527">
              <w:rPr>
                <w:lang w:val="en-GB"/>
              </w:rPr>
              <w:t>(CICG, salle 1)</w:t>
            </w:r>
          </w:p>
        </w:tc>
      </w:tr>
      <w:bookmarkEnd w:id="9"/>
    </w:tbl>
    <w:p w:rsidR="00CB3527" w:rsidRPr="00536FBA" w:rsidRDefault="00CB3527" w:rsidP="00536FBA">
      <w:pPr>
        <w:spacing w:before="0"/>
        <w:rPr>
          <w:lang w:val="en-GB"/>
        </w:rPr>
      </w:pPr>
    </w:p>
    <w:tbl>
      <w:tblPr>
        <w:tblW w:w="9866" w:type="dxa"/>
        <w:tblLook w:val="0000" w:firstRow="0" w:lastRow="0" w:firstColumn="0" w:lastColumn="0" w:noHBand="0" w:noVBand="0"/>
      </w:tblPr>
      <w:tblGrid>
        <w:gridCol w:w="514"/>
        <w:gridCol w:w="6296"/>
        <w:gridCol w:w="3056"/>
      </w:tblGrid>
      <w:tr w:rsidR="00CB3527" w:rsidRPr="00052353" w:rsidTr="003D0AF8">
        <w:tc>
          <w:tcPr>
            <w:tcW w:w="260" w:type="pct"/>
          </w:tcPr>
          <w:p w:rsidR="00CB3527" w:rsidRPr="00052353" w:rsidRDefault="00CB3527" w:rsidP="003D0AF8">
            <w:pPr>
              <w:pStyle w:val="toc0"/>
              <w:spacing w:before="0"/>
              <w:rPr>
                <w:rFonts w:asciiTheme="minorHAnsi" w:hAnsiTheme="minorHAnsi"/>
                <w:sz w:val="22"/>
                <w:szCs w:val="22"/>
              </w:rPr>
            </w:pPr>
          </w:p>
        </w:tc>
        <w:tc>
          <w:tcPr>
            <w:tcW w:w="3191" w:type="pct"/>
          </w:tcPr>
          <w:p w:rsidR="00CB3527" w:rsidRPr="00052353" w:rsidRDefault="00CB3527" w:rsidP="003D0AF8">
            <w:pPr>
              <w:pStyle w:val="toc0"/>
              <w:rPr>
                <w:rFonts w:asciiTheme="minorHAnsi" w:hAnsiTheme="minorHAnsi"/>
                <w:sz w:val="22"/>
                <w:szCs w:val="22"/>
              </w:rPr>
            </w:pPr>
          </w:p>
        </w:tc>
        <w:tc>
          <w:tcPr>
            <w:tcW w:w="1549" w:type="pct"/>
          </w:tcPr>
          <w:p w:rsidR="00CB3527" w:rsidRPr="00052353" w:rsidRDefault="00CB3527" w:rsidP="003D0AF8">
            <w:pPr>
              <w:pStyle w:val="toc0"/>
              <w:jc w:val="center"/>
              <w:rPr>
                <w:rFonts w:asciiTheme="minorHAnsi" w:hAnsiTheme="minorHAnsi"/>
                <w:sz w:val="22"/>
                <w:szCs w:val="22"/>
              </w:rPr>
            </w:pPr>
            <w:r w:rsidRPr="00D817A2">
              <w:rPr>
                <w:lang w:val="en-GB"/>
              </w:rPr>
              <w:t>Documents</w:t>
            </w:r>
          </w:p>
        </w:tc>
      </w:tr>
      <w:tr w:rsidR="00CB3527" w:rsidRPr="00052353" w:rsidTr="003D0AF8">
        <w:tc>
          <w:tcPr>
            <w:tcW w:w="260" w:type="pct"/>
          </w:tcPr>
          <w:p w:rsidR="00CB3527" w:rsidRPr="009D42E5" w:rsidRDefault="00CB3527" w:rsidP="003D0AF8">
            <w:pPr>
              <w:tabs>
                <w:tab w:val="left" w:pos="567"/>
              </w:tabs>
              <w:spacing w:before="80"/>
              <w:ind w:left="567" w:hanging="567"/>
              <w:rPr>
                <w:rFonts w:asciiTheme="majorBidi" w:hAnsiTheme="majorBidi" w:cstheme="majorBidi"/>
                <w:bCs/>
                <w:szCs w:val="24"/>
              </w:rPr>
            </w:pPr>
            <w:r w:rsidRPr="009D42E5">
              <w:rPr>
                <w:rFonts w:asciiTheme="majorBidi" w:hAnsiTheme="majorBidi" w:cstheme="majorBidi"/>
                <w:bCs/>
                <w:szCs w:val="24"/>
              </w:rPr>
              <w:t>1</w:t>
            </w:r>
          </w:p>
        </w:tc>
        <w:tc>
          <w:tcPr>
            <w:tcW w:w="3191" w:type="pct"/>
          </w:tcPr>
          <w:p w:rsidR="00CB3527" w:rsidRPr="00801DA5" w:rsidRDefault="00CB3527" w:rsidP="003D0AF8">
            <w:pPr>
              <w:tabs>
                <w:tab w:val="left" w:pos="567"/>
              </w:tabs>
              <w:spacing w:before="80"/>
              <w:rPr>
                <w:rFonts w:asciiTheme="majorBidi" w:hAnsiTheme="majorBidi" w:cstheme="majorBidi"/>
                <w:szCs w:val="24"/>
              </w:rPr>
            </w:pPr>
            <w:r w:rsidRPr="00801DA5">
              <w:rPr>
                <w:rFonts w:asciiTheme="majorBidi" w:hAnsiTheme="majorBidi" w:cstheme="majorBidi"/>
                <w:szCs w:val="24"/>
              </w:rPr>
              <w:t>Ouverture de la séance</w:t>
            </w:r>
          </w:p>
        </w:tc>
        <w:tc>
          <w:tcPr>
            <w:tcW w:w="1549" w:type="pct"/>
          </w:tcPr>
          <w:p w:rsidR="00CB3527" w:rsidRPr="00536FBA" w:rsidRDefault="00D817A2" w:rsidP="003D0AF8">
            <w:pPr>
              <w:spacing w:before="80"/>
              <w:jc w:val="center"/>
              <w:rPr>
                <w:rFonts w:asciiTheme="minorHAnsi" w:hAnsiTheme="minorHAnsi"/>
                <w:b/>
                <w:bCs/>
                <w:sz w:val="22"/>
                <w:szCs w:val="22"/>
              </w:rPr>
            </w:pPr>
            <w:r>
              <w:t>–</w:t>
            </w:r>
          </w:p>
        </w:tc>
      </w:tr>
      <w:tr w:rsidR="00CB3527" w:rsidRPr="00052353" w:rsidTr="003D0AF8">
        <w:tc>
          <w:tcPr>
            <w:tcW w:w="260" w:type="pct"/>
          </w:tcPr>
          <w:p w:rsidR="00CB3527" w:rsidRPr="009D42E5" w:rsidRDefault="00CB3527" w:rsidP="003D0AF8">
            <w:pPr>
              <w:tabs>
                <w:tab w:val="left" w:pos="567"/>
              </w:tabs>
              <w:spacing w:before="80"/>
              <w:ind w:left="567" w:hanging="567"/>
              <w:rPr>
                <w:rFonts w:asciiTheme="majorBidi" w:hAnsiTheme="majorBidi" w:cstheme="majorBidi"/>
                <w:bCs/>
                <w:szCs w:val="24"/>
              </w:rPr>
            </w:pPr>
            <w:r w:rsidRPr="009D42E5">
              <w:rPr>
                <w:rFonts w:asciiTheme="majorBidi" w:hAnsiTheme="majorBidi" w:cstheme="majorBidi"/>
                <w:bCs/>
                <w:szCs w:val="24"/>
              </w:rPr>
              <w:t>2</w:t>
            </w:r>
          </w:p>
        </w:tc>
        <w:tc>
          <w:tcPr>
            <w:tcW w:w="3191" w:type="pct"/>
          </w:tcPr>
          <w:p w:rsidR="00CB3527" w:rsidRPr="00801DA5" w:rsidRDefault="00CB3527" w:rsidP="003D0AF8">
            <w:pPr>
              <w:tabs>
                <w:tab w:val="left" w:pos="567"/>
              </w:tabs>
              <w:spacing w:before="80"/>
              <w:rPr>
                <w:rFonts w:asciiTheme="majorBidi" w:hAnsiTheme="majorBidi" w:cstheme="majorBidi"/>
                <w:szCs w:val="24"/>
              </w:rPr>
            </w:pPr>
            <w:r w:rsidRPr="00801DA5">
              <w:rPr>
                <w:rFonts w:asciiTheme="majorBidi" w:hAnsiTheme="majorBidi" w:cstheme="majorBidi"/>
                <w:szCs w:val="24"/>
              </w:rPr>
              <w:t>Adoption de l</w:t>
            </w:r>
            <w:r w:rsidR="00536FBA" w:rsidRPr="00801DA5">
              <w:rPr>
                <w:rFonts w:asciiTheme="majorBidi" w:hAnsiTheme="majorBidi" w:cstheme="majorBidi"/>
                <w:szCs w:val="24"/>
              </w:rPr>
              <w:t>'</w:t>
            </w:r>
            <w:r w:rsidRPr="00801DA5">
              <w:rPr>
                <w:rFonts w:asciiTheme="majorBidi" w:hAnsiTheme="majorBidi" w:cstheme="majorBidi"/>
                <w:szCs w:val="24"/>
              </w:rPr>
              <w:t>ordre du jour</w:t>
            </w:r>
          </w:p>
          <w:p w:rsidR="00CB3527" w:rsidRPr="00801DA5" w:rsidRDefault="00CB3527" w:rsidP="003D0AF8">
            <w:pPr>
              <w:tabs>
                <w:tab w:val="left" w:pos="567"/>
              </w:tabs>
              <w:spacing w:before="80"/>
              <w:rPr>
                <w:rFonts w:asciiTheme="majorBidi" w:hAnsiTheme="majorBidi" w:cstheme="majorBidi"/>
                <w:szCs w:val="24"/>
              </w:rPr>
            </w:pPr>
            <w:r w:rsidRPr="00801DA5">
              <w:rPr>
                <w:rFonts w:asciiTheme="majorBidi" w:hAnsiTheme="majorBidi" w:cstheme="majorBidi"/>
                <w:szCs w:val="24"/>
              </w:rPr>
              <w:t>L</w:t>
            </w:r>
            <w:r w:rsidR="00536FBA" w:rsidRPr="00801DA5">
              <w:rPr>
                <w:rFonts w:asciiTheme="majorBidi" w:hAnsiTheme="majorBidi" w:cstheme="majorBidi"/>
                <w:szCs w:val="24"/>
              </w:rPr>
              <w:t>'</w:t>
            </w:r>
            <w:r w:rsidRPr="00801DA5">
              <w:rPr>
                <w:rFonts w:asciiTheme="majorBidi" w:hAnsiTheme="majorBidi" w:cstheme="majorBidi"/>
                <w:szCs w:val="24"/>
              </w:rPr>
              <w:t>Administration de l</w:t>
            </w:r>
            <w:r w:rsidR="00536FBA" w:rsidRPr="00801DA5">
              <w:rPr>
                <w:rFonts w:asciiTheme="majorBidi" w:hAnsiTheme="majorBidi" w:cstheme="majorBidi"/>
                <w:szCs w:val="24"/>
              </w:rPr>
              <w:t>'</w:t>
            </w:r>
            <w:r w:rsidR="009D42E5">
              <w:rPr>
                <w:rFonts w:asciiTheme="majorBidi" w:hAnsiTheme="majorBidi" w:cstheme="majorBidi"/>
                <w:szCs w:val="24"/>
              </w:rPr>
              <w:t>Arabie s</w:t>
            </w:r>
            <w:r w:rsidRPr="00801DA5">
              <w:rPr>
                <w:rFonts w:asciiTheme="majorBidi" w:hAnsiTheme="majorBidi" w:cstheme="majorBidi"/>
                <w:szCs w:val="24"/>
              </w:rPr>
              <w:t>aoudite a demandé que des liens hypertextes soient ajoutés dans l</w:t>
            </w:r>
            <w:r w:rsidR="00536FBA" w:rsidRPr="00801DA5">
              <w:rPr>
                <w:rFonts w:asciiTheme="majorBidi" w:hAnsiTheme="majorBidi" w:cstheme="majorBidi"/>
                <w:szCs w:val="24"/>
              </w:rPr>
              <w:t>'</w:t>
            </w:r>
            <w:r w:rsidRPr="00801DA5">
              <w:rPr>
                <w:rFonts w:asciiTheme="majorBidi" w:hAnsiTheme="majorBidi" w:cstheme="majorBidi"/>
                <w:szCs w:val="24"/>
              </w:rPr>
              <w:t>ordre du jour afin de faciliter la récupération des documents. Le Président a accepté cette demande. L</w:t>
            </w:r>
            <w:r w:rsidR="00536FBA" w:rsidRPr="00801DA5">
              <w:rPr>
                <w:rFonts w:asciiTheme="majorBidi" w:hAnsiTheme="majorBidi" w:cstheme="majorBidi"/>
                <w:szCs w:val="24"/>
              </w:rPr>
              <w:t>'</w:t>
            </w:r>
            <w:r w:rsidRPr="00801DA5">
              <w:rPr>
                <w:rFonts w:asciiTheme="majorBidi" w:hAnsiTheme="majorBidi" w:cstheme="majorBidi"/>
                <w:szCs w:val="24"/>
              </w:rPr>
              <w:t>ordre du jour a été approuvé sans modification.</w:t>
            </w:r>
          </w:p>
        </w:tc>
        <w:tc>
          <w:tcPr>
            <w:tcW w:w="1549" w:type="pct"/>
          </w:tcPr>
          <w:p w:rsidR="00CB3527" w:rsidRPr="00052353" w:rsidRDefault="00A7401B" w:rsidP="003D0AF8">
            <w:pPr>
              <w:spacing w:before="80"/>
              <w:jc w:val="center"/>
              <w:rPr>
                <w:rFonts w:asciiTheme="minorHAnsi" w:hAnsiTheme="minorHAnsi"/>
                <w:sz w:val="22"/>
                <w:szCs w:val="22"/>
              </w:rPr>
            </w:pPr>
            <w:hyperlink r:id="rId8" w:history="1">
              <w:r w:rsidR="00D817A2" w:rsidRPr="00F0203A">
                <w:rPr>
                  <w:rStyle w:val="Hyperlink"/>
                </w:rPr>
                <w:t>ADM/16</w:t>
              </w:r>
            </w:hyperlink>
          </w:p>
        </w:tc>
      </w:tr>
      <w:tr w:rsidR="00CB3527" w:rsidRPr="00052353" w:rsidTr="003D0AF8">
        <w:tc>
          <w:tcPr>
            <w:tcW w:w="260" w:type="pct"/>
          </w:tcPr>
          <w:p w:rsidR="00CB3527" w:rsidRPr="009D42E5" w:rsidRDefault="00CB3527" w:rsidP="003D0AF8">
            <w:pPr>
              <w:tabs>
                <w:tab w:val="left" w:pos="567"/>
              </w:tabs>
              <w:spacing w:before="80"/>
              <w:ind w:left="567" w:hanging="567"/>
              <w:rPr>
                <w:rFonts w:asciiTheme="majorBidi" w:hAnsiTheme="majorBidi" w:cstheme="majorBidi"/>
                <w:bCs/>
                <w:szCs w:val="24"/>
              </w:rPr>
            </w:pPr>
            <w:r w:rsidRPr="009D42E5">
              <w:rPr>
                <w:rFonts w:asciiTheme="majorBidi" w:hAnsiTheme="majorBidi" w:cstheme="majorBidi"/>
                <w:bCs/>
                <w:szCs w:val="24"/>
              </w:rPr>
              <w:t>3</w:t>
            </w:r>
          </w:p>
        </w:tc>
        <w:tc>
          <w:tcPr>
            <w:tcW w:w="3191" w:type="pct"/>
          </w:tcPr>
          <w:p w:rsidR="00CB3527" w:rsidRPr="00801DA5" w:rsidRDefault="00CB3527" w:rsidP="00801DA5">
            <w:pPr>
              <w:tabs>
                <w:tab w:val="left" w:pos="567"/>
              </w:tabs>
              <w:spacing w:before="80"/>
              <w:rPr>
                <w:rFonts w:asciiTheme="majorBidi" w:hAnsiTheme="majorBidi" w:cstheme="majorBidi"/>
                <w:szCs w:val="24"/>
              </w:rPr>
            </w:pPr>
            <w:r w:rsidRPr="00801DA5">
              <w:rPr>
                <w:rFonts w:asciiTheme="majorBidi" w:hAnsiTheme="majorBidi" w:cstheme="majorBidi"/>
                <w:szCs w:val="24"/>
              </w:rPr>
              <w:t>Organisation de l</w:t>
            </w:r>
            <w:r w:rsidR="00536FBA" w:rsidRPr="00801DA5">
              <w:rPr>
                <w:rFonts w:asciiTheme="majorBidi" w:hAnsiTheme="majorBidi" w:cstheme="majorBidi"/>
                <w:szCs w:val="24"/>
              </w:rPr>
              <w:t>'</w:t>
            </w:r>
            <w:r w:rsidRPr="00801DA5">
              <w:rPr>
                <w:rFonts w:asciiTheme="majorBidi" w:hAnsiTheme="majorBidi" w:cstheme="majorBidi"/>
                <w:szCs w:val="24"/>
              </w:rPr>
              <w:t>Assemblée des Radiocommunications</w:t>
            </w:r>
          </w:p>
          <w:p w:rsidR="00CB3527" w:rsidRPr="00801DA5" w:rsidRDefault="00801DA5" w:rsidP="00801DA5">
            <w:pPr>
              <w:tabs>
                <w:tab w:val="left" w:pos="567"/>
              </w:tabs>
              <w:spacing w:before="80"/>
              <w:rPr>
                <w:rFonts w:asciiTheme="majorBidi" w:hAnsiTheme="majorBidi" w:cstheme="majorBidi"/>
                <w:szCs w:val="24"/>
              </w:rPr>
            </w:pPr>
            <w:r>
              <w:rPr>
                <w:rFonts w:asciiTheme="majorBidi" w:hAnsiTheme="majorBidi" w:cstheme="majorBidi"/>
                <w:szCs w:val="24"/>
              </w:rPr>
              <w:t>Il a été pris note du D</w:t>
            </w:r>
            <w:r w:rsidR="00CB3527" w:rsidRPr="00801DA5">
              <w:rPr>
                <w:rFonts w:asciiTheme="majorBidi" w:hAnsiTheme="majorBidi" w:cstheme="majorBidi"/>
                <w:szCs w:val="24"/>
              </w:rPr>
              <w:t>ocument ADM/4(Rév.1).</w:t>
            </w:r>
          </w:p>
        </w:tc>
        <w:tc>
          <w:tcPr>
            <w:tcW w:w="1549" w:type="pct"/>
          </w:tcPr>
          <w:p w:rsidR="00CB3527" w:rsidRPr="00052353" w:rsidRDefault="00A7401B" w:rsidP="003D0AF8">
            <w:pPr>
              <w:spacing w:before="80"/>
              <w:jc w:val="center"/>
              <w:rPr>
                <w:rFonts w:asciiTheme="minorHAnsi" w:hAnsiTheme="minorHAnsi"/>
                <w:sz w:val="22"/>
                <w:szCs w:val="22"/>
              </w:rPr>
            </w:pPr>
            <w:hyperlink r:id="rId9" w:history="1">
              <w:r w:rsidR="00D817A2">
                <w:rPr>
                  <w:rStyle w:val="Hyperlink"/>
                </w:rPr>
                <w:t>ADM/4(Ré</w:t>
              </w:r>
              <w:r w:rsidR="00D817A2" w:rsidRPr="00F0203A">
                <w:rPr>
                  <w:rStyle w:val="Hyperlink"/>
                </w:rPr>
                <w:t>v.1)</w:t>
              </w:r>
            </w:hyperlink>
          </w:p>
        </w:tc>
      </w:tr>
      <w:tr w:rsidR="00CB3527" w:rsidRPr="00052353" w:rsidTr="003D0AF8">
        <w:tc>
          <w:tcPr>
            <w:tcW w:w="260" w:type="pct"/>
          </w:tcPr>
          <w:p w:rsidR="00CB3527" w:rsidRPr="009D42E5" w:rsidRDefault="00CB3527" w:rsidP="003D0AF8">
            <w:pPr>
              <w:tabs>
                <w:tab w:val="left" w:pos="567"/>
              </w:tabs>
              <w:spacing w:before="80"/>
              <w:ind w:left="567" w:hanging="567"/>
              <w:rPr>
                <w:rFonts w:asciiTheme="majorBidi" w:hAnsiTheme="majorBidi" w:cstheme="majorBidi"/>
                <w:bCs/>
                <w:szCs w:val="24"/>
              </w:rPr>
            </w:pPr>
            <w:r w:rsidRPr="009D42E5">
              <w:rPr>
                <w:rFonts w:asciiTheme="majorBidi" w:hAnsiTheme="majorBidi" w:cstheme="majorBidi"/>
                <w:bCs/>
                <w:szCs w:val="24"/>
              </w:rPr>
              <w:t>4</w:t>
            </w:r>
          </w:p>
        </w:tc>
        <w:tc>
          <w:tcPr>
            <w:tcW w:w="3191" w:type="pct"/>
          </w:tcPr>
          <w:p w:rsidR="00CB3527" w:rsidRPr="00801DA5" w:rsidRDefault="00CB3527" w:rsidP="003D0AF8">
            <w:pPr>
              <w:tabs>
                <w:tab w:val="left" w:pos="567"/>
              </w:tabs>
              <w:spacing w:before="80"/>
              <w:rPr>
                <w:rFonts w:asciiTheme="majorBidi" w:hAnsiTheme="majorBidi" w:cstheme="majorBidi"/>
                <w:szCs w:val="24"/>
              </w:rPr>
            </w:pPr>
            <w:r w:rsidRPr="00801DA5">
              <w:rPr>
                <w:rFonts w:asciiTheme="majorBidi" w:hAnsiTheme="majorBidi" w:cstheme="majorBidi"/>
                <w:szCs w:val="24"/>
              </w:rPr>
              <w:t>Rapport de la Commission 4</w:t>
            </w:r>
          </w:p>
          <w:p w:rsidR="00CB3527" w:rsidRPr="00801DA5" w:rsidRDefault="00CB3527" w:rsidP="003D0AF8">
            <w:pPr>
              <w:tabs>
                <w:tab w:val="left" w:pos="567"/>
              </w:tabs>
              <w:spacing w:before="80"/>
              <w:rPr>
                <w:rFonts w:asciiTheme="majorBidi" w:hAnsiTheme="majorBidi" w:cstheme="majorBidi"/>
                <w:szCs w:val="24"/>
              </w:rPr>
            </w:pPr>
            <w:r w:rsidRPr="00801DA5">
              <w:rPr>
                <w:rFonts w:asciiTheme="majorBidi" w:hAnsiTheme="majorBidi" w:cstheme="majorBidi"/>
                <w:szCs w:val="24"/>
              </w:rPr>
              <w:t>Le Président de la Commission 4 a indiqué que la Commission avait tenu une réunion et créé trois Groupes de travail: 4A (Programme de travail et Questions), 4B (Examen des Résolutions existantes relatives aux activités des Commissions d</w:t>
            </w:r>
            <w:r w:rsidR="00536FBA" w:rsidRPr="00801DA5">
              <w:rPr>
                <w:rFonts w:asciiTheme="majorBidi" w:hAnsiTheme="majorBidi" w:cstheme="majorBidi"/>
                <w:szCs w:val="24"/>
              </w:rPr>
              <w:t>'</w:t>
            </w:r>
            <w:r w:rsidRPr="00801DA5">
              <w:rPr>
                <w:rFonts w:asciiTheme="majorBidi" w:hAnsiTheme="majorBidi" w:cstheme="majorBidi"/>
                <w:szCs w:val="24"/>
              </w:rPr>
              <w:t>études) et 4C (Nouvelles Résolutions relatives aux activités des Commissions d</w:t>
            </w:r>
            <w:r w:rsidR="00536FBA" w:rsidRPr="00801DA5">
              <w:rPr>
                <w:rFonts w:asciiTheme="majorBidi" w:hAnsiTheme="majorBidi" w:cstheme="majorBidi"/>
                <w:szCs w:val="24"/>
              </w:rPr>
              <w:t>'</w:t>
            </w:r>
            <w:r w:rsidRPr="00801DA5">
              <w:rPr>
                <w:rFonts w:asciiTheme="majorBidi" w:hAnsiTheme="majorBidi" w:cstheme="majorBidi"/>
                <w:szCs w:val="24"/>
              </w:rPr>
              <w:t>études). Des documents de travail avaient été confiés à ces trois Groupes de travail lors de cette réunion (voir ADM/12). Il a précisé que les Groupes de travail 4A et 4B avaient terminé l</w:t>
            </w:r>
            <w:r w:rsidR="00536FBA" w:rsidRPr="00801DA5">
              <w:rPr>
                <w:rFonts w:asciiTheme="majorBidi" w:hAnsiTheme="majorBidi" w:cstheme="majorBidi"/>
                <w:szCs w:val="24"/>
              </w:rPr>
              <w:t>'</w:t>
            </w:r>
            <w:r w:rsidRPr="00801DA5">
              <w:rPr>
                <w:rFonts w:asciiTheme="majorBidi" w:hAnsiTheme="majorBidi" w:cstheme="majorBidi"/>
                <w:szCs w:val="24"/>
              </w:rPr>
              <w:t>examen de ces documents et étaient en train d</w:t>
            </w:r>
            <w:r w:rsidR="00536FBA" w:rsidRPr="00801DA5">
              <w:rPr>
                <w:rFonts w:asciiTheme="majorBidi" w:hAnsiTheme="majorBidi" w:cstheme="majorBidi"/>
                <w:szCs w:val="24"/>
              </w:rPr>
              <w:t>'</w:t>
            </w:r>
            <w:r w:rsidRPr="00801DA5">
              <w:rPr>
                <w:rFonts w:asciiTheme="majorBidi" w:hAnsiTheme="majorBidi" w:cstheme="majorBidi"/>
                <w:szCs w:val="24"/>
              </w:rPr>
              <w:t>élaborer des rapports qui seraient soumis à la Commission d</w:t>
            </w:r>
            <w:r w:rsidR="00536FBA" w:rsidRPr="00801DA5">
              <w:rPr>
                <w:rFonts w:asciiTheme="majorBidi" w:hAnsiTheme="majorBidi" w:cstheme="majorBidi"/>
                <w:szCs w:val="24"/>
              </w:rPr>
              <w:t>'</w:t>
            </w:r>
            <w:r w:rsidRPr="00801DA5">
              <w:rPr>
                <w:rFonts w:asciiTheme="majorBidi" w:hAnsiTheme="majorBidi" w:cstheme="majorBidi"/>
                <w:szCs w:val="24"/>
              </w:rPr>
              <w:t>études 4. Le Groupe de travail 4C devrait terminer ses travaux dans la journée. Il a ajouté que tous les documents roses des Commissions d</w:t>
            </w:r>
            <w:r w:rsidR="00536FBA" w:rsidRPr="00801DA5">
              <w:rPr>
                <w:rFonts w:asciiTheme="majorBidi" w:hAnsiTheme="majorBidi" w:cstheme="majorBidi"/>
                <w:szCs w:val="24"/>
              </w:rPr>
              <w:t>'</w:t>
            </w:r>
            <w:r w:rsidRPr="00801DA5">
              <w:rPr>
                <w:rFonts w:asciiTheme="majorBidi" w:hAnsiTheme="majorBidi" w:cstheme="majorBidi"/>
                <w:szCs w:val="24"/>
              </w:rPr>
              <w:t>études avaient été approuvés.</w:t>
            </w:r>
          </w:p>
        </w:tc>
        <w:tc>
          <w:tcPr>
            <w:tcW w:w="1549" w:type="pct"/>
          </w:tcPr>
          <w:p w:rsidR="00CB3527" w:rsidRPr="00052353" w:rsidRDefault="00A7401B" w:rsidP="003D0AF8">
            <w:pPr>
              <w:spacing w:before="80"/>
              <w:jc w:val="center"/>
              <w:rPr>
                <w:rFonts w:asciiTheme="minorHAnsi" w:hAnsiTheme="minorHAnsi"/>
                <w:sz w:val="22"/>
                <w:szCs w:val="22"/>
              </w:rPr>
            </w:pPr>
            <w:hyperlink r:id="rId10" w:history="1">
              <w:r w:rsidR="00D817A2" w:rsidRPr="00F0203A">
                <w:rPr>
                  <w:rStyle w:val="Hyperlink"/>
                </w:rPr>
                <w:t>ADM/12</w:t>
              </w:r>
            </w:hyperlink>
          </w:p>
        </w:tc>
      </w:tr>
      <w:tr w:rsidR="00CB3527" w:rsidRPr="00052353" w:rsidTr="003D0AF8">
        <w:tc>
          <w:tcPr>
            <w:tcW w:w="260" w:type="pct"/>
          </w:tcPr>
          <w:p w:rsidR="00CB3527" w:rsidRPr="009D42E5" w:rsidRDefault="00CB3527" w:rsidP="003D0AF8">
            <w:pPr>
              <w:tabs>
                <w:tab w:val="left" w:pos="567"/>
              </w:tabs>
              <w:spacing w:before="80"/>
              <w:ind w:left="567" w:hanging="567"/>
              <w:rPr>
                <w:rFonts w:asciiTheme="majorBidi" w:hAnsiTheme="majorBidi" w:cstheme="majorBidi"/>
                <w:bCs/>
                <w:szCs w:val="24"/>
              </w:rPr>
            </w:pPr>
            <w:r w:rsidRPr="009D42E5">
              <w:rPr>
                <w:rFonts w:asciiTheme="majorBidi" w:hAnsiTheme="majorBidi" w:cstheme="majorBidi"/>
                <w:bCs/>
                <w:szCs w:val="24"/>
              </w:rPr>
              <w:t>5</w:t>
            </w:r>
          </w:p>
        </w:tc>
        <w:tc>
          <w:tcPr>
            <w:tcW w:w="3191" w:type="pct"/>
          </w:tcPr>
          <w:p w:rsidR="00CB3527" w:rsidRPr="00801DA5" w:rsidRDefault="00CB3527" w:rsidP="003D0AF8">
            <w:pPr>
              <w:tabs>
                <w:tab w:val="left" w:pos="567"/>
              </w:tabs>
              <w:spacing w:before="80"/>
              <w:rPr>
                <w:rFonts w:asciiTheme="majorBidi" w:hAnsiTheme="majorBidi" w:cstheme="majorBidi"/>
                <w:szCs w:val="24"/>
              </w:rPr>
            </w:pPr>
            <w:r w:rsidRPr="00801DA5">
              <w:rPr>
                <w:rFonts w:asciiTheme="majorBidi" w:hAnsiTheme="majorBidi" w:cstheme="majorBidi"/>
                <w:szCs w:val="24"/>
              </w:rPr>
              <w:t>Rapport de la Commission 5</w:t>
            </w:r>
          </w:p>
          <w:p w:rsidR="00CB3527" w:rsidRPr="00801DA5" w:rsidRDefault="00CB3527" w:rsidP="003D0AF8">
            <w:pPr>
              <w:tabs>
                <w:tab w:val="left" w:pos="567"/>
              </w:tabs>
              <w:spacing w:before="80"/>
              <w:rPr>
                <w:rFonts w:asciiTheme="majorBidi" w:hAnsiTheme="majorBidi" w:cstheme="majorBidi"/>
                <w:szCs w:val="24"/>
              </w:rPr>
            </w:pPr>
            <w:r w:rsidRPr="00801DA5">
              <w:rPr>
                <w:rFonts w:asciiTheme="majorBidi" w:hAnsiTheme="majorBidi" w:cstheme="majorBidi"/>
                <w:szCs w:val="24"/>
              </w:rPr>
              <w:t xml:space="preserve">Le Président de la Commission 5 a indiqué que la Commission avait tenu une réunion et créé trois Groupes de travail: 5A (Méthodes de travail), 5B (RPC et Commission spéciale) et 5C (Autres questions). Des documents de travail avaient été </w:t>
            </w:r>
            <w:r w:rsidRPr="00801DA5">
              <w:rPr>
                <w:rFonts w:asciiTheme="majorBidi" w:hAnsiTheme="majorBidi" w:cstheme="majorBidi"/>
                <w:szCs w:val="24"/>
              </w:rPr>
              <w:lastRenderedPageBreak/>
              <w:t xml:space="preserve">confiés à ces trois Groupes de travail lors de cette réunion (voir ADM/13). Il a précisé que les Groupes de travail 5B et 5C avaient terminé leurs travaux et que le Groupe de travail 5A devrait achever ses travaux sur la Résolution UIT-R 1-6 à la fin de la journée. </w:t>
            </w:r>
          </w:p>
          <w:p w:rsidR="00CB3527" w:rsidRPr="00801DA5" w:rsidRDefault="00CB3527" w:rsidP="003D0AF8">
            <w:pPr>
              <w:tabs>
                <w:tab w:val="left" w:pos="567"/>
              </w:tabs>
              <w:spacing w:before="80"/>
              <w:rPr>
                <w:rFonts w:asciiTheme="majorBidi" w:hAnsiTheme="majorBidi" w:cstheme="majorBidi"/>
                <w:szCs w:val="24"/>
              </w:rPr>
            </w:pPr>
            <w:r w:rsidRPr="00801DA5">
              <w:rPr>
                <w:rFonts w:asciiTheme="majorBidi" w:hAnsiTheme="majorBidi" w:cstheme="majorBidi"/>
                <w:szCs w:val="24"/>
              </w:rPr>
              <w:t>L</w:t>
            </w:r>
            <w:r w:rsidR="00536FBA" w:rsidRPr="00801DA5">
              <w:rPr>
                <w:rFonts w:asciiTheme="majorBidi" w:hAnsiTheme="majorBidi" w:cstheme="majorBidi"/>
                <w:szCs w:val="24"/>
              </w:rPr>
              <w:t>'</w:t>
            </w:r>
            <w:r w:rsidRPr="00801DA5">
              <w:rPr>
                <w:rFonts w:asciiTheme="majorBidi" w:hAnsiTheme="majorBidi" w:cstheme="majorBidi"/>
                <w:szCs w:val="24"/>
              </w:rPr>
              <w:t>Administration de l</w:t>
            </w:r>
            <w:r w:rsidR="00536FBA" w:rsidRPr="00801DA5">
              <w:rPr>
                <w:rFonts w:asciiTheme="majorBidi" w:hAnsiTheme="majorBidi" w:cstheme="majorBidi"/>
                <w:szCs w:val="24"/>
              </w:rPr>
              <w:t>'</w:t>
            </w:r>
            <w:r w:rsidRPr="00801DA5">
              <w:rPr>
                <w:rFonts w:asciiTheme="majorBidi" w:hAnsiTheme="majorBidi" w:cstheme="majorBidi"/>
                <w:szCs w:val="24"/>
              </w:rPr>
              <w:t>Arabie saoudite a demandé s</w:t>
            </w:r>
            <w:r w:rsidR="00536FBA" w:rsidRPr="00801DA5">
              <w:rPr>
                <w:rFonts w:asciiTheme="majorBidi" w:hAnsiTheme="majorBidi" w:cstheme="majorBidi"/>
                <w:szCs w:val="24"/>
              </w:rPr>
              <w:t>'</w:t>
            </w:r>
            <w:r w:rsidRPr="00801DA5">
              <w:rPr>
                <w:rFonts w:asciiTheme="majorBidi" w:hAnsiTheme="majorBidi" w:cstheme="majorBidi"/>
                <w:szCs w:val="24"/>
              </w:rPr>
              <w:t>il était nécessaire de soumettre les Résolutions non modifiées à l</w:t>
            </w:r>
            <w:r w:rsidR="00536FBA" w:rsidRPr="00801DA5">
              <w:rPr>
                <w:rFonts w:asciiTheme="majorBidi" w:hAnsiTheme="majorBidi" w:cstheme="majorBidi"/>
                <w:szCs w:val="24"/>
              </w:rPr>
              <w:t>'</w:t>
            </w:r>
            <w:r w:rsidRPr="00801DA5">
              <w:rPr>
                <w:rFonts w:asciiTheme="majorBidi" w:hAnsiTheme="majorBidi" w:cstheme="majorBidi"/>
                <w:szCs w:val="24"/>
              </w:rPr>
              <w:t>examen de la Commission 3. M. Langtry a indiqué que la Commission de rédaction veillerait à mettre à jour les références aux Conférences et à harmoniser les modifications apportées aux Résolutions chaque fois que nécessaire.</w:t>
            </w:r>
          </w:p>
        </w:tc>
        <w:tc>
          <w:tcPr>
            <w:tcW w:w="1549" w:type="pct"/>
          </w:tcPr>
          <w:p w:rsidR="00CB3527" w:rsidRPr="00052353" w:rsidRDefault="00A7401B" w:rsidP="003D0AF8">
            <w:pPr>
              <w:spacing w:before="80"/>
              <w:jc w:val="center"/>
              <w:rPr>
                <w:rFonts w:asciiTheme="minorHAnsi" w:hAnsiTheme="minorHAnsi"/>
                <w:sz w:val="22"/>
                <w:szCs w:val="22"/>
              </w:rPr>
            </w:pPr>
            <w:hyperlink r:id="rId11" w:history="1">
              <w:r w:rsidR="00D817A2" w:rsidRPr="00F9215D">
                <w:rPr>
                  <w:rStyle w:val="Hyperlink"/>
                </w:rPr>
                <w:t>ADM/13</w:t>
              </w:r>
            </w:hyperlink>
          </w:p>
        </w:tc>
      </w:tr>
      <w:tr w:rsidR="00CB3527" w:rsidRPr="00A7401B" w:rsidTr="003D0AF8">
        <w:tc>
          <w:tcPr>
            <w:tcW w:w="260" w:type="pct"/>
          </w:tcPr>
          <w:p w:rsidR="00CB3527" w:rsidRPr="009D42E5" w:rsidRDefault="00CB3527" w:rsidP="003D0AF8">
            <w:pPr>
              <w:tabs>
                <w:tab w:val="left" w:pos="567"/>
              </w:tabs>
              <w:spacing w:before="80"/>
              <w:ind w:left="567" w:hanging="567"/>
              <w:rPr>
                <w:rFonts w:asciiTheme="majorBidi" w:hAnsiTheme="majorBidi" w:cstheme="majorBidi"/>
                <w:bCs/>
                <w:szCs w:val="24"/>
              </w:rPr>
            </w:pPr>
            <w:r w:rsidRPr="009D42E5">
              <w:rPr>
                <w:rFonts w:asciiTheme="majorBidi" w:hAnsiTheme="majorBidi" w:cstheme="majorBidi"/>
                <w:bCs/>
                <w:szCs w:val="24"/>
              </w:rPr>
              <w:lastRenderedPageBreak/>
              <w:t>6</w:t>
            </w:r>
          </w:p>
        </w:tc>
        <w:tc>
          <w:tcPr>
            <w:tcW w:w="3191" w:type="pct"/>
          </w:tcPr>
          <w:p w:rsidR="00CB3527" w:rsidRPr="00801DA5" w:rsidRDefault="00CB3527" w:rsidP="003D0AF8">
            <w:pPr>
              <w:tabs>
                <w:tab w:val="left" w:pos="567"/>
              </w:tabs>
              <w:spacing w:before="80"/>
              <w:rPr>
                <w:rFonts w:asciiTheme="majorBidi" w:hAnsiTheme="majorBidi" w:cstheme="majorBidi"/>
                <w:szCs w:val="24"/>
              </w:rPr>
            </w:pPr>
            <w:r w:rsidRPr="00801DA5">
              <w:rPr>
                <w:rFonts w:asciiTheme="majorBidi" w:hAnsiTheme="majorBidi" w:cstheme="majorBidi"/>
                <w:szCs w:val="24"/>
              </w:rPr>
              <w:t>Examen du Rapport du Président et des documents émanant de la Commission d</w:t>
            </w:r>
            <w:r w:rsidR="00536FBA" w:rsidRPr="00801DA5">
              <w:rPr>
                <w:rFonts w:asciiTheme="majorBidi" w:hAnsiTheme="majorBidi" w:cstheme="majorBidi"/>
                <w:szCs w:val="24"/>
              </w:rPr>
              <w:t>'</w:t>
            </w:r>
            <w:r w:rsidRPr="00801DA5">
              <w:rPr>
                <w:rFonts w:asciiTheme="majorBidi" w:hAnsiTheme="majorBidi" w:cstheme="majorBidi"/>
                <w:szCs w:val="24"/>
              </w:rPr>
              <w:t>études 5</w:t>
            </w:r>
          </w:p>
          <w:p w:rsidR="00CB3527" w:rsidRPr="00801DA5" w:rsidRDefault="00CB3527" w:rsidP="009D42E5">
            <w:pPr>
              <w:tabs>
                <w:tab w:val="left" w:pos="362"/>
              </w:tabs>
              <w:spacing w:before="80"/>
              <w:ind w:left="362" w:hanging="362"/>
              <w:rPr>
                <w:rFonts w:asciiTheme="majorBidi" w:hAnsiTheme="majorBidi" w:cstheme="majorBidi"/>
                <w:szCs w:val="24"/>
              </w:rPr>
            </w:pPr>
            <w:r w:rsidRPr="00801DA5">
              <w:rPr>
                <w:rFonts w:asciiTheme="majorBidi" w:hAnsiTheme="majorBidi" w:cstheme="majorBidi"/>
                <w:szCs w:val="24"/>
              </w:rPr>
              <w:t>a)</w:t>
            </w:r>
            <w:r w:rsidRPr="00801DA5">
              <w:rPr>
                <w:rFonts w:asciiTheme="majorBidi" w:hAnsiTheme="majorBidi" w:cstheme="majorBidi"/>
                <w:szCs w:val="24"/>
              </w:rPr>
              <w:tab/>
              <w:t xml:space="preserve">Doc. 5/1001 </w:t>
            </w:r>
            <w:r w:rsidR="009D42E5" w:rsidRPr="00801DA5">
              <w:rPr>
                <w:rFonts w:asciiTheme="majorBidi" w:hAnsiTheme="majorBidi" w:cstheme="majorBidi"/>
                <w:szCs w:val="24"/>
              </w:rPr>
              <w:t>–</w:t>
            </w:r>
            <w:r w:rsidRPr="00801DA5">
              <w:rPr>
                <w:rFonts w:asciiTheme="majorBidi" w:hAnsiTheme="majorBidi" w:cstheme="majorBidi"/>
                <w:szCs w:val="24"/>
              </w:rPr>
              <w:t xml:space="preserve"> Rapport sur les activités de la Commission d</w:t>
            </w:r>
            <w:r w:rsidR="00536FBA" w:rsidRPr="00801DA5">
              <w:rPr>
                <w:rFonts w:asciiTheme="majorBidi" w:hAnsiTheme="majorBidi" w:cstheme="majorBidi"/>
                <w:szCs w:val="24"/>
              </w:rPr>
              <w:t>'</w:t>
            </w:r>
            <w:r w:rsidRPr="00801DA5">
              <w:rPr>
                <w:rFonts w:asciiTheme="majorBidi" w:hAnsiTheme="majorBidi" w:cstheme="majorBidi"/>
                <w:szCs w:val="24"/>
              </w:rPr>
              <w:t>études 5. Le Président de l</w:t>
            </w:r>
            <w:r w:rsidR="00536FBA" w:rsidRPr="00801DA5">
              <w:rPr>
                <w:rFonts w:asciiTheme="majorBidi" w:hAnsiTheme="majorBidi" w:cstheme="majorBidi"/>
                <w:szCs w:val="24"/>
              </w:rPr>
              <w:t>'</w:t>
            </w:r>
            <w:r w:rsidRPr="00801DA5">
              <w:rPr>
                <w:rFonts w:asciiTheme="majorBidi" w:hAnsiTheme="majorBidi" w:cstheme="majorBidi"/>
                <w:szCs w:val="24"/>
              </w:rPr>
              <w:t>Assemblée des radiocommunications, en tant que Président de la Commission d</w:t>
            </w:r>
            <w:r w:rsidR="00536FBA" w:rsidRPr="00801DA5">
              <w:rPr>
                <w:rFonts w:asciiTheme="majorBidi" w:hAnsiTheme="majorBidi" w:cstheme="majorBidi"/>
                <w:szCs w:val="24"/>
              </w:rPr>
              <w:t>'</w:t>
            </w:r>
            <w:r w:rsidRPr="00801DA5">
              <w:rPr>
                <w:rFonts w:asciiTheme="majorBidi" w:hAnsiTheme="majorBidi" w:cstheme="majorBidi"/>
                <w:szCs w:val="24"/>
              </w:rPr>
              <w:t>études 5, a présenté le rapport qui résume l</w:t>
            </w:r>
            <w:r w:rsidR="00536FBA" w:rsidRPr="00801DA5">
              <w:rPr>
                <w:rFonts w:asciiTheme="majorBidi" w:hAnsiTheme="majorBidi" w:cstheme="majorBidi"/>
                <w:szCs w:val="24"/>
              </w:rPr>
              <w:t>'</w:t>
            </w:r>
            <w:r w:rsidRPr="00801DA5">
              <w:rPr>
                <w:rFonts w:asciiTheme="majorBidi" w:hAnsiTheme="majorBidi" w:cstheme="majorBidi"/>
                <w:szCs w:val="24"/>
              </w:rPr>
              <w:t>ensemble des activités menées par la Commission d</w:t>
            </w:r>
            <w:r w:rsidR="00536FBA" w:rsidRPr="00801DA5">
              <w:rPr>
                <w:rFonts w:asciiTheme="majorBidi" w:hAnsiTheme="majorBidi" w:cstheme="majorBidi"/>
                <w:szCs w:val="24"/>
              </w:rPr>
              <w:t>'</w:t>
            </w:r>
            <w:r w:rsidRPr="00801DA5">
              <w:rPr>
                <w:rFonts w:asciiTheme="majorBidi" w:hAnsiTheme="majorBidi" w:cstheme="majorBidi"/>
                <w:szCs w:val="24"/>
              </w:rPr>
              <w:t>études 5 au cours de la période d</w:t>
            </w:r>
            <w:r w:rsidR="00536FBA" w:rsidRPr="00801DA5">
              <w:rPr>
                <w:rFonts w:asciiTheme="majorBidi" w:hAnsiTheme="majorBidi" w:cstheme="majorBidi"/>
                <w:szCs w:val="24"/>
              </w:rPr>
              <w:t>'</w:t>
            </w:r>
            <w:r w:rsidRPr="00801DA5">
              <w:rPr>
                <w:rFonts w:asciiTheme="majorBidi" w:hAnsiTheme="majorBidi" w:cstheme="majorBidi"/>
                <w:szCs w:val="24"/>
              </w:rPr>
              <w:t>études.</w:t>
            </w:r>
            <w:r w:rsidR="00536FBA" w:rsidRPr="00801DA5">
              <w:rPr>
                <w:rFonts w:asciiTheme="majorBidi" w:hAnsiTheme="majorBidi" w:cstheme="majorBidi"/>
                <w:szCs w:val="24"/>
              </w:rPr>
              <w:t xml:space="preserve"> </w:t>
            </w:r>
            <w:r w:rsidRPr="00801DA5">
              <w:rPr>
                <w:rFonts w:asciiTheme="majorBidi" w:hAnsiTheme="majorBidi" w:cstheme="majorBidi"/>
                <w:szCs w:val="24"/>
              </w:rPr>
              <w:t>L</w:t>
            </w:r>
            <w:r w:rsidR="00536FBA" w:rsidRPr="00801DA5">
              <w:rPr>
                <w:rFonts w:asciiTheme="majorBidi" w:hAnsiTheme="majorBidi" w:cstheme="majorBidi"/>
                <w:szCs w:val="24"/>
              </w:rPr>
              <w:t>'</w:t>
            </w:r>
            <w:r w:rsidRPr="00801DA5">
              <w:rPr>
                <w:rFonts w:asciiTheme="majorBidi" w:hAnsiTheme="majorBidi" w:cstheme="majorBidi"/>
                <w:szCs w:val="24"/>
              </w:rPr>
              <w:t>Administration d</w:t>
            </w:r>
            <w:r w:rsidR="00536FBA" w:rsidRPr="00801DA5">
              <w:rPr>
                <w:rFonts w:asciiTheme="majorBidi" w:hAnsiTheme="majorBidi" w:cstheme="majorBidi"/>
                <w:szCs w:val="24"/>
              </w:rPr>
              <w:t>'</w:t>
            </w:r>
            <w:r w:rsidRPr="00801DA5">
              <w:rPr>
                <w:rFonts w:asciiTheme="majorBidi" w:hAnsiTheme="majorBidi" w:cstheme="majorBidi"/>
                <w:szCs w:val="24"/>
              </w:rPr>
              <w:t>Israël a fait observer que le Groupe d</w:t>
            </w:r>
            <w:r w:rsidR="00536FBA" w:rsidRPr="00801DA5">
              <w:rPr>
                <w:rFonts w:asciiTheme="majorBidi" w:hAnsiTheme="majorBidi" w:cstheme="majorBidi"/>
                <w:szCs w:val="24"/>
              </w:rPr>
              <w:t>'</w:t>
            </w:r>
            <w:r w:rsidRPr="00801DA5">
              <w:rPr>
                <w:rFonts w:asciiTheme="majorBidi" w:hAnsiTheme="majorBidi" w:cstheme="majorBidi"/>
                <w:szCs w:val="24"/>
              </w:rPr>
              <w:t>action mixte (</w:t>
            </w:r>
            <w:r w:rsidR="00801DA5">
              <w:rPr>
                <w:rFonts w:asciiTheme="majorBidi" w:hAnsiTheme="majorBidi" w:cstheme="majorBidi"/>
                <w:szCs w:val="24"/>
              </w:rPr>
              <w:t>GAM</w:t>
            </w:r>
            <w:r w:rsidRPr="00801DA5">
              <w:rPr>
                <w:rFonts w:asciiTheme="majorBidi" w:hAnsiTheme="majorBidi" w:cstheme="majorBidi"/>
                <w:szCs w:val="24"/>
              </w:rPr>
              <w:t>) 4-5-6-7 avait fait un excellent travail, mais que certaines difficultés étaient apparues car son document final devait être examiné par toutes les Commissions d</w:t>
            </w:r>
            <w:r w:rsidR="00536FBA" w:rsidRPr="00801DA5">
              <w:rPr>
                <w:rFonts w:asciiTheme="majorBidi" w:hAnsiTheme="majorBidi" w:cstheme="majorBidi"/>
                <w:szCs w:val="24"/>
              </w:rPr>
              <w:t>'</w:t>
            </w:r>
            <w:r w:rsidRPr="00801DA5">
              <w:rPr>
                <w:rFonts w:asciiTheme="majorBidi" w:hAnsiTheme="majorBidi" w:cstheme="majorBidi"/>
                <w:szCs w:val="24"/>
              </w:rPr>
              <w:t>études intéressées. Israël a proposé qu</w:t>
            </w:r>
            <w:r w:rsidR="00536FBA" w:rsidRPr="00801DA5">
              <w:rPr>
                <w:rFonts w:asciiTheme="majorBidi" w:hAnsiTheme="majorBidi" w:cstheme="majorBidi"/>
                <w:szCs w:val="24"/>
              </w:rPr>
              <w:t>'</w:t>
            </w:r>
            <w:r w:rsidRPr="00801DA5">
              <w:rPr>
                <w:rFonts w:asciiTheme="majorBidi" w:hAnsiTheme="majorBidi" w:cstheme="majorBidi"/>
                <w:szCs w:val="24"/>
              </w:rPr>
              <w:t>à l</w:t>
            </w:r>
            <w:r w:rsidR="00536FBA" w:rsidRPr="00801DA5">
              <w:rPr>
                <w:rFonts w:asciiTheme="majorBidi" w:hAnsiTheme="majorBidi" w:cstheme="majorBidi"/>
                <w:szCs w:val="24"/>
              </w:rPr>
              <w:t>'</w:t>
            </w:r>
            <w:r w:rsidRPr="00801DA5">
              <w:rPr>
                <w:rFonts w:asciiTheme="majorBidi" w:hAnsiTheme="majorBidi" w:cstheme="majorBidi"/>
                <w:szCs w:val="24"/>
              </w:rPr>
              <w:t>avenir toute création d</w:t>
            </w:r>
            <w:r w:rsidR="00536FBA" w:rsidRPr="00801DA5">
              <w:rPr>
                <w:rFonts w:asciiTheme="majorBidi" w:hAnsiTheme="majorBidi" w:cstheme="majorBidi"/>
                <w:szCs w:val="24"/>
              </w:rPr>
              <w:t>'</w:t>
            </w:r>
            <w:r w:rsidRPr="00801DA5">
              <w:rPr>
                <w:rFonts w:asciiTheme="majorBidi" w:hAnsiTheme="majorBidi" w:cstheme="majorBidi"/>
                <w:szCs w:val="24"/>
              </w:rPr>
              <w:t>un Groupe d</w:t>
            </w:r>
            <w:r w:rsidR="00536FBA" w:rsidRPr="00801DA5">
              <w:rPr>
                <w:rFonts w:asciiTheme="majorBidi" w:hAnsiTheme="majorBidi" w:cstheme="majorBidi"/>
                <w:szCs w:val="24"/>
              </w:rPr>
              <w:t>'</w:t>
            </w:r>
            <w:r w:rsidRPr="00801DA5">
              <w:rPr>
                <w:rFonts w:asciiTheme="majorBidi" w:hAnsiTheme="majorBidi" w:cstheme="majorBidi"/>
                <w:szCs w:val="24"/>
              </w:rPr>
              <w:t>action mixte fasse l</w:t>
            </w:r>
            <w:r w:rsidR="00536FBA" w:rsidRPr="00801DA5">
              <w:rPr>
                <w:rFonts w:asciiTheme="majorBidi" w:hAnsiTheme="majorBidi" w:cstheme="majorBidi"/>
                <w:szCs w:val="24"/>
              </w:rPr>
              <w:t>'</w:t>
            </w:r>
            <w:r w:rsidRPr="00801DA5">
              <w:rPr>
                <w:rFonts w:asciiTheme="majorBidi" w:hAnsiTheme="majorBidi" w:cstheme="majorBidi"/>
                <w:szCs w:val="24"/>
              </w:rPr>
              <w:t>objet d</w:t>
            </w:r>
            <w:r w:rsidR="00536FBA" w:rsidRPr="00801DA5">
              <w:rPr>
                <w:rFonts w:asciiTheme="majorBidi" w:hAnsiTheme="majorBidi" w:cstheme="majorBidi"/>
                <w:szCs w:val="24"/>
              </w:rPr>
              <w:t>'</w:t>
            </w:r>
            <w:r w:rsidRPr="00801DA5">
              <w:rPr>
                <w:rFonts w:asciiTheme="majorBidi" w:hAnsiTheme="majorBidi" w:cstheme="majorBidi"/>
                <w:szCs w:val="24"/>
              </w:rPr>
              <w:t>un examen approfondi. Le Président a pris acte de cette préoccupation.</w:t>
            </w:r>
          </w:p>
          <w:p w:rsidR="00CB3527" w:rsidRPr="00801DA5" w:rsidRDefault="00CB3527" w:rsidP="005D5828">
            <w:pPr>
              <w:tabs>
                <w:tab w:val="left" w:pos="362"/>
                <w:tab w:val="left" w:pos="567"/>
              </w:tabs>
              <w:spacing w:before="80"/>
              <w:ind w:left="362" w:hanging="362"/>
              <w:rPr>
                <w:rFonts w:asciiTheme="majorBidi" w:hAnsiTheme="majorBidi" w:cstheme="majorBidi"/>
                <w:i/>
                <w:iCs/>
                <w:szCs w:val="24"/>
              </w:rPr>
            </w:pPr>
            <w:r w:rsidRPr="00801DA5">
              <w:rPr>
                <w:rFonts w:asciiTheme="majorBidi" w:hAnsiTheme="majorBidi" w:cstheme="majorBidi"/>
                <w:szCs w:val="24"/>
              </w:rPr>
              <w:t>b)</w:t>
            </w:r>
            <w:r w:rsidRPr="00801DA5">
              <w:rPr>
                <w:rFonts w:asciiTheme="majorBidi" w:hAnsiTheme="majorBidi" w:cstheme="majorBidi"/>
                <w:i/>
                <w:iCs/>
                <w:szCs w:val="24"/>
              </w:rPr>
              <w:tab/>
            </w:r>
            <w:r w:rsidRPr="00801DA5">
              <w:rPr>
                <w:rFonts w:asciiTheme="majorBidi" w:hAnsiTheme="majorBidi" w:cstheme="majorBidi"/>
                <w:szCs w:val="24"/>
              </w:rPr>
              <w:t>Doc. 5/1002 – Liste des Recommandations. Les participants ont pris acte de ce document.</w:t>
            </w:r>
          </w:p>
          <w:p w:rsidR="00CB3527" w:rsidRPr="00801DA5" w:rsidRDefault="00CB3527" w:rsidP="00801DA5">
            <w:pPr>
              <w:tabs>
                <w:tab w:val="left" w:pos="362"/>
                <w:tab w:val="left" w:pos="567"/>
              </w:tabs>
              <w:spacing w:before="80"/>
              <w:ind w:left="362" w:hanging="362"/>
              <w:rPr>
                <w:rFonts w:asciiTheme="majorBidi" w:hAnsiTheme="majorBidi" w:cstheme="majorBidi"/>
                <w:szCs w:val="24"/>
              </w:rPr>
            </w:pPr>
            <w:r w:rsidRPr="00801DA5">
              <w:rPr>
                <w:rFonts w:asciiTheme="majorBidi" w:hAnsiTheme="majorBidi" w:cstheme="majorBidi"/>
                <w:szCs w:val="24"/>
              </w:rPr>
              <w:t>c)</w:t>
            </w:r>
            <w:r w:rsidRPr="00801DA5">
              <w:rPr>
                <w:rFonts w:asciiTheme="majorBidi" w:hAnsiTheme="majorBidi" w:cstheme="majorBidi"/>
                <w:i/>
                <w:iCs/>
                <w:szCs w:val="24"/>
              </w:rPr>
              <w:tab/>
            </w:r>
            <w:r w:rsidRPr="00801DA5">
              <w:rPr>
                <w:rFonts w:asciiTheme="majorBidi" w:hAnsiTheme="majorBidi" w:cstheme="majorBidi"/>
                <w:szCs w:val="24"/>
              </w:rPr>
              <w:t xml:space="preserve">Doc. </w:t>
            </w:r>
            <w:r w:rsidR="00536FBA" w:rsidRPr="00801DA5">
              <w:rPr>
                <w:rFonts w:asciiTheme="majorBidi" w:hAnsiTheme="majorBidi" w:cstheme="majorBidi"/>
                <w:szCs w:val="24"/>
              </w:rPr>
              <w:t xml:space="preserve">5/1003 </w:t>
            </w:r>
            <w:r w:rsidR="00801DA5" w:rsidRPr="00801DA5">
              <w:rPr>
                <w:rFonts w:asciiTheme="majorBidi" w:hAnsiTheme="majorBidi" w:cstheme="majorBidi"/>
                <w:szCs w:val="24"/>
              </w:rPr>
              <w:t>–</w:t>
            </w:r>
            <w:r w:rsidR="00536FBA" w:rsidRPr="00801DA5">
              <w:rPr>
                <w:rFonts w:asciiTheme="majorBidi" w:hAnsiTheme="majorBidi" w:cstheme="majorBidi"/>
                <w:szCs w:val="24"/>
              </w:rPr>
              <w:t xml:space="preserve"> </w:t>
            </w:r>
            <w:r w:rsidRPr="00801DA5">
              <w:rPr>
                <w:rFonts w:asciiTheme="majorBidi" w:hAnsiTheme="majorBidi" w:cstheme="majorBidi"/>
                <w:szCs w:val="24"/>
              </w:rPr>
              <w:t>Liste des Questions. Le document sera examiné par la Commission 4.</w:t>
            </w:r>
          </w:p>
          <w:p w:rsidR="00CB3527" w:rsidRPr="00801DA5" w:rsidRDefault="00CB3527" w:rsidP="003D0AF8">
            <w:pPr>
              <w:tabs>
                <w:tab w:val="left" w:pos="362"/>
                <w:tab w:val="left" w:pos="567"/>
              </w:tabs>
              <w:spacing w:before="80"/>
              <w:ind w:left="362" w:hanging="362"/>
              <w:rPr>
                <w:rFonts w:asciiTheme="majorBidi" w:hAnsiTheme="majorBidi" w:cstheme="majorBidi"/>
                <w:szCs w:val="24"/>
              </w:rPr>
            </w:pPr>
            <w:r w:rsidRPr="00801DA5">
              <w:rPr>
                <w:rFonts w:asciiTheme="majorBidi" w:hAnsiTheme="majorBidi" w:cstheme="majorBidi"/>
                <w:szCs w:val="24"/>
              </w:rPr>
              <w:t>d)</w:t>
            </w:r>
            <w:r w:rsidRPr="00801DA5">
              <w:rPr>
                <w:rFonts w:asciiTheme="majorBidi" w:hAnsiTheme="majorBidi" w:cstheme="majorBidi"/>
                <w:szCs w:val="24"/>
              </w:rPr>
              <w:tab/>
              <w:t>Doc. 5/1005 – Projet de révision de la Recommandation UIT</w:t>
            </w:r>
            <w:r w:rsidRPr="00801DA5">
              <w:rPr>
                <w:rFonts w:asciiTheme="majorBidi" w:hAnsiTheme="majorBidi" w:cstheme="majorBidi"/>
                <w:szCs w:val="24"/>
              </w:rPr>
              <w:noBreakHyphen/>
              <w:t>R M.541 – Procédures d</w:t>
            </w:r>
            <w:r w:rsidR="00536FBA" w:rsidRPr="00801DA5">
              <w:rPr>
                <w:rFonts w:asciiTheme="majorBidi" w:hAnsiTheme="majorBidi" w:cstheme="majorBidi"/>
                <w:szCs w:val="24"/>
              </w:rPr>
              <w:t>'</w:t>
            </w:r>
            <w:r w:rsidRPr="00801DA5">
              <w:rPr>
                <w:rFonts w:asciiTheme="majorBidi" w:hAnsiTheme="majorBidi" w:cstheme="majorBidi"/>
                <w:szCs w:val="24"/>
              </w:rPr>
              <w:t>exploitation des systèmes d</w:t>
            </w:r>
            <w:r w:rsidR="00536FBA" w:rsidRPr="00801DA5">
              <w:rPr>
                <w:rFonts w:asciiTheme="majorBidi" w:hAnsiTheme="majorBidi" w:cstheme="majorBidi"/>
                <w:szCs w:val="24"/>
              </w:rPr>
              <w:t>'</w:t>
            </w:r>
            <w:r w:rsidRPr="00801DA5">
              <w:rPr>
                <w:rFonts w:asciiTheme="majorBidi" w:hAnsiTheme="majorBidi" w:cstheme="majorBidi"/>
                <w:szCs w:val="24"/>
              </w:rPr>
              <w:t>appel sélectif numérique à l</w:t>
            </w:r>
            <w:r w:rsidR="00536FBA" w:rsidRPr="00801DA5">
              <w:rPr>
                <w:rFonts w:asciiTheme="majorBidi" w:hAnsiTheme="majorBidi" w:cstheme="majorBidi"/>
                <w:szCs w:val="24"/>
              </w:rPr>
              <w:t>'</w:t>
            </w:r>
            <w:r w:rsidRPr="00801DA5">
              <w:rPr>
                <w:rFonts w:asciiTheme="majorBidi" w:hAnsiTheme="majorBidi" w:cstheme="majorBidi"/>
                <w:szCs w:val="24"/>
              </w:rPr>
              <w:t>usage du service mobile maritime</w:t>
            </w:r>
            <w:r w:rsidR="00536FBA" w:rsidRPr="00801DA5">
              <w:rPr>
                <w:rFonts w:asciiTheme="majorBidi" w:hAnsiTheme="majorBidi" w:cstheme="majorBidi"/>
                <w:szCs w:val="24"/>
              </w:rPr>
              <w:t xml:space="preserve">. </w:t>
            </w:r>
            <w:r w:rsidRPr="00801DA5">
              <w:rPr>
                <w:rFonts w:asciiTheme="majorBidi" w:hAnsiTheme="majorBidi" w:cstheme="majorBidi"/>
                <w:szCs w:val="24"/>
              </w:rPr>
              <w:t>Le document a été approuvé.</w:t>
            </w:r>
          </w:p>
          <w:p w:rsidR="00CB3527" w:rsidRPr="00801DA5" w:rsidRDefault="00CB3527" w:rsidP="003D0AF8">
            <w:pPr>
              <w:tabs>
                <w:tab w:val="left" w:pos="362"/>
                <w:tab w:val="left" w:pos="567"/>
              </w:tabs>
              <w:spacing w:before="80"/>
              <w:ind w:left="362" w:hanging="362"/>
              <w:rPr>
                <w:rFonts w:asciiTheme="majorBidi" w:hAnsiTheme="majorBidi" w:cstheme="majorBidi"/>
                <w:szCs w:val="24"/>
              </w:rPr>
            </w:pPr>
            <w:r w:rsidRPr="00801DA5">
              <w:rPr>
                <w:rFonts w:asciiTheme="majorBidi" w:hAnsiTheme="majorBidi" w:cstheme="majorBidi"/>
                <w:szCs w:val="24"/>
              </w:rPr>
              <w:t>e)</w:t>
            </w:r>
            <w:r w:rsidRPr="00801DA5">
              <w:rPr>
                <w:rFonts w:asciiTheme="majorBidi" w:hAnsiTheme="majorBidi" w:cstheme="majorBidi"/>
                <w:szCs w:val="24"/>
              </w:rPr>
              <w:tab/>
              <w:t>Doc. 5/1006 – Projet de nouvelle Recommandation UIT-R M.[AMS-CHAR-15GHZ] – Caractéristiques techniques et critères de protection applicables aux systèmes du service mobile aéronautique dans la gamme de fréquences 14,5-15,35 GHz. L</w:t>
            </w:r>
            <w:r w:rsidR="00536FBA" w:rsidRPr="00801DA5">
              <w:rPr>
                <w:rFonts w:asciiTheme="majorBidi" w:hAnsiTheme="majorBidi" w:cstheme="majorBidi"/>
                <w:szCs w:val="24"/>
              </w:rPr>
              <w:t>'</w:t>
            </w:r>
            <w:r w:rsidRPr="00801DA5">
              <w:rPr>
                <w:rFonts w:asciiTheme="majorBidi" w:hAnsiTheme="majorBidi" w:cstheme="majorBidi"/>
                <w:szCs w:val="24"/>
              </w:rPr>
              <w:t>Administration de la Fédération de Russie, s</w:t>
            </w:r>
            <w:r w:rsidR="00536FBA" w:rsidRPr="00801DA5">
              <w:rPr>
                <w:rFonts w:asciiTheme="majorBidi" w:hAnsiTheme="majorBidi" w:cstheme="majorBidi"/>
                <w:szCs w:val="24"/>
              </w:rPr>
              <w:t>'</w:t>
            </w:r>
            <w:r w:rsidRPr="00801DA5">
              <w:rPr>
                <w:rFonts w:asciiTheme="majorBidi" w:hAnsiTheme="majorBidi" w:cstheme="majorBidi"/>
                <w:szCs w:val="24"/>
              </w:rPr>
              <w:t>exprimant au nom de la Communauté régionale des radiocommunications (RCC), a informé les participants qu</w:t>
            </w:r>
            <w:r w:rsidR="00536FBA" w:rsidRPr="00801DA5">
              <w:rPr>
                <w:rFonts w:asciiTheme="majorBidi" w:hAnsiTheme="majorBidi" w:cstheme="majorBidi"/>
                <w:szCs w:val="24"/>
              </w:rPr>
              <w:t>'</w:t>
            </w:r>
            <w:r w:rsidRPr="00801DA5">
              <w:rPr>
                <w:rFonts w:asciiTheme="majorBidi" w:hAnsiTheme="majorBidi" w:cstheme="majorBidi"/>
                <w:szCs w:val="24"/>
              </w:rPr>
              <w:t>elle maintenait ses objections co</w:t>
            </w:r>
            <w:r w:rsidR="00801DA5">
              <w:rPr>
                <w:rFonts w:asciiTheme="majorBidi" w:hAnsiTheme="majorBidi" w:cstheme="majorBidi"/>
                <w:szCs w:val="24"/>
              </w:rPr>
              <w:t>ncernant ce projet de nouvelle R</w:t>
            </w:r>
            <w:r w:rsidRPr="00801DA5">
              <w:rPr>
                <w:rFonts w:asciiTheme="majorBidi" w:hAnsiTheme="majorBidi" w:cstheme="majorBidi"/>
                <w:szCs w:val="24"/>
              </w:rPr>
              <w:t>ecommandation à cause des brouillages qu</w:t>
            </w:r>
            <w:r w:rsidR="00536FBA" w:rsidRPr="00801DA5">
              <w:rPr>
                <w:rFonts w:asciiTheme="majorBidi" w:hAnsiTheme="majorBidi" w:cstheme="majorBidi"/>
                <w:szCs w:val="24"/>
              </w:rPr>
              <w:t>'</w:t>
            </w:r>
            <w:r w:rsidRPr="00801DA5">
              <w:rPr>
                <w:rFonts w:asciiTheme="majorBidi" w:hAnsiTheme="majorBidi" w:cstheme="majorBidi"/>
                <w:szCs w:val="24"/>
              </w:rPr>
              <w:t>il était susceptible de causer au service fixe. L</w:t>
            </w:r>
            <w:r w:rsidR="00536FBA" w:rsidRPr="00801DA5">
              <w:rPr>
                <w:rFonts w:asciiTheme="majorBidi" w:hAnsiTheme="majorBidi" w:cstheme="majorBidi"/>
                <w:szCs w:val="24"/>
              </w:rPr>
              <w:t>'</w:t>
            </w:r>
            <w:r w:rsidRPr="00801DA5">
              <w:rPr>
                <w:rFonts w:asciiTheme="majorBidi" w:hAnsiTheme="majorBidi" w:cstheme="majorBidi"/>
                <w:szCs w:val="24"/>
              </w:rPr>
              <w:t>Administration des Emirats arabes unis a appuyé ces objections. Les Administrations des Etats-Unis, du Canada, de la France et de l</w:t>
            </w:r>
            <w:r w:rsidR="00536FBA" w:rsidRPr="00801DA5">
              <w:rPr>
                <w:rFonts w:asciiTheme="majorBidi" w:hAnsiTheme="majorBidi" w:cstheme="majorBidi"/>
                <w:szCs w:val="24"/>
              </w:rPr>
              <w:t>'</w:t>
            </w:r>
            <w:r w:rsidRPr="00801DA5">
              <w:rPr>
                <w:rFonts w:asciiTheme="majorBidi" w:hAnsiTheme="majorBidi" w:cstheme="majorBidi"/>
                <w:szCs w:val="24"/>
              </w:rPr>
              <w:t xml:space="preserve">Australie se sont prononcées en faveur </w:t>
            </w:r>
            <w:r w:rsidRPr="00801DA5">
              <w:rPr>
                <w:rFonts w:asciiTheme="majorBidi" w:hAnsiTheme="majorBidi" w:cstheme="majorBidi"/>
                <w:szCs w:val="24"/>
              </w:rPr>
              <w:lastRenderedPageBreak/>
              <w:t xml:space="preserve">de ce projet de nouvelle Recommandation car les systèmes décrits dans ce projet sont en exploitation et que le texte ne fait que décrire les caractéristiques des systèmes. Les participants ont décidé de créer le Groupe ad hoc </w:t>
            </w:r>
            <w:r w:rsidR="00536FBA" w:rsidRPr="00801DA5">
              <w:rPr>
                <w:rFonts w:asciiTheme="majorBidi" w:hAnsiTheme="majorBidi" w:cstheme="majorBidi"/>
                <w:szCs w:val="24"/>
              </w:rPr>
              <w:t>PLEN</w:t>
            </w:r>
            <w:r w:rsidRPr="00801DA5">
              <w:rPr>
                <w:rFonts w:asciiTheme="majorBidi" w:hAnsiTheme="majorBidi" w:cstheme="majorBidi"/>
                <w:szCs w:val="24"/>
              </w:rPr>
              <w:t>-15 GHz, sous la présidence de M. A. Nalbandian (Arménie), qui sera chargé d</w:t>
            </w:r>
            <w:r w:rsidR="00536FBA" w:rsidRPr="00801DA5">
              <w:rPr>
                <w:rFonts w:asciiTheme="majorBidi" w:hAnsiTheme="majorBidi" w:cstheme="majorBidi"/>
                <w:szCs w:val="24"/>
              </w:rPr>
              <w:t>'</w:t>
            </w:r>
            <w:r w:rsidR="00801DA5">
              <w:rPr>
                <w:rFonts w:asciiTheme="majorBidi" w:hAnsiTheme="majorBidi" w:cstheme="majorBidi"/>
                <w:szCs w:val="24"/>
              </w:rPr>
              <w:t>examiner le projet de nouvelle R</w:t>
            </w:r>
            <w:r w:rsidRPr="00801DA5">
              <w:rPr>
                <w:rFonts w:asciiTheme="majorBidi" w:hAnsiTheme="majorBidi" w:cstheme="majorBidi"/>
                <w:szCs w:val="24"/>
              </w:rPr>
              <w:t>ecommandation.</w:t>
            </w:r>
          </w:p>
          <w:p w:rsidR="00CB3527" w:rsidRPr="00801DA5" w:rsidRDefault="00CB3527" w:rsidP="003D0AF8">
            <w:pPr>
              <w:tabs>
                <w:tab w:val="left" w:pos="362"/>
                <w:tab w:val="left" w:pos="567"/>
              </w:tabs>
              <w:spacing w:before="80"/>
              <w:ind w:left="362" w:hanging="362"/>
              <w:rPr>
                <w:rFonts w:asciiTheme="majorBidi" w:hAnsiTheme="majorBidi" w:cstheme="majorBidi"/>
                <w:szCs w:val="24"/>
              </w:rPr>
            </w:pPr>
            <w:r w:rsidRPr="00801DA5">
              <w:rPr>
                <w:rFonts w:asciiTheme="majorBidi" w:hAnsiTheme="majorBidi" w:cstheme="majorBidi"/>
                <w:szCs w:val="24"/>
              </w:rPr>
              <w:t>f)</w:t>
            </w:r>
            <w:r w:rsidRPr="00801DA5">
              <w:rPr>
                <w:rFonts w:asciiTheme="majorBidi" w:hAnsiTheme="majorBidi" w:cstheme="majorBidi"/>
                <w:szCs w:val="24"/>
              </w:rPr>
              <w:tab/>
              <w:t>Doc. 5/1007 – Projet de nouvelle Recommandation UIT-R M.[VDES] – Caractéristiques techniques d</w:t>
            </w:r>
            <w:r w:rsidR="00536FBA" w:rsidRPr="00801DA5">
              <w:rPr>
                <w:rFonts w:asciiTheme="majorBidi" w:hAnsiTheme="majorBidi" w:cstheme="majorBidi"/>
                <w:szCs w:val="24"/>
              </w:rPr>
              <w:t>'</w:t>
            </w:r>
            <w:r w:rsidRPr="00801DA5">
              <w:rPr>
                <w:rFonts w:asciiTheme="majorBidi" w:hAnsiTheme="majorBidi" w:cstheme="majorBidi"/>
                <w:szCs w:val="24"/>
              </w:rPr>
              <w:t>un système d</w:t>
            </w:r>
            <w:r w:rsidR="00536FBA" w:rsidRPr="00801DA5">
              <w:rPr>
                <w:rFonts w:asciiTheme="majorBidi" w:hAnsiTheme="majorBidi" w:cstheme="majorBidi"/>
                <w:szCs w:val="24"/>
              </w:rPr>
              <w:t>'</w:t>
            </w:r>
            <w:r w:rsidRPr="00801DA5">
              <w:rPr>
                <w:rFonts w:asciiTheme="majorBidi" w:hAnsiTheme="majorBidi" w:cstheme="majorBidi"/>
                <w:szCs w:val="24"/>
              </w:rPr>
              <w:t>échange de données en ondes métriques exploité dans la bande d</w:t>
            </w:r>
            <w:r w:rsidR="00536FBA" w:rsidRPr="00801DA5">
              <w:rPr>
                <w:rFonts w:asciiTheme="majorBidi" w:hAnsiTheme="majorBidi" w:cstheme="majorBidi"/>
                <w:szCs w:val="24"/>
              </w:rPr>
              <w:t>'</w:t>
            </w:r>
            <w:r w:rsidRPr="00801DA5">
              <w:rPr>
                <w:rFonts w:asciiTheme="majorBidi" w:hAnsiTheme="majorBidi" w:cstheme="majorBidi"/>
                <w:szCs w:val="24"/>
              </w:rPr>
              <w:t>ondes métriques attribué au service mobile maritime – L</w:t>
            </w:r>
            <w:r w:rsidR="00536FBA" w:rsidRPr="00801DA5">
              <w:rPr>
                <w:rFonts w:asciiTheme="majorBidi" w:hAnsiTheme="majorBidi" w:cstheme="majorBidi"/>
                <w:szCs w:val="24"/>
              </w:rPr>
              <w:t>'</w:t>
            </w:r>
            <w:r w:rsidRPr="00801DA5">
              <w:rPr>
                <w:rFonts w:asciiTheme="majorBidi" w:hAnsiTheme="majorBidi" w:cstheme="majorBidi"/>
                <w:szCs w:val="24"/>
              </w:rPr>
              <w:t>Administration de la Fédération de Russie a informé les participants qu</w:t>
            </w:r>
            <w:r w:rsidR="00536FBA" w:rsidRPr="00801DA5">
              <w:rPr>
                <w:rFonts w:asciiTheme="majorBidi" w:hAnsiTheme="majorBidi" w:cstheme="majorBidi"/>
                <w:szCs w:val="24"/>
              </w:rPr>
              <w:t>'</w:t>
            </w:r>
            <w:r w:rsidRPr="00801DA5">
              <w:rPr>
                <w:rFonts w:asciiTheme="majorBidi" w:hAnsiTheme="majorBidi" w:cstheme="majorBidi"/>
                <w:szCs w:val="24"/>
              </w:rPr>
              <w:t>elle con</w:t>
            </w:r>
            <w:r w:rsidR="00801DA5">
              <w:rPr>
                <w:rFonts w:asciiTheme="majorBidi" w:hAnsiTheme="majorBidi" w:cstheme="majorBidi"/>
                <w:szCs w:val="24"/>
              </w:rPr>
              <w:t>sidérait ce projet de nouvelle R</w:t>
            </w:r>
            <w:r w:rsidRPr="00801DA5">
              <w:rPr>
                <w:rFonts w:asciiTheme="majorBidi" w:hAnsiTheme="majorBidi" w:cstheme="majorBidi"/>
                <w:szCs w:val="24"/>
              </w:rPr>
              <w:t>ecommandation comme problématique car les services n</w:t>
            </w:r>
            <w:r w:rsidR="00536FBA" w:rsidRPr="00801DA5">
              <w:rPr>
                <w:rFonts w:asciiTheme="majorBidi" w:hAnsiTheme="majorBidi" w:cstheme="majorBidi"/>
                <w:szCs w:val="24"/>
              </w:rPr>
              <w:t>'</w:t>
            </w:r>
            <w:r w:rsidRPr="00801DA5">
              <w:rPr>
                <w:rFonts w:asciiTheme="majorBidi" w:hAnsiTheme="majorBidi" w:cstheme="majorBidi"/>
                <w:szCs w:val="24"/>
              </w:rPr>
              <w:t>étaient pas conformes au Tableau d</w:t>
            </w:r>
            <w:r w:rsidR="00536FBA" w:rsidRPr="00801DA5">
              <w:rPr>
                <w:rFonts w:asciiTheme="majorBidi" w:hAnsiTheme="majorBidi" w:cstheme="majorBidi"/>
                <w:szCs w:val="24"/>
              </w:rPr>
              <w:t>'</w:t>
            </w:r>
            <w:r w:rsidRPr="00801DA5">
              <w:rPr>
                <w:rFonts w:asciiTheme="majorBidi" w:hAnsiTheme="majorBidi" w:cstheme="majorBidi"/>
                <w:szCs w:val="24"/>
              </w:rPr>
              <w:t>attribution des bandes de fréquences du Règlement des radiocommunications. L</w:t>
            </w:r>
            <w:r w:rsidR="00536FBA" w:rsidRPr="00801DA5">
              <w:rPr>
                <w:rFonts w:asciiTheme="majorBidi" w:hAnsiTheme="majorBidi" w:cstheme="majorBidi"/>
                <w:szCs w:val="24"/>
              </w:rPr>
              <w:t>'</w:t>
            </w:r>
            <w:r w:rsidRPr="00801DA5">
              <w:rPr>
                <w:rFonts w:asciiTheme="majorBidi" w:hAnsiTheme="majorBidi" w:cstheme="majorBidi"/>
                <w:szCs w:val="24"/>
              </w:rPr>
              <w:t>Administration de la France a fait part de son soutien fort à ce projet de nouvelle Recommandation. Sur une proposition de l</w:t>
            </w:r>
            <w:r w:rsidR="00536FBA" w:rsidRPr="00801DA5">
              <w:rPr>
                <w:rFonts w:asciiTheme="majorBidi" w:hAnsiTheme="majorBidi" w:cstheme="majorBidi"/>
                <w:szCs w:val="24"/>
              </w:rPr>
              <w:t>'</w:t>
            </w:r>
            <w:r w:rsidRPr="00801DA5">
              <w:rPr>
                <w:rFonts w:asciiTheme="majorBidi" w:hAnsiTheme="majorBidi" w:cstheme="majorBidi"/>
                <w:szCs w:val="24"/>
              </w:rPr>
              <w:t>Administration d</w:t>
            </w:r>
            <w:r w:rsidR="00536FBA" w:rsidRPr="00801DA5">
              <w:rPr>
                <w:rFonts w:asciiTheme="majorBidi" w:hAnsiTheme="majorBidi" w:cstheme="majorBidi"/>
                <w:szCs w:val="24"/>
              </w:rPr>
              <w:t>'</w:t>
            </w:r>
            <w:r w:rsidRPr="00801DA5">
              <w:rPr>
                <w:rFonts w:asciiTheme="majorBidi" w:hAnsiTheme="majorBidi" w:cstheme="majorBidi"/>
                <w:szCs w:val="24"/>
              </w:rPr>
              <w:t>Israël, les participants ont décidé de former un Groupe de rédaction présidé par M. Rissone (France) pour tra</w:t>
            </w:r>
            <w:r w:rsidR="00801DA5">
              <w:rPr>
                <w:rFonts w:asciiTheme="majorBidi" w:hAnsiTheme="majorBidi" w:cstheme="majorBidi"/>
                <w:szCs w:val="24"/>
              </w:rPr>
              <w:t>nsformer ce projet de nouvelle R</w:t>
            </w:r>
            <w:r w:rsidRPr="00801DA5">
              <w:rPr>
                <w:rFonts w:asciiTheme="majorBidi" w:hAnsiTheme="majorBidi" w:cstheme="majorBidi"/>
                <w:szCs w:val="24"/>
              </w:rPr>
              <w:t>ecommandation en rapport qui sera soumis à la plénière pour examen. Le Président a confirmé que l</w:t>
            </w:r>
            <w:r w:rsidR="00536FBA" w:rsidRPr="00801DA5">
              <w:rPr>
                <w:rFonts w:asciiTheme="majorBidi" w:hAnsiTheme="majorBidi" w:cstheme="majorBidi"/>
                <w:szCs w:val="24"/>
              </w:rPr>
              <w:t>'</w:t>
            </w:r>
            <w:r w:rsidRPr="00801DA5">
              <w:rPr>
                <w:rFonts w:asciiTheme="majorBidi" w:hAnsiTheme="majorBidi" w:cstheme="majorBidi"/>
                <w:szCs w:val="24"/>
              </w:rPr>
              <w:t>AR-15 avait compétence pour approuver, lors d</w:t>
            </w:r>
            <w:r w:rsidR="00536FBA" w:rsidRPr="00801DA5">
              <w:rPr>
                <w:rFonts w:asciiTheme="majorBidi" w:hAnsiTheme="majorBidi" w:cstheme="majorBidi"/>
                <w:szCs w:val="24"/>
              </w:rPr>
              <w:t>'</w:t>
            </w:r>
            <w:r w:rsidRPr="00801DA5">
              <w:rPr>
                <w:rFonts w:asciiTheme="majorBidi" w:hAnsiTheme="majorBidi" w:cstheme="majorBidi"/>
                <w:szCs w:val="24"/>
              </w:rPr>
              <w:t>une séance, un rapport de l</w:t>
            </w:r>
            <w:r w:rsidR="00536FBA" w:rsidRPr="00801DA5">
              <w:rPr>
                <w:rFonts w:asciiTheme="majorBidi" w:hAnsiTheme="majorBidi" w:cstheme="majorBidi"/>
                <w:szCs w:val="24"/>
              </w:rPr>
              <w:t>'</w:t>
            </w:r>
            <w:r w:rsidRPr="00801DA5">
              <w:rPr>
                <w:rFonts w:asciiTheme="majorBidi" w:hAnsiTheme="majorBidi" w:cstheme="majorBidi"/>
                <w:szCs w:val="24"/>
              </w:rPr>
              <w:t>UIT-R.</w:t>
            </w:r>
          </w:p>
          <w:p w:rsidR="00CB3527" w:rsidRPr="00801DA5" w:rsidRDefault="00CB3527" w:rsidP="003D0AF8">
            <w:pPr>
              <w:tabs>
                <w:tab w:val="left" w:pos="362"/>
                <w:tab w:val="left" w:pos="567"/>
              </w:tabs>
              <w:spacing w:before="80"/>
              <w:ind w:left="362" w:hanging="362"/>
              <w:rPr>
                <w:rFonts w:asciiTheme="majorBidi" w:hAnsiTheme="majorBidi" w:cstheme="majorBidi"/>
                <w:szCs w:val="24"/>
              </w:rPr>
            </w:pPr>
            <w:r w:rsidRPr="00801DA5">
              <w:rPr>
                <w:rFonts w:asciiTheme="majorBidi" w:hAnsiTheme="majorBidi" w:cstheme="majorBidi"/>
                <w:szCs w:val="24"/>
              </w:rPr>
              <w:t>g)</w:t>
            </w:r>
            <w:r w:rsidRPr="00801DA5">
              <w:rPr>
                <w:rFonts w:asciiTheme="majorBidi" w:hAnsiTheme="majorBidi" w:cstheme="majorBidi"/>
                <w:szCs w:val="24"/>
              </w:rPr>
              <w:tab/>
              <w:t xml:space="preserve">Doc. 5/1008 </w:t>
            </w:r>
            <w:r w:rsidR="00801DA5" w:rsidRPr="00801DA5">
              <w:rPr>
                <w:rFonts w:asciiTheme="majorBidi" w:hAnsiTheme="majorBidi" w:cstheme="majorBidi"/>
                <w:szCs w:val="24"/>
              </w:rPr>
              <w:t>–</w:t>
            </w:r>
            <w:r w:rsidRPr="00801DA5">
              <w:rPr>
                <w:rFonts w:asciiTheme="majorBidi" w:hAnsiTheme="majorBidi" w:cstheme="majorBidi"/>
                <w:szCs w:val="24"/>
              </w:rPr>
              <w:t xml:space="preserve"> Projet de révision de la Recommandation UIT</w:t>
            </w:r>
            <w:r w:rsidRPr="00801DA5">
              <w:rPr>
                <w:rFonts w:asciiTheme="majorBidi" w:hAnsiTheme="majorBidi" w:cstheme="majorBidi"/>
                <w:szCs w:val="24"/>
              </w:rPr>
              <w:noBreakHyphen/>
              <w:t xml:space="preserve">R M.1036-4 </w:t>
            </w:r>
            <w:r w:rsidR="00A7401B" w:rsidRPr="00801DA5">
              <w:rPr>
                <w:rFonts w:asciiTheme="majorBidi" w:hAnsiTheme="majorBidi" w:cstheme="majorBidi"/>
                <w:szCs w:val="24"/>
              </w:rPr>
              <w:t>–</w:t>
            </w:r>
            <w:r w:rsidRPr="00801DA5">
              <w:rPr>
                <w:rFonts w:asciiTheme="majorBidi" w:hAnsiTheme="majorBidi" w:cstheme="majorBidi"/>
                <w:szCs w:val="24"/>
              </w:rPr>
              <w:t xml:space="preserve"> Dispositions de fréquences applicables à la mise en œuvre de la composante de Terre des Télécommunications mobiles internationales (IMT) dans les bandes identifiées pour les IMT dans le Règlement des radiocommunications – Les contributions PLEN/11, 14, 21(Add.1), 23, 26, et 34(Add.5) ont été présentées. Etant donné les divergences de points de vue des Administrations, les participants </w:t>
            </w:r>
            <w:r w:rsidR="00801DA5">
              <w:rPr>
                <w:rFonts w:asciiTheme="majorBidi" w:hAnsiTheme="majorBidi" w:cstheme="majorBidi"/>
                <w:szCs w:val="24"/>
              </w:rPr>
              <w:t>ont décidé de former le Groupe a</w:t>
            </w:r>
            <w:r w:rsidRPr="00801DA5">
              <w:rPr>
                <w:rFonts w:asciiTheme="majorBidi" w:hAnsiTheme="majorBidi" w:cstheme="majorBidi"/>
                <w:szCs w:val="24"/>
              </w:rPr>
              <w:t>d hoc Plen 1 (Recommandations de la série M) qui sera chargé d</w:t>
            </w:r>
            <w:r w:rsidR="00536FBA" w:rsidRPr="00801DA5">
              <w:rPr>
                <w:rFonts w:asciiTheme="majorBidi" w:hAnsiTheme="majorBidi" w:cstheme="majorBidi"/>
                <w:szCs w:val="24"/>
              </w:rPr>
              <w:t>'</w:t>
            </w:r>
            <w:r w:rsidRPr="00801DA5">
              <w:rPr>
                <w:rFonts w:asciiTheme="majorBidi" w:hAnsiTheme="majorBidi" w:cstheme="majorBidi"/>
                <w:szCs w:val="24"/>
              </w:rPr>
              <w:t>examiner la Section 3 (bande 2 GHz) du projet de révision.</w:t>
            </w:r>
          </w:p>
          <w:p w:rsidR="00CB3527" w:rsidRPr="00801DA5" w:rsidRDefault="00CB3527" w:rsidP="00A7401B">
            <w:pPr>
              <w:tabs>
                <w:tab w:val="left" w:pos="362"/>
                <w:tab w:val="left" w:pos="567"/>
              </w:tabs>
              <w:spacing w:before="80"/>
              <w:ind w:left="362" w:hanging="362"/>
              <w:rPr>
                <w:rFonts w:asciiTheme="majorBidi" w:hAnsiTheme="majorBidi" w:cstheme="majorBidi"/>
                <w:szCs w:val="24"/>
              </w:rPr>
            </w:pPr>
            <w:r w:rsidRPr="00801DA5">
              <w:rPr>
                <w:rFonts w:asciiTheme="majorBidi" w:hAnsiTheme="majorBidi" w:cstheme="majorBidi"/>
                <w:szCs w:val="24"/>
              </w:rPr>
              <w:t>h)</w:t>
            </w:r>
            <w:r w:rsidRPr="00801DA5">
              <w:rPr>
                <w:rFonts w:asciiTheme="majorBidi" w:hAnsiTheme="majorBidi" w:cstheme="majorBidi"/>
                <w:szCs w:val="24"/>
              </w:rPr>
              <w:tab/>
            </w:r>
            <w:r w:rsidR="00801DA5">
              <w:rPr>
                <w:rFonts w:asciiTheme="majorBidi" w:hAnsiTheme="majorBidi" w:cstheme="majorBidi"/>
                <w:szCs w:val="24"/>
              </w:rPr>
              <w:t>Doc.</w:t>
            </w:r>
            <w:r w:rsidRPr="00801DA5">
              <w:rPr>
                <w:rFonts w:asciiTheme="majorBidi" w:hAnsiTheme="majorBidi" w:cstheme="majorBidi"/>
                <w:szCs w:val="24"/>
              </w:rPr>
              <w:t xml:space="preserve"> 5/1009 </w:t>
            </w:r>
            <w:r w:rsidR="00801DA5" w:rsidRPr="00801DA5">
              <w:rPr>
                <w:rFonts w:asciiTheme="majorBidi" w:hAnsiTheme="majorBidi" w:cstheme="majorBidi"/>
                <w:szCs w:val="24"/>
              </w:rPr>
              <w:t>–</w:t>
            </w:r>
            <w:r w:rsidRPr="00801DA5">
              <w:rPr>
                <w:rFonts w:asciiTheme="majorBidi" w:hAnsiTheme="majorBidi" w:cstheme="majorBidi"/>
                <w:szCs w:val="24"/>
              </w:rPr>
              <w:t xml:space="preserve"> Projet de nouvelle Recommandation</w:t>
            </w:r>
            <w:r w:rsidR="001F0166">
              <w:rPr>
                <w:rFonts w:asciiTheme="majorBidi" w:hAnsiTheme="majorBidi" w:cstheme="majorBidi"/>
                <w:szCs w:val="24"/>
              </w:rPr>
              <w:t xml:space="preserve"> UIT</w:t>
            </w:r>
            <w:r w:rsidR="001F0166">
              <w:rPr>
                <w:rFonts w:asciiTheme="majorBidi" w:hAnsiTheme="majorBidi" w:cstheme="majorBidi"/>
                <w:szCs w:val="24"/>
              </w:rPr>
              <w:noBreakHyphen/>
            </w:r>
            <w:r w:rsidRPr="00801DA5">
              <w:rPr>
                <w:rFonts w:asciiTheme="majorBidi" w:hAnsiTheme="majorBidi" w:cstheme="majorBidi"/>
                <w:szCs w:val="24"/>
              </w:rPr>
              <w:t>R</w:t>
            </w:r>
            <w:r w:rsidR="001F0166">
              <w:rPr>
                <w:rFonts w:asciiTheme="majorBidi" w:hAnsiTheme="majorBidi" w:cstheme="majorBidi"/>
                <w:szCs w:val="24"/>
              </w:rPr>
              <w:t> </w:t>
            </w:r>
            <w:r w:rsidRPr="00801DA5">
              <w:rPr>
                <w:rFonts w:asciiTheme="majorBidi" w:hAnsiTheme="majorBidi" w:cstheme="majorBidi"/>
                <w:szCs w:val="24"/>
              </w:rPr>
              <w:t xml:space="preserve">M.[BSMS700] </w:t>
            </w:r>
            <w:r w:rsidR="001F0166" w:rsidRPr="00801DA5">
              <w:rPr>
                <w:rFonts w:asciiTheme="majorBidi" w:hAnsiTheme="majorBidi" w:cstheme="majorBidi"/>
                <w:szCs w:val="24"/>
              </w:rPr>
              <w:t>–</w:t>
            </w:r>
            <w:r w:rsidRPr="00801DA5">
              <w:rPr>
                <w:rFonts w:asciiTheme="majorBidi" w:hAnsiTheme="majorBidi" w:cstheme="majorBidi"/>
                <w:szCs w:val="24"/>
              </w:rPr>
              <w:t xml:space="preserve"> </w:t>
            </w:r>
            <w:r w:rsidRPr="00801DA5">
              <w:rPr>
                <w:rFonts w:asciiTheme="majorBidi" w:hAnsiTheme="majorBidi" w:cstheme="majorBidi"/>
                <w:bCs/>
                <w:szCs w:val="24"/>
              </w:rPr>
              <w:t>Limites spécifiques des émissions hors bande applicables aux stations mobiles IMT exploitées dans la bande de fréquences 694-790 MHz pour la protection des services existants en Région 1 fonctionnant dans la bande de fréquences au</w:t>
            </w:r>
            <w:r w:rsidRPr="00801DA5">
              <w:rPr>
                <w:rFonts w:asciiTheme="majorBidi" w:hAnsiTheme="majorBidi" w:cstheme="majorBidi"/>
                <w:bCs/>
                <w:szCs w:val="24"/>
              </w:rPr>
              <w:noBreakHyphen/>
              <w:t>dessous de 694 MHz</w:t>
            </w:r>
            <w:r w:rsidR="00801DA5">
              <w:rPr>
                <w:rFonts w:asciiTheme="majorBidi" w:hAnsiTheme="majorBidi" w:cstheme="majorBidi"/>
                <w:szCs w:val="24"/>
              </w:rPr>
              <w:t xml:space="preserve"> et les contributions PLEN/</w:t>
            </w:r>
            <w:r w:rsidRPr="00801DA5">
              <w:rPr>
                <w:rFonts w:asciiTheme="majorBidi" w:hAnsiTheme="majorBidi" w:cstheme="majorBidi"/>
                <w:szCs w:val="24"/>
              </w:rPr>
              <w:t>12, 13, 21(Add.2) n</w:t>
            </w:r>
            <w:r w:rsidR="00536FBA" w:rsidRPr="00801DA5">
              <w:rPr>
                <w:rFonts w:asciiTheme="majorBidi" w:hAnsiTheme="majorBidi" w:cstheme="majorBidi"/>
                <w:szCs w:val="24"/>
              </w:rPr>
              <w:t>'</w:t>
            </w:r>
            <w:r w:rsidRPr="00801DA5">
              <w:rPr>
                <w:rFonts w:asciiTheme="majorBidi" w:hAnsiTheme="majorBidi" w:cstheme="majorBidi"/>
                <w:szCs w:val="24"/>
              </w:rPr>
              <w:t>ont pas été présenté</w:t>
            </w:r>
            <w:r w:rsidR="009D42E5">
              <w:rPr>
                <w:rFonts w:asciiTheme="majorBidi" w:hAnsiTheme="majorBidi" w:cstheme="majorBidi"/>
                <w:szCs w:val="24"/>
              </w:rPr>
              <w:t>e</w:t>
            </w:r>
            <w:r w:rsidRPr="00801DA5">
              <w:rPr>
                <w:rFonts w:asciiTheme="majorBidi" w:hAnsiTheme="majorBidi" w:cstheme="majorBidi"/>
                <w:szCs w:val="24"/>
              </w:rPr>
              <w:t>s. Les participants ont décidé de confier l</w:t>
            </w:r>
            <w:r w:rsidR="00536FBA" w:rsidRPr="00801DA5">
              <w:rPr>
                <w:rFonts w:asciiTheme="majorBidi" w:hAnsiTheme="majorBidi" w:cstheme="majorBidi"/>
                <w:szCs w:val="24"/>
              </w:rPr>
              <w:t>'</w:t>
            </w:r>
            <w:r w:rsidRPr="00801DA5">
              <w:rPr>
                <w:rFonts w:asciiTheme="majorBidi" w:hAnsiTheme="majorBidi" w:cstheme="majorBidi"/>
                <w:szCs w:val="24"/>
              </w:rPr>
              <w:t>examen de ce projet de nou</w:t>
            </w:r>
            <w:r w:rsidR="00801DA5">
              <w:rPr>
                <w:rFonts w:asciiTheme="majorBidi" w:hAnsiTheme="majorBidi" w:cstheme="majorBidi"/>
                <w:szCs w:val="24"/>
              </w:rPr>
              <w:t>velle Recommandation au Groupe a</w:t>
            </w:r>
            <w:r w:rsidR="001F0166">
              <w:rPr>
                <w:rFonts w:asciiTheme="majorBidi" w:hAnsiTheme="majorBidi" w:cstheme="majorBidi"/>
                <w:szCs w:val="24"/>
              </w:rPr>
              <w:t>d </w:t>
            </w:r>
            <w:r w:rsidRPr="00801DA5">
              <w:rPr>
                <w:rFonts w:asciiTheme="majorBidi" w:hAnsiTheme="majorBidi" w:cstheme="majorBidi"/>
                <w:szCs w:val="24"/>
              </w:rPr>
              <w:t>hoc Plen 1 (Recommandations de la série</w:t>
            </w:r>
            <w:r w:rsidR="00A7401B">
              <w:rPr>
                <w:rFonts w:asciiTheme="majorBidi" w:hAnsiTheme="majorBidi" w:cstheme="majorBidi"/>
                <w:szCs w:val="24"/>
              </w:rPr>
              <w:t> </w:t>
            </w:r>
            <w:r w:rsidRPr="00801DA5">
              <w:rPr>
                <w:rFonts w:asciiTheme="majorBidi" w:hAnsiTheme="majorBidi" w:cstheme="majorBidi"/>
                <w:szCs w:val="24"/>
              </w:rPr>
              <w:t>M).</w:t>
            </w:r>
          </w:p>
        </w:tc>
        <w:tc>
          <w:tcPr>
            <w:tcW w:w="1549" w:type="pct"/>
          </w:tcPr>
          <w:p w:rsidR="00CB3527" w:rsidRPr="00CB3527" w:rsidRDefault="00A7401B" w:rsidP="003D0AF8">
            <w:pPr>
              <w:spacing w:before="80" w:after="80"/>
              <w:jc w:val="center"/>
              <w:rPr>
                <w:rFonts w:asciiTheme="minorHAnsi" w:hAnsiTheme="minorHAnsi"/>
                <w:sz w:val="22"/>
                <w:szCs w:val="22"/>
                <w:lang w:val="en-US"/>
              </w:rPr>
            </w:pPr>
            <w:hyperlink r:id="rId12" w:history="1">
              <w:r w:rsidR="00D817A2" w:rsidRPr="00D817A2">
                <w:rPr>
                  <w:rStyle w:val="Hyperlink"/>
                  <w:lang w:val="en-US"/>
                </w:rPr>
                <w:t>5/1001</w:t>
              </w:r>
            </w:hyperlink>
            <w:r w:rsidR="00D817A2" w:rsidRPr="00D817A2">
              <w:rPr>
                <w:lang w:val="en-US"/>
              </w:rPr>
              <w:t xml:space="preserve">, </w:t>
            </w:r>
            <w:hyperlink r:id="rId13" w:history="1">
              <w:r w:rsidR="00D817A2" w:rsidRPr="00D817A2">
                <w:rPr>
                  <w:rStyle w:val="Hyperlink"/>
                  <w:lang w:val="en-US"/>
                </w:rPr>
                <w:t>1002</w:t>
              </w:r>
            </w:hyperlink>
            <w:r w:rsidR="00D817A2" w:rsidRPr="00D817A2">
              <w:rPr>
                <w:lang w:val="en-US"/>
              </w:rPr>
              <w:t xml:space="preserve">, </w:t>
            </w:r>
            <w:hyperlink r:id="rId14" w:history="1">
              <w:r w:rsidR="00D817A2" w:rsidRPr="00D817A2">
                <w:rPr>
                  <w:rStyle w:val="Hyperlink"/>
                  <w:lang w:val="en-US"/>
                </w:rPr>
                <w:t>1003</w:t>
              </w:r>
            </w:hyperlink>
            <w:r w:rsidR="00D817A2" w:rsidRPr="00D817A2">
              <w:rPr>
                <w:lang w:val="en-US"/>
              </w:rPr>
              <w:t xml:space="preserve">, </w:t>
            </w:r>
            <w:hyperlink r:id="rId15" w:history="1">
              <w:r w:rsidR="00D817A2" w:rsidRPr="00D817A2">
                <w:rPr>
                  <w:rStyle w:val="Hyperlink"/>
                  <w:lang w:val="en-US"/>
                </w:rPr>
                <w:t>1004</w:t>
              </w:r>
            </w:hyperlink>
            <w:r w:rsidR="00D817A2" w:rsidRPr="00D817A2">
              <w:rPr>
                <w:lang w:val="en-US"/>
              </w:rPr>
              <w:t xml:space="preserve">, </w:t>
            </w:r>
            <w:hyperlink r:id="rId16" w:history="1">
              <w:r w:rsidR="00D817A2" w:rsidRPr="00D817A2">
                <w:rPr>
                  <w:rStyle w:val="Hyperlink"/>
                  <w:lang w:val="en-US"/>
                </w:rPr>
                <w:t>1005</w:t>
              </w:r>
            </w:hyperlink>
            <w:r w:rsidR="00D817A2" w:rsidRPr="00D817A2">
              <w:rPr>
                <w:lang w:val="en-US"/>
              </w:rPr>
              <w:t xml:space="preserve">, </w:t>
            </w:r>
            <w:hyperlink r:id="rId17" w:history="1">
              <w:r w:rsidR="00D817A2" w:rsidRPr="00D817A2">
                <w:rPr>
                  <w:rStyle w:val="Hyperlink"/>
                  <w:lang w:val="en-US"/>
                </w:rPr>
                <w:t>1006</w:t>
              </w:r>
            </w:hyperlink>
            <w:r w:rsidR="00D817A2" w:rsidRPr="00D817A2">
              <w:rPr>
                <w:lang w:val="en-US"/>
              </w:rPr>
              <w:t xml:space="preserve">, </w:t>
            </w:r>
            <w:hyperlink r:id="rId18" w:history="1">
              <w:r w:rsidR="00D817A2" w:rsidRPr="00D817A2">
                <w:rPr>
                  <w:rStyle w:val="Hyperlink"/>
                  <w:lang w:val="en-US"/>
                </w:rPr>
                <w:t>1007</w:t>
              </w:r>
            </w:hyperlink>
            <w:r w:rsidR="00D817A2" w:rsidRPr="00D817A2">
              <w:rPr>
                <w:lang w:val="en-US"/>
              </w:rPr>
              <w:t>,</w:t>
            </w:r>
            <w:r w:rsidR="00D817A2" w:rsidRPr="00D817A2">
              <w:rPr>
                <w:lang w:val="en-US"/>
              </w:rPr>
              <w:br/>
            </w:r>
            <w:r w:rsidR="00D817A2" w:rsidRPr="00D817A2">
              <w:rPr>
                <w:sz w:val="12"/>
                <w:szCs w:val="12"/>
                <w:lang w:val="en-US"/>
              </w:rPr>
              <w:br/>
            </w:r>
            <w:hyperlink r:id="rId19" w:history="1">
              <w:r w:rsidR="00D817A2" w:rsidRPr="00D817A2">
                <w:rPr>
                  <w:rStyle w:val="Hyperlink"/>
                  <w:lang w:val="en-US"/>
                </w:rPr>
                <w:t>5/1008</w:t>
              </w:r>
            </w:hyperlink>
            <w:r w:rsidR="00D817A2" w:rsidRPr="00D817A2">
              <w:rPr>
                <w:lang w:val="en-US"/>
              </w:rPr>
              <w:t xml:space="preserve">, </w:t>
            </w:r>
            <w:hyperlink r:id="rId20" w:history="1">
              <w:r w:rsidR="00D817A2" w:rsidRPr="00D817A2">
                <w:rPr>
                  <w:rStyle w:val="Hyperlink"/>
                  <w:lang w:val="en-US"/>
                </w:rPr>
                <w:t>PLEN/11</w:t>
              </w:r>
            </w:hyperlink>
            <w:r w:rsidR="00D817A2" w:rsidRPr="00D817A2">
              <w:rPr>
                <w:lang w:val="en-US"/>
              </w:rPr>
              <w:t xml:space="preserve">, </w:t>
            </w:r>
            <w:hyperlink r:id="rId21" w:history="1">
              <w:r w:rsidR="00D817A2" w:rsidRPr="00D817A2">
                <w:rPr>
                  <w:rStyle w:val="Hyperlink"/>
                  <w:lang w:val="en-US"/>
                </w:rPr>
                <w:t>14</w:t>
              </w:r>
            </w:hyperlink>
            <w:r w:rsidR="00D817A2" w:rsidRPr="00D817A2">
              <w:rPr>
                <w:lang w:val="en-US"/>
              </w:rPr>
              <w:t xml:space="preserve">, </w:t>
            </w:r>
            <w:hyperlink r:id="rId22" w:history="1">
              <w:r w:rsidR="00D817A2" w:rsidRPr="00D817A2">
                <w:rPr>
                  <w:rStyle w:val="Hyperlink"/>
                  <w:lang w:val="en-US"/>
                </w:rPr>
                <w:t>21(Add.1),</w:t>
              </w:r>
            </w:hyperlink>
            <w:r w:rsidR="00D817A2" w:rsidRPr="00D817A2">
              <w:rPr>
                <w:lang w:val="en-US"/>
              </w:rPr>
              <w:br/>
            </w:r>
            <w:hyperlink r:id="rId23" w:history="1">
              <w:r w:rsidR="00D817A2" w:rsidRPr="00D817A2">
                <w:rPr>
                  <w:rStyle w:val="Hyperlink"/>
                  <w:lang w:val="en-US"/>
                </w:rPr>
                <w:t>23</w:t>
              </w:r>
            </w:hyperlink>
            <w:r w:rsidR="00D817A2" w:rsidRPr="00D817A2">
              <w:rPr>
                <w:lang w:val="en-US"/>
              </w:rPr>
              <w:t xml:space="preserve">, </w:t>
            </w:r>
            <w:hyperlink r:id="rId24" w:history="1">
              <w:r w:rsidR="00D817A2" w:rsidRPr="00D817A2">
                <w:rPr>
                  <w:rStyle w:val="Hyperlink"/>
                  <w:lang w:val="en-US"/>
                </w:rPr>
                <w:t>26</w:t>
              </w:r>
            </w:hyperlink>
            <w:r w:rsidR="00D817A2" w:rsidRPr="00D817A2">
              <w:rPr>
                <w:lang w:val="en-US"/>
              </w:rPr>
              <w:t xml:space="preserve">, </w:t>
            </w:r>
            <w:hyperlink r:id="rId25" w:history="1">
              <w:r w:rsidR="00D817A2" w:rsidRPr="00D817A2">
                <w:rPr>
                  <w:rStyle w:val="Hyperlink"/>
                  <w:lang w:val="en-US"/>
                </w:rPr>
                <w:t>34(Add.5)</w:t>
              </w:r>
            </w:hyperlink>
            <w:r w:rsidR="00D817A2" w:rsidRPr="00D817A2">
              <w:rPr>
                <w:lang w:val="en-US"/>
              </w:rPr>
              <w:br/>
            </w:r>
            <w:r w:rsidR="00D817A2" w:rsidRPr="00D817A2">
              <w:rPr>
                <w:sz w:val="12"/>
                <w:szCs w:val="12"/>
                <w:lang w:val="en-US"/>
              </w:rPr>
              <w:br/>
            </w:r>
            <w:hyperlink r:id="rId26" w:history="1">
              <w:r w:rsidR="00D817A2" w:rsidRPr="00D817A2">
                <w:rPr>
                  <w:rStyle w:val="Hyperlink"/>
                  <w:lang w:val="en-US"/>
                </w:rPr>
                <w:t>5/1009</w:t>
              </w:r>
            </w:hyperlink>
            <w:r w:rsidR="00D817A2" w:rsidRPr="00D817A2">
              <w:rPr>
                <w:lang w:val="en-US"/>
              </w:rPr>
              <w:t xml:space="preserve">, </w:t>
            </w:r>
            <w:hyperlink r:id="rId27" w:history="1">
              <w:r w:rsidR="00801DA5">
                <w:rPr>
                  <w:rStyle w:val="Hyperlink"/>
                  <w:lang w:val="en-US"/>
                </w:rPr>
                <w:t>PLEN/</w:t>
              </w:r>
              <w:r w:rsidR="00D817A2" w:rsidRPr="00D817A2">
                <w:rPr>
                  <w:rStyle w:val="Hyperlink"/>
                  <w:lang w:val="en-US"/>
                </w:rPr>
                <w:t>12</w:t>
              </w:r>
            </w:hyperlink>
            <w:r w:rsidR="00D817A2" w:rsidRPr="00D817A2">
              <w:rPr>
                <w:lang w:val="en-US"/>
              </w:rPr>
              <w:t xml:space="preserve">, </w:t>
            </w:r>
            <w:hyperlink r:id="rId28" w:history="1">
              <w:r w:rsidR="00D817A2" w:rsidRPr="00D817A2">
                <w:rPr>
                  <w:rStyle w:val="Hyperlink"/>
                  <w:lang w:val="en-US"/>
                </w:rPr>
                <w:t>13</w:t>
              </w:r>
            </w:hyperlink>
            <w:r w:rsidR="00D817A2" w:rsidRPr="00D817A2">
              <w:rPr>
                <w:lang w:val="en-US"/>
              </w:rPr>
              <w:t xml:space="preserve">, </w:t>
            </w:r>
            <w:hyperlink r:id="rId29" w:history="1">
              <w:r w:rsidR="00D817A2" w:rsidRPr="00D817A2">
                <w:rPr>
                  <w:rStyle w:val="Hyperlink"/>
                  <w:lang w:val="en-US"/>
                </w:rPr>
                <w:t>21(Add.2)</w:t>
              </w:r>
            </w:hyperlink>
          </w:p>
        </w:tc>
      </w:tr>
      <w:tr w:rsidR="00CB3527" w:rsidRPr="00052353" w:rsidTr="003D0AF8">
        <w:tc>
          <w:tcPr>
            <w:tcW w:w="260" w:type="pct"/>
          </w:tcPr>
          <w:p w:rsidR="00CB3527" w:rsidRPr="009D42E5" w:rsidRDefault="00CB3527" w:rsidP="003D0AF8">
            <w:pPr>
              <w:tabs>
                <w:tab w:val="left" w:pos="567"/>
              </w:tabs>
              <w:spacing w:before="80"/>
              <w:ind w:left="567" w:hanging="567"/>
              <w:rPr>
                <w:rFonts w:asciiTheme="majorBidi" w:hAnsiTheme="majorBidi" w:cstheme="majorBidi"/>
                <w:bCs/>
                <w:szCs w:val="24"/>
              </w:rPr>
            </w:pPr>
            <w:r w:rsidRPr="009D42E5">
              <w:rPr>
                <w:rFonts w:asciiTheme="majorBidi" w:hAnsiTheme="majorBidi" w:cstheme="majorBidi"/>
                <w:bCs/>
                <w:szCs w:val="24"/>
              </w:rPr>
              <w:lastRenderedPageBreak/>
              <w:t>7</w:t>
            </w:r>
          </w:p>
        </w:tc>
        <w:tc>
          <w:tcPr>
            <w:tcW w:w="3191" w:type="pct"/>
          </w:tcPr>
          <w:p w:rsidR="00CB3527" w:rsidRPr="00801DA5" w:rsidRDefault="00CB3527" w:rsidP="003D0AF8">
            <w:pPr>
              <w:tabs>
                <w:tab w:val="left" w:pos="567"/>
              </w:tabs>
              <w:spacing w:before="80"/>
              <w:rPr>
                <w:rFonts w:asciiTheme="majorBidi" w:hAnsiTheme="majorBidi" w:cstheme="majorBidi"/>
                <w:szCs w:val="24"/>
              </w:rPr>
            </w:pPr>
            <w:r w:rsidRPr="00801DA5">
              <w:rPr>
                <w:rFonts w:asciiTheme="majorBidi" w:hAnsiTheme="majorBidi" w:cstheme="majorBidi"/>
                <w:szCs w:val="24"/>
              </w:rPr>
              <w:t>Examen du Rapport du Président et des documents émanant de la Commission d</w:t>
            </w:r>
            <w:r w:rsidR="00536FBA" w:rsidRPr="00801DA5">
              <w:rPr>
                <w:rFonts w:asciiTheme="majorBidi" w:hAnsiTheme="majorBidi" w:cstheme="majorBidi"/>
                <w:szCs w:val="24"/>
              </w:rPr>
              <w:t>'</w:t>
            </w:r>
            <w:r w:rsidRPr="00801DA5">
              <w:rPr>
                <w:rFonts w:asciiTheme="majorBidi" w:hAnsiTheme="majorBidi" w:cstheme="majorBidi"/>
                <w:szCs w:val="24"/>
              </w:rPr>
              <w:t>études 4</w:t>
            </w:r>
          </w:p>
          <w:p w:rsidR="00CB3527" w:rsidRPr="00801DA5" w:rsidRDefault="00CB3527" w:rsidP="003D0AF8">
            <w:pPr>
              <w:tabs>
                <w:tab w:val="left" w:pos="567"/>
              </w:tabs>
              <w:spacing w:before="80"/>
              <w:rPr>
                <w:rFonts w:asciiTheme="majorBidi" w:hAnsiTheme="majorBidi" w:cstheme="majorBidi"/>
                <w:szCs w:val="24"/>
              </w:rPr>
            </w:pPr>
            <w:r w:rsidRPr="00801DA5">
              <w:rPr>
                <w:rFonts w:asciiTheme="majorBidi" w:hAnsiTheme="majorBidi" w:cstheme="majorBidi"/>
                <w:szCs w:val="24"/>
              </w:rPr>
              <w:t>Reporté à la prochaine séance.</w:t>
            </w:r>
          </w:p>
        </w:tc>
        <w:tc>
          <w:tcPr>
            <w:tcW w:w="1549" w:type="pct"/>
          </w:tcPr>
          <w:p w:rsidR="00CB3527" w:rsidRPr="00052353" w:rsidRDefault="00A7401B" w:rsidP="003D0AF8">
            <w:pPr>
              <w:spacing w:before="80"/>
              <w:jc w:val="center"/>
              <w:rPr>
                <w:rFonts w:asciiTheme="minorHAnsi" w:hAnsiTheme="minorHAnsi"/>
                <w:sz w:val="22"/>
                <w:szCs w:val="22"/>
              </w:rPr>
            </w:pPr>
            <w:hyperlink r:id="rId30" w:history="1">
              <w:r w:rsidR="00D817A2" w:rsidRPr="006D078E">
                <w:rPr>
                  <w:rStyle w:val="Hyperlink"/>
                </w:rPr>
                <w:t>4/1001</w:t>
              </w:r>
            </w:hyperlink>
            <w:r w:rsidR="00D817A2" w:rsidRPr="00080ADD">
              <w:t xml:space="preserve">, </w:t>
            </w:r>
            <w:hyperlink r:id="rId31" w:history="1">
              <w:r w:rsidR="00D817A2" w:rsidRPr="006D078E">
                <w:rPr>
                  <w:rStyle w:val="Hyperlink"/>
                </w:rPr>
                <w:t>1002</w:t>
              </w:r>
            </w:hyperlink>
            <w:r w:rsidR="00D817A2" w:rsidRPr="00080ADD">
              <w:t xml:space="preserve">, </w:t>
            </w:r>
            <w:hyperlink r:id="rId32" w:history="1">
              <w:r w:rsidR="00D817A2" w:rsidRPr="006D078E">
                <w:rPr>
                  <w:rStyle w:val="Hyperlink"/>
                </w:rPr>
                <w:t>1003</w:t>
              </w:r>
            </w:hyperlink>
            <w:r w:rsidR="00D817A2" w:rsidRPr="00080ADD">
              <w:t xml:space="preserve">, </w:t>
            </w:r>
            <w:hyperlink r:id="rId33" w:history="1">
              <w:r w:rsidR="00D817A2" w:rsidRPr="006D078E">
                <w:rPr>
                  <w:rStyle w:val="Hyperlink"/>
                </w:rPr>
                <w:t>1004</w:t>
              </w:r>
            </w:hyperlink>
            <w:r w:rsidR="00D817A2">
              <w:t xml:space="preserve">, </w:t>
            </w:r>
            <w:hyperlink r:id="rId34" w:history="1">
              <w:r w:rsidR="00D817A2" w:rsidRPr="006D078E">
                <w:rPr>
                  <w:rStyle w:val="Hyperlink"/>
                </w:rPr>
                <w:t>1005</w:t>
              </w:r>
            </w:hyperlink>
            <w:r w:rsidR="00D817A2" w:rsidRPr="00080ADD">
              <w:br/>
            </w:r>
          </w:p>
        </w:tc>
      </w:tr>
      <w:tr w:rsidR="00D817A2" w:rsidRPr="00052353" w:rsidTr="003D0AF8">
        <w:tc>
          <w:tcPr>
            <w:tcW w:w="260" w:type="pct"/>
          </w:tcPr>
          <w:p w:rsidR="00D817A2" w:rsidRPr="009D42E5" w:rsidRDefault="00D817A2" w:rsidP="00D817A2">
            <w:pPr>
              <w:tabs>
                <w:tab w:val="left" w:pos="567"/>
              </w:tabs>
              <w:spacing w:before="80"/>
              <w:ind w:left="567" w:hanging="567"/>
              <w:rPr>
                <w:rFonts w:asciiTheme="majorBidi" w:hAnsiTheme="majorBidi" w:cstheme="majorBidi"/>
                <w:bCs/>
                <w:szCs w:val="24"/>
              </w:rPr>
            </w:pPr>
            <w:r w:rsidRPr="009D42E5">
              <w:rPr>
                <w:rFonts w:asciiTheme="majorBidi" w:hAnsiTheme="majorBidi" w:cstheme="majorBidi"/>
                <w:bCs/>
                <w:szCs w:val="24"/>
              </w:rPr>
              <w:t>8</w:t>
            </w:r>
          </w:p>
        </w:tc>
        <w:tc>
          <w:tcPr>
            <w:tcW w:w="3191" w:type="pct"/>
          </w:tcPr>
          <w:p w:rsidR="00D817A2" w:rsidRPr="00801DA5" w:rsidRDefault="00D817A2" w:rsidP="00D817A2">
            <w:pPr>
              <w:tabs>
                <w:tab w:val="left" w:pos="567"/>
              </w:tabs>
              <w:spacing w:before="80"/>
              <w:rPr>
                <w:rFonts w:asciiTheme="majorBidi" w:hAnsiTheme="majorBidi" w:cstheme="majorBidi"/>
                <w:szCs w:val="24"/>
              </w:rPr>
            </w:pPr>
            <w:r w:rsidRPr="00801DA5">
              <w:rPr>
                <w:rFonts w:asciiTheme="majorBidi" w:hAnsiTheme="majorBidi" w:cstheme="majorBidi"/>
                <w:szCs w:val="24"/>
              </w:rPr>
              <w:t>Examen des documents produits par la Commission 4</w:t>
            </w:r>
          </w:p>
          <w:p w:rsidR="00D817A2" w:rsidRPr="00801DA5" w:rsidRDefault="00D817A2" w:rsidP="00D817A2">
            <w:pPr>
              <w:tabs>
                <w:tab w:val="left" w:pos="567"/>
              </w:tabs>
              <w:spacing w:before="80"/>
              <w:rPr>
                <w:rFonts w:asciiTheme="majorBidi" w:hAnsiTheme="majorBidi" w:cstheme="majorBidi"/>
                <w:szCs w:val="24"/>
              </w:rPr>
            </w:pPr>
            <w:r w:rsidRPr="00801DA5">
              <w:rPr>
                <w:rFonts w:asciiTheme="majorBidi" w:hAnsiTheme="majorBidi" w:cstheme="majorBidi"/>
                <w:szCs w:val="24"/>
              </w:rPr>
              <w:t>Reporté à la prochaine séance.</w:t>
            </w:r>
          </w:p>
        </w:tc>
        <w:tc>
          <w:tcPr>
            <w:tcW w:w="1549" w:type="pct"/>
          </w:tcPr>
          <w:p w:rsidR="00D817A2" w:rsidRPr="00080ADD" w:rsidRDefault="00A7401B" w:rsidP="00D817A2">
            <w:pPr>
              <w:spacing w:before="80"/>
              <w:jc w:val="center"/>
            </w:pPr>
            <w:hyperlink r:id="rId35" w:history="1">
              <w:r w:rsidR="00D817A2" w:rsidRPr="000B34A1">
                <w:rPr>
                  <w:rStyle w:val="Hyperlink"/>
                </w:rPr>
                <w:t>PLEN/35</w:t>
              </w:r>
            </w:hyperlink>
            <w:r w:rsidR="00D817A2">
              <w:t xml:space="preserve">, </w:t>
            </w:r>
            <w:hyperlink r:id="rId36" w:history="1">
              <w:r w:rsidR="00D817A2" w:rsidRPr="000B34A1">
                <w:rPr>
                  <w:rStyle w:val="Hyperlink"/>
                </w:rPr>
                <w:t>36</w:t>
              </w:r>
            </w:hyperlink>
            <w:r w:rsidR="00D817A2">
              <w:t xml:space="preserve">, </w:t>
            </w:r>
            <w:hyperlink r:id="rId37" w:history="1">
              <w:r w:rsidR="00D817A2" w:rsidRPr="000B34A1">
                <w:rPr>
                  <w:rStyle w:val="Hyperlink"/>
                </w:rPr>
                <w:t>37</w:t>
              </w:r>
            </w:hyperlink>
            <w:r w:rsidR="00D817A2">
              <w:t xml:space="preserve">, </w:t>
            </w:r>
            <w:hyperlink r:id="rId38" w:history="1">
              <w:r w:rsidR="00D817A2" w:rsidRPr="000B34A1">
                <w:rPr>
                  <w:rStyle w:val="Hyperlink"/>
                </w:rPr>
                <w:t>38</w:t>
              </w:r>
            </w:hyperlink>
            <w:r w:rsidR="00D817A2">
              <w:t xml:space="preserve">, </w:t>
            </w:r>
            <w:hyperlink r:id="rId39" w:history="1">
              <w:r w:rsidR="00D817A2" w:rsidRPr="000B34A1">
                <w:rPr>
                  <w:rStyle w:val="Hyperlink"/>
                </w:rPr>
                <w:t>39</w:t>
              </w:r>
            </w:hyperlink>
            <w:r w:rsidR="00D817A2">
              <w:t xml:space="preserve">, </w:t>
            </w:r>
            <w:hyperlink r:id="rId40" w:history="1">
              <w:r w:rsidR="00D817A2" w:rsidRPr="000B34A1">
                <w:rPr>
                  <w:rStyle w:val="Hyperlink"/>
                </w:rPr>
                <w:t>40</w:t>
              </w:r>
            </w:hyperlink>
            <w:r w:rsidR="00D817A2">
              <w:t>,</w:t>
            </w:r>
            <w:r w:rsidR="00D817A2">
              <w:br/>
            </w:r>
            <w:hyperlink r:id="rId41" w:history="1">
              <w:r w:rsidR="00D817A2" w:rsidRPr="000B34A1">
                <w:rPr>
                  <w:rStyle w:val="Hyperlink"/>
                </w:rPr>
                <w:t>41</w:t>
              </w:r>
            </w:hyperlink>
            <w:r w:rsidR="00D817A2">
              <w:t xml:space="preserve">, </w:t>
            </w:r>
            <w:hyperlink r:id="rId42" w:history="1">
              <w:r w:rsidR="00D817A2" w:rsidRPr="000B34A1">
                <w:rPr>
                  <w:rStyle w:val="Hyperlink"/>
                </w:rPr>
                <w:t>42</w:t>
              </w:r>
            </w:hyperlink>
            <w:r w:rsidR="00D817A2">
              <w:t xml:space="preserve">, </w:t>
            </w:r>
            <w:hyperlink r:id="rId43" w:history="1">
              <w:r w:rsidR="00D817A2" w:rsidRPr="000B34A1">
                <w:rPr>
                  <w:rStyle w:val="Hyperlink"/>
                </w:rPr>
                <w:t>43</w:t>
              </w:r>
            </w:hyperlink>
          </w:p>
        </w:tc>
      </w:tr>
      <w:tr w:rsidR="00D817A2" w:rsidRPr="00052353" w:rsidTr="003D0AF8">
        <w:tc>
          <w:tcPr>
            <w:tcW w:w="260" w:type="pct"/>
          </w:tcPr>
          <w:p w:rsidR="00D817A2" w:rsidRPr="009D42E5" w:rsidRDefault="00D817A2" w:rsidP="00D817A2">
            <w:pPr>
              <w:tabs>
                <w:tab w:val="left" w:pos="567"/>
              </w:tabs>
              <w:spacing w:before="80"/>
              <w:ind w:left="567" w:hanging="567"/>
              <w:rPr>
                <w:rFonts w:asciiTheme="majorBidi" w:hAnsiTheme="majorBidi" w:cstheme="majorBidi"/>
                <w:bCs/>
                <w:szCs w:val="24"/>
              </w:rPr>
            </w:pPr>
            <w:r w:rsidRPr="009D42E5">
              <w:rPr>
                <w:rFonts w:asciiTheme="majorBidi" w:hAnsiTheme="majorBidi" w:cstheme="majorBidi"/>
                <w:bCs/>
                <w:szCs w:val="24"/>
              </w:rPr>
              <w:t>9</w:t>
            </w:r>
          </w:p>
        </w:tc>
        <w:tc>
          <w:tcPr>
            <w:tcW w:w="3191" w:type="pct"/>
          </w:tcPr>
          <w:p w:rsidR="00D817A2" w:rsidRPr="00801DA5" w:rsidRDefault="00D817A2" w:rsidP="00D817A2">
            <w:pPr>
              <w:tabs>
                <w:tab w:val="left" w:pos="567"/>
              </w:tabs>
              <w:spacing w:before="80"/>
              <w:rPr>
                <w:rFonts w:asciiTheme="majorBidi" w:hAnsiTheme="majorBidi" w:cstheme="majorBidi"/>
                <w:szCs w:val="24"/>
              </w:rPr>
            </w:pPr>
            <w:r w:rsidRPr="00801DA5">
              <w:rPr>
                <w:rFonts w:asciiTheme="majorBidi" w:hAnsiTheme="majorBidi" w:cstheme="majorBidi"/>
                <w:szCs w:val="24"/>
              </w:rPr>
              <w:t>Divers</w:t>
            </w:r>
          </w:p>
          <w:p w:rsidR="00D817A2" w:rsidRPr="00801DA5" w:rsidRDefault="00D817A2" w:rsidP="001F0166">
            <w:pPr>
              <w:tabs>
                <w:tab w:val="left" w:pos="567"/>
              </w:tabs>
              <w:spacing w:before="80"/>
              <w:rPr>
                <w:rFonts w:asciiTheme="majorBidi" w:hAnsiTheme="majorBidi" w:cstheme="majorBidi"/>
                <w:szCs w:val="24"/>
              </w:rPr>
            </w:pPr>
            <w:r w:rsidRPr="00801DA5">
              <w:rPr>
                <w:rFonts w:asciiTheme="majorBidi" w:hAnsiTheme="majorBidi" w:cstheme="majorBidi"/>
                <w:szCs w:val="24"/>
              </w:rPr>
              <w:t>Le Président de la Commission 3 a rappelé que les administrations qui souhaitent participer aux travaux de la Commission de rédaction devaient faire part de leur intention en adressant un courriel à l'</w:t>
            </w:r>
            <w:r w:rsidR="001F0166">
              <w:rPr>
                <w:rFonts w:asciiTheme="majorBidi" w:hAnsiTheme="majorBidi" w:cstheme="majorBidi"/>
                <w:szCs w:val="24"/>
              </w:rPr>
              <w:t>adresse indiquée dans le D</w:t>
            </w:r>
            <w:r w:rsidRPr="00801DA5">
              <w:rPr>
                <w:rFonts w:asciiTheme="majorBidi" w:hAnsiTheme="majorBidi" w:cstheme="majorBidi"/>
                <w:szCs w:val="24"/>
              </w:rPr>
              <w:t>ocument</w:t>
            </w:r>
            <w:r w:rsidR="001F0166">
              <w:rPr>
                <w:rFonts w:asciiTheme="majorBidi" w:hAnsiTheme="majorBidi" w:cstheme="majorBidi"/>
                <w:szCs w:val="24"/>
              </w:rPr>
              <w:t> </w:t>
            </w:r>
            <w:r w:rsidRPr="00801DA5">
              <w:rPr>
                <w:rFonts w:asciiTheme="majorBidi" w:hAnsiTheme="majorBidi" w:cstheme="majorBidi"/>
                <w:szCs w:val="24"/>
              </w:rPr>
              <w:t>ADM/8.</w:t>
            </w:r>
          </w:p>
          <w:p w:rsidR="00D817A2" w:rsidRPr="00801DA5" w:rsidRDefault="00D817A2" w:rsidP="00D817A2">
            <w:pPr>
              <w:tabs>
                <w:tab w:val="left" w:pos="567"/>
              </w:tabs>
              <w:spacing w:before="80"/>
              <w:rPr>
                <w:rFonts w:asciiTheme="majorBidi" w:hAnsiTheme="majorBidi" w:cstheme="majorBidi"/>
                <w:szCs w:val="24"/>
              </w:rPr>
            </w:pPr>
            <w:r w:rsidRPr="00801DA5">
              <w:rPr>
                <w:rFonts w:asciiTheme="majorBidi" w:hAnsiTheme="majorBidi" w:cstheme="majorBidi"/>
                <w:szCs w:val="24"/>
              </w:rPr>
              <w:t>Les participants ont observé une minute de silence en mémoire des victimes des violents tremblements de terre qui ont frappé des régions montagneuses et isolées de l'Afghanistan et du Pakistan, et ont présenté leurs condoléances au Gouvernement de ces deux pays.</w:t>
            </w:r>
          </w:p>
        </w:tc>
        <w:tc>
          <w:tcPr>
            <w:tcW w:w="1549" w:type="pct"/>
          </w:tcPr>
          <w:p w:rsidR="00D817A2" w:rsidRPr="00052353" w:rsidRDefault="00D817A2" w:rsidP="00D817A2">
            <w:pPr>
              <w:spacing w:before="80"/>
              <w:jc w:val="center"/>
              <w:rPr>
                <w:rFonts w:asciiTheme="minorHAnsi" w:hAnsiTheme="minorHAnsi"/>
                <w:sz w:val="22"/>
                <w:szCs w:val="22"/>
              </w:rPr>
            </w:pPr>
            <w:r>
              <w:t>–</w:t>
            </w:r>
          </w:p>
        </w:tc>
      </w:tr>
    </w:tbl>
    <w:p w:rsidR="00CB3527" w:rsidRPr="008D67F3" w:rsidRDefault="00CB3527" w:rsidP="00CB3527">
      <w:pPr>
        <w:tabs>
          <w:tab w:val="center" w:pos="7088"/>
        </w:tabs>
        <w:spacing w:before="0"/>
        <w:rPr>
          <w:lang w:val="en-GB"/>
        </w:rPr>
      </w:pPr>
    </w:p>
    <w:p w:rsidR="00CB3527" w:rsidRDefault="00CB3527" w:rsidP="00CB3527">
      <w:pPr>
        <w:tabs>
          <w:tab w:val="center" w:pos="7088"/>
        </w:tabs>
        <w:spacing w:before="0"/>
        <w:rPr>
          <w:rFonts w:asciiTheme="majorBidi" w:hAnsiTheme="majorBidi" w:cstheme="majorBidi"/>
          <w:szCs w:val="24"/>
        </w:rPr>
      </w:pPr>
      <w:r w:rsidRPr="008D67F3">
        <w:rPr>
          <w:rFonts w:asciiTheme="majorBidi" w:hAnsiTheme="majorBidi" w:cstheme="majorBidi"/>
          <w:szCs w:val="24"/>
        </w:rPr>
        <w:t>Le Président a indiqué que la prochaine séance se tiendrait le jeudi 29 octobre et a déclaré close la deuxième séance plénière à 15 h 45.</w:t>
      </w:r>
    </w:p>
    <w:p w:rsidR="008D67F3" w:rsidRDefault="008D67F3" w:rsidP="00A7401B"/>
    <w:p w:rsidR="008D67F3" w:rsidRDefault="008D67F3" w:rsidP="00A7401B"/>
    <w:p w:rsidR="008D67F3" w:rsidRDefault="008D67F3" w:rsidP="00A7401B">
      <w:bookmarkStart w:id="10" w:name="_GoBack"/>
      <w:bookmarkEnd w:id="10"/>
    </w:p>
    <w:p w:rsidR="008D67F3" w:rsidRPr="008D67F3" w:rsidRDefault="008D67F3" w:rsidP="00A7401B"/>
    <w:p w:rsidR="00CB3527" w:rsidRPr="008D67F3" w:rsidRDefault="00CB3527" w:rsidP="00CB3527">
      <w:pPr>
        <w:tabs>
          <w:tab w:val="clear" w:pos="1134"/>
          <w:tab w:val="clear" w:pos="1871"/>
          <w:tab w:val="clear" w:pos="2268"/>
          <w:tab w:val="center" w:pos="7088"/>
        </w:tabs>
        <w:rPr>
          <w:rFonts w:asciiTheme="majorBidi" w:hAnsiTheme="majorBidi" w:cstheme="majorBidi"/>
          <w:szCs w:val="24"/>
        </w:rPr>
      </w:pPr>
      <w:r w:rsidRPr="008D67F3">
        <w:rPr>
          <w:rFonts w:asciiTheme="majorBidi" w:hAnsiTheme="majorBidi" w:cstheme="majorBidi"/>
          <w:szCs w:val="24"/>
        </w:rPr>
        <w:tab/>
        <w:t>Akira Hashimoto</w:t>
      </w:r>
      <w:r w:rsidRPr="008D67F3">
        <w:rPr>
          <w:rFonts w:asciiTheme="majorBidi" w:hAnsiTheme="majorBidi" w:cstheme="majorBidi"/>
          <w:szCs w:val="24"/>
        </w:rPr>
        <w:br/>
      </w:r>
      <w:r w:rsidRPr="008D67F3">
        <w:rPr>
          <w:rFonts w:asciiTheme="majorBidi" w:hAnsiTheme="majorBidi" w:cstheme="majorBidi"/>
          <w:szCs w:val="24"/>
        </w:rPr>
        <w:tab/>
        <w:t>Président de l</w:t>
      </w:r>
      <w:r w:rsidR="00536FBA" w:rsidRPr="008D67F3">
        <w:rPr>
          <w:rFonts w:asciiTheme="majorBidi" w:hAnsiTheme="majorBidi" w:cstheme="majorBidi"/>
          <w:szCs w:val="24"/>
        </w:rPr>
        <w:t>'</w:t>
      </w:r>
      <w:r w:rsidRPr="008D67F3">
        <w:rPr>
          <w:rFonts w:asciiTheme="majorBidi" w:hAnsiTheme="majorBidi" w:cstheme="majorBidi"/>
          <w:szCs w:val="24"/>
        </w:rPr>
        <w:t>AR-15</w:t>
      </w:r>
    </w:p>
    <w:sectPr w:rsidR="00CB3527" w:rsidRPr="008D67F3">
      <w:headerReference w:type="default" r:id="rId44"/>
      <w:footerReference w:type="even" r:id="rId45"/>
      <w:footerReference w:type="default" r:id="rId46"/>
      <w:footerReference w:type="first" r:id="rId4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527" w:rsidRDefault="00CB3527">
      <w:r>
        <w:separator/>
      </w:r>
    </w:p>
  </w:endnote>
  <w:endnote w:type="continuationSeparator" w:id="0">
    <w:p w:rsidR="00CB3527" w:rsidRDefault="00CB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5D5828" w:rsidRDefault="00EC0EB4">
    <w:pPr>
      <w:rPr>
        <w:lang w:val="es-ES_tradnl"/>
      </w:rPr>
    </w:pPr>
    <w:r>
      <w:fldChar w:fldCharType="begin"/>
    </w:r>
    <w:r w:rsidRPr="005D5828">
      <w:rPr>
        <w:lang w:val="es-ES_tradnl"/>
      </w:rPr>
      <w:instrText xml:space="preserve"> FILENAME \p  \* MERGEFORMAT </w:instrText>
    </w:r>
    <w:r>
      <w:fldChar w:fldCharType="separate"/>
    </w:r>
    <w:r w:rsidR="009D42E5">
      <w:rPr>
        <w:noProof/>
        <w:lang w:val="es-ES_tradnl"/>
      </w:rPr>
      <w:t>P:\FRA\ITU-R\CONF-R\AR15\PLEN\000\099F.docx</w:t>
    </w:r>
    <w:r>
      <w:fldChar w:fldCharType="end"/>
    </w:r>
    <w:r w:rsidRPr="005D5828">
      <w:rPr>
        <w:lang w:val="es-ES_tradnl"/>
      </w:rPr>
      <w:tab/>
    </w:r>
    <w:r>
      <w:fldChar w:fldCharType="begin"/>
    </w:r>
    <w:r>
      <w:instrText xml:space="preserve"> SAVEDATE \@ DD.MM.YY </w:instrText>
    </w:r>
    <w:r>
      <w:fldChar w:fldCharType="separate"/>
    </w:r>
    <w:r w:rsidR="00A7401B">
      <w:rPr>
        <w:noProof/>
      </w:rPr>
      <w:t>06.11.15</w:t>
    </w:r>
    <w:r>
      <w:fldChar w:fldCharType="end"/>
    </w:r>
    <w:r w:rsidRPr="005D5828">
      <w:rPr>
        <w:lang w:val="es-ES_tradnl"/>
      </w:rPr>
      <w:tab/>
    </w:r>
    <w:r>
      <w:fldChar w:fldCharType="begin"/>
    </w:r>
    <w:r>
      <w:instrText xml:space="preserve"> PRINTDATE \@ DD.MM.YY </w:instrText>
    </w:r>
    <w:r>
      <w:fldChar w:fldCharType="separate"/>
    </w:r>
    <w:r w:rsidR="009D42E5">
      <w:rPr>
        <w:noProof/>
      </w:rPr>
      <w:t>06.11.15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D577E4" w:rsidRDefault="00D577E4" w:rsidP="00D577E4">
    <w:pPr>
      <w:pStyle w:val="Footer"/>
      <w:rPr>
        <w:lang w:val="es-ES_tradnl"/>
      </w:rPr>
    </w:pPr>
    <w:r>
      <w:fldChar w:fldCharType="begin"/>
    </w:r>
    <w:r w:rsidRPr="00D577E4">
      <w:rPr>
        <w:lang w:val="es-ES_tradnl"/>
      </w:rPr>
      <w:instrText xml:space="preserve"> FILENAME \p  \* MERGEFORMAT </w:instrText>
    </w:r>
    <w:r>
      <w:fldChar w:fldCharType="separate"/>
    </w:r>
    <w:r w:rsidR="009D42E5">
      <w:rPr>
        <w:lang w:val="es-ES_tradnl"/>
      </w:rPr>
      <w:t>P:\FRA\ITU-R\CONF-R\AR15\PLEN\000\099F.docx</w:t>
    </w:r>
    <w:r>
      <w:fldChar w:fldCharType="end"/>
    </w:r>
    <w:r w:rsidRPr="00D577E4">
      <w:rPr>
        <w:lang w:val="es-ES_tradnl"/>
      </w:rPr>
      <w:t xml:space="preserve"> (389710)</w:t>
    </w:r>
    <w:r w:rsidRPr="00D577E4">
      <w:rPr>
        <w:lang w:val="es-ES_tradnl"/>
      </w:rPr>
      <w:tab/>
    </w:r>
    <w:r>
      <w:fldChar w:fldCharType="begin"/>
    </w:r>
    <w:r>
      <w:instrText xml:space="preserve"> SAVEDATE \@ DD.MM.YY </w:instrText>
    </w:r>
    <w:r>
      <w:fldChar w:fldCharType="separate"/>
    </w:r>
    <w:r w:rsidR="00A7401B">
      <w:t>06.11.15</w:t>
    </w:r>
    <w:r>
      <w:fldChar w:fldCharType="end"/>
    </w:r>
    <w:r w:rsidRPr="00D577E4">
      <w:rPr>
        <w:lang w:val="es-ES_tradnl"/>
      </w:rPr>
      <w:tab/>
    </w:r>
    <w:r>
      <w:fldChar w:fldCharType="begin"/>
    </w:r>
    <w:r>
      <w:instrText xml:space="preserve"> PRINTDATE \@ DD.MM.YY </w:instrText>
    </w:r>
    <w:r>
      <w:fldChar w:fldCharType="separate"/>
    </w:r>
    <w:r w:rsidR="009D42E5">
      <w:t>06.11.15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D577E4" w:rsidRDefault="00D577E4" w:rsidP="00D577E4">
    <w:pPr>
      <w:pStyle w:val="Footer"/>
      <w:rPr>
        <w:lang w:val="es-ES_tradnl"/>
      </w:rPr>
    </w:pPr>
    <w:r>
      <w:fldChar w:fldCharType="begin"/>
    </w:r>
    <w:r w:rsidRPr="00D577E4">
      <w:rPr>
        <w:lang w:val="es-ES_tradnl"/>
      </w:rPr>
      <w:instrText xml:space="preserve"> FILENAME \p  \* MERGEFORMAT </w:instrText>
    </w:r>
    <w:r>
      <w:fldChar w:fldCharType="separate"/>
    </w:r>
    <w:r w:rsidR="009D42E5">
      <w:rPr>
        <w:lang w:val="es-ES_tradnl"/>
      </w:rPr>
      <w:t>P:\FRA\ITU-R\CONF-R\AR15\PLEN\000\099F.docx</w:t>
    </w:r>
    <w:r>
      <w:fldChar w:fldCharType="end"/>
    </w:r>
    <w:r w:rsidRPr="00D577E4">
      <w:rPr>
        <w:lang w:val="es-ES_tradnl"/>
      </w:rPr>
      <w:t xml:space="preserve"> (389710)</w:t>
    </w:r>
    <w:r w:rsidRPr="00D577E4">
      <w:rPr>
        <w:lang w:val="es-ES_tradnl"/>
      </w:rPr>
      <w:tab/>
    </w:r>
    <w:r>
      <w:fldChar w:fldCharType="begin"/>
    </w:r>
    <w:r>
      <w:instrText xml:space="preserve"> SAVEDATE \@ DD.MM.YY </w:instrText>
    </w:r>
    <w:r>
      <w:fldChar w:fldCharType="separate"/>
    </w:r>
    <w:r w:rsidR="00A7401B">
      <w:t>06.11.15</w:t>
    </w:r>
    <w:r>
      <w:fldChar w:fldCharType="end"/>
    </w:r>
    <w:r w:rsidRPr="00D577E4">
      <w:rPr>
        <w:lang w:val="es-ES_tradnl"/>
      </w:rPr>
      <w:tab/>
    </w:r>
    <w:r>
      <w:fldChar w:fldCharType="begin"/>
    </w:r>
    <w:r>
      <w:instrText xml:space="preserve"> PRINTDATE \@ DD.MM.YY </w:instrText>
    </w:r>
    <w:r>
      <w:fldChar w:fldCharType="separate"/>
    </w:r>
    <w:r w:rsidR="009D42E5">
      <w:t>06.11.15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527" w:rsidRDefault="00CB3527">
      <w:r>
        <w:rPr>
          <w:b/>
        </w:rPr>
        <w:t>_______________</w:t>
      </w:r>
    </w:p>
  </w:footnote>
  <w:footnote w:type="continuationSeparator" w:id="0">
    <w:p w:rsidR="00CB3527" w:rsidRDefault="00CB3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527" w:rsidRDefault="00CB3527">
    <w:pPr>
      <w:pStyle w:val="Header"/>
    </w:pPr>
    <w:r>
      <w:fldChar w:fldCharType="begin"/>
    </w:r>
    <w:r>
      <w:instrText xml:space="preserve"> PAGE  \* MERGEFORMAT </w:instrText>
    </w:r>
    <w:r>
      <w:fldChar w:fldCharType="separate"/>
    </w:r>
    <w:r w:rsidR="00A7401B">
      <w:rPr>
        <w:noProof/>
      </w:rPr>
      <w:t>4</w:t>
    </w:r>
    <w:r>
      <w:fldChar w:fldCharType="end"/>
    </w:r>
  </w:p>
  <w:p w:rsidR="00D817A2" w:rsidRDefault="00D817A2" w:rsidP="00D817A2">
    <w:pPr>
      <w:pStyle w:val="Header"/>
    </w:pPr>
    <w:r>
      <w:t>RA12/PLEN/99-F</w:t>
    </w:r>
  </w:p>
  <w:p w:rsidR="00CB3527" w:rsidRDefault="00CB3527" w:rsidP="00D817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527"/>
    <w:rsid w:val="00006711"/>
    <w:rsid w:val="000B1F11"/>
    <w:rsid w:val="0013523C"/>
    <w:rsid w:val="00160694"/>
    <w:rsid w:val="001F0166"/>
    <w:rsid w:val="00223DF9"/>
    <w:rsid w:val="00312771"/>
    <w:rsid w:val="003644F8"/>
    <w:rsid w:val="00530E6D"/>
    <w:rsid w:val="00536FBA"/>
    <w:rsid w:val="005A46FB"/>
    <w:rsid w:val="005D5828"/>
    <w:rsid w:val="006B7103"/>
    <w:rsid w:val="006F73A7"/>
    <w:rsid w:val="00801DA5"/>
    <w:rsid w:val="00840A51"/>
    <w:rsid w:val="00852305"/>
    <w:rsid w:val="008962EE"/>
    <w:rsid w:val="008C5FD1"/>
    <w:rsid w:val="008D67F3"/>
    <w:rsid w:val="009D42E5"/>
    <w:rsid w:val="00A25893"/>
    <w:rsid w:val="00A7401B"/>
    <w:rsid w:val="00A769F2"/>
    <w:rsid w:val="00AD26C8"/>
    <w:rsid w:val="00B82926"/>
    <w:rsid w:val="00CB3527"/>
    <w:rsid w:val="00D278A9"/>
    <w:rsid w:val="00D32DD4"/>
    <w:rsid w:val="00D54910"/>
    <w:rsid w:val="00D577E4"/>
    <w:rsid w:val="00D817A2"/>
    <w:rsid w:val="00DC4CBD"/>
    <w:rsid w:val="00EC0EB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A0136C5-8FCE-45D0-A1F2-0BE106F3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styleId="Hyperlink">
    <w:name w:val="Hyperlink"/>
    <w:basedOn w:val="DefaultParagraphFont"/>
    <w:unhideWhenUsed/>
    <w:rsid w:val="00D817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2-SG05-RP-1002/en" TargetMode="External"/><Relationship Id="rId18" Type="http://schemas.openxmlformats.org/officeDocument/2006/relationships/hyperlink" Target="http://www.itu.int/md/R12-SG05-RP-1007/en" TargetMode="External"/><Relationship Id="rId26" Type="http://schemas.openxmlformats.org/officeDocument/2006/relationships/hyperlink" Target="http://www.itu.int/md/R12-SG05-RP-1009/en" TargetMode="External"/><Relationship Id="rId39" Type="http://schemas.openxmlformats.org/officeDocument/2006/relationships/hyperlink" Target="http://www.itu.int/md/R15-RA15-C-0039/en" TargetMode="External"/><Relationship Id="rId3" Type="http://schemas.openxmlformats.org/officeDocument/2006/relationships/settings" Target="settings.xml"/><Relationship Id="rId21" Type="http://schemas.openxmlformats.org/officeDocument/2006/relationships/hyperlink" Target="http://www.itu.int/md/R15-RA15-C-0014/en" TargetMode="External"/><Relationship Id="rId34" Type="http://schemas.openxmlformats.org/officeDocument/2006/relationships/hyperlink" Target="http://www.itu.int/md/R12-SG04-RP-1005/en" TargetMode="External"/><Relationship Id="rId42" Type="http://schemas.openxmlformats.org/officeDocument/2006/relationships/hyperlink" Target="http://www.itu.int/md/R15-RA15-C-0042/en" TargetMode="External"/><Relationship Id="rId47"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itu.int/md/R12-SG05-RP-1001/en" TargetMode="External"/><Relationship Id="rId17" Type="http://schemas.openxmlformats.org/officeDocument/2006/relationships/hyperlink" Target="http://www.itu.int/md/R12-SG05-RP-1006/en" TargetMode="External"/><Relationship Id="rId25" Type="http://schemas.openxmlformats.org/officeDocument/2006/relationships/hyperlink" Target="http://www.itu.int/md/R15-RA15-C-0034/en" TargetMode="External"/><Relationship Id="rId33" Type="http://schemas.openxmlformats.org/officeDocument/2006/relationships/hyperlink" Target="http://www.itu.int/md/R12-SG04-RP-1004/en" TargetMode="External"/><Relationship Id="rId38" Type="http://schemas.openxmlformats.org/officeDocument/2006/relationships/hyperlink" Target="http://www.itu.int/md/R15-RA15-C-0038/en"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tu.int/md/R12-SG05-RP-1005/en" TargetMode="External"/><Relationship Id="rId20" Type="http://schemas.openxmlformats.org/officeDocument/2006/relationships/hyperlink" Target="http://www.itu.int/md/R15-RA15-C-0011/en" TargetMode="External"/><Relationship Id="rId29" Type="http://schemas.openxmlformats.org/officeDocument/2006/relationships/hyperlink" Target="http://www.itu.int/md/R15-RA15-C-0021/en" TargetMode="External"/><Relationship Id="rId41" Type="http://schemas.openxmlformats.org/officeDocument/2006/relationships/hyperlink" Target="http://www.itu.int/md/R15-RA15-C-0041/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5-RA15-ADM-0013/en" TargetMode="External"/><Relationship Id="rId24" Type="http://schemas.openxmlformats.org/officeDocument/2006/relationships/hyperlink" Target="http://www.itu.int/md/R15-RA15-C-0026/en" TargetMode="External"/><Relationship Id="rId32" Type="http://schemas.openxmlformats.org/officeDocument/2006/relationships/hyperlink" Target="http://www.itu.int/md/R12-SG04-RP-1003/en" TargetMode="External"/><Relationship Id="rId37" Type="http://schemas.openxmlformats.org/officeDocument/2006/relationships/hyperlink" Target="http://www.itu.int/md/R15-RA15-C-0037/en" TargetMode="External"/><Relationship Id="rId40" Type="http://schemas.openxmlformats.org/officeDocument/2006/relationships/hyperlink" Target="http://www.itu.int/md/R15-RA15-C-0040/en"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tu.int/md/R12-SG05-RP-1004/en" TargetMode="External"/><Relationship Id="rId23" Type="http://schemas.openxmlformats.org/officeDocument/2006/relationships/hyperlink" Target="http://www.itu.int/md/R15-RA15-C-0023/en" TargetMode="External"/><Relationship Id="rId28" Type="http://schemas.openxmlformats.org/officeDocument/2006/relationships/hyperlink" Target="http://www.itu.int/md/R15-RA15-C-0013/en" TargetMode="External"/><Relationship Id="rId36" Type="http://schemas.openxmlformats.org/officeDocument/2006/relationships/hyperlink" Target="http://www.itu.int/md/R15-RA15-C-0036/en" TargetMode="External"/><Relationship Id="rId49" Type="http://schemas.openxmlformats.org/officeDocument/2006/relationships/theme" Target="theme/theme1.xml"/><Relationship Id="rId10" Type="http://schemas.openxmlformats.org/officeDocument/2006/relationships/hyperlink" Target="http://www.itu.int/md/R15-RA15-ADM-0012/en" TargetMode="External"/><Relationship Id="rId19" Type="http://schemas.openxmlformats.org/officeDocument/2006/relationships/hyperlink" Target="http://www.itu.int/md/R12-SG05-RP-1008/en" TargetMode="External"/><Relationship Id="rId31" Type="http://schemas.openxmlformats.org/officeDocument/2006/relationships/hyperlink" Target="http://www.itu.int/md/R12-SG04-RP-1002/en"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R15-RA15-ADM-0004/en" TargetMode="External"/><Relationship Id="rId14" Type="http://schemas.openxmlformats.org/officeDocument/2006/relationships/hyperlink" Target="http://www.itu.int/md/R12-SG05-RP-1003/en" TargetMode="External"/><Relationship Id="rId22" Type="http://schemas.openxmlformats.org/officeDocument/2006/relationships/hyperlink" Target="http://www.itu.int/md/R15-RA15-C-0021/en" TargetMode="External"/><Relationship Id="rId27" Type="http://schemas.openxmlformats.org/officeDocument/2006/relationships/hyperlink" Target="http://www.itu.int/md/R15-RA15-C-0012/en" TargetMode="External"/><Relationship Id="rId30" Type="http://schemas.openxmlformats.org/officeDocument/2006/relationships/hyperlink" Target="http://www.itu.int/md/R12-SG04-RP-1001/en" TargetMode="External"/><Relationship Id="rId35" Type="http://schemas.openxmlformats.org/officeDocument/2006/relationships/hyperlink" Target="http://www.itu.int/md/R15-RA15-C-0035/en" TargetMode="External"/><Relationship Id="rId43" Type="http://schemas.openxmlformats.org/officeDocument/2006/relationships/hyperlink" Target="http://www.itu.int/md/R15-RA15-C-0043/en" TargetMode="External"/><Relationship Id="rId48" Type="http://schemas.openxmlformats.org/officeDocument/2006/relationships/fontTable" Target="fontTable.xml"/><Relationship Id="rId8" Type="http://schemas.openxmlformats.org/officeDocument/2006/relationships/hyperlink" Target="http://www.itu.int/md/R15-RA15-ADM-001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y\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PF_RA15.dotm</Template>
  <TotalTime>44</TotalTime>
  <Pages>4</Pages>
  <Words>1209</Words>
  <Characters>8783</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9973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Joly,Alice</dc:creator>
  <cp:keywords/>
  <dc:description>PF_RA07.dot  Pour: _x000d_Date du document: _x000d_Enregistré par MM-43480 à 16:09:12 le 16.10.07</dc:description>
  <cp:lastModifiedBy>Saxod, Nathalie</cp:lastModifiedBy>
  <cp:revision>8</cp:revision>
  <cp:lastPrinted>2015-11-06T18:09:00Z</cp:lastPrinted>
  <dcterms:created xsi:type="dcterms:W3CDTF">2015-11-06T15:57:00Z</dcterms:created>
  <dcterms:modified xsi:type="dcterms:W3CDTF">2015-11-06T19:29:00Z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