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75"/>
        <w:tblW w:w="10173" w:type="dxa"/>
        <w:jc w:val="center"/>
        <w:tblLayout w:type="fixed"/>
        <w:tblLook w:val="0000" w:firstRow="0" w:lastRow="0" w:firstColumn="0" w:lastColumn="0" w:noHBand="0" w:noVBand="0"/>
      </w:tblPr>
      <w:tblGrid>
        <w:gridCol w:w="6345"/>
        <w:gridCol w:w="3828"/>
      </w:tblGrid>
      <w:tr w:rsidR="00B836DD" w:rsidRPr="00A92401" w:rsidTr="00B836DD">
        <w:trPr>
          <w:cantSplit/>
          <w:jc w:val="center"/>
        </w:trPr>
        <w:tc>
          <w:tcPr>
            <w:tcW w:w="6345" w:type="dxa"/>
          </w:tcPr>
          <w:p w:rsidR="00B836DD" w:rsidRPr="00A92401" w:rsidRDefault="00B836DD" w:rsidP="00B836DD">
            <w:pPr>
              <w:spacing w:before="400" w:after="48" w:line="240" w:lineRule="atLeast"/>
              <w:rPr>
                <w:rFonts w:ascii="Verdana" w:hAnsi="Verdana"/>
                <w:position w:val="6"/>
                <w:sz w:val="22"/>
                <w:szCs w:val="22"/>
                <w:lang w:val="en-US"/>
              </w:rPr>
            </w:pPr>
            <w:r w:rsidRPr="00A92401">
              <w:rPr>
                <w:rFonts w:ascii="Verdana" w:hAnsi="Verdana"/>
                <w:b/>
                <w:sz w:val="26"/>
                <w:szCs w:val="26"/>
                <w:lang w:val="en-US"/>
              </w:rPr>
              <w:t>Radiocommunication</w:t>
            </w:r>
            <w:bookmarkStart w:id="0" w:name="_GoBack"/>
            <w:bookmarkEnd w:id="0"/>
            <w:r w:rsidRPr="00A92401">
              <w:rPr>
                <w:rFonts w:ascii="Verdana" w:hAnsi="Verdana"/>
                <w:b/>
                <w:sz w:val="26"/>
                <w:szCs w:val="26"/>
                <w:lang w:val="en-US"/>
              </w:rPr>
              <w:t xml:space="preserve"> Assembly (RA-15)</w:t>
            </w:r>
            <w:r w:rsidRPr="00A92401">
              <w:rPr>
                <w:rFonts w:ascii="Verdana" w:hAnsi="Verdana"/>
                <w:b/>
                <w:sz w:val="22"/>
                <w:szCs w:val="22"/>
                <w:lang w:val="en-US"/>
              </w:rPr>
              <w:br/>
            </w:r>
            <w:r w:rsidRPr="00A92401">
              <w:rPr>
                <w:rFonts w:ascii="Verdana" w:hAnsi="Verdana"/>
                <w:b/>
                <w:bCs/>
                <w:sz w:val="20"/>
                <w:lang w:val="en-US"/>
              </w:rPr>
              <w:t>Geneva, 26-30 October 2015</w:t>
            </w:r>
          </w:p>
        </w:tc>
        <w:tc>
          <w:tcPr>
            <w:tcW w:w="3828" w:type="dxa"/>
          </w:tcPr>
          <w:p w:rsidR="00B836DD" w:rsidRPr="00A92401" w:rsidRDefault="00B836DD" w:rsidP="00B836DD">
            <w:pPr>
              <w:spacing w:line="240" w:lineRule="atLeast"/>
              <w:jc w:val="right"/>
              <w:rPr>
                <w:lang w:val="en-US"/>
              </w:rPr>
            </w:pPr>
            <w:bookmarkStart w:id="1" w:name="ditulogo"/>
            <w:bookmarkEnd w:id="1"/>
            <w:r w:rsidRPr="00A92401">
              <w:rPr>
                <w:noProof/>
                <w:lang w:val="en-US" w:eastAsia="zh-CN"/>
              </w:rPr>
              <w:drawing>
                <wp:inline distT="0" distB="0" distL="0" distR="0" wp14:anchorId="5E56562E" wp14:editId="313518C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836DD" w:rsidRPr="00A92401" w:rsidTr="00B836DD">
        <w:trPr>
          <w:cantSplit/>
          <w:jc w:val="center"/>
        </w:trPr>
        <w:tc>
          <w:tcPr>
            <w:tcW w:w="6345" w:type="dxa"/>
            <w:tcBorders>
              <w:bottom w:val="single" w:sz="12" w:space="0" w:color="auto"/>
            </w:tcBorders>
          </w:tcPr>
          <w:p w:rsidR="00B836DD" w:rsidRPr="00A92401" w:rsidRDefault="00B836DD" w:rsidP="00B836DD">
            <w:pPr>
              <w:spacing w:before="0" w:after="48" w:line="240" w:lineRule="atLeast"/>
              <w:rPr>
                <w:rFonts w:ascii="Verdana" w:hAnsi="Verdana"/>
                <w:b/>
                <w:bCs/>
                <w:smallCaps/>
                <w:sz w:val="20"/>
                <w:lang w:val="en-US"/>
              </w:rPr>
            </w:pPr>
            <w:r w:rsidRPr="00A92401">
              <w:rPr>
                <w:rFonts w:ascii="Verdana" w:hAnsi="Verdana"/>
                <w:b/>
                <w:bCs/>
                <w:sz w:val="20"/>
                <w:lang w:val="en-US"/>
              </w:rPr>
              <w:t xml:space="preserve">INTERNATIONAL TELECOMMUNICATION </w:t>
            </w:r>
            <w:bookmarkStart w:id="2" w:name="dhead"/>
            <w:r w:rsidRPr="00A92401">
              <w:rPr>
                <w:rFonts w:ascii="Verdana" w:hAnsi="Verdana"/>
                <w:b/>
                <w:bCs/>
                <w:sz w:val="20"/>
                <w:lang w:val="en-US"/>
              </w:rPr>
              <w:t>UNION</w:t>
            </w:r>
          </w:p>
        </w:tc>
        <w:tc>
          <w:tcPr>
            <w:tcW w:w="3828" w:type="dxa"/>
            <w:tcBorders>
              <w:bottom w:val="single" w:sz="12" w:space="0" w:color="auto"/>
            </w:tcBorders>
          </w:tcPr>
          <w:p w:rsidR="00B836DD" w:rsidRPr="00A92401" w:rsidRDefault="00B836DD" w:rsidP="00B836DD">
            <w:pPr>
              <w:spacing w:before="0" w:line="240" w:lineRule="atLeast"/>
              <w:rPr>
                <w:rFonts w:ascii="Verdana" w:hAnsi="Verdana"/>
                <w:szCs w:val="24"/>
                <w:lang w:val="en-US"/>
              </w:rPr>
            </w:pPr>
          </w:p>
        </w:tc>
      </w:tr>
      <w:tr w:rsidR="00B836DD" w:rsidRPr="00A92401" w:rsidTr="00B836DD">
        <w:trPr>
          <w:cantSplit/>
          <w:jc w:val="center"/>
        </w:trPr>
        <w:tc>
          <w:tcPr>
            <w:tcW w:w="6345" w:type="dxa"/>
            <w:tcBorders>
              <w:top w:val="single" w:sz="12" w:space="0" w:color="auto"/>
            </w:tcBorders>
          </w:tcPr>
          <w:p w:rsidR="00B836DD" w:rsidRPr="00A92401" w:rsidRDefault="00B836DD" w:rsidP="00B836DD">
            <w:pPr>
              <w:spacing w:before="0" w:after="48" w:line="240" w:lineRule="atLeast"/>
              <w:rPr>
                <w:rFonts w:ascii="Verdana" w:hAnsi="Verdana"/>
                <w:b/>
                <w:smallCaps/>
                <w:sz w:val="20"/>
                <w:lang w:val="en-US"/>
              </w:rPr>
            </w:pPr>
          </w:p>
        </w:tc>
        <w:tc>
          <w:tcPr>
            <w:tcW w:w="3828" w:type="dxa"/>
            <w:tcBorders>
              <w:top w:val="single" w:sz="12" w:space="0" w:color="auto"/>
            </w:tcBorders>
          </w:tcPr>
          <w:p w:rsidR="00B836DD" w:rsidRPr="00A92401" w:rsidRDefault="00B836DD" w:rsidP="00B836DD">
            <w:pPr>
              <w:spacing w:before="0" w:line="240" w:lineRule="atLeast"/>
              <w:rPr>
                <w:rFonts w:ascii="Verdana" w:hAnsi="Verdana"/>
                <w:sz w:val="20"/>
                <w:lang w:val="en-US"/>
              </w:rPr>
            </w:pPr>
          </w:p>
        </w:tc>
      </w:tr>
      <w:tr w:rsidR="00B836DD" w:rsidRPr="00A92401" w:rsidTr="00B836DD">
        <w:trPr>
          <w:cantSplit/>
          <w:trHeight w:val="23"/>
          <w:jc w:val="center"/>
        </w:trPr>
        <w:tc>
          <w:tcPr>
            <w:tcW w:w="6345" w:type="dxa"/>
            <w:vMerge w:val="restart"/>
          </w:tcPr>
          <w:p w:rsidR="00B836DD" w:rsidRPr="00A92401" w:rsidRDefault="00B836DD" w:rsidP="00B836DD">
            <w:pPr>
              <w:tabs>
                <w:tab w:val="left" w:pos="851"/>
              </w:tabs>
              <w:spacing w:before="0" w:line="240" w:lineRule="atLeast"/>
              <w:rPr>
                <w:rFonts w:ascii="Verdana" w:hAnsi="Verdana"/>
                <w:sz w:val="20"/>
                <w:lang w:val="en-US"/>
              </w:rPr>
            </w:pPr>
            <w:bookmarkStart w:id="3" w:name="dnum" w:colFirst="1" w:colLast="1"/>
            <w:bookmarkStart w:id="4" w:name="dmeeting" w:colFirst="0" w:colLast="0"/>
            <w:bookmarkEnd w:id="2"/>
            <w:r w:rsidRPr="00A92401">
              <w:rPr>
                <w:rFonts w:ascii="Verdana" w:hAnsi="Verdana"/>
                <w:b/>
                <w:bCs/>
                <w:sz w:val="20"/>
                <w:lang w:val="en-US"/>
              </w:rPr>
              <w:t>PLENARY MEETING</w:t>
            </w:r>
          </w:p>
        </w:tc>
        <w:tc>
          <w:tcPr>
            <w:tcW w:w="3828" w:type="dxa"/>
          </w:tcPr>
          <w:p w:rsidR="00B836DD" w:rsidRPr="00A92401" w:rsidRDefault="00B51DB5" w:rsidP="00B836DD">
            <w:pPr>
              <w:tabs>
                <w:tab w:val="left" w:pos="851"/>
              </w:tabs>
              <w:spacing w:before="0" w:line="240" w:lineRule="atLeast"/>
              <w:rPr>
                <w:rFonts w:ascii="Verdana" w:hAnsi="Verdana"/>
                <w:sz w:val="20"/>
                <w:lang w:val="en-US"/>
              </w:rPr>
            </w:pPr>
            <w:r w:rsidRPr="00A92401">
              <w:rPr>
                <w:rFonts w:ascii="Verdana" w:hAnsi="Verdana"/>
                <w:b/>
                <w:sz w:val="20"/>
                <w:lang w:val="en-US"/>
              </w:rPr>
              <w:t>Addendum 6 to</w:t>
            </w:r>
            <w:r w:rsidRPr="00A92401">
              <w:rPr>
                <w:rFonts w:ascii="Verdana" w:hAnsi="Verdana"/>
                <w:b/>
                <w:sz w:val="20"/>
                <w:lang w:val="en-US"/>
              </w:rPr>
              <w:br/>
            </w:r>
            <w:r w:rsidR="00B836DD" w:rsidRPr="00A92401">
              <w:rPr>
                <w:rFonts w:ascii="Verdana" w:hAnsi="Verdana"/>
                <w:b/>
                <w:sz w:val="20"/>
                <w:lang w:val="en-US"/>
              </w:rPr>
              <w:t>Document RA15/PLEN/34-E</w:t>
            </w:r>
          </w:p>
        </w:tc>
      </w:tr>
      <w:tr w:rsidR="00B836DD" w:rsidRPr="00A92401" w:rsidTr="00B836DD">
        <w:trPr>
          <w:cantSplit/>
          <w:trHeight w:val="23"/>
          <w:jc w:val="center"/>
        </w:trPr>
        <w:tc>
          <w:tcPr>
            <w:tcW w:w="6345" w:type="dxa"/>
            <w:vMerge/>
          </w:tcPr>
          <w:p w:rsidR="00B836DD" w:rsidRPr="00A92401" w:rsidRDefault="00B836DD" w:rsidP="00B836DD">
            <w:pPr>
              <w:tabs>
                <w:tab w:val="left" w:pos="851"/>
              </w:tabs>
              <w:spacing w:line="240" w:lineRule="atLeast"/>
              <w:rPr>
                <w:rFonts w:ascii="Verdana" w:hAnsi="Verdana"/>
                <w:b/>
                <w:sz w:val="20"/>
                <w:lang w:val="en-US"/>
              </w:rPr>
            </w:pPr>
            <w:bookmarkStart w:id="5" w:name="ddate" w:colFirst="1" w:colLast="1"/>
            <w:bookmarkEnd w:id="3"/>
            <w:bookmarkEnd w:id="4"/>
          </w:p>
        </w:tc>
        <w:tc>
          <w:tcPr>
            <w:tcW w:w="3828" w:type="dxa"/>
          </w:tcPr>
          <w:p w:rsidR="00B836DD" w:rsidRPr="00A92401" w:rsidRDefault="00B836DD" w:rsidP="00B836DD">
            <w:pPr>
              <w:tabs>
                <w:tab w:val="left" w:pos="993"/>
              </w:tabs>
              <w:spacing w:before="0"/>
              <w:rPr>
                <w:rFonts w:ascii="Verdana" w:hAnsi="Verdana"/>
                <w:sz w:val="20"/>
                <w:lang w:val="en-US"/>
              </w:rPr>
            </w:pPr>
            <w:r w:rsidRPr="00A92401">
              <w:rPr>
                <w:rFonts w:ascii="Verdana" w:hAnsi="Verdana"/>
                <w:b/>
                <w:sz w:val="20"/>
                <w:lang w:val="en-US"/>
              </w:rPr>
              <w:t>13 October 2015</w:t>
            </w:r>
          </w:p>
        </w:tc>
      </w:tr>
      <w:tr w:rsidR="00B836DD" w:rsidRPr="00A92401" w:rsidTr="00B836DD">
        <w:trPr>
          <w:cantSplit/>
          <w:trHeight w:val="23"/>
          <w:jc w:val="center"/>
        </w:trPr>
        <w:tc>
          <w:tcPr>
            <w:tcW w:w="6345" w:type="dxa"/>
            <w:vMerge/>
          </w:tcPr>
          <w:p w:rsidR="00B836DD" w:rsidRPr="00A92401" w:rsidRDefault="00B836DD" w:rsidP="00B836DD">
            <w:pPr>
              <w:tabs>
                <w:tab w:val="left" w:pos="851"/>
              </w:tabs>
              <w:spacing w:line="240" w:lineRule="atLeast"/>
              <w:rPr>
                <w:rFonts w:ascii="Verdana" w:hAnsi="Verdana"/>
                <w:b/>
                <w:sz w:val="20"/>
                <w:lang w:val="en-US"/>
              </w:rPr>
            </w:pPr>
            <w:bookmarkStart w:id="6" w:name="dorlang" w:colFirst="1" w:colLast="1"/>
            <w:bookmarkEnd w:id="5"/>
          </w:p>
        </w:tc>
        <w:tc>
          <w:tcPr>
            <w:tcW w:w="3828" w:type="dxa"/>
          </w:tcPr>
          <w:p w:rsidR="00B836DD" w:rsidRPr="00A92401" w:rsidRDefault="00B836DD" w:rsidP="00B836DD">
            <w:pPr>
              <w:tabs>
                <w:tab w:val="left" w:pos="993"/>
              </w:tabs>
              <w:spacing w:before="0" w:after="120"/>
              <w:rPr>
                <w:rFonts w:ascii="Verdana" w:hAnsi="Verdana"/>
                <w:sz w:val="20"/>
                <w:lang w:val="en-US"/>
              </w:rPr>
            </w:pPr>
            <w:r w:rsidRPr="00A92401">
              <w:rPr>
                <w:rFonts w:ascii="Verdana" w:hAnsi="Verdana"/>
                <w:b/>
                <w:sz w:val="20"/>
                <w:lang w:val="en-US"/>
              </w:rPr>
              <w:t>Original: English</w:t>
            </w:r>
          </w:p>
        </w:tc>
      </w:tr>
      <w:tr w:rsidR="00B836DD" w:rsidRPr="00A92401" w:rsidTr="00B836DD">
        <w:trPr>
          <w:cantSplit/>
          <w:jc w:val="center"/>
        </w:trPr>
        <w:tc>
          <w:tcPr>
            <w:tcW w:w="10173" w:type="dxa"/>
            <w:gridSpan w:val="2"/>
          </w:tcPr>
          <w:p w:rsidR="00B836DD" w:rsidRPr="00A92401" w:rsidRDefault="00B836DD" w:rsidP="00273451">
            <w:pPr>
              <w:pStyle w:val="Source"/>
              <w:rPr>
                <w:lang w:val="en-US"/>
              </w:rPr>
            </w:pPr>
            <w:bookmarkStart w:id="7" w:name="dsource" w:colFirst="0" w:colLast="0"/>
            <w:bookmarkEnd w:id="6"/>
            <w:r w:rsidRPr="00A92401">
              <w:rPr>
                <w:lang w:val="en-US"/>
              </w:rPr>
              <w:t xml:space="preserve">CEPT </w:t>
            </w:r>
            <w:r w:rsidR="00273451" w:rsidRPr="00A92401">
              <w:rPr>
                <w:lang w:val="en-US"/>
              </w:rPr>
              <w:t>–</w:t>
            </w:r>
            <w:r w:rsidRPr="00A92401">
              <w:rPr>
                <w:lang w:val="en-US"/>
              </w:rPr>
              <w:t xml:space="preserve"> European Conference of Postal and </w:t>
            </w:r>
            <w:r w:rsidR="00273451" w:rsidRPr="00A92401">
              <w:rPr>
                <w:lang w:val="en-US"/>
              </w:rPr>
              <w:br/>
            </w:r>
            <w:r w:rsidRPr="00A92401">
              <w:rPr>
                <w:lang w:val="en-US"/>
              </w:rPr>
              <w:t>Telecommunications Administrations</w:t>
            </w:r>
            <w:r w:rsidRPr="00A92401">
              <w:rPr>
                <w:rStyle w:val="FootnoteReference"/>
                <w:rFonts w:ascii="Times New Roman Bold" w:hAnsi="Times New Roman Bold" w:cs="Times New Roman Bold"/>
                <w:position w:val="0"/>
                <w:sz w:val="28"/>
                <w:vertAlign w:val="superscript"/>
                <w:lang w:val="en-US"/>
              </w:rPr>
              <w:footnoteReference w:id="1"/>
            </w:r>
          </w:p>
        </w:tc>
      </w:tr>
      <w:tr w:rsidR="00B836DD" w:rsidRPr="00A92401" w:rsidTr="00B836DD">
        <w:trPr>
          <w:cantSplit/>
          <w:jc w:val="center"/>
        </w:trPr>
        <w:tc>
          <w:tcPr>
            <w:tcW w:w="10173" w:type="dxa"/>
            <w:gridSpan w:val="2"/>
          </w:tcPr>
          <w:p w:rsidR="00B836DD" w:rsidRPr="00A92401" w:rsidRDefault="00B836DD" w:rsidP="00B836DD">
            <w:pPr>
              <w:pStyle w:val="ResNo"/>
              <w:rPr>
                <w:lang w:val="en-US"/>
              </w:rPr>
            </w:pPr>
            <w:bookmarkStart w:id="8" w:name="dtitle2" w:colFirst="0" w:colLast="0"/>
            <w:bookmarkEnd w:id="7"/>
            <w:r w:rsidRPr="00A92401">
              <w:rPr>
                <w:lang w:val="en-US"/>
              </w:rPr>
              <w:t>DRAFT NEW RESOLUTION ITU-R [EUR/SMALL SAT]</w:t>
            </w:r>
          </w:p>
        </w:tc>
      </w:tr>
      <w:tr w:rsidR="00B836DD" w:rsidRPr="00A92401" w:rsidTr="00B836DD">
        <w:trPr>
          <w:cantSplit/>
          <w:jc w:val="center"/>
        </w:trPr>
        <w:tc>
          <w:tcPr>
            <w:tcW w:w="10173" w:type="dxa"/>
            <w:gridSpan w:val="2"/>
          </w:tcPr>
          <w:p w:rsidR="00B836DD" w:rsidRPr="00A92401" w:rsidRDefault="00B836DD" w:rsidP="00B836DD">
            <w:pPr>
              <w:pStyle w:val="Restitle"/>
              <w:rPr>
                <w:lang w:val="en-US"/>
              </w:rPr>
            </w:pPr>
            <w:bookmarkStart w:id="9" w:name="dtitle3" w:colFirst="0" w:colLast="0"/>
            <w:bookmarkEnd w:id="8"/>
            <w:r w:rsidRPr="00A92401">
              <w:rPr>
                <w:lang w:val="en-US"/>
              </w:rPr>
              <w:t>Improving the dissemination of knowledge concerning the applicable regulatory procedures for small satellites, including nanosatellites and picosatellites</w:t>
            </w:r>
          </w:p>
        </w:tc>
      </w:tr>
    </w:tbl>
    <w:p w:rsidR="00B836DD" w:rsidRPr="00A92401" w:rsidRDefault="00B836DD" w:rsidP="00081EEB">
      <w:pPr>
        <w:pStyle w:val="Heading1"/>
        <w:rPr>
          <w:lang w:val="en-US"/>
        </w:rPr>
      </w:pPr>
      <w:bookmarkStart w:id="10" w:name="dbreak"/>
      <w:bookmarkEnd w:id="9"/>
      <w:bookmarkEnd w:id="10"/>
      <w:r w:rsidRPr="00A92401">
        <w:rPr>
          <w:lang w:val="en-US"/>
        </w:rPr>
        <w:t>1</w:t>
      </w:r>
      <w:r w:rsidRPr="00A92401">
        <w:rPr>
          <w:lang w:val="en-US"/>
        </w:rPr>
        <w:tab/>
        <w:t>Introduction</w:t>
      </w:r>
    </w:p>
    <w:p w:rsidR="00B836DD" w:rsidRPr="00A92401" w:rsidRDefault="00B836DD" w:rsidP="008D602B">
      <w:pPr>
        <w:rPr>
          <w:lang w:val="en-US"/>
        </w:rPr>
      </w:pPr>
      <w:r w:rsidRPr="00A92401">
        <w:rPr>
          <w:lang w:val="en-US"/>
        </w:rPr>
        <w:t>With respect to WRC-15 agenda item 9.1, Issue 9.1.8, for which Europe proposes “No change” to WRC-15 (</w:t>
      </w:r>
      <w:r w:rsidRPr="00A92401">
        <w:rPr>
          <w:rFonts w:eastAsia="SimSun"/>
          <w:szCs w:val="24"/>
          <w:lang w:val="en-US"/>
        </w:rPr>
        <w:t xml:space="preserve">Addendum 8 Addendum 22 to Document </w:t>
      </w:r>
      <w:hyperlink r:id="rId8" w:history="1">
        <w:r w:rsidRPr="00A92401">
          <w:rPr>
            <w:rStyle w:val="Hyperlink"/>
            <w:rFonts w:eastAsia="SimSun"/>
            <w:szCs w:val="24"/>
            <w:lang w:val="en-US"/>
          </w:rPr>
          <w:t>9</w:t>
        </w:r>
      </w:hyperlink>
      <w:r w:rsidRPr="00A92401">
        <w:rPr>
          <w:lang w:val="en-US"/>
        </w:rPr>
        <w:t>), Europe notes the importance of an improved dissemination of knowledge of the applicable regulatory procedures for satellite filings and therefore proposes that the Radio Assembly adopts a Resolution inviting the ITU-R to develop documentation pertaining to small satellites (in particular to satellites whose mass is smaller than 100 kg) and containing detailed information that would help to improve the knowledge of the applicable procedures for submitting filings of satellite networks to the ITU.</w:t>
      </w:r>
    </w:p>
    <w:p w:rsidR="00B836DD" w:rsidRPr="00A92401" w:rsidRDefault="00B836DD" w:rsidP="008D602B">
      <w:pPr>
        <w:rPr>
          <w:lang w:val="en-US"/>
        </w:rPr>
      </w:pPr>
      <w:r w:rsidRPr="00A92401">
        <w:rPr>
          <w:lang w:val="en-US"/>
        </w:rPr>
        <w:t>Europe considers that the work to be performed by the ITU-R to answer to this Resolution should be conducted through a close cooperation of Study Groups 4 and 7 and requests the Chairmen and Vice-Chairmen of ITU-R Study Groups to take it into account when discussing the attribution of ITU-R Resolutions to the various Study Groups.</w:t>
      </w:r>
    </w:p>
    <w:p w:rsidR="00B836DD" w:rsidRPr="00A92401" w:rsidRDefault="00B836DD" w:rsidP="00B836DD">
      <w:pPr>
        <w:pStyle w:val="ResNo"/>
        <w:rPr>
          <w:lang w:val="en-US"/>
        </w:rPr>
      </w:pPr>
      <w:r w:rsidRPr="00A92401">
        <w:rPr>
          <w:lang w:val="en-US"/>
        </w:rPr>
        <w:lastRenderedPageBreak/>
        <w:t>DRAFT NEW RESOLUTION ITU-R [EUR/SMALL SAT]</w:t>
      </w:r>
    </w:p>
    <w:p w:rsidR="00B836DD" w:rsidRPr="00A92401" w:rsidRDefault="00B836DD" w:rsidP="00B836DD">
      <w:pPr>
        <w:pStyle w:val="Restitle"/>
        <w:rPr>
          <w:lang w:val="en-US"/>
        </w:rPr>
      </w:pPr>
      <w:r w:rsidRPr="00A92401">
        <w:rPr>
          <w:lang w:val="en-US"/>
        </w:rPr>
        <w:t>Improving the dissemination of knowledge concerning the applicable regulatory procedures for small satellites, including nanosatellites and picosatellites</w:t>
      </w:r>
    </w:p>
    <w:p w:rsidR="00B836DD" w:rsidRPr="00A92401" w:rsidRDefault="00B836DD" w:rsidP="00081EEB">
      <w:pPr>
        <w:pStyle w:val="Normalaftertitle0"/>
        <w:rPr>
          <w:lang w:val="en-US"/>
        </w:rPr>
      </w:pPr>
      <w:r w:rsidRPr="00A92401">
        <w:rPr>
          <w:lang w:val="en-US"/>
        </w:rPr>
        <w:t>The ITU Radiocommunication Assembly,</w:t>
      </w:r>
    </w:p>
    <w:p w:rsidR="00B836DD" w:rsidRPr="00A92401" w:rsidRDefault="00B836DD" w:rsidP="00B836DD">
      <w:pPr>
        <w:pStyle w:val="Call"/>
        <w:rPr>
          <w:lang w:val="en-US"/>
        </w:rPr>
      </w:pPr>
      <w:r w:rsidRPr="00A92401">
        <w:rPr>
          <w:lang w:val="en-US"/>
        </w:rPr>
        <w:t>considering</w:t>
      </w:r>
    </w:p>
    <w:p w:rsidR="00B836DD" w:rsidRPr="00A92401" w:rsidRDefault="00B836DD" w:rsidP="008D602B">
      <w:pPr>
        <w:rPr>
          <w:lang w:val="en-US"/>
        </w:rPr>
      </w:pPr>
      <w:r w:rsidRPr="00A92401">
        <w:rPr>
          <w:i/>
          <w:iCs/>
          <w:lang w:val="en-US"/>
        </w:rPr>
        <w:t>a)</w:t>
      </w:r>
      <w:r w:rsidRPr="00A92401">
        <w:rPr>
          <w:lang w:val="en-US"/>
        </w:rPr>
        <w:tab/>
        <w:t>that some developers and manufacturers of small satellites (usually having a mass less than 100</w:t>
      </w:r>
      <w:r w:rsidR="008D602B">
        <w:rPr>
          <w:lang w:val="en-US"/>
        </w:rPr>
        <w:t> </w:t>
      </w:r>
      <w:r w:rsidRPr="00A92401">
        <w:rPr>
          <w:lang w:val="en-US"/>
        </w:rPr>
        <w:t>kg), including those also known as nanosatellites (typically 1</w:t>
      </w:r>
      <w:r w:rsidR="008D602B">
        <w:rPr>
          <w:lang w:val="en-US"/>
        </w:rPr>
        <w:t> </w:t>
      </w:r>
      <w:r w:rsidRPr="00A92401">
        <w:rPr>
          <w:lang w:val="en-US"/>
        </w:rPr>
        <w:t>to</w:t>
      </w:r>
      <w:r w:rsidR="008D602B">
        <w:rPr>
          <w:lang w:val="en-US"/>
        </w:rPr>
        <w:t> </w:t>
      </w:r>
      <w:r w:rsidRPr="00A92401">
        <w:rPr>
          <w:lang w:val="en-US"/>
        </w:rPr>
        <w:t>10</w:t>
      </w:r>
      <w:r w:rsidR="008D602B">
        <w:rPr>
          <w:lang w:val="en-US"/>
        </w:rPr>
        <w:t> </w:t>
      </w:r>
      <w:r w:rsidRPr="00A92401">
        <w:rPr>
          <w:lang w:val="en-US"/>
        </w:rPr>
        <w:t>kg in mass) and picosatellites (typically 0.1</w:t>
      </w:r>
      <w:r w:rsidR="008D602B">
        <w:rPr>
          <w:lang w:val="en-US"/>
        </w:rPr>
        <w:t> </w:t>
      </w:r>
      <w:r w:rsidRPr="00A92401">
        <w:rPr>
          <w:lang w:val="en-US"/>
        </w:rPr>
        <w:t>to</w:t>
      </w:r>
      <w:r w:rsidR="008D602B">
        <w:rPr>
          <w:lang w:val="en-US"/>
        </w:rPr>
        <w:t> </w:t>
      </w:r>
      <w:r w:rsidRPr="00A92401">
        <w:rPr>
          <w:lang w:val="en-US"/>
        </w:rPr>
        <w:t>1</w:t>
      </w:r>
      <w:r w:rsidR="008D602B">
        <w:rPr>
          <w:lang w:val="en-US"/>
        </w:rPr>
        <w:t> </w:t>
      </w:r>
      <w:r w:rsidRPr="00A92401">
        <w:rPr>
          <w:lang w:val="en-US"/>
        </w:rPr>
        <w:t>kg in mass), may be not be aware of the applicable ITU regulatory procedures;</w:t>
      </w:r>
    </w:p>
    <w:p w:rsidR="00B836DD" w:rsidRPr="00A92401" w:rsidRDefault="00B836DD" w:rsidP="00B836DD">
      <w:pPr>
        <w:rPr>
          <w:lang w:val="en-US"/>
        </w:rPr>
      </w:pPr>
      <w:r w:rsidRPr="00A92401">
        <w:rPr>
          <w:i/>
          <w:iCs/>
          <w:lang w:val="en-US"/>
        </w:rPr>
        <w:t>b)</w:t>
      </w:r>
      <w:r w:rsidRPr="00A92401">
        <w:rPr>
          <w:lang w:val="en-US"/>
        </w:rPr>
        <w:tab/>
        <w:t>that some administrations may benefit from additional information regarding the application of the ITU regulatory procedures for spectrum and orbit use;</w:t>
      </w:r>
    </w:p>
    <w:p w:rsidR="00B836DD" w:rsidRPr="00A92401" w:rsidRDefault="00B836DD" w:rsidP="00B836DD">
      <w:pPr>
        <w:rPr>
          <w:lang w:val="en-US"/>
        </w:rPr>
      </w:pPr>
      <w:r w:rsidRPr="00A92401">
        <w:rPr>
          <w:i/>
          <w:iCs/>
          <w:lang w:val="en-US"/>
        </w:rPr>
        <w:t>c)</w:t>
      </w:r>
      <w:r w:rsidRPr="00A92401">
        <w:rPr>
          <w:lang w:val="en-US"/>
        </w:rPr>
        <w:tab/>
        <w:t>that the lack of knowledge of the ITU procedures may lead to notification delays and sometimes launch of these types of satellite without following the applicable regulatory procedures</w:t>
      </w:r>
      <w:r w:rsidR="008D602B">
        <w:rPr>
          <w:lang w:val="en-US"/>
        </w:rPr>
        <w:t>,</w:t>
      </w:r>
      <w:r w:rsidRPr="00A92401">
        <w:rPr>
          <w:lang w:val="en-US"/>
        </w:rPr>
        <w:t xml:space="preserve"> which may create a risk of interference to other satellite networks,</w:t>
      </w:r>
    </w:p>
    <w:p w:rsidR="00B836DD" w:rsidRPr="00A92401" w:rsidRDefault="00B836DD" w:rsidP="00B836DD">
      <w:pPr>
        <w:pStyle w:val="Call"/>
        <w:rPr>
          <w:lang w:val="en-US"/>
        </w:rPr>
      </w:pPr>
      <w:r w:rsidRPr="00A92401">
        <w:rPr>
          <w:lang w:val="en-US"/>
        </w:rPr>
        <w:t>further considering</w:t>
      </w:r>
    </w:p>
    <w:p w:rsidR="00B836DD" w:rsidRPr="00A92401" w:rsidRDefault="00B836DD" w:rsidP="008D602B">
      <w:pPr>
        <w:rPr>
          <w:lang w:val="en-US"/>
        </w:rPr>
      </w:pPr>
      <w:r w:rsidRPr="00A92401">
        <w:rPr>
          <w:i/>
          <w:iCs/>
          <w:lang w:val="en-US"/>
        </w:rPr>
        <w:t>a)</w:t>
      </w:r>
      <w:r w:rsidRPr="00A92401">
        <w:rPr>
          <w:lang w:val="en-US"/>
        </w:rPr>
        <w:tab/>
        <w:t>that in accordance with Article</w:t>
      </w:r>
      <w:r w:rsidR="008D602B">
        <w:rPr>
          <w:lang w:val="en-US"/>
        </w:rPr>
        <w:t> </w:t>
      </w:r>
      <w:r w:rsidRPr="008D602B">
        <w:rPr>
          <w:b/>
          <w:bCs/>
          <w:lang w:val="en-US"/>
        </w:rPr>
        <w:t>8</w:t>
      </w:r>
      <w:r w:rsidRPr="00A92401">
        <w:rPr>
          <w:lang w:val="en-US"/>
        </w:rPr>
        <w:t xml:space="preserve"> of the Radio Regulations “The international rights and obligations of administrations in respect of their own and other administrations’ frequency assignments shall be derived from recording of those assignments in the Master Internat</w:t>
      </w:r>
      <w:r w:rsidR="00081EEB" w:rsidRPr="00A92401">
        <w:rPr>
          <w:lang w:val="en-US"/>
        </w:rPr>
        <w:t>ional Frequency Register (MIFR)</w:t>
      </w:r>
      <w:r w:rsidRPr="00A92401">
        <w:rPr>
          <w:lang w:val="en-US"/>
        </w:rPr>
        <w:t xml:space="preserve">”; </w:t>
      </w:r>
    </w:p>
    <w:p w:rsidR="00B836DD" w:rsidRPr="00A92401" w:rsidRDefault="00B836DD" w:rsidP="008D602B">
      <w:pPr>
        <w:rPr>
          <w:lang w:val="en-US"/>
        </w:rPr>
      </w:pPr>
      <w:r w:rsidRPr="00A92401">
        <w:rPr>
          <w:i/>
          <w:iCs/>
          <w:lang w:val="en-US"/>
        </w:rPr>
        <w:t>b)</w:t>
      </w:r>
      <w:r w:rsidRPr="00A92401">
        <w:rPr>
          <w:lang w:val="en-US"/>
        </w:rPr>
        <w:tab/>
        <w:t>that</w:t>
      </w:r>
      <w:r w:rsidR="008D602B">
        <w:rPr>
          <w:lang w:val="en-US"/>
        </w:rPr>
        <w:t>,</w:t>
      </w:r>
      <w:r w:rsidRPr="00A92401">
        <w:rPr>
          <w:lang w:val="en-US"/>
        </w:rPr>
        <w:t xml:space="preserve"> for any satellite system</w:t>
      </w:r>
      <w:r w:rsidR="008D602B">
        <w:rPr>
          <w:lang w:val="en-US"/>
        </w:rPr>
        <w:t>,</w:t>
      </w:r>
      <w:r w:rsidRPr="00A92401">
        <w:rPr>
          <w:lang w:val="en-US"/>
        </w:rPr>
        <w:t xml:space="preserve"> the recording of assignments requires fulfilment of provisions under Articles</w:t>
      </w:r>
      <w:r w:rsidR="008D602B">
        <w:rPr>
          <w:lang w:val="en-US"/>
        </w:rPr>
        <w:t> </w:t>
      </w:r>
      <w:r w:rsidRPr="008D602B">
        <w:rPr>
          <w:b/>
          <w:bCs/>
          <w:lang w:val="en-US"/>
        </w:rPr>
        <w:t>9</w:t>
      </w:r>
      <w:r w:rsidRPr="00A92401">
        <w:rPr>
          <w:lang w:val="en-US"/>
        </w:rPr>
        <w:t xml:space="preserve"> and</w:t>
      </w:r>
      <w:r w:rsidR="008D602B">
        <w:rPr>
          <w:lang w:val="en-US"/>
        </w:rPr>
        <w:t> </w:t>
      </w:r>
      <w:r w:rsidRPr="008D602B">
        <w:rPr>
          <w:b/>
          <w:bCs/>
          <w:lang w:val="en-US"/>
        </w:rPr>
        <w:t>11</w:t>
      </w:r>
      <w:r w:rsidRPr="00A92401">
        <w:rPr>
          <w:lang w:val="en-US"/>
        </w:rPr>
        <w:t xml:space="preserve"> of Radio Regulations, as appropriate;</w:t>
      </w:r>
    </w:p>
    <w:p w:rsidR="00B836DD" w:rsidRPr="00A92401" w:rsidRDefault="00B836DD" w:rsidP="008D602B">
      <w:pPr>
        <w:rPr>
          <w:lang w:val="en-US"/>
        </w:rPr>
      </w:pPr>
      <w:r w:rsidRPr="00A92401">
        <w:rPr>
          <w:i/>
          <w:iCs/>
          <w:lang w:val="en-US"/>
        </w:rPr>
        <w:t>c)</w:t>
      </w:r>
      <w:r w:rsidRPr="00A92401">
        <w:rPr>
          <w:lang w:val="en-US"/>
        </w:rPr>
        <w:tab/>
        <w:t>that it is important to ensure that any satellite radio</w:t>
      </w:r>
      <w:r w:rsidR="008D602B">
        <w:rPr>
          <w:lang w:val="en-US"/>
        </w:rPr>
        <w:t>-</w:t>
      </w:r>
      <w:r w:rsidRPr="00A92401">
        <w:rPr>
          <w:lang w:val="en-US"/>
        </w:rPr>
        <w:t>frequency operation (including those of nanosatellites and picosatellites) avoids harmful interference to other systems and services;</w:t>
      </w:r>
    </w:p>
    <w:p w:rsidR="00B836DD" w:rsidRPr="00A92401" w:rsidRDefault="00B836DD" w:rsidP="008D602B">
      <w:pPr>
        <w:rPr>
          <w:lang w:val="en-US"/>
        </w:rPr>
      </w:pPr>
      <w:r w:rsidRPr="00A92401">
        <w:rPr>
          <w:i/>
          <w:iCs/>
          <w:lang w:val="en-US"/>
        </w:rPr>
        <w:t>d)</w:t>
      </w:r>
      <w:r w:rsidRPr="00A92401">
        <w:rPr>
          <w:lang w:val="en-US"/>
        </w:rPr>
        <w:tab/>
        <w:t>that the relevant ITU satellite registration (e.g.</w:t>
      </w:r>
      <w:r w:rsidR="008D602B">
        <w:rPr>
          <w:lang w:val="en-US"/>
        </w:rPr>
        <w:t> </w:t>
      </w:r>
      <w:r w:rsidRPr="00A92401">
        <w:rPr>
          <w:lang w:val="en-US"/>
        </w:rPr>
        <w:t>filings, recording in the MIFR) should be performed in a timely manner;</w:t>
      </w:r>
    </w:p>
    <w:p w:rsidR="00B836DD" w:rsidRPr="00A92401" w:rsidRDefault="00B836DD" w:rsidP="008D602B">
      <w:pPr>
        <w:rPr>
          <w:lang w:val="en-US"/>
        </w:rPr>
      </w:pPr>
      <w:r w:rsidRPr="00A92401">
        <w:rPr>
          <w:i/>
          <w:iCs/>
          <w:lang w:val="en-US"/>
        </w:rPr>
        <w:t>e)</w:t>
      </w:r>
      <w:r w:rsidRPr="00A92401">
        <w:rPr>
          <w:lang w:val="en-US"/>
        </w:rPr>
        <w:tab/>
        <w:t>that it is important that the administrations involved</w:t>
      </w:r>
      <w:r w:rsidR="008D602B">
        <w:rPr>
          <w:lang w:val="en-US"/>
        </w:rPr>
        <w:t>,</w:t>
      </w:r>
      <w:r w:rsidRPr="00A92401">
        <w:rPr>
          <w:lang w:val="en-US"/>
        </w:rPr>
        <w:t xml:space="preserve"> as well as developers</w:t>
      </w:r>
      <w:r w:rsidR="008D602B">
        <w:rPr>
          <w:lang w:val="en-US"/>
        </w:rPr>
        <w:t>,</w:t>
      </w:r>
      <w:r w:rsidRPr="00A92401">
        <w:rPr>
          <w:lang w:val="en-US"/>
        </w:rPr>
        <w:t xml:space="preserve"> are aware of the applicable ITU processes with regard to the practices mentioned in </w:t>
      </w:r>
      <w:r w:rsidRPr="00A92401">
        <w:rPr>
          <w:i/>
          <w:iCs/>
          <w:lang w:val="en-US"/>
        </w:rPr>
        <w:t>further considering</w:t>
      </w:r>
      <w:r w:rsidR="008D602B">
        <w:rPr>
          <w:i/>
          <w:iCs/>
          <w:lang w:val="en-US"/>
        </w:rPr>
        <w:t> </w:t>
      </w:r>
      <w:r w:rsidRPr="00A92401">
        <w:rPr>
          <w:i/>
          <w:iCs/>
          <w:lang w:val="en-US"/>
        </w:rPr>
        <w:t>d)</w:t>
      </w:r>
      <w:r w:rsidRPr="00A92401">
        <w:rPr>
          <w:lang w:val="en-US"/>
        </w:rPr>
        <w:t>;</w:t>
      </w:r>
    </w:p>
    <w:p w:rsidR="00B836DD" w:rsidRPr="00A92401" w:rsidRDefault="00B836DD" w:rsidP="008D602B">
      <w:pPr>
        <w:rPr>
          <w:lang w:val="en-US"/>
        </w:rPr>
      </w:pPr>
      <w:r w:rsidRPr="00A92401">
        <w:rPr>
          <w:i/>
          <w:iCs/>
          <w:lang w:val="en-US"/>
        </w:rPr>
        <w:t>f)</w:t>
      </w:r>
      <w:r w:rsidRPr="00A92401">
        <w:rPr>
          <w:lang w:val="en-US"/>
        </w:rPr>
        <w:tab/>
        <w:t>that any satellite, including small satellites such as nanosatellites and picosatellites, should use radio frequencies in accordance to t</w:t>
      </w:r>
      <w:r w:rsidR="008D602B">
        <w:rPr>
          <w:lang w:val="en-US"/>
        </w:rPr>
        <w:t>he relevant Articles of the ITU</w:t>
      </w:r>
      <w:r w:rsidR="008D602B">
        <w:rPr>
          <w:lang w:val="en-US"/>
        </w:rPr>
        <w:noBreakHyphen/>
      </w:r>
      <w:r w:rsidRPr="00A92401">
        <w:rPr>
          <w:lang w:val="en-US"/>
        </w:rPr>
        <w:t>R Radio Regulations and ITU</w:t>
      </w:r>
      <w:r w:rsidR="008D602B">
        <w:rPr>
          <w:lang w:val="en-US"/>
        </w:rPr>
        <w:noBreakHyphen/>
      </w:r>
      <w:r w:rsidRPr="00A92401">
        <w:rPr>
          <w:lang w:val="en-US"/>
        </w:rPr>
        <w:t>R Recommendations;</w:t>
      </w:r>
    </w:p>
    <w:p w:rsidR="00B836DD" w:rsidRPr="00A92401" w:rsidRDefault="00B836DD" w:rsidP="008D602B">
      <w:pPr>
        <w:rPr>
          <w:lang w:val="en-US"/>
        </w:rPr>
      </w:pPr>
      <w:r w:rsidRPr="00A92401">
        <w:rPr>
          <w:i/>
          <w:iCs/>
          <w:lang w:val="en-US"/>
        </w:rPr>
        <w:t>g)</w:t>
      </w:r>
      <w:r w:rsidRPr="00A92401">
        <w:rPr>
          <w:lang w:val="en-US"/>
        </w:rPr>
        <w:tab/>
        <w:t>that many small satellites have no propulsion system and are therefore unable to maintain a constant orbital altitude,</w:t>
      </w:r>
    </w:p>
    <w:p w:rsidR="00B836DD" w:rsidRPr="00A92401" w:rsidRDefault="00B836DD" w:rsidP="00B836DD">
      <w:pPr>
        <w:pStyle w:val="Call"/>
        <w:rPr>
          <w:lang w:val="en-US"/>
        </w:rPr>
      </w:pPr>
      <w:r w:rsidRPr="00A92401">
        <w:rPr>
          <w:lang w:val="en-US"/>
        </w:rPr>
        <w:t>recognizing</w:t>
      </w:r>
    </w:p>
    <w:p w:rsidR="00B836DD" w:rsidRPr="00A92401" w:rsidRDefault="00B836DD" w:rsidP="008D602B">
      <w:pPr>
        <w:rPr>
          <w:lang w:val="en-US"/>
        </w:rPr>
      </w:pPr>
      <w:r w:rsidRPr="00A92401">
        <w:rPr>
          <w:i/>
          <w:iCs/>
          <w:lang w:val="en-US"/>
        </w:rPr>
        <w:t>a)</w:t>
      </w:r>
      <w:r w:rsidRPr="00A92401">
        <w:rPr>
          <w:lang w:val="en-US"/>
        </w:rPr>
        <w:tab/>
        <w:t>that the number of small satellites (in particular</w:t>
      </w:r>
      <w:r w:rsidR="00FD40D5" w:rsidRPr="00A92401">
        <w:rPr>
          <w:lang w:val="en-US"/>
        </w:rPr>
        <w:t>,</w:t>
      </w:r>
      <w:r w:rsidRPr="00A92401">
        <w:rPr>
          <w:lang w:val="en-US"/>
        </w:rPr>
        <w:t xml:space="preserve"> satellites whose mass is typically less than 100</w:t>
      </w:r>
      <w:r w:rsidR="008D602B">
        <w:rPr>
          <w:lang w:val="en-US"/>
        </w:rPr>
        <w:t> </w:t>
      </w:r>
      <w:r w:rsidRPr="00A92401">
        <w:rPr>
          <w:lang w:val="en-US"/>
        </w:rPr>
        <w:t>kg) already launched and to be launched is growing;</w:t>
      </w:r>
    </w:p>
    <w:p w:rsidR="00B836DD" w:rsidRPr="00A92401" w:rsidRDefault="00B836DD" w:rsidP="00B836DD">
      <w:pPr>
        <w:rPr>
          <w:lang w:val="en-US"/>
        </w:rPr>
      </w:pPr>
      <w:r w:rsidRPr="00A92401">
        <w:rPr>
          <w:i/>
          <w:iCs/>
          <w:lang w:val="en-US"/>
        </w:rPr>
        <w:t>b)</w:t>
      </w:r>
      <w:r w:rsidRPr="00A92401">
        <w:rPr>
          <w:lang w:val="en-US"/>
        </w:rPr>
        <w:tab/>
        <w:t>that these types of satellites can provide an affordable means to access orbital resources (spectrum and orbit) for new entrants in space;</w:t>
      </w:r>
    </w:p>
    <w:p w:rsidR="00B836DD" w:rsidRPr="00A92401" w:rsidRDefault="00B836DD" w:rsidP="008D602B">
      <w:pPr>
        <w:rPr>
          <w:lang w:val="en-US"/>
        </w:rPr>
      </w:pPr>
      <w:r w:rsidRPr="00A92401">
        <w:rPr>
          <w:i/>
          <w:iCs/>
          <w:lang w:val="en-US"/>
        </w:rPr>
        <w:t>c)</w:t>
      </w:r>
      <w:r w:rsidRPr="00A92401">
        <w:rPr>
          <w:lang w:val="en-US"/>
        </w:rPr>
        <w:tab/>
        <w:t>that, even though satellite mass and size are not relevant from a frequency management perspective, the small mass and small dimensions of these satellites have been some of the major contributors to their success amongst new space</w:t>
      </w:r>
      <w:r w:rsidR="008D602B">
        <w:rPr>
          <w:lang w:val="en-US"/>
        </w:rPr>
        <w:t>-</w:t>
      </w:r>
      <w:r w:rsidRPr="00A92401">
        <w:rPr>
          <w:lang w:val="en-US"/>
        </w:rPr>
        <w:t>faring nations,</w:t>
      </w:r>
    </w:p>
    <w:p w:rsidR="00B836DD" w:rsidRPr="00A92401" w:rsidRDefault="00B836DD" w:rsidP="00B836DD">
      <w:pPr>
        <w:pStyle w:val="Call"/>
        <w:rPr>
          <w:lang w:val="en-US"/>
        </w:rPr>
      </w:pPr>
      <w:r w:rsidRPr="00A92401">
        <w:rPr>
          <w:lang w:val="en-US"/>
        </w:rPr>
        <w:lastRenderedPageBreak/>
        <w:t>noting</w:t>
      </w:r>
    </w:p>
    <w:p w:rsidR="00B836DD" w:rsidRPr="00A92401" w:rsidRDefault="00B836DD" w:rsidP="008D602B">
      <w:pPr>
        <w:rPr>
          <w:lang w:val="en-US"/>
        </w:rPr>
      </w:pPr>
      <w:r w:rsidRPr="00A92401">
        <w:rPr>
          <w:lang w:val="en-US"/>
        </w:rPr>
        <w:t>the “Guidance on Space Object Registration and Frequency Management for Small and Very Small Satellites” developed by the UN Office for Outer Spac</w:t>
      </w:r>
      <w:r w:rsidR="00081EEB" w:rsidRPr="00A92401">
        <w:rPr>
          <w:lang w:val="en-US"/>
        </w:rPr>
        <w:t>e Affairs and ITU</w:t>
      </w:r>
      <w:r w:rsidRPr="00A92401">
        <w:rPr>
          <w:lang w:val="en-US"/>
        </w:rPr>
        <w:t>,</w:t>
      </w:r>
    </w:p>
    <w:p w:rsidR="00B836DD" w:rsidRPr="00A92401" w:rsidRDefault="00B51DB5" w:rsidP="00B836DD">
      <w:pPr>
        <w:pStyle w:val="Call"/>
        <w:rPr>
          <w:lang w:val="en-US"/>
        </w:rPr>
      </w:pPr>
      <w:r w:rsidRPr="00A92401">
        <w:rPr>
          <w:lang w:val="en-US"/>
        </w:rPr>
        <w:t>resolves</w:t>
      </w:r>
    </w:p>
    <w:p w:rsidR="00B836DD" w:rsidRPr="00A92401" w:rsidRDefault="00B836DD" w:rsidP="008D602B">
      <w:pPr>
        <w:rPr>
          <w:lang w:val="en-US"/>
        </w:rPr>
      </w:pPr>
      <w:r w:rsidRPr="00A92401">
        <w:rPr>
          <w:lang w:val="en-US"/>
        </w:rPr>
        <w:t>to develop material, such as Recommendations, Reports, or a Handbook on small satellites</w:t>
      </w:r>
      <w:r w:rsidR="00081EEB" w:rsidRPr="00A92401">
        <w:rPr>
          <w:lang w:val="en-US"/>
        </w:rPr>
        <w:t xml:space="preserve"> </w:t>
      </w:r>
      <w:r w:rsidRPr="00A92401">
        <w:rPr>
          <w:lang w:val="en-US"/>
        </w:rPr>
        <w:t>(in</w:t>
      </w:r>
      <w:r w:rsidR="00081EEB" w:rsidRPr="00A92401">
        <w:rPr>
          <w:lang w:val="en-US"/>
        </w:rPr>
        <w:t> </w:t>
      </w:r>
      <w:r w:rsidRPr="00A92401">
        <w:rPr>
          <w:lang w:val="en-US"/>
        </w:rPr>
        <w:t>particular</w:t>
      </w:r>
      <w:r w:rsidR="00FD40D5" w:rsidRPr="00A92401">
        <w:rPr>
          <w:lang w:val="en-US"/>
        </w:rPr>
        <w:t>,</w:t>
      </w:r>
      <w:r w:rsidRPr="00A92401">
        <w:rPr>
          <w:lang w:val="en-US"/>
        </w:rPr>
        <w:t xml:space="preserve"> satellites whose mass is </w:t>
      </w:r>
      <w:r w:rsidR="008D602B">
        <w:rPr>
          <w:lang w:val="en-US"/>
        </w:rPr>
        <w:t xml:space="preserve">less </w:t>
      </w:r>
      <w:r w:rsidRPr="00A92401">
        <w:rPr>
          <w:lang w:val="en-US"/>
        </w:rPr>
        <w:t>than 100</w:t>
      </w:r>
      <w:r w:rsidR="008D602B">
        <w:rPr>
          <w:lang w:val="en-US"/>
        </w:rPr>
        <w:t> </w:t>
      </w:r>
      <w:r w:rsidRPr="00A92401">
        <w:rPr>
          <w:lang w:val="en-US"/>
        </w:rPr>
        <w:t>kg), containing detailed information that would help to improve the knowledge of the applicable procedures for submitting filings of satellite networks to ITU,</w:t>
      </w:r>
    </w:p>
    <w:p w:rsidR="00B836DD" w:rsidRPr="00A92401" w:rsidRDefault="00B836DD" w:rsidP="00B836DD">
      <w:pPr>
        <w:pStyle w:val="Call"/>
        <w:rPr>
          <w:lang w:val="en-US"/>
        </w:rPr>
      </w:pPr>
      <w:r w:rsidRPr="00A92401">
        <w:rPr>
          <w:lang w:val="en-US"/>
        </w:rPr>
        <w:t>invites administrations</w:t>
      </w:r>
    </w:p>
    <w:p w:rsidR="00B836DD" w:rsidRPr="00A92401" w:rsidRDefault="00B836DD" w:rsidP="008D602B">
      <w:pPr>
        <w:rPr>
          <w:lang w:val="en-US"/>
        </w:rPr>
      </w:pPr>
      <w:r w:rsidRPr="00A92401">
        <w:rPr>
          <w:lang w:val="en-US"/>
        </w:rPr>
        <w:t>1</w:t>
      </w:r>
      <w:r w:rsidRPr="00A92401">
        <w:rPr>
          <w:lang w:val="en-US"/>
        </w:rPr>
        <w:tab/>
        <w:t xml:space="preserve">to inform their national entities involved in the development, manufacturing, operations and launch of small satellites, in particular of those satellites whose mass is </w:t>
      </w:r>
      <w:r w:rsidR="008D602B">
        <w:rPr>
          <w:lang w:val="en-US"/>
        </w:rPr>
        <w:t>less</w:t>
      </w:r>
      <w:r w:rsidRPr="00A92401">
        <w:rPr>
          <w:lang w:val="en-US"/>
        </w:rPr>
        <w:t xml:space="preserve"> than 100</w:t>
      </w:r>
      <w:r w:rsidR="008D602B">
        <w:rPr>
          <w:lang w:val="en-US"/>
        </w:rPr>
        <w:t> </w:t>
      </w:r>
      <w:r w:rsidRPr="00A92401">
        <w:rPr>
          <w:lang w:val="en-US"/>
        </w:rPr>
        <w:t>kg (such as nanosatellites and picosatellites), about the applicable ITU and national regulatory provisions for the coordination, notification and use of orbital resources (i.e.</w:t>
      </w:r>
      <w:r w:rsidR="008D602B">
        <w:rPr>
          <w:lang w:val="en-US"/>
        </w:rPr>
        <w:t> </w:t>
      </w:r>
      <w:r w:rsidRPr="00A92401">
        <w:rPr>
          <w:lang w:val="en-US"/>
        </w:rPr>
        <w:t>orbits and frequencies);</w:t>
      </w:r>
    </w:p>
    <w:p w:rsidR="00B836DD" w:rsidRPr="00A92401" w:rsidRDefault="00B836DD" w:rsidP="00B836DD">
      <w:pPr>
        <w:rPr>
          <w:lang w:val="en-US"/>
        </w:rPr>
      </w:pPr>
      <w:r w:rsidRPr="00A92401">
        <w:rPr>
          <w:lang w:val="en-US"/>
        </w:rPr>
        <w:t>2</w:t>
      </w:r>
      <w:r w:rsidRPr="00A92401">
        <w:rPr>
          <w:lang w:val="en-US"/>
        </w:rPr>
        <w:tab/>
        <w:t>to encour</w:t>
      </w:r>
      <w:r w:rsidR="008D602B">
        <w:rPr>
          <w:lang w:val="en-US"/>
        </w:rPr>
        <w:t>age their national entities</w:t>
      </w:r>
      <w:r w:rsidRPr="00A92401">
        <w:rPr>
          <w:lang w:val="en-US"/>
        </w:rPr>
        <w:t xml:space="preserve"> aiming to launch and deploy in outer space the satellites mentioned above to initiate the relevant ITU registration procedures as soon as possible before the launch of the satellite,</w:t>
      </w:r>
    </w:p>
    <w:p w:rsidR="00B836DD" w:rsidRPr="00A92401" w:rsidRDefault="00B836DD" w:rsidP="00B836DD">
      <w:pPr>
        <w:pStyle w:val="Call"/>
        <w:rPr>
          <w:lang w:val="en-US"/>
        </w:rPr>
      </w:pPr>
      <w:r w:rsidRPr="00A92401">
        <w:rPr>
          <w:lang w:val="en-US"/>
        </w:rPr>
        <w:t>requests the Secretary General</w:t>
      </w:r>
    </w:p>
    <w:p w:rsidR="00B836DD" w:rsidRPr="00A92401" w:rsidRDefault="00B836DD" w:rsidP="00B836DD">
      <w:pPr>
        <w:rPr>
          <w:lang w:val="en-US"/>
        </w:rPr>
      </w:pPr>
      <w:r w:rsidRPr="00A92401">
        <w:rPr>
          <w:lang w:val="en-US"/>
        </w:rPr>
        <w:t>to bring this Resolution to the attention of the United Nations Committee On Peaceful Use of Outer Space.</w:t>
      </w:r>
    </w:p>
    <w:p w:rsidR="00081EEB" w:rsidRPr="00A92401" w:rsidRDefault="00081EEB" w:rsidP="00B836DD">
      <w:pPr>
        <w:rPr>
          <w:lang w:val="en-US"/>
        </w:rPr>
      </w:pPr>
    </w:p>
    <w:p w:rsidR="00081EEB" w:rsidRPr="00A92401" w:rsidRDefault="00081EEB" w:rsidP="0032202E">
      <w:pPr>
        <w:pStyle w:val="Reasons"/>
        <w:rPr>
          <w:lang w:val="en-US"/>
        </w:rPr>
      </w:pPr>
    </w:p>
    <w:p w:rsidR="00081EEB" w:rsidRPr="00A92401" w:rsidRDefault="00081EEB" w:rsidP="00081EEB">
      <w:pPr>
        <w:jc w:val="center"/>
        <w:rPr>
          <w:lang w:val="en-US"/>
        </w:rPr>
      </w:pPr>
      <w:r w:rsidRPr="00A92401">
        <w:rPr>
          <w:lang w:val="en-US"/>
        </w:rPr>
        <w:t>______________</w:t>
      </w:r>
    </w:p>
    <w:sectPr w:rsidR="00081EEB" w:rsidRPr="00A92401"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6DD" w:rsidRDefault="00B836DD">
      <w:r>
        <w:separator/>
      </w:r>
    </w:p>
  </w:endnote>
  <w:endnote w:type="continuationSeparator" w:id="0">
    <w:p w:rsidR="00B836DD" w:rsidRDefault="00B8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B51532">
      <w:rPr>
        <w:noProof/>
        <w:lang w:val="es-ES_tradnl"/>
      </w:rPr>
      <w:t>Y:\APP\BR\POOL\RA-15\PLEN\000\034Add6e.docx</w:t>
    </w:r>
    <w:r>
      <w:fldChar w:fldCharType="end"/>
    </w:r>
    <w:r w:rsidRPr="009447A3">
      <w:rPr>
        <w:lang w:val="es-ES_tradnl"/>
      </w:rPr>
      <w:tab/>
    </w:r>
    <w:r>
      <w:fldChar w:fldCharType="begin"/>
    </w:r>
    <w:r>
      <w:instrText xml:space="preserve"> SAVEDATE \@ DD.MM.YY </w:instrText>
    </w:r>
    <w:r>
      <w:fldChar w:fldCharType="separate"/>
    </w:r>
    <w:r w:rsidR="00E14F48">
      <w:rPr>
        <w:noProof/>
      </w:rPr>
      <w:t>15.10.15</w:t>
    </w:r>
    <w:r>
      <w:fldChar w:fldCharType="end"/>
    </w:r>
    <w:r w:rsidRPr="009447A3">
      <w:rPr>
        <w:lang w:val="es-ES_tradnl"/>
      </w:rPr>
      <w:tab/>
    </w:r>
    <w:r>
      <w:fldChar w:fldCharType="begin"/>
    </w:r>
    <w:r>
      <w:instrText xml:space="preserve"> PRINTDATE \@ DD.MM.YY </w:instrText>
    </w:r>
    <w:r>
      <w:fldChar w:fldCharType="separate"/>
    </w:r>
    <w:r w:rsidR="00B51532">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B5" w:rsidRDefault="008D602B" w:rsidP="00B51DB5">
    <w:pPr>
      <w:pStyle w:val="Footer"/>
    </w:pPr>
    <w:fldSimple w:instr=" FILENAME \p  \* MERGEFORMAT ">
      <w:r>
        <w:t>P:\ENG\ITU-R\CONF-R\AR15\PLEN\000\034ADD06E.docx</w:t>
      </w:r>
    </w:fldSimple>
    <w:r>
      <w:t xml:space="preserve"> (388138)</w:t>
    </w:r>
    <w:r w:rsidR="00B51DB5">
      <w:tab/>
    </w:r>
    <w:r w:rsidR="00B51DB5">
      <w:fldChar w:fldCharType="begin"/>
    </w:r>
    <w:r w:rsidR="00B51DB5">
      <w:instrText xml:space="preserve"> SAVEDATE \@ DD.MM.YY </w:instrText>
    </w:r>
    <w:r w:rsidR="00B51DB5">
      <w:fldChar w:fldCharType="separate"/>
    </w:r>
    <w:r w:rsidR="00E14F48">
      <w:t>15.10.15</w:t>
    </w:r>
    <w:r w:rsidR="00B51DB5">
      <w:fldChar w:fldCharType="end"/>
    </w:r>
    <w:r w:rsidR="00B51DB5">
      <w:tab/>
    </w:r>
    <w:r w:rsidR="00B51DB5">
      <w:fldChar w:fldCharType="begin"/>
    </w:r>
    <w:r w:rsidR="00B51DB5">
      <w:instrText xml:space="preserve"> PRINTDATE \@ DD.MM.YY </w:instrText>
    </w:r>
    <w:r w:rsidR="00B51DB5">
      <w:fldChar w:fldCharType="separate"/>
    </w:r>
    <w:r>
      <w:t>13.10.15</w:t>
    </w:r>
    <w:r w:rsidR="00B51DB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B5" w:rsidRDefault="00E14F48">
    <w:pPr>
      <w:pStyle w:val="Footer"/>
    </w:pPr>
    <w:r>
      <w:fldChar w:fldCharType="begin"/>
    </w:r>
    <w:r>
      <w:instrText xml:space="preserve"> FILENAME \p  \* MERGEFORMAT </w:instrText>
    </w:r>
    <w:r>
      <w:fldChar w:fldCharType="separate"/>
    </w:r>
    <w:r w:rsidR="008D602B">
      <w:t>P:\ENG\ITU-R\CONF-R\AR15\PLEN\000\034ADD06E.docx</w:t>
    </w:r>
    <w:r>
      <w:fldChar w:fldCharType="end"/>
    </w:r>
    <w:r w:rsidR="008D602B">
      <w:t xml:space="preserve"> (388138)</w:t>
    </w:r>
    <w:r w:rsidR="00B51DB5">
      <w:tab/>
    </w:r>
    <w:r w:rsidR="00B51DB5">
      <w:fldChar w:fldCharType="begin"/>
    </w:r>
    <w:r w:rsidR="00B51DB5">
      <w:instrText xml:space="preserve"> SAVEDATE \@ DD.MM.YY </w:instrText>
    </w:r>
    <w:r w:rsidR="00B51DB5">
      <w:fldChar w:fldCharType="separate"/>
    </w:r>
    <w:r>
      <w:t>15.10.15</w:t>
    </w:r>
    <w:r w:rsidR="00B51DB5">
      <w:fldChar w:fldCharType="end"/>
    </w:r>
    <w:r w:rsidR="00B51DB5">
      <w:tab/>
    </w:r>
    <w:r w:rsidR="00B51DB5">
      <w:fldChar w:fldCharType="begin"/>
    </w:r>
    <w:r w:rsidR="00B51DB5">
      <w:instrText xml:space="preserve"> PRINTDATE \@ DD.MM.YY </w:instrText>
    </w:r>
    <w:r w:rsidR="00B51DB5">
      <w:fldChar w:fldCharType="separate"/>
    </w:r>
    <w:r w:rsidR="008D602B">
      <w:t>13.10.15</w:t>
    </w:r>
    <w:r w:rsidR="00B51DB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6DD" w:rsidRDefault="00B836DD">
      <w:r>
        <w:rPr>
          <w:b/>
        </w:rPr>
        <w:t>_______________</w:t>
      </w:r>
    </w:p>
  </w:footnote>
  <w:footnote w:type="continuationSeparator" w:id="0">
    <w:p w:rsidR="00B836DD" w:rsidRDefault="00B836DD">
      <w:r>
        <w:continuationSeparator/>
      </w:r>
    </w:p>
  </w:footnote>
  <w:footnote w:id="1">
    <w:p w:rsidR="00B836DD" w:rsidRDefault="00B836DD" w:rsidP="00B836DD">
      <w:pPr>
        <w:pStyle w:val="FootnoteText"/>
      </w:pPr>
      <w:r w:rsidRPr="00E1214C">
        <w:rPr>
          <w:rStyle w:val="FootnoteReference"/>
        </w:rPr>
        <w:footnoteRef/>
      </w:r>
      <w:r w:rsidRPr="00E1214C">
        <w:t xml:space="preserve"> </w:t>
      </w:r>
      <w:r w:rsidRPr="00E1214C">
        <w:tab/>
        <w:t>Members of CEPT (Europe) are: Albania (Republic of), Germany (Federal Republic of), Andorra (Principality of), Austria, Azerbaijani Republic, Belarus (Republic of), Belgium, Bosnia and Herzegovina, Bulgaria (Republic of), Cyprus (Republic of), Vatican City State, Croatia (Republic of), Denmark, Spain, Estonia (Republic of), Russian Federation, Finland, France, Georgia, Greece, Hungary, Ireland, Iceland, Italy, Latvia (Republic of), The Former Yugoslav Republic of Macedonia, Liechtenstein (Principality of), Lithuania (Republic of), Luxembourg, Malta, Moldova (Republic of), Monaco (Principality of), Montenegro, Norway, Netherlands (Kingdom of the), Poland (Republic of), Portugal, Slovak Republic, Czech Republic, Romania, United Kingdom of Great Britain and Northern Ireland, San Marino (Republic of), Serbia (Republic of), Slovenia (Republic of), Sweden, Switzerland (Confederation of), Turkey, Ukraine.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6DD" w:rsidRDefault="00B836DD">
    <w:pPr>
      <w:pStyle w:val="Header"/>
    </w:pPr>
    <w:r>
      <w:fldChar w:fldCharType="begin"/>
    </w:r>
    <w:r>
      <w:instrText xml:space="preserve"> PAGE  \* MERGEFORMAT </w:instrText>
    </w:r>
    <w:r>
      <w:fldChar w:fldCharType="separate"/>
    </w:r>
    <w:r w:rsidR="00E14F48">
      <w:rPr>
        <w:noProof/>
      </w:rPr>
      <w:t>3</w:t>
    </w:r>
    <w:r>
      <w:fldChar w:fldCharType="end"/>
    </w:r>
  </w:p>
  <w:p w:rsidR="00B836DD" w:rsidRDefault="00B836DD">
    <w:pPr>
      <w:pStyle w:val="Header"/>
    </w:pPr>
    <w:r>
      <w:t>RA12/PLEN/34</w:t>
    </w:r>
    <w:r w:rsidR="00B51DB5">
      <w:t>(Add.6)</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DD"/>
    <w:rsid w:val="00081EEB"/>
    <w:rsid w:val="000D1293"/>
    <w:rsid w:val="001B225D"/>
    <w:rsid w:val="00206408"/>
    <w:rsid w:val="00273451"/>
    <w:rsid w:val="0030579C"/>
    <w:rsid w:val="00425F3D"/>
    <w:rsid w:val="004844C1"/>
    <w:rsid w:val="004D6FFE"/>
    <w:rsid w:val="005E0BE1"/>
    <w:rsid w:val="0071246B"/>
    <w:rsid w:val="00756B1C"/>
    <w:rsid w:val="007C6911"/>
    <w:rsid w:val="00880578"/>
    <w:rsid w:val="008A7B8E"/>
    <w:rsid w:val="008D602B"/>
    <w:rsid w:val="009447A3"/>
    <w:rsid w:val="00993768"/>
    <w:rsid w:val="009E375D"/>
    <w:rsid w:val="00A05CE9"/>
    <w:rsid w:val="00A45CF1"/>
    <w:rsid w:val="00A92401"/>
    <w:rsid w:val="00B51532"/>
    <w:rsid w:val="00B51DB5"/>
    <w:rsid w:val="00B836DD"/>
    <w:rsid w:val="00BB03AF"/>
    <w:rsid w:val="00BE5003"/>
    <w:rsid w:val="00BF5E61"/>
    <w:rsid w:val="00C46060"/>
    <w:rsid w:val="00D262CE"/>
    <w:rsid w:val="00D471A9"/>
    <w:rsid w:val="00D50D44"/>
    <w:rsid w:val="00DA716F"/>
    <w:rsid w:val="00E14F48"/>
    <w:rsid w:val="00E424C3"/>
    <w:rsid w:val="00EE1A06"/>
    <w:rsid w:val="00EE4AD6"/>
    <w:rsid w:val="00F329B0"/>
    <w:rsid w:val="00FD40D5"/>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06A8A74-B2B5-4D9A-B17E-4E8EB7A2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styleId="Hyperlink">
    <w:name w:val="Hyperlink"/>
    <w:basedOn w:val="DefaultParagraphFont"/>
    <w:unhideWhenUsed/>
    <w:rsid w:val="00081EEB"/>
    <w:rPr>
      <w:color w:val="0000FF" w:themeColor="hyperlink"/>
      <w:u w:val="single"/>
    </w:rPr>
  </w:style>
  <w:style w:type="paragraph" w:customStyle="1" w:styleId="Normalaftertitle0">
    <w:name w:val="Normal_after_title"/>
    <w:basedOn w:val="Normal"/>
    <w:next w:val="Normal"/>
    <w:rsid w:val="00081EEB"/>
    <w:pPr>
      <w:spacing w:before="360"/>
    </w:pPr>
  </w:style>
  <w:style w:type="character" w:styleId="FollowedHyperlink">
    <w:name w:val="FollowedHyperlink"/>
    <w:basedOn w:val="DefaultParagraphFont"/>
    <w:semiHidden/>
    <w:unhideWhenUsed/>
    <w:rsid w:val="008D60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WRC15-C-0009/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9</TotalTime>
  <Pages>3</Pages>
  <Words>819</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5646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Turnbull, Karen</cp:lastModifiedBy>
  <cp:revision>5</cp:revision>
  <cp:lastPrinted>2015-10-13T08:58:00Z</cp:lastPrinted>
  <dcterms:created xsi:type="dcterms:W3CDTF">2015-10-15T14:39:00Z</dcterms:created>
  <dcterms:modified xsi:type="dcterms:W3CDTF">2015-10-15T14:52:00Z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