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79"/>
        <w:gridCol w:w="3652"/>
      </w:tblGrid>
      <w:tr w:rsidR="00943EBD" w:rsidRPr="00877D12" w:rsidTr="000F5994">
        <w:trPr>
          <w:cantSplit/>
        </w:trPr>
        <w:tc>
          <w:tcPr>
            <w:tcW w:w="6379"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652"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65BB14A2" wp14:editId="5513764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rsidTr="000F5994">
        <w:trPr>
          <w:cantSplit/>
        </w:trPr>
        <w:tc>
          <w:tcPr>
            <w:tcW w:w="6379"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652"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rsidTr="000F5994">
        <w:trPr>
          <w:cantSplit/>
        </w:trPr>
        <w:tc>
          <w:tcPr>
            <w:tcW w:w="6379"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652"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7621F1" w:rsidTr="000F5994">
        <w:trPr>
          <w:cantSplit/>
          <w:trHeight w:val="23"/>
        </w:trPr>
        <w:tc>
          <w:tcPr>
            <w:tcW w:w="6379" w:type="dxa"/>
            <w:vMerge w:val="restart"/>
          </w:tcPr>
          <w:p w:rsidR="00943EBD" w:rsidRPr="00877D12" w:rsidRDefault="00B653C8" w:rsidP="00943EB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r w:rsidRPr="00942D25">
              <w:rPr>
                <w:rFonts w:ascii="Verdana" w:hAnsi="Verdana" w:hint="eastAsia"/>
                <w:b/>
                <w:bCs/>
                <w:sz w:val="20"/>
                <w:lang w:eastAsia="zh-CN"/>
              </w:rPr>
              <w:t>全体会议</w:t>
            </w:r>
          </w:p>
        </w:tc>
        <w:tc>
          <w:tcPr>
            <w:tcW w:w="3652" w:type="dxa"/>
          </w:tcPr>
          <w:p w:rsidR="00943EBD" w:rsidRPr="000F5994" w:rsidRDefault="00943EBD" w:rsidP="007621F1">
            <w:pPr>
              <w:tabs>
                <w:tab w:val="left" w:pos="851"/>
              </w:tabs>
              <w:spacing w:before="0" w:line="240" w:lineRule="atLeast"/>
              <w:rPr>
                <w:rFonts w:ascii="Verdana" w:hAnsi="Verdana"/>
                <w:sz w:val="20"/>
                <w:lang w:val="es-ES" w:eastAsia="zh-CN"/>
              </w:rPr>
            </w:pPr>
            <w:r w:rsidRPr="00877D12">
              <w:rPr>
                <w:rFonts w:ascii="Verdana" w:hAnsi="Verdana"/>
                <w:b/>
                <w:sz w:val="20"/>
                <w:lang w:eastAsia="zh-CN"/>
              </w:rPr>
              <w:t>文件</w:t>
            </w:r>
            <w:r w:rsidRPr="000F5994">
              <w:rPr>
                <w:rFonts w:ascii="Verdana" w:hAnsi="Verdana"/>
                <w:b/>
                <w:sz w:val="20"/>
                <w:lang w:val="es-ES" w:eastAsia="zh-CN"/>
              </w:rPr>
              <w:t xml:space="preserve"> </w:t>
            </w:r>
            <w:r w:rsidR="000F5994" w:rsidRPr="000F5994">
              <w:rPr>
                <w:rFonts w:ascii="Verdana" w:hAnsi="Verdana"/>
                <w:b/>
                <w:sz w:val="20"/>
                <w:lang w:val="es-ES"/>
              </w:rPr>
              <w:t>RA15/PLEN/34(Add.</w:t>
            </w:r>
            <w:r w:rsidR="007621F1">
              <w:rPr>
                <w:rFonts w:ascii="Verdana" w:hAnsi="Verdana"/>
                <w:b/>
                <w:sz w:val="20"/>
                <w:lang w:val="es-ES"/>
              </w:rPr>
              <w:t>6</w:t>
            </w:r>
            <w:r w:rsidR="000F5994">
              <w:rPr>
                <w:rFonts w:ascii="Verdana" w:hAnsi="Verdana"/>
                <w:b/>
                <w:sz w:val="20"/>
                <w:lang w:val="es-ES"/>
              </w:rPr>
              <w:t>)</w:t>
            </w:r>
            <w:r w:rsidRPr="000F5994">
              <w:rPr>
                <w:rFonts w:ascii="Verdana" w:hAnsi="Verdana"/>
                <w:b/>
                <w:sz w:val="20"/>
                <w:lang w:val="es-ES" w:eastAsia="zh-CN"/>
              </w:rPr>
              <w:t>-C</w:t>
            </w:r>
          </w:p>
        </w:tc>
      </w:tr>
      <w:tr w:rsidR="00943EBD" w:rsidRPr="000F5994" w:rsidTr="000F5994">
        <w:trPr>
          <w:cantSplit/>
          <w:trHeight w:val="23"/>
        </w:trPr>
        <w:tc>
          <w:tcPr>
            <w:tcW w:w="6379" w:type="dxa"/>
            <w:vMerge/>
          </w:tcPr>
          <w:p w:rsidR="00943EBD" w:rsidRPr="000F5994" w:rsidRDefault="00943EBD">
            <w:pPr>
              <w:tabs>
                <w:tab w:val="left" w:pos="851"/>
              </w:tabs>
              <w:spacing w:line="240" w:lineRule="atLeast"/>
              <w:rPr>
                <w:rFonts w:ascii="Verdana" w:hAnsi="Verdana"/>
                <w:b/>
                <w:sz w:val="20"/>
                <w:lang w:val="es-ES" w:eastAsia="zh-CN"/>
              </w:rPr>
            </w:pPr>
            <w:bookmarkStart w:id="5" w:name="ddate" w:colFirst="1" w:colLast="1"/>
            <w:bookmarkEnd w:id="3"/>
            <w:bookmarkEnd w:id="4"/>
          </w:p>
        </w:tc>
        <w:tc>
          <w:tcPr>
            <w:tcW w:w="3652" w:type="dxa"/>
          </w:tcPr>
          <w:p w:rsidR="00943EBD" w:rsidRPr="000F5994" w:rsidRDefault="00943EBD" w:rsidP="001A50F9">
            <w:pPr>
              <w:tabs>
                <w:tab w:val="left" w:pos="993"/>
              </w:tabs>
              <w:spacing w:before="0"/>
              <w:rPr>
                <w:rFonts w:ascii="Verdana" w:hAnsi="Verdana"/>
                <w:sz w:val="20"/>
                <w:lang w:val="es-ES" w:eastAsia="zh-CN"/>
              </w:rPr>
            </w:pPr>
            <w:r w:rsidRPr="000F5994">
              <w:rPr>
                <w:rFonts w:ascii="Verdana" w:hAnsi="Verdana"/>
                <w:b/>
                <w:sz w:val="20"/>
                <w:lang w:val="es-ES" w:eastAsia="zh-CN"/>
              </w:rPr>
              <w:t>20</w:t>
            </w:r>
            <w:r w:rsidR="00FF7A70" w:rsidRPr="000F5994">
              <w:rPr>
                <w:rFonts w:ascii="Verdana" w:hAnsi="Verdana"/>
                <w:b/>
                <w:sz w:val="20"/>
                <w:lang w:val="es-ES" w:eastAsia="zh-CN"/>
              </w:rPr>
              <w:t>1</w:t>
            </w:r>
            <w:r w:rsidR="001A50F9" w:rsidRPr="000F5994">
              <w:rPr>
                <w:rFonts w:ascii="Verdana" w:hAnsi="Verdana"/>
                <w:b/>
                <w:sz w:val="20"/>
                <w:lang w:val="es-ES" w:eastAsia="zh-CN"/>
              </w:rPr>
              <w:t>5</w:t>
            </w:r>
            <w:r w:rsidRPr="00877D12">
              <w:rPr>
                <w:rFonts w:ascii="Verdana" w:hAnsi="Verdana"/>
                <w:b/>
                <w:sz w:val="20"/>
                <w:lang w:eastAsia="zh-CN"/>
              </w:rPr>
              <w:t>年</w:t>
            </w:r>
            <w:r w:rsidR="000F5994">
              <w:rPr>
                <w:rFonts w:ascii="Verdana" w:hAnsi="Verdana"/>
                <w:b/>
                <w:sz w:val="20"/>
                <w:lang w:val="es-ES" w:eastAsia="zh-CN"/>
              </w:rPr>
              <w:t>10</w:t>
            </w:r>
            <w:r w:rsidRPr="00877D12">
              <w:rPr>
                <w:rFonts w:ascii="Verdana" w:hAnsi="Verdana"/>
                <w:b/>
                <w:sz w:val="20"/>
                <w:lang w:eastAsia="zh-CN"/>
              </w:rPr>
              <w:t>月</w:t>
            </w:r>
            <w:r w:rsidR="000F5994">
              <w:rPr>
                <w:rFonts w:ascii="Verdana" w:hAnsi="Verdana"/>
                <w:b/>
                <w:sz w:val="20"/>
                <w:lang w:val="es-ES" w:eastAsia="zh-CN"/>
              </w:rPr>
              <w:t>13</w:t>
            </w:r>
            <w:r w:rsidRPr="00877D12">
              <w:rPr>
                <w:rFonts w:ascii="Verdana" w:hAnsi="Verdana"/>
                <w:b/>
                <w:sz w:val="20"/>
                <w:lang w:eastAsia="zh-CN"/>
              </w:rPr>
              <w:t>日</w:t>
            </w:r>
          </w:p>
        </w:tc>
      </w:tr>
      <w:tr w:rsidR="00943EBD" w:rsidRPr="000F5994" w:rsidTr="000F5994">
        <w:trPr>
          <w:cantSplit/>
          <w:trHeight w:val="23"/>
        </w:trPr>
        <w:tc>
          <w:tcPr>
            <w:tcW w:w="6379" w:type="dxa"/>
            <w:vMerge/>
          </w:tcPr>
          <w:p w:rsidR="00943EBD" w:rsidRPr="000F5994" w:rsidRDefault="00943EBD">
            <w:pPr>
              <w:tabs>
                <w:tab w:val="left" w:pos="851"/>
              </w:tabs>
              <w:spacing w:line="240" w:lineRule="atLeast"/>
              <w:rPr>
                <w:rFonts w:ascii="Verdana" w:hAnsi="Verdana"/>
                <w:b/>
                <w:sz w:val="20"/>
                <w:lang w:val="es-ES" w:eastAsia="zh-CN"/>
              </w:rPr>
            </w:pPr>
            <w:bookmarkStart w:id="6" w:name="dorlang" w:colFirst="1" w:colLast="1"/>
            <w:bookmarkEnd w:id="5"/>
          </w:p>
        </w:tc>
        <w:tc>
          <w:tcPr>
            <w:tcW w:w="3652" w:type="dxa"/>
          </w:tcPr>
          <w:p w:rsidR="00943EBD" w:rsidRPr="000F5994" w:rsidRDefault="000F5994" w:rsidP="000F5994">
            <w:pPr>
              <w:tabs>
                <w:tab w:val="left" w:pos="993"/>
              </w:tabs>
              <w:spacing w:before="0"/>
              <w:rPr>
                <w:rFonts w:ascii="Verdana" w:hAnsi="Verdana"/>
                <w:b/>
                <w:sz w:val="20"/>
                <w:lang w:val="es-ES" w:eastAsia="zh-CN"/>
              </w:rPr>
            </w:pPr>
            <w:r>
              <w:rPr>
                <w:rFonts w:ascii="Verdana" w:hAnsi="Verdana" w:hint="eastAsia"/>
                <w:b/>
                <w:sz w:val="20"/>
                <w:lang w:val="es-ES" w:eastAsia="zh-CN"/>
              </w:rPr>
              <w:t>原文：</w:t>
            </w:r>
            <w:r>
              <w:rPr>
                <w:rFonts w:ascii="Verdana" w:hAnsi="Verdana"/>
                <w:b/>
                <w:sz w:val="20"/>
                <w:lang w:val="es-ES" w:eastAsia="zh-CN"/>
              </w:rPr>
              <w:t>英文</w:t>
            </w:r>
          </w:p>
        </w:tc>
      </w:tr>
      <w:tr w:rsidR="00FB65ED" w:rsidRPr="00847A3B" w:rsidTr="0002640C">
        <w:trPr>
          <w:cantSplit/>
        </w:trPr>
        <w:tc>
          <w:tcPr>
            <w:tcW w:w="10031" w:type="dxa"/>
            <w:gridSpan w:val="2"/>
          </w:tcPr>
          <w:p w:rsidR="00FB65ED" w:rsidRPr="007621F1" w:rsidRDefault="00FB65ED" w:rsidP="001B1126">
            <w:pPr>
              <w:pStyle w:val="Source"/>
              <w:rPr>
                <w:rFonts w:ascii="Trebuchet MS" w:hAnsi="Trebuchet MS"/>
                <w:sz w:val="15"/>
                <w:szCs w:val="15"/>
                <w:lang w:val="en-US" w:eastAsia="zh-CN"/>
              </w:rPr>
            </w:pPr>
            <w:bookmarkStart w:id="7" w:name="dsource" w:colFirst="0" w:colLast="0"/>
            <w:bookmarkStart w:id="8" w:name="_Toc180535352"/>
            <w:bookmarkStart w:id="9" w:name="_Toc180536816"/>
            <w:bookmarkStart w:id="10" w:name="_Toc180547466"/>
            <w:bookmarkStart w:id="11" w:name="_Toc314867396"/>
            <w:bookmarkStart w:id="12" w:name="_Toc314867585"/>
            <w:bookmarkStart w:id="13" w:name="_Toc314868268"/>
            <w:bookmarkStart w:id="14" w:name="_Toc314869487"/>
            <w:bookmarkStart w:id="15" w:name="_Toc315019212"/>
            <w:bookmarkStart w:id="16" w:name="_Toc321147893"/>
            <w:bookmarkStart w:id="17" w:name="_Toc321148517"/>
            <w:bookmarkEnd w:id="6"/>
            <w:r w:rsidRPr="00847A3B">
              <w:rPr>
                <w:lang w:eastAsia="zh-CN"/>
              </w:rPr>
              <w:t xml:space="preserve">CEPT – </w:t>
            </w:r>
            <w:r w:rsidR="007621F1">
              <w:rPr>
                <w:rFonts w:hint="eastAsia"/>
                <w:lang w:eastAsia="zh-CN"/>
              </w:rPr>
              <w:t>欧洲</w:t>
            </w:r>
            <w:r w:rsidR="007621F1">
              <w:rPr>
                <w:lang w:eastAsia="zh-CN"/>
              </w:rPr>
              <w:t>邮电主管部门大会</w:t>
            </w:r>
            <w:r w:rsidR="007621F1" w:rsidRPr="00081EEB">
              <w:rPr>
                <w:rStyle w:val="FootnoteReference"/>
                <w:rFonts w:ascii="Times New Roman Bold" w:hAnsi="Times New Roman Bold" w:cs="Times New Roman Bold"/>
                <w:vertAlign w:val="superscript"/>
                <w:lang w:val="en-US"/>
              </w:rPr>
              <w:footnoteReference w:id="1"/>
            </w:r>
          </w:p>
        </w:tc>
      </w:tr>
      <w:tr w:rsidR="00FB65ED" w:rsidRPr="00847A3B" w:rsidTr="0002640C">
        <w:trPr>
          <w:cantSplit/>
        </w:trPr>
        <w:tc>
          <w:tcPr>
            <w:tcW w:w="10031" w:type="dxa"/>
            <w:gridSpan w:val="2"/>
          </w:tcPr>
          <w:p w:rsidR="00FB65ED" w:rsidRPr="00847A3B" w:rsidRDefault="007621F1" w:rsidP="00BE3E12">
            <w:pPr>
              <w:pStyle w:val="ResNo"/>
              <w:rPr>
                <w:lang w:eastAsia="zh-CN"/>
              </w:rPr>
            </w:pPr>
            <w:bookmarkStart w:id="18" w:name="dtitle1" w:colFirst="0" w:colLast="0"/>
            <w:bookmarkEnd w:id="7"/>
            <w:r w:rsidRPr="00081EEB">
              <w:rPr>
                <w:lang w:val="en-US"/>
              </w:rPr>
              <w:t>ITU-R</w:t>
            </w:r>
            <w:r>
              <w:rPr>
                <w:rFonts w:hint="eastAsia"/>
                <w:lang w:val="en-US" w:eastAsia="zh-CN"/>
              </w:rPr>
              <w:t>第</w:t>
            </w:r>
            <w:r w:rsidRPr="00081EEB">
              <w:rPr>
                <w:lang w:val="en-US"/>
              </w:rPr>
              <w:t>[EUR/SMALL SAT]</w:t>
            </w:r>
            <w:r>
              <w:rPr>
                <w:rFonts w:hint="eastAsia"/>
                <w:lang w:val="en-US" w:eastAsia="zh-CN"/>
              </w:rPr>
              <w:t>号新决议草案</w:t>
            </w:r>
          </w:p>
        </w:tc>
      </w:tr>
      <w:tr w:rsidR="00FB65ED" w:rsidRPr="00847A3B" w:rsidTr="0002640C">
        <w:trPr>
          <w:cantSplit/>
        </w:trPr>
        <w:tc>
          <w:tcPr>
            <w:tcW w:w="10031" w:type="dxa"/>
            <w:gridSpan w:val="2"/>
          </w:tcPr>
          <w:p w:rsidR="00FB65ED" w:rsidRPr="00847A3B" w:rsidRDefault="007621F1" w:rsidP="007621F1">
            <w:pPr>
              <w:pStyle w:val="Restitle"/>
              <w:rPr>
                <w:lang w:eastAsia="zh-CN"/>
              </w:rPr>
            </w:pPr>
            <w:bookmarkStart w:id="19" w:name="dtitle2" w:colFirst="0" w:colLast="0"/>
            <w:bookmarkEnd w:id="18"/>
            <w:r>
              <w:rPr>
                <w:rFonts w:hint="eastAsia"/>
                <w:lang w:val="en-US" w:eastAsia="zh-CN"/>
              </w:rPr>
              <w:t>增进有关小型卫星（包括纳卫星和皮卫星）适用规则程序的知识传播</w:t>
            </w:r>
          </w:p>
        </w:tc>
      </w:tr>
      <w:tr w:rsidR="00FB65ED" w:rsidRPr="00847A3B" w:rsidTr="0002640C">
        <w:trPr>
          <w:cantSplit/>
        </w:trPr>
        <w:tc>
          <w:tcPr>
            <w:tcW w:w="10031" w:type="dxa"/>
            <w:gridSpan w:val="2"/>
          </w:tcPr>
          <w:p w:rsidR="00FB65ED" w:rsidRPr="00847A3B" w:rsidRDefault="00FB65ED" w:rsidP="00FB65ED">
            <w:pPr>
              <w:pStyle w:val="Title3"/>
              <w:rPr>
                <w:lang w:eastAsia="zh-CN"/>
              </w:rPr>
            </w:pPr>
            <w:bookmarkStart w:id="20" w:name="dtitle3" w:colFirst="0" w:colLast="0"/>
            <w:bookmarkEnd w:id="19"/>
          </w:p>
        </w:tc>
      </w:tr>
    </w:tbl>
    <w:p w:rsidR="00FB65ED" w:rsidRPr="00847A3B" w:rsidRDefault="00FB65ED" w:rsidP="001B1126">
      <w:pPr>
        <w:pStyle w:val="Heading1"/>
        <w:rPr>
          <w:lang w:eastAsia="zh-CN"/>
        </w:rPr>
      </w:pPr>
      <w:bookmarkStart w:id="21" w:name="dbreak"/>
      <w:bookmarkEnd w:id="20"/>
      <w:bookmarkEnd w:id="21"/>
      <w:r w:rsidRPr="00847A3B">
        <w:rPr>
          <w:lang w:eastAsia="zh-CN"/>
        </w:rPr>
        <w:t>1</w:t>
      </w:r>
      <w:r w:rsidRPr="00847A3B">
        <w:rPr>
          <w:lang w:eastAsia="zh-CN"/>
        </w:rPr>
        <w:tab/>
      </w:r>
      <w:r w:rsidR="001B1126">
        <w:rPr>
          <w:rFonts w:hint="eastAsia"/>
          <w:lang w:eastAsia="zh-CN"/>
        </w:rPr>
        <w:t>引言</w:t>
      </w:r>
    </w:p>
    <w:p w:rsidR="007621F1" w:rsidRPr="00081EEB" w:rsidRDefault="007621F1" w:rsidP="007621F1">
      <w:pPr>
        <w:ind w:firstLineChars="200" w:firstLine="480"/>
        <w:rPr>
          <w:lang w:val="en-US" w:eastAsia="zh-CN"/>
        </w:rPr>
      </w:pPr>
      <w:r>
        <w:rPr>
          <w:rFonts w:hint="eastAsia"/>
          <w:lang w:val="en-US" w:eastAsia="zh-CN"/>
        </w:rPr>
        <w:t>针对欧洲向</w:t>
      </w:r>
      <w:r>
        <w:rPr>
          <w:rFonts w:hint="eastAsia"/>
          <w:lang w:val="en-US" w:eastAsia="zh-CN"/>
        </w:rPr>
        <w:t>WRC-15</w:t>
      </w:r>
      <w:r>
        <w:rPr>
          <w:rFonts w:hint="eastAsia"/>
          <w:lang w:val="en-US" w:eastAsia="zh-CN"/>
        </w:rPr>
        <w:t>提议“不做修改”（</w:t>
      </w:r>
      <w:hyperlink r:id="rId8" w:history="1">
        <w:r w:rsidRPr="00081EEB">
          <w:rPr>
            <w:rStyle w:val="Hyperlink"/>
            <w:szCs w:val="24"/>
            <w:lang w:val="en-US" w:eastAsia="zh-CN"/>
          </w:rPr>
          <w:t>9</w:t>
        </w:r>
      </w:hyperlink>
      <w:r>
        <w:rPr>
          <w:rFonts w:hint="eastAsia"/>
          <w:lang w:val="en-US" w:eastAsia="zh-CN"/>
        </w:rPr>
        <w:t xml:space="preserve"> (Add.22)</w:t>
      </w:r>
      <w:bookmarkStart w:id="22" w:name="_GoBack"/>
      <w:bookmarkEnd w:id="22"/>
      <w:r>
        <w:rPr>
          <w:rFonts w:hint="eastAsia"/>
          <w:lang w:val="en-US" w:eastAsia="zh-CN"/>
        </w:rPr>
        <w:t xml:space="preserve"> (Add.8)</w:t>
      </w:r>
      <w:r>
        <w:rPr>
          <w:rFonts w:hint="eastAsia"/>
          <w:lang w:val="en-US" w:eastAsia="zh-CN"/>
        </w:rPr>
        <w:t>号文件）的</w:t>
      </w:r>
      <w:r>
        <w:rPr>
          <w:rFonts w:hint="eastAsia"/>
          <w:lang w:val="en-US" w:eastAsia="zh-CN"/>
        </w:rPr>
        <w:t>WRC-15</w:t>
      </w:r>
      <w:r>
        <w:rPr>
          <w:rFonts w:hint="eastAsia"/>
          <w:lang w:val="en-US" w:eastAsia="zh-CN"/>
        </w:rPr>
        <w:t>议项</w:t>
      </w:r>
      <w:r>
        <w:rPr>
          <w:rFonts w:hint="eastAsia"/>
          <w:lang w:val="en-US" w:eastAsia="zh-CN"/>
        </w:rPr>
        <w:t>9.1</w:t>
      </w:r>
      <w:r>
        <w:rPr>
          <w:rFonts w:hint="eastAsia"/>
          <w:lang w:val="en-US" w:eastAsia="zh-CN"/>
        </w:rPr>
        <w:t>、问题</w:t>
      </w:r>
      <w:r>
        <w:rPr>
          <w:rFonts w:hint="eastAsia"/>
          <w:lang w:val="en-US" w:eastAsia="zh-CN"/>
        </w:rPr>
        <w:t>9.1.8</w:t>
      </w:r>
      <w:r>
        <w:rPr>
          <w:rFonts w:hint="eastAsia"/>
          <w:lang w:val="en-US" w:eastAsia="zh-CN"/>
        </w:rPr>
        <w:t>，欧洲注意到，有必要增进有关卫星申报适用规则程序的知识传播，因此建议无线电通信全会通过</w:t>
      </w:r>
      <w:r>
        <w:rPr>
          <w:lang w:val="en-US" w:eastAsia="zh-CN"/>
        </w:rPr>
        <w:t>一项</w:t>
      </w:r>
      <w:r>
        <w:rPr>
          <w:rFonts w:hint="eastAsia"/>
          <w:lang w:val="en-US" w:eastAsia="zh-CN"/>
        </w:rPr>
        <w:t>决议，请</w:t>
      </w:r>
      <w:r>
        <w:rPr>
          <w:rFonts w:hint="eastAsia"/>
          <w:lang w:val="en-US" w:eastAsia="zh-CN"/>
        </w:rPr>
        <w:t>ITU-R</w:t>
      </w:r>
      <w:r>
        <w:rPr>
          <w:rFonts w:hint="eastAsia"/>
          <w:lang w:val="en-US" w:eastAsia="zh-CN"/>
        </w:rPr>
        <w:t>起草有关小型卫星（特别是质量小于</w:t>
      </w:r>
      <w:r>
        <w:rPr>
          <w:rFonts w:hint="eastAsia"/>
          <w:lang w:val="en-US" w:eastAsia="zh-CN"/>
        </w:rPr>
        <w:t>100</w:t>
      </w:r>
      <w:r>
        <w:rPr>
          <w:rFonts w:hint="eastAsia"/>
          <w:lang w:val="en-US" w:eastAsia="zh-CN"/>
        </w:rPr>
        <w:t>千克的卫星）的文件，并在文件中纳入有助于增进了解向国际电联提交卫星网络申报材料的适用程序的详细信息。</w:t>
      </w:r>
    </w:p>
    <w:p w:rsidR="00FB65ED" w:rsidRPr="00847A3B" w:rsidRDefault="007621F1" w:rsidP="00607340">
      <w:pPr>
        <w:ind w:firstLineChars="200" w:firstLine="480"/>
        <w:rPr>
          <w:lang w:eastAsia="zh-CN"/>
        </w:rPr>
      </w:pPr>
      <w:r>
        <w:rPr>
          <w:rFonts w:hint="eastAsia"/>
          <w:lang w:val="en-US" w:eastAsia="zh-CN"/>
        </w:rPr>
        <w:t>欧洲认为</w:t>
      </w:r>
      <w:r>
        <w:rPr>
          <w:rFonts w:hint="eastAsia"/>
          <w:lang w:val="en-US" w:eastAsia="zh-CN"/>
        </w:rPr>
        <w:t>ITU-R</w:t>
      </w:r>
      <w:r>
        <w:rPr>
          <w:rFonts w:hint="eastAsia"/>
          <w:lang w:val="en-US" w:eastAsia="zh-CN"/>
        </w:rPr>
        <w:t>应通过第</w:t>
      </w:r>
      <w:r>
        <w:rPr>
          <w:rFonts w:hint="eastAsia"/>
          <w:lang w:val="en-US" w:eastAsia="zh-CN"/>
        </w:rPr>
        <w:t>4</w:t>
      </w:r>
      <w:r>
        <w:rPr>
          <w:rFonts w:hint="eastAsia"/>
          <w:lang w:val="en-US" w:eastAsia="zh-CN"/>
        </w:rPr>
        <w:t>和第</w:t>
      </w:r>
      <w:r>
        <w:rPr>
          <w:rFonts w:hint="eastAsia"/>
          <w:lang w:val="en-US" w:eastAsia="zh-CN"/>
        </w:rPr>
        <w:t>7</w:t>
      </w:r>
      <w:r>
        <w:rPr>
          <w:rFonts w:hint="eastAsia"/>
          <w:lang w:val="en-US" w:eastAsia="zh-CN"/>
        </w:rPr>
        <w:t>研究组之间的密切合作开展有关响应此决议的工作，并请求</w:t>
      </w:r>
      <w:r>
        <w:rPr>
          <w:rFonts w:hint="eastAsia"/>
          <w:lang w:val="en-US" w:eastAsia="zh-CN"/>
        </w:rPr>
        <w:t>ITU-R</w:t>
      </w:r>
      <w:r>
        <w:rPr>
          <w:rFonts w:hint="eastAsia"/>
          <w:lang w:val="en-US" w:eastAsia="zh-CN"/>
        </w:rPr>
        <w:t>各研究组正副主席在讨论各项</w:t>
      </w:r>
      <w:r>
        <w:rPr>
          <w:rFonts w:hint="eastAsia"/>
          <w:lang w:val="en-US" w:eastAsia="zh-CN"/>
        </w:rPr>
        <w:t>ITU-R</w:t>
      </w:r>
      <w:r>
        <w:rPr>
          <w:rFonts w:hint="eastAsia"/>
          <w:lang w:val="en-US" w:eastAsia="zh-CN"/>
        </w:rPr>
        <w:t>决议</w:t>
      </w:r>
      <w:r w:rsidR="00607340">
        <w:rPr>
          <w:rFonts w:hint="eastAsia"/>
          <w:lang w:val="en-US" w:eastAsia="zh-CN"/>
        </w:rPr>
        <w:t>归属于</w:t>
      </w:r>
      <w:r>
        <w:rPr>
          <w:rFonts w:hint="eastAsia"/>
          <w:lang w:val="en-US" w:eastAsia="zh-CN"/>
        </w:rPr>
        <w:t>不同研究组时考虑到这一点。</w:t>
      </w:r>
    </w:p>
    <w:p w:rsidR="007621F1" w:rsidRDefault="007621F1">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7621F1" w:rsidRPr="00081EEB" w:rsidRDefault="007621F1" w:rsidP="007621F1">
      <w:pPr>
        <w:pStyle w:val="ResNo"/>
        <w:rPr>
          <w:lang w:val="en-US" w:eastAsia="zh-CN"/>
        </w:rPr>
      </w:pPr>
      <w:r>
        <w:rPr>
          <w:lang w:val="en-US" w:eastAsia="zh-CN"/>
        </w:rPr>
        <w:lastRenderedPageBreak/>
        <w:t>ITU-R</w:t>
      </w:r>
      <w:r>
        <w:rPr>
          <w:rFonts w:hint="eastAsia"/>
          <w:lang w:val="en-US" w:eastAsia="zh-CN"/>
        </w:rPr>
        <w:t>第</w:t>
      </w:r>
      <w:r w:rsidRPr="00081EEB">
        <w:rPr>
          <w:lang w:val="en-US" w:eastAsia="zh-CN"/>
        </w:rPr>
        <w:t>[EUR/SMALL SAT]</w:t>
      </w:r>
      <w:r>
        <w:rPr>
          <w:rFonts w:hint="eastAsia"/>
          <w:lang w:val="en-US" w:eastAsia="zh-CN"/>
        </w:rPr>
        <w:t>号新决议草案</w:t>
      </w:r>
    </w:p>
    <w:p w:rsidR="007621F1" w:rsidRPr="00081EEB" w:rsidRDefault="007621F1" w:rsidP="007621F1">
      <w:pPr>
        <w:pStyle w:val="Restitle"/>
        <w:rPr>
          <w:lang w:val="en-US" w:eastAsia="zh-CN"/>
        </w:rPr>
      </w:pPr>
      <w:r>
        <w:rPr>
          <w:rFonts w:hint="eastAsia"/>
          <w:lang w:val="en-US" w:eastAsia="zh-CN"/>
        </w:rPr>
        <w:t>增进有关小型卫星（包括纳卫星和皮卫星）适用规则程序的知识传播</w:t>
      </w:r>
    </w:p>
    <w:p w:rsidR="007621F1" w:rsidRPr="00081EEB" w:rsidRDefault="007621F1" w:rsidP="007621F1">
      <w:pPr>
        <w:pStyle w:val="Normalaftertitle0"/>
        <w:rPr>
          <w:lang w:val="en-US" w:eastAsia="zh-CN"/>
        </w:rPr>
      </w:pPr>
      <w:r>
        <w:rPr>
          <w:rFonts w:hint="eastAsia"/>
          <w:lang w:val="en-US" w:eastAsia="zh-CN"/>
        </w:rPr>
        <w:t>国际电联无线电通信全会，</w:t>
      </w:r>
    </w:p>
    <w:p w:rsidR="007621F1" w:rsidRPr="00BA2D44" w:rsidRDefault="007621F1" w:rsidP="007621F1">
      <w:pPr>
        <w:pStyle w:val="Call"/>
        <w:rPr>
          <w:lang w:val="en-US" w:eastAsia="zh-CN"/>
        </w:rPr>
      </w:pPr>
      <w:r w:rsidRPr="00BA2D44">
        <w:rPr>
          <w:rFonts w:hint="eastAsia"/>
          <w:lang w:val="en-US" w:eastAsia="zh-CN"/>
        </w:rPr>
        <w:t>考虑到</w:t>
      </w:r>
    </w:p>
    <w:p w:rsidR="007621F1" w:rsidRPr="00081EEB" w:rsidRDefault="007621F1" w:rsidP="00607340">
      <w:pPr>
        <w:rPr>
          <w:lang w:val="en-US" w:eastAsia="zh-CN"/>
        </w:rPr>
      </w:pPr>
      <w:r w:rsidRPr="00081EEB">
        <w:rPr>
          <w:i/>
          <w:iCs/>
          <w:lang w:val="en-US" w:eastAsia="zh-CN"/>
        </w:rPr>
        <w:t>a)</w:t>
      </w:r>
      <w:r w:rsidRPr="00081EEB">
        <w:rPr>
          <w:lang w:val="en-US" w:eastAsia="zh-CN"/>
        </w:rPr>
        <w:tab/>
      </w:r>
      <w:r>
        <w:rPr>
          <w:rFonts w:hint="eastAsia"/>
          <w:lang w:val="en-US" w:eastAsia="zh-CN"/>
        </w:rPr>
        <w:t>包括</w:t>
      </w:r>
      <w:r w:rsidR="00607340">
        <w:rPr>
          <w:rFonts w:hint="eastAsia"/>
          <w:lang w:val="en-US" w:eastAsia="zh-CN"/>
        </w:rPr>
        <w:t>亦</w:t>
      </w:r>
      <w:r w:rsidR="00607340">
        <w:rPr>
          <w:lang w:val="en-US" w:eastAsia="zh-CN"/>
        </w:rPr>
        <w:t>称为</w:t>
      </w:r>
      <w:r>
        <w:rPr>
          <w:rFonts w:hint="eastAsia"/>
          <w:lang w:val="en-US" w:eastAsia="zh-CN"/>
        </w:rPr>
        <w:t>纳卫星（质量通常为</w:t>
      </w:r>
      <w:r>
        <w:rPr>
          <w:rFonts w:hint="eastAsia"/>
          <w:lang w:val="en-US" w:eastAsia="zh-CN"/>
        </w:rPr>
        <w:t>1</w:t>
      </w:r>
      <w:r>
        <w:rPr>
          <w:rFonts w:hint="eastAsia"/>
          <w:lang w:val="en-US" w:eastAsia="zh-CN"/>
        </w:rPr>
        <w:t>至</w:t>
      </w:r>
      <w:r>
        <w:rPr>
          <w:rFonts w:hint="eastAsia"/>
          <w:lang w:val="en-US" w:eastAsia="zh-CN"/>
        </w:rPr>
        <w:t>10</w:t>
      </w:r>
      <w:r>
        <w:rPr>
          <w:rFonts w:hint="eastAsia"/>
          <w:lang w:val="en-US" w:eastAsia="zh-CN"/>
        </w:rPr>
        <w:t>千克）和皮卫星（质量通常为</w:t>
      </w:r>
      <w:r>
        <w:rPr>
          <w:rFonts w:hint="eastAsia"/>
          <w:lang w:val="en-US" w:eastAsia="zh-CN"/>
        </w:rPr>
        <w:t>0.1</w:t>
      </w:r>
      <w:r>
        <w:rPr>
          <w:rFonts w:hint="eastAsia"/>
          <w:lang w:val="en-US" w:eastAsia="zh-CN"/>
        </w:rPr>
        <w:t>至</w:t>
      </w:r>
      <w:r>
        <w:rPr>
          <w:rFonts w:hint="eastAsia"/>
          <w:lang w:val="en-US" w:eastAsia="zh-CN"/>
        </w:rPr>
        <w:t>1</w:t>
      </w:r>
      <w:r>
        <w:rPr>
          <w:rFonts w:hint="eastAsia"/>
          <w:lang w:val="en-US" w:eastAsia="zh-CN"/>
        </w:rPr>
        <w:t>千克）在内的小型卫星（质量通常小于</w:t>
      </w:r>
      <w:r>
        <w:rPr>
          <w:rFonts w:hint="eastAsia"/>
          <w:lang w:val="en-US" w:eastAsia="zh-CN"/>
        </w:rPr>
        <w:t>100</w:t>
      </w:r>
      <w:r>
        <w:rPr>
          <w:rFonts w:hint="eastAsia"/>
          <w:lang w:val="en-US" w:eastAsia="zh-CN"/>
        </w:rPr>
        <w:t>千克）的</w:t>
      </w:r>
      <w:r w:rsidR="00607340">
        <w:rPr>
          <w:rFonts w:hint="eastAsia"/>
          <w:lang w:val="en-US" w:eastAsia="zh-CN"/>
        </w:rPr>
        <w:t>一</w:t>
      </w:r>
      <w:r w:rsidR="00607340">
        <w:rPr>
          <w:lang w:val="en-US" w:eastAsia="zh-CN"/>
        </w:rPr>
        <w:t>些</w:t>
      </w:r>
      <w:r>
        <w:rPr>
          <w:rFonts w:hint="eastAsia"/>
          <w:lang w:val="en-US" w:eastAsia="zh-CN"/>
        </w:rPr>
        <w:t>开发者和制造者可能并不了解适用于此类卫星的国际电联规则程序；</w:t>
      </w:r>
    </w:p>
    <w:p w:rsidR="007621F1" w:rsidRDefault="007621F1" w:rsidP="00607340">
      <w:pPr>
        <w:rPr>
          <w:lang w:val="en-US" w:eastAsia="zh-CN"/>
        </w:rPr>
      </w:pPr>
      <w:r w:rsidRPr="00081EEB">
        <w:rPr>
          <w:i/>
          <w:iCs/>
          <w:lang w:val="en-US" w:eastAsia="zh-CN"/>
        </w:rPr>
        <w:t>b)</w:t>
      </w:r>
      <w:r>
        <w:rPr>
          <w:lang w:val="en-US" w:eastAsia="zh-CN"/>
        </w:rPr>
        <w:tab/>
      </w:r>
      <w:r w:rsidR="00607340">
        <w:rPr>
          <w:rFonts w:hint="eastAsia"/>
          <w:lang w:val="en-US" w:eastAsia="zh-CN"/>
        </w:rPr>
        <w:t>一</w:t>
      </w:r>
      <w:r w:rsidR="00607340">
        <w:rPr>
          <w:lang w:val="en-US" w:eastAsia="zh-CN"/>
        </w:rPr>
        <w:t>些</w:t>
      </w:r>
      <w:r>
        <w:rPr>
          <w:rFonts w:hint="eastAsia"/>
          <w:lang w:val="en-US" w:eastAsia="zh-CN"/>
        </w:rPr>
        <w:t>主管部门可能会从有关</w:t>
      </w:r>
      <w:r w:rsidR="00607340">
        <w:rPr>
          <w:rFonts w:hint="eastAsia"/>
          <w:lang w:val="en-US" w:eastAsia="zh-CN"/>
        </w:rPr>
        <w:t>将国际电联规则程序用</w:t>
      </w:r>
      <w:r w:rsidR="00607340">
        <w:rPr>
          <w:lang w:val="en-US" w:eastAsia="zh-CN"/>
        </w:rPr>
        <w:t>于</w:t>
      </w:r>
      <w:r>
        <w:rPr>
          <w:rFonts w:hint="eastAsia"/>
          <w:lang w:val="en-US" w:eastAsia="zh-CN"/>
        </w:rPr>
        <w:t>频谱和轨道使用的更多信息中获益；</w:t>
      </w:r>
    </w:p>
    <w:p w:rsidR="007621F1" w:rsidRPr="00081EEB" w:rsidRDefault="007621F1" w:rsidP="00607340">
      <w:pPr>
        <w:rPr>
          <w:lang w:val="en-US" w:eastAsia="zh-CN"/>
        </w:rPr>
      </w:pPr>
      <w:r w:rsidRPr="00081EEB">
        <w:rPr>
          <w:i/>
          <w:iCs/>
          <w:lang w:val="en-US" w:eastAsia="zh-CN"/>
        </w:rPr>
        <w:t>c)</w:t>
      </w:r>
      <w:r w:rsidRPr="00081EEB">
        <w:rPr>
          <w:lang w:val="en-US" w:eastAsia="zh-CN"/>
        </w:rPr>
        <w:tab/>
      </w:r>
      <w:r>
        <w:rPr>
          <w:rFonts w:hint="eastAsia"/>
          <w:lang w:val="en-US" w:eastAsia="zh-CN"/>
        </w:rPr>
        <w:t>缺乏有关国际电联程序的知识可能会导致通知延迟，有时甚至会导致不按照适用规则程序发射此类卫星，从而可能</w:t>
      </w:r>
      <w:r w:rsidR="00607340">
        <w:rPr>
          <w:rFonts w:hint="eastAsia"/>
          <w:lang w:val="en-US" w:eastAsia="zh-CN"/>
        </w:rPr>
        <w:t>导致</w:t>
      </w:r>
      <w:r>
        <w:rPr>
          <w:rFonts w:hint="eastAsia"/>
          <w:lang w:val="en-US" w:eastAsia="zh-CN"/>
        </w:rPr>
        <w:t>干扰其它卫星网络的风险，</w:t>
      </w:r>
    </w:p>
    <w:p w:rsidR="007621F1" w:rsidRPr="00BA2D44" w:rsidRDefault="007621F1" w:rsidP="007621F1">
      <w:pPr>
        <w:pStyle w:val="Call"/>
        <w:rPr>
          <w:lang w:val="en-US" w:eastAsia="zh-CN"/>
        </w:rPr>
      </w:pPr>
      <w:r w:rsidRPr="00BA2D44">
        <w:rPr>
          <w:rFonts w:hint="eastAsia"/>
          <w:lang w:val="en-US" w:eastAsia="zh-CN"/>
        </w:rPr>
        <w:t>进一步考虑到</w:t>
      </w:r>
    </w:p>
    <w:p w:rsidR="007621F1" w:rsidRPr="00081EEB" w:rsidRDefault="007621F1" w:rsidP="007621F1">
      <w:pPr>
        <w:rPr>
          <w:lang w:val="en-US" w:eastAsia="zh-CN"/>
        </w:rPr>
      </w:pPr>
      <w:r w:rsidRPr="00081EEB">
        <w:rPr>
          <w:i/>
          <w:iCs/>
          <w:lang w:val="en-US" w:eastAsia="zh-CN"/>
        </w:rPr>
        <w:t>a)</w:t>
      </w:r>
      <w:r w:rsidRPr="00081EEB">
        <w:rPr>
          <w:lang w:val="en-US" w:eastAsia="zh-CN"/>
        </w:rPr>
        <w:tab/>
      </w:r>
      <w:r>
        <w:rPr>
          <w:rFonts w:hint="eastAsia"/>
          <w:lang w:val="en-US" w:eastAsia="zh-CN"/>
        </w:rPr>
        <w:t>根据《无线电规则》第</w:t>
      </w:r>
      <w:r>
        <w:rPr>
          <w:rFonts w:hint="eastAsia"/>
          <w:lang w:val="en-US" w:eastAsia="zh-CN"/>
        </w:rPr>
        <w:t>8</w:t>
      </w:r>
      <w:r>
        <w:rPr>
          <w:rFonts w:hint="eastAsia"/>
          <w:lang w:val="en-US" w:eastAsia="zh-CN"/>
        </w:rPr>
        <w:t>条，“</w:t>
      </w:r>
      <w:r>
        <w:rPr>
          <w:rFonts w:hint="eastAsia"/>
          <w:lang w:eastAsia="zh-CN"/>
        </w:rPr>
        <w:t>各主管部门应从国际频率登记总表（登记总表）中的登记中得到关于他们自己的和别的主管部门的频率指配的国际权利和义务”；</w:t>
      </w:r>
    </w:p>
    <w:p w:rsidR="007621F1" w:rsidRPr="00081EEB" w:rsidRDefault="007621F1" w:rsidP="00607340">
      <w:pPr>
        <w:rPr>
          <w:lang w:val="en-US" w:eastAsia="zh-CN"/>
        </w:rPr>
      </w:pPr>
      <w:r w:rsidRPr="00081EEB">
        <w:rPr>
          <w:i/>
          <w:iCs/>
          <w:lang w:val="en-US" w:eastAsia="zh-CN"/>
        </w:rPr>
        <w:t>b)</w:t>
      </w:r>
      <w:r w:rsidRPr="00081EEB">
        <w:rPr>
          <w:lang w:val="en-US" w:eastAsia="zh-CN"/>
        </w:rPr>
        <w:tab/>
      </w:r>
      <w:r>
        <w:rPr>
          <w:rFonts w:hint="eastAsia"/>
          <w:lang w:val="en-US" w:eastAsia="zh-CN"/>
        </w:rPr>
        <w:t>对于任何卫星系统而言，频率指配</w:t>
      </w:r>
      <w:r w:rsidR="00607340">
        <w:rPr>
          <w:rFonts w:hint="eastAsia"/>
          <w:lang w:val="en-US" w:eastAsia="zh-CN"/>
        </w:rPr>
        <w:t>的登记</w:t>
      </w:r>
      <w:r>
        <w:rPr>
          <w:rFonts w:hint="eastAsia"/>
          <w:lang w:val="en-US" w:eastAsia="zh-CN"/>
        </w:rPr>
        <w:t>均须酌情履行《无线电规则》第</w:t>
      </w:r>
      <w:r>
        <w:rPr>
          <w:rFonts w:hint="eastAsia"/>
          <w:lang w:val="en-US" w:eastAsia="zh-CN"/>
        </w:rPr>
        <w:t>9</w:t>
      </w:r>
      <w:r w:rsidR="00607340">
        <w:rPr>
          <w:rFonts w:hint="eastAsia"/>
          <w:lang w:val="en-US" w:eastAsia="zh-CN"/>
        </w:rPr>
        <w:t>条</w:t>
      </w:r>
      <w:r>
        <w:rPr>
          <w:rFonts w:hint="eastAsia"/>
          <w:lang w:val="en-US" w:eastAsia="zh-CN"/>
        </w:rPr>
        <w:t>和</w:t>
      </w:r>
      <w:r w:rsidR="00607340">
        <w:rPr>
          <w:rFonts w:hint="eastAsia"/>
          <w:lang w:val="en-US" w:eastAsia="zh-CN"/>
        </w:rPr>
        <w:t>第</w:t>
      </w:r>
      <w:r>
        <w:rPr>
          <w:rFonts w:hint="eastAsia"/>
          <w:lang w:val="en-US" w:eastAsia="zh-CN"/>
        </w:rPr>
        <w:t>11</w:t>
      </w:r>
      <w:r>
        <w:rPr>
          <w:rFonts w:hint="eastAsia"/>
          <w:lang w:val="en-US" w:eastAsia="zh-CN"/>
        </w:rPr>
        <w:t>条的规定；</w:t>
      </w:r>
    </w:p>
    <w:p w:rsidR="007621F1" w:rsidRPr="00081EEB" w:rsidRDefault="007621F1" w:rsidP="00607340">
      <w:pPr>
        <w:rPr>
          <w:lang w:val="en-US" w:eastAsia="zh-CN"/>
        </w:rPr>
      </w:pPr>
      <w:r w:rsidRPr="00081EEB">
        <w:rPr>
          <w:i/>
          <w:iCs/>
          <w:lang w:val="en-US" w:eastAsia="zh-CN"/>
        </w:rPr>
        <w:t>c)</w:t>
      </w:r>
      <w:r w:rsidRPr="00081EEB">
        <w:rPr>
          <w:lang w:val="en-US" w:eastAsia="zh-CN"/>
        </w:rPr>
        <w:tab/>
      </w:r>
      <w:r>
        <w:rPr>
          <w:rFonts w:hint="eastAsia"/>
          <w:lang w:val="en-US" w:eastAsia="zh-CN"/>
        </w:rPr>
        <w:t>确保（包括纳卫星和皮卫星</w:t>
      </w:r>
      <w:r w:rsidR="00607340">
        <w:rPr>
          <w:rFonts w:hint="eastAsia"/>
          <w:lang w:val="en-US" w:eastAsia="zh-CN"/>
        </w:rPr>
        <w:t>在</w:t>
      </w:r>
      <w:r w:rsidR="00607340">
        <w:rPr>
          <w:lang w:val="en-US" w:eastAsia="zh-CN"/>
        </w:rPr>
        <w:t>内</w:t>
      </w:r>
      <w:r>
        <w:rPr>
          <w:rFonts w:hint="eastAsia"/>
          <w:lang w:val="en-US" w:eastAsia="zh-CN"/>
        </w:rPr>
        <w:t>）的</w:t>
      </w:r>
      <w:r w:rsidR="00607340">
        <w:rPr>
          <w:rFonts w:hint="eastAsia"/>
          <w:lang w:val="en-US" w:eastAsia="zh-CN"/>
        </w:rPr>
        <w:t>卫星</w:t>
      </w:r>
      <w:r>
        <w:rPr>
          <w:rFonts w:hint="eastAsia"/>
          <w:lang w:val="en-US" w:eastAsia="zh-CN"/>
        </w:rPr>
        <w:t>无线电频率操作避免对其它系统和业务造成有害干扰</w:t>
      </w:r>
      <w:r w:rsidR="00607340">
        <w:rPr>
          <w:rFonts w:hint="eastAsia"/>
          <w:lang w:val="en-US" w:eastAsia="zh-CN"/>
        </w:rPr>
        <w:t>十</w:t>
      </w:r>
      <w:r w:rsidR="00607340">
        <w:rPr>
          <w:lang w:val="en-US" w:eastAsia="zh-CN"/>
        </w:rPr>
        <w:t>分重要</w:t>
      </w:r>
      <w:r>
        <w:rPr>
          <w:rFonts w:hint="eastAsia"/>
          <w:lang w:val="en-US" w:eastAsia="zh-CN"/>
        </w:rPr>
        <w:t>；</w:t>
      </w:r>
    </w:p>
    <w:p w:rsidR="007621F1" w:rsidRPr="00081EEB" w:rsidRDefault="007621F1" w:rsidP="00607340">
      <w:pPr>
        <w:rPr>
          <w:lang w:val="en-US" w:eastAsia="zh-CN"/>
        </w:rPr>
      </w:pPr>
      <w:r w:rsidRPr="00081EEB">
        <w:rPr>
          <w:i/>
          <w:iCs/>
          <w:lang w:val="en-US" w:eastAsia="zh-CN"/>
        </w:rPr>
        <w:t>d)</w:t>
      </w:r>
      <w:r>
        <w:rPr>
          <w:lang w:val="en-US" w:eastAsia="zh-CN"/>
        </w:rPr>
        <w:tab/>
      </w:r>
      <w:r>
        <w:rPr>
          <w:rFonts w:hint="eastAsia"/>
          <w:lang w:val="en-US" w:eastAsia="zh-CN"/>
        </w:rPr>
        <w:t>应及时</w:t>
      </w:r>
      <w:r w:rsidR="00607340">
        <w:rPr>
          <w:rFonts w:hint="eastAsia"/>
          <w:lang w:val="en-US" w:eastAsia="zh-CN"/>
        </w:rPr>
        <w:t>进行</w:t>
      </w:r>
      <w:r>
        <w:rPr>
          <w:rFonts w:hint="eastAsia"/>
          <w:lang w:val="en-US" w:eastAsia="zh-CN"/>
        </w:rPr>
        <w:t>相关的国际电联卫星登记（例如申报、在</w:t>
      </w:r>
      <w:r>
        <w:rPr>
          <w:rFonts w:hint="eastAsia"/>
          <w:lang w:val="en-US" w:eastAsia="zh-CN"/>
        </w:rPr>
        <w:t>MIFR</w:t>
      </w:r>
      <w:r>
        <w:rPr>
          <w:rFonts w:hint="eastAsia"/>
          <w:lang w:val="en-US" w:eastAsia="zh-CN"/>
        </w:rPr>
        <w:t>中登记）；</w:t>
      </w:r>
    </w:p>
    <w:p w:rsidR="007621F1" w:rsidRPr="00081EEB" w:rsidRDefault="007621F1" w:rsidP="00607340">
      <w:pPr>
        <w:rPr>
          <w:lang w:val="en-US" w:eastAsia="zh-CN"/>
        </w:rPr>
      </w:pPr>
      <w:r w:rsidRPr="00081EEB">
        <w:rPr>
          <w:i/>
          <w:iCs/>
          <w:lang w:val="en-US" w:eastAsia="zh-CN"/>
        </w:rPr>
        <w:t>e)</w:t>
      </w:r>
      <w:r w:rsidRPr="00081EEB">
        <w:rPr>
          <w:lang w:val="en-US" w:eastAsia="zh-CN"/>
        </w:rPr>
        <w:tab/>
      </w:r>
      <w:r>
        <w:rPr>
          <w:rFonts w:hint="eastAsia"/>
          <w:lang w:val="en-US" w:eastAsia="zh-CN"/>
        </w:rPr>
        <w:t>相关主管部门和开发者了解与“</w:t>
      </w:r>
      <w:r w:rsidRPr="002D6784">
        <w:rPr>
          <w:rFonts w:eastAsia="STKaiti"/>
          <w:lang w:val="en-US" w:eastAsia="zh-CN"/>
        </w:rPr>
        <w:t>进一步考虑到</w:t>
      </w:r>
      <w:r w:rsidRPr="002D6784">
        <w:rPr>
          <w:rFonts w:eastAsia="STKaiti"/>
          <w:lang w:val="en-US" w:eastAsia="zh-CN"/>
        </w:rPr>
        <w:t xml:space="preserve"> </w:t>
      </w:r>
      <w:r w:rsidRPr="00282CCD">
        <w:rPr>
          <w:rFonts w:eastAsia="STKaiti"/>
          <w:i/>
          <w:iCs/>
          <w:lang w:val="en-US" w:eastAsia="zh-CN"/>
        </w:rPr>
        <w:t>d)</w:t>
      </w:r>
      <w:r>
        <w:rPr>
          <w:rFonts w:hint="eastAsia"/>
          <w:lang w:val="en-US" w:eastAsia="zh-CN"/>
        </w:rPr>
        <w:t>”一段提及的惯例相关的国际电联适用程序</w:t>
      </w:r>
      <w:r w:rsidR="00607340">
        <w:rPr>
          <w:rFonts w:hint="eastAsia"/>
          <w:lang w:val="en-US" w:eastAsia="zh-CN"/>
        </w:rPr>
        <w:t>十</w:t>
      </w:r>
      <w:r w:rsidR="00607340">
        <w:rPr>
          <w:lang w:val="en-US" w:eastAsia="zh-CN"/>
        </w:rPr>
        <w:t>分重要</w:t>
      </w:r>
      <w:r>
        <w:rPr>
          <w:rFonts w:hint="eastAsia"/>
          <w:lang w:val="en-US" w:eastAsia="zh-CN"/>
        </w:rPr>
        <w:t>；</w:t>
      </w:r>
    </w:p>
    <w:p w:rsidR="007621F1" w:rsidRPr="00081EEB" w:rsidRDefault="007621F1" w:rsidP="00607340">
      <w:pPr>
        <w:rPr>
          <w:lang w:val="en-US" w:eastAsia="zh-CN"/>
        </w:rPr>
      </w:pPr>
      <w:r w:rsidRPr="00081EEB">
        <w:rPr>
          <w:i/>
          <w:iCs/>
          <w:lang w:val="en-US" w:eastAsia="zh-CN"/>
        </w:rPr>
        <w:t>f)</w:t>
      </w:r>
      <w:r w:rsidRPr="00081EEB">
        <w:rPr>
          <w:lang w:val="en-US" w:eastAsia="zh-CN"/>
        </w:rPr>
        <w:tab/>
      </w:r>
      <w:r>
        <w:rPr>
          <w:rFonts w:hint="eastAsia"/>
          <w:lang w:val="en-US" w:eastAsia="zh-CN"/>
        </w:rPr>
        <w:t>包括诸如皮卫星和纳卫星</w:t>
      </w:r>
      <w:r w:rsidR="00607340">
        <w:rPr>
          <w:rFonts w:hint="eastAsia"/>
          <w:lang w:val="en-US" w:eastAsia="zh-CN"/>
        </w:rPr>
        <w:t>之类</w:t>
      </w:r>
      <w:r>
        <w:rPr>
          <w:rFonts w:hint="eastAsia"/>
          <w:lang w:val="en-US" w:eastAsia="zh-CN"/>
        </w:rPr>
        <w:t>的小型卫星在内的所有卫星均应根据</w:t>
      </w:r>
      <w:r>
        <w:rPr>
          <w:rFonts w:hint="eastAsia"/>
          <w:lang w:val="en-US" w:eastAsia="zh-CN"/>
        </w:rPr>
        <w:t>ITU-R</w:t>
      </w:r>
      <w:r>
        <w:rPr>
          <w:rFonts w:hint="eastAsia"/>
          <w:lang w:val="en-US" w:eastAsia="zh-CN"/>
        </w:rPr>
        <w:t>《无线电规则》</w:t>
      </w:r>
      <w:r w:rsidR="00607340">
        <w:rPr>
          <w:rFonts w:hint="eastAsia"/>
          <w:lang w:val="en-US" w:eastAsia="zh-CN"/>
        </w:rPr>
        <w:t>的相关条款</w:t>
      </w:r>
      <w:r>
        <w:rPr>
          <w:rFonts w:hint="eastAsia"/>
          <w:lang w:val="en-US" w:eastAsia="zh-CN"/>
        </w:rPr>
        <w:t>和</w:t>
      </w:r>
      <w:r>
        <w:rPr>
          <w:rFonts w:hint="eastAsia"/>
          <w:lang w:val="en-US" w:eastAsia="zh-CN"/>
        </w:rPr>
        <w:t>ITU-R</w:t>
      </w:r>
      <w:r>
        <w:rPr>
          <w:rFonts w:hint="eastAsia"/>
          <w:lang w:val="en-US" w:eastAsia="zh-CN"/>
        </w:rPr>
        <w:t>建议书使用无线电频率；</w:t>
      </w:r>
    </w:p>
    <w:p w:rsidR="007621F1" w:rsidRPr="00081EEB" w:rsidRDefault="007621F1" w:rsidP="007621F1">
      <w:pPr>
        <w:rPr>
          <w:lang w:val="en-US" w:eastAsia="zh-CN"/>
        </w:rPr>
      </w:pPr>
      <w:r w:rsidRPr="00081EEB">
        <w:rPr>
          <w:i/>
          <w:iCs/>
          <w:lang w:val="en-US" w:eastAsia="zh-CN"/>
        </w:rPr>
        <w:t>g)</w:t>
      </w:r>
      <w:r>
        <w:rPr>
          <w:lang w:val="en-US" w:eastAsia="zh-CN"/>
        </w:rPr>
        <w:tab/>
      </w:r>
      <w:r>
        <w:rPr>
          <w:rFonts w:hint="eastAsia"/>
          <w:lang w:val="en-US" w:eastAsia="zh-CN"/>
        </w:rPr>
        <w:t>许多小型卫星不带推进系统，因此无法保持恒定的轨道高度，</w:t>
      </w:r>
    </w:p>
    <w:p w:rsidR="007621F1" w:rsidRPr="00BA2D44" w:rsidRDefault="007621F1" w:rsidP="007621F1">
      <w:pPr>
        <w:pStyle w:val="Call"/>
        <w:rPr>
          <w:lang w:val="en-US" w:eastAsia="zh-CN"/>
        </w:rPr>
      </w:pPr>
      <w:r w:rsidRPr="00BA2D44">
        <w:rPr>
          <w:rFonts w:hint="eastAsia"/>
          <w:lang w:val="en-US" w:eastAsia="zh-CN"/>
        </w:rPr>
        <w:t>认识到</w:t>
      </w:r>
    </w:p>
    <w:p w:rsidR="007621F1" w:rsidRPr="00081EEB" w:rsidRDefault="007621F1" w:rsidP="00607340">
      <w:pPr>
        <w:rPr>
          <w:lang w:val="en-US" w:eastAsia="zh-CN"/>
        </w:rPr>
      </w:pPr>
      <w:r w:rsidRPr="00081EEB">
        <w:rPr>
          <w:i/>
          <w:iCs/>
          <w:lang w:val="en-US" w:eastAsia="zh-CN"/>
        </w:rPr>
        <w:t>a)</w:t>
      </w:r>
      <w:r w:rsidRPr="00081EEB">
        <w:rPr>
          <w:lang w:val="en-US" w:eastAsia="zh-CN"/>
        </w:rPr>
        <w:tab/>
      </w:r>
      <w:r>
        <w:rPr>
          <w:rFonts w:hint="eastAsia"/>
          <w:lang w:val="en-US" w:eastAsia="zh-CN"/>
        </w:rPr>
        <w:t>已经发射和计划发射的小型卫星（特别是质量通常小于</w:t>
      </w:r>
      <w:r>
        <w:rPr>
          <w:rFonts w:hint="eastAsia"/>
          <w:lang w:val="en-US" w:eastAsia="zh-CN"/>
        </w:rPr>
        <w:t>100</w:t>
      </w:r>
      <w:r>
        <w:rPr>
          <w:rFonts w:hint="eastAsia"/>
          <w:lang w:val="en-US" w:eastAsia="zh-CN"/>
        </w:rPr>
        <w:t>千克的卫星）的数量正在</w:t>
      </w:r>
      <w:r w:rsidR="00607340">
        <w:rPr>
          <w:rFonts w:hint="eastAsia"/>
          <w:lang w:val="en-US" w:eastAsia="zh-CN"/>
        </w:rPr>
        <w:t>增</w:t>
      </w:r>
      <w:r w:rsidR="00607340">
        <w:rPr>
          <w:lang w:val="en-US" w:eastAsia="zh-CN"/>
        </w:rPr>
        <w:t>长</w:t>
      </w:r>
      <w:r>
        <w:rPr>
          <w:rFonts w:hint="eastAsia"/>
          <w:lang w:val="en-US" w:eastAsia="zh-CN"/>
        </w:rPr>
        <w:t>；</w:t>
      </w:r>
    </w:p>
    <w:p w:rsidR="007621F1" w:rsidRPr="00081EEB" w:rsidRDefault="007621F1" w:rsidP="007621F1">
      <w:pPr>
        <w:rPr>
          <w:lang w:val="en-US" w:eastAsia="zh-CN"/>
        </w:rPr>
      </w:pPr>
      <w:r w:rsidRPr="00081EEB">
        <w:rPr>
          <w:i/>
          <w:iCs/>
          <w:lang w:val="en-US" w:eastAsia="zh-CN"/>
        </w:rPr>
        <w:t>b)</w:t>
      </w:r>
      <w:r w:rsidRPr="00081EEB">
        <w:rPr>
          <w:lang w:val="en-US" w:eastAsia="zh-CN"/>
        </w:rPr>
        <w:tab/>
      </w:r>
      <w:r>
        <w:rPr>
          <w:rFonts w:hint="eastAsia"/>
          <w:lang w:val="en-US" w:eastAsia="zh-CN"/>
        </w:rPr>
        <w:t>此类卫星可为太空新成员提供一种价格可承受的轨道资源（频谱和轨道）获取方式；</w:t>
      </w:r>
    </w:p>
    <w:p w:rsidR="007621F1" w:rsidRPr="00081EEB" w:rsidRDefault="007621F1" w:rsidP="007621F1">
      <w:pPr>
        <w:rPr>
          <w:lang w:val="en-US" w:eastAsia="zh-CN"/>
        </w:rPr>
      </w:pPr>
      <w:r w:rsidRPr="00081EEB">
        <w:rPr>
          <w:i/>
          <w:iCs/>
          <w:lang w:val="en-US" w:eastAsia="zh-CN"/>
        </w:rPr>
        <w:t>c)</w:t>
      </w:r>
      <w:r w:rsidRPr="00081EEB">
        <w:rPr>
          <w:lang w:val="en-US" w:eastAsia="zh-CN"/>
        </w:rPr>
        <w:tab/>
      </w:r>
      <w:r>
        <w:rPr>
          <w:rFonts w:hint="eastAsia"/>
          <w:lang w:val="en-US" w:eastAsia="zh-CN"/>
        </w:rPr>
        <w:t>即使卫星的质量和尺寸与频率管理无关，此类卫星较轻的质量和较小的尺寸已经成为新兴太空国家取得成功的主要贡献因素，</w:t>
      </w:r>
    </w:p>
    <w:p w:rsidR="007621F1" w:rsidRPr="00BA2D44" w:rsidRDefault="007621F1" w:rsidP="007621F1">
      <w:pPr>
        <w:pStyle w:val="Call"/>
        <w:rPr>
          <w:lang w:val="en-US" w:eastAsia="zh-CN"/>
        </w:rPr>
      </w:pPr>
      <w:r w:rsidRPr="00BA2D44">
        <w:rPr>
          <w:rFonts w:hint="eastAsia"/>
          <w:lang w:val="en-US" w:eastAsia="zh-CN"/>
        </w:rPr>
        <w:t>注意到</w:t>
      </w:r>
    </w:p>
    <w:p w:rsidR="007621F1" w:rsidRPr="00081EEB" w:rsidRDefault="007621F1" w:rsidP="00607340">
      <w:pPr>
        <w:ind w:firstLineChars="200" w:firstLine="480"/>
        <w:rPr>
          <w:lang w:val="en-US" w:eastAsia="zh-CN"/>
        </w:rPr>
      </w:pPr>
      <w:r w:rsidRPr="009A102B">
        <w:rPr>
          <w:rFonts w:hint="eastAsia"/>
          <w:lang w:val="en-US" w:eastAsia="zh-CN"/>
        </w:rPr>
        <w:t>联合国外层空间事务厅和国际电联起草的《</w:t>
      </w:r>
      <w:r>
        <w:rPr>
          <w:rFonts w:hint="eastAsia"/>
          <w:lang w:val="en-US" w:eastAsia="zh-CN"/>
        </w:rPr>
        <w:t>有关</w:t>
      </w:r>
      <w:r w:rsidRPr="009A102B">
        <w:rPr>
          <w:rFonts w:hint="eastAsia"/>
          <w:lang w:val="en-US" w:eastAsia="zh-CN"/>
        </w:rPr>
        <w:t>小型及超小型卫星的空间物体登记和频率管理导则》，</w:t>
      </w:r>
    </w:p>
    <w:p w:rsidR="007621F1" w:rsidRPr="00BA2D44" w:rsidRDefault="007621F1" w:rsidP="007621F1">
      <w:pPr>
        <w:pStyle w:val="Call"/>
        <w:rPr>
          <w:lang w:val="en-US" w:eastAsia="zh-CN"/>
        </w:rPr>
      </w:pPr>
      <w:r w:rsidRPr="00BA2D44">
        <w:rPr>
          <w:rFonts w:hint="eastAsia"/>
          <w:lang w:val="en-US" w:eastAsia="zh-CN"/>
        </w:rPr>
        <w:lastRenderedPageBreak/>
        <w:t>做出决议</w:t>
      </w:r>
    </w:p>
    <w:p w:rsidR="007621F1" w:rsidRPr="00081EEB" w:rsidRDefault="007621F1" w:rsidP="00607340">
      <w:pPr>
        <w:ind w:firstLineChars="200" w:firstLine="480"/>
        <w:rPr>
          <w:lang w:val="en-US" w:eastAsia="zh-CN"/>
        </w:rPr>
      </w:pPr>
      <w:r>
        <w:rPr>
          <w:rFonts w:hint="eastAsia"/>
          <w:lang w:val="en-US" w:eastAsia="zh-CN"/>
        </w:rPr>
        <w:t>起草诸如建议书、报告或手册等有关小型卫星（特别是质量小于</w:t>
      </w:r>
      <w:r>
        <w:rPr>
          <w:rFonts w:hint="eastAsia"/>
          <w:lang w:val="en-US" w:eastAsia="zh-CN"/>
        </w:rPr>
        <w:t>100</w:t>
      </w:r>
      <w:r>
        <w:rPr>
          <w:rFonts w:hint="eastAsia"/>
          <w:lang w:val="en-US" w:eastAsia="zh-CN"/>
        </w:rPr>
        <w:t>千克的卫星）的</w:t>
      </w:r>
      <w:r w:rsidR="00607340">
        <w:rPr>
          <w:rFonts w:hint="eastAsia"/>
          <w:lang w:val="en-US" w:eastAsia="zh-CN"/>
        </w:rPr>
        <w:t>资</w:t>
      </w:r>
      <w:r>
        <w:rPr>
          <w:rFonts w:hint="eastAsia"/>
          <w:lang w:val="en-US" w:eastAsia="zh-CN"/>
        </w:rPr>
        <w:t>料，并在</w:t>
      </w:r>
      <w:r w:rsidR="00607340">
        <w:rPr>
          <w:rFonts w:hint="eastAsia"/>
          <w:lang w:val="en-US" w:eastAsia="zh-CN"/>
        </w:rPr>
        <w:t>资</w:t>
      </w:r>
      <w:r>
        <w:rPr>
          <w:rFonts w:hint="eastAsia"/>
          <w:lang w:val="en-US" w:eastAsia="zh-CN"/>
        </w:rPr>
        <w:t>料中纳入有助于增进了解向国际电联提交卫星网络申报材料的适用程序的详细信息，</w:t>
      </w:r>
    </w:p>
    <w:p w:rsidR="007621F1" w:rsidRPr="00BA2D44" w:rsidRDefault="007621F1" w:rsidP="007621F1">
      <w:pPr>
        <w:pStyle w:val="Call"/>
        <w:rPr>
          <w:lang w:val="en-US" w:eastAsia="zh-CN"/>
        </w:rPr>
      </w:pPr>
      <w:r w:rsidRPr="00BA2D44">
        <w:rPr>
          <w:rFonts w:hint="eastAsia"/>
          <w:lang w:val="en-US" w:eastAsia="zh-CN"/>
        </w:rPr>
        <w:t>请各主管部门</w:t>
      </w:r>
    </w:p>
    <w:p w:rsidR="007621F1" w:rsidRPr="00081EEB" w:rsidRDefault="007621F1" w:rsidP="007621F1">
      <w:pPr>
        <w:rPr>
          <w:lang w:val="en-US" w:eastAsia="zh-CN"/>
        </w:rPr>
      </w:pPr>
      <w:r w:rsidRPr="00081EEB">
        <w:rPr>
          <w:lang w:val="en-US" w:eastAsia="zh-CN"/>
        </w:rPr>
        <w:t>1</w:t>
      </w:r>
      <w:r w:rsidRPr="00081EEB">
        <w:rPr>
          <w:lang w:val="en-US" w:eastAsia="zh-CN"/>
        </w:rPr>
        <w:tab/>
      </w:r>
      <w:r>
        <w:rPr>
          <w:rFonts w:hint="eastAsia"/>
          <w:lang w:val="en-US" w:eastAsia="zh-CN"/>
        </w:rPr>
        <w:t>向其负责开发、制造、运营和发射小型卫星，特别是质量小于</w:t>
      </w:r>
      <w:r>
        <w:rPr>
          <w:rFonts w:hint="eastAsia"/>
          <w:lang w:val="en-US" w:eastAsia="zh-CN"/>
        </w:rPr>
        <w:t>100</w:t>
      </w:r>
      <w:r>
        <w:rPr>
          <w:rFonts w:hint="eastAsia"/>
          <w:lang w:val="en-US" w:eastAsia="zh-CN"/>
        </w:rPr>
        <w:t>千克的卫星（如纳卫星和皮卫星）的国家实体通报适用于协调、通知和使用轨道资源（即轨道和频率）的国际电联及国家的规则规定；</w:t>
      </w:r>
    </w:p>
    <w:p w:rsidR="007621F1" w:rsidRPr="00081EEB" w:rsidRDefault="007621F1" w:rsidP="007621F1">
      <w:pPr>
        <w:rPr>
          <w:lang w:val="en-US" w:eastAsia="zh-CN"/>
        </w:rPr>
      </w:pPr>
      <w:r w:rsidRPr="00081EEB">
        <w:rPr>
          <w:lang w:val="en-US" w:eastAsia="zh-CN"/>
        </w:rPr>
        <w:t>2</w:t>
      </w:r>
      <w:r w:rsidRPr="00081EEB">
        <w:rPr>
          <w:lang w:val="en-US" w:eastAsia="zh-CN"/>
        </w:rPr>
        <w:tab/>
      </w:r>
      <w:r>
        <w:rPr>
          <w:rFonts w:hint="eastAsia"/>
          <w:lang w:val="en-US" w:eastAsia="zh-CN"/>
        </w:rPr>
        <w:t>鼓励计划向外层空间发射和部署上述卫星的国家实体在卫星发射之前尽早启动相关的国际电联登记程序，</w:t>
      </w:r>
    </w:p>
    <w:p w:rsidR="007621F1" w:rsidRPr="00BA2D44" w:rsidRDefault="007621F1" w:rsidP="007621F1">
      <w:pPr>
        <w:pStyle w:val="Call"/>
        <w:rPr>
          <w:lang w:val="en-US" w:eastAsia="zh-CN"/>
        </w:rPr>
      </w:pPr>
      <w:r>
        <w:rPr>
          <w:rFonts w:hint="eastAsia"/>
          <w:lang w:val="en-US" w:eastAsia="zh-CN"/>
        </w:rPr>
        <w:t>要求</w:t>
      </w:r>
      <w:r w:rsidRPr="00BA2D44">
        <w:rPr>
          <w:rFonts w:hint="eastAsia"/>
          <w:lang w:val="en-US" w:eastAsia="zh-CN"/>
        </w:rPr>
        <w:t>秘书长</w:t>
      </w:r>
    </w:p>
    <w:p w:rsidR="007621F1" w:rsidRPr="00081EEB" w:rsidRDefault="007621F1" w:rsidP="00607340">
      <w:pPr>
        <w:ind w:firstLineChars="200" w:firstLine="480"/>
        <w:rPr>
          <w:lang w:val="en-US" w:eastAsia="zh-CN"/>
        </w:rPr>
      </w:pPr>
      <w:r>
        <w:rPr>
          <w:rFonts w:hint="eastAsia"/>
          <w:lang w:val="en-US" w:eastAsia="zh-CN"/>
        </w:rPr>
        <w:t>提请联合国和平利用外层空间委员会注意本决议。</w:t>
      </w:r>
    </w:p>
    <w:p w:rsidR="007621F1" w:rsidRPr="00081EEB" w:rsidRDefault="007621F1" w:rsidP="007621F1">
      <w:pPr>
        <w:spacing w:line="480" w:lineRule="auto"/>
        <w:rPr>
          <w:lang w:val="en-US" w:eastAsia="zh-CN"/>
        </w:rPr>
      </w:pPr>
    </w:p>
    <w:p w:rsidR="00464997" w:rsidRPr="007621F1" w:rsidRDefault="00464997" w:rsidP="0032202E">
      <w:pPr>
        <w:pStyle w:val="Reasons"/>
        <w:rPr>
          <w:lang w:val="en-US" w:eastAsia="zh-CN"/>
        </w:rPr>
      </w:pPr>
    </w:p>
    <w:p w:rsidR="00464997" w:rsidRDefault="00464997">
      <w:pPr>
        <w:jc w:val="center"/>
      </w:pPr>
      <w:r>
        <w:t>______________</w:t>
      </w:r>
    </w:p>
    <w:bookmarkEnd w:id="8"/>
    <w:bookmarkEnd w:id="9"/>
    <w:bookmarkEnd w:id="10"/>
    <w:bookmarkEnd w:id="11"/>
    <w:bookmarkEnd w:id="12"/>
    <w:bookmarkEnd w:id="13"/>
    <w:bookmarkEnd w:id="14"/>
    <w:bookmarkEnd w:id="15"/>
    <w:bookmarkEnd w:id="16"/>
    <w:bookmarkEnd w:id="17"/>
    <w:sectPr w:rsidR="00464997" w:rsidSect="009447A3">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FBD" w:rsidRDefault="00ED6FBD">
      <w:r>
        <w:separator/>
      </w:r>
    </w:p>
  </w:endnote>
  <w:endnote w:type="continuationSeparator" w:id="0">
    <w:p w:rsidR="00ED6FBD" w:rsidRDefault="00ED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322E06">
      <w:rPr>
        <w:noProof/>
        <w:lang w:val="fr-FR"/>
      </w:rPr>
      <w:t>P:\CHI\ITU-R\CONF-R\AR15\PLEN\000\034ADD06C.docx</w:t>
    </w:r>
    <w:r>
      <w:fldChar w:fldCharType="end"/>
    </w:r>
    <w:r w:rsidRPr="00877D12">
      <w:rPr>
        <w:lang w:val="fr-FR"/>
      </w:rPr>
      <w:tab/>
    </w:r>
    <w:r>
      <w:fldChar w:fldCharType="begin"/>
    </w:r>
    <w:r>
      <w:instrText xml:space="preserve"> SAVEDATE \@ DD.MM.YY </w:instrText>
    </w:r>
    <w:r>
      <w:fldChar w:fldCharType="separate"/>
    </w:r>
    <w:r w:rsidR="00322E06">
      <w:rPr>
        <w:noProof/>
      </w:rPr>
      <w:t>20.10.15</w:t>
    </w:r>
    <w:r>
      <w:fldChar w:fldCharType="end"/>
    </w:r>
    <w:r w:rsidRPr="00877D12">
      <w:rPr>
        <w:lang w:val="fr-FR"/>
      </w:rPr>
      <w:tab/>
    </w:r>
    <w:r>
      <w:fldChar w:fldCharType="begin"/>
    </w:r>
    <w:r>
      <w:instrText xml:space="preserve"> PRINTDATE \@ DD.MM.YY </w:instrText>
    </w:r>
    <w:r>
      <w:fldChar w:fldCharType="separate"/>
    </w:r>
    <w:r w:rsidR="00322E06">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F1" w:rsidRDefault="007621F1" w:rsidP="007621F1">
    <w:pPr>
      <w:pStyle w:val="Header"/>
    </w:pPr>
  </w:p>
  <w:p w:rsidR="00586689" w:rsidRPr="007414AA" w:rsidRDefault="007621F1" w:rsidP="007621F1">
    <w:pPr>
      <w:pStyle w:val="Footer"/>
      <w:tabs>
        <w:tab w:val="clear" w:pos="5954"/>
        <w:tab w:val="left" w:pos="6521"/>
      </w:tabs>
    </w:pPr>
    <w:fldSimple w:instr=" FILENAME \p  \* MERGEFORMAT ">
      <w:r w:rsidR="00322E06">
        <w:t>P:\CHI\ITU-R\CONF-R\AR15\PLEN\000\034ADD06C.docx</w:t>
      </w:r>
    </w:fldSimple>
    <w:r>
      <w:t xml:space="preserve"> (388138)</w:t>
    </w:r>
    <w:r>
      <w:tab/>
    </w:r>
    <w:r>
      <w:fldChar w:fldCharType="begin"/>
    </w:r>
    <w:r>
      <w:instrText xml:space="preserve"> SAVEDATE \@ DD.MM.YY </w:instrText>
    </w:r>
    <w:r>
      <w:fldChar w:fldCharType="separate"/>
    </w:r>
    <w:r w:rsidR="00322E06">
      <w:t>20.10.15</w:t>
    </w:r>
    <w:r>
      <w:fldChar w:fldCharType="end"/>
    </w:r>
    <w:r>
      <w:tab/>
    </w:r>
    <w:r>
      <w:fldChar w:fldCharType="begin"/>
    </w:r>
    <w:r>
      <w:instrText xml:space="preserve"> PRINTDATE \@ DD.MM.YY </w:instrText>
    </w:r>
    <w:r>
      <w:fldChar w:fldCharType="separate"/>
    </w:r>
    <w:r w:rsidR="00322E06">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1F1" w:rsidRDefault="00322E06">
    <w:pPr>
      <w:pStyle w:val="Footer"/>
    </w:pPr>
    <w:r>
      <w:fldChar w:fldCharType="begin"/>
    </w:r>
    <w:r>
      <w:instrText xml:space="preserve"> FILENAME \p  \* MERGEFORMAT </w:instrText>
    </w:r>
    <w:r>
      <w:fldChar w:fldCharType="separate"/>
    </w:r>
    <w:r>
      <w:t>P:\CHI\ITU-R\CONF-R\AR15\PLEN\000\034ADD06C.docx</w:t>
    </w:r>
    <w:r>
      <w:fldChar w:fldCharType="end"/>
    </w:r>
    <w:r w:rsidR="007621F1">
      <w:t xml:space="preserve"> (388138)</w:t>
    </w:r>
    <w:r w:rsidR="007621F1">
      <w:tab/>
    </w:r>
    <w:r w:rsidR="007621F1">
      <w:fldChar w:fldCharType="begin"/>
    </w:r>
    <w:r w:rsidR="007621F1">
      <w:instrText xml:space="preserve"> SAVEDATE \@ DD.MM.YY </w:instrText>
    </w:r>
    <w:r w:rsidR="007621F1">
      <w:fldChar w:fldCharType="separate"/>
    </w:r>
    <w:r>
      <w:t>20.10.15</w:t>
    </w:r>
    <w:r w:rsidR="007621F1">
      <w:fldChar w:fldCharType="end"/>
    </w:r>
    <w:r w:rsidR="007621F1">
      <w:tab/>
    </w:r>
    <w:r w:rsidR="007621F1">
      <w:fldChar w:fldCharType="begin"/>
    </w:r>
    <w:r w:rsidR="007621F1">
      <w:instrText xml:space="preserve"> PRINTDATE \@ DD.MM.YY </w:instrText>
    </w:r>
    <w:r w:rsidR="007621F1">
      <w:fldChar w:fldCharType="separate"/>
    </w:r>
    <w:r>
      <w:t>20.10.15</w:t>
    </w:r>
    <w:r w:rsidR="007621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FBD" w:rsidRDefault="00ED6FBD">
      <w:r>
        <w:rPr>
          <w:b/>
        </w:rPr>
        <w:t>_______________</w:t>
      </w:r>
    </w:p>
  </w:footnote>
  <w:footnote w:type="continuationSeparator" w:id="0">
    <w:p w:rsidR="00ED6FBD" w:rsidRDefault="00ED6FBD">
      <w:r>
        <w:continuationSeparator/>
      </w:r>
    </w:p>
  </w:footnote>
  <w:footnote w:id="1">
    <w:p w:rsidR="007621F1" w:rsidRDefault="007621F1" w:rsidP="007621F1">
      <w:pPr>
        <w:pStyle w:val="FootnoteText"/>
        <w:rPr>
          <w:lang w:eastAsia="zh-CN"/>
        </w:rPr>
      </w:pPr>
      <w:r w:rsidRPr="00E1214C">
        <w:rPr>
          <w:rStyle w:val="FootnoteReference"/>
        </w:rPr>
        <w:footnoteRef/>
      </w:r>
      <w:r w:rsidRPr="00E1214C">
        <w:rPr>
          <w:lang w:eastAsia="zh-CN"/>
        </w:rPr>
        <w:tab/>
      </w:r>
      <w:r w:rsidRPr="001E4747">
        <w:rPr>
          <w:szCs w:val="22"/>
          <w:lang w:eastAsia="zh-CN"/>
        </w:rPr>
        <w:t>CEPT</w:t>
      </w:r>
      <w:r w:rsidRPr="001E4747">
        <w:rPr>
          <w:rFonts w:hint="eastAsia"/>
          <w:szCs w:val="22"/>
          <w:lang w:eastAsia="zh-CN"/>
        </w:rPr>
        <w:t>成员（欧洲）包括：阿尔巴尼亚（共和国）、德意志（联邦共和国）、安道尔（公国）、奥地利、阿塞拜疆共和国、白俄罗斯（共和国）、比利时、波斯尼亚与黑塞哥维那、保加利亚（共和国）、塞浦路斯（共和国）、梵蒂冈城国、克罗地亚（共和国）、丹麦、西班牙、爱沙尼亚（共和国）、俄罗斯联邦、芬兰、法国、格鲁吉亚、希腊、匈牙利、爱尔兰、冰岛、意大利、拉脱维亚（共和国）、前南斯拉夫马其顿共和国、列支敦士登（公国）、立陶宛（共和国）、卢森堡、马耳他、摩尔多瓦（共和国）、摩纳哥（公国）、黑山、挪威、荷兰（王国）、波兰（共和国）、葡萄牙、斯洛伐克共和国、捷克共和国、罗马尼亚、大不列颠及北爱尔兰联合王国、圣马力诺（共和国）、塞尔维亚（共和国）、斯洛文尼亚（共和国）、瑞典、瑞士（联邦）、土耳其、乌克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689" w:rsidRDefault="00586689"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322E06">
      <w:rPr>
        <w:noProof/>
        <w:lang w:val="en-US"/>
      </w:rPr>
      <w:t>2</w:t>
    </w:r>
    <w:r>
      <w:rPr>
        <w:lang w:val="en-US"/>
      </w:rPr>
      <w:fldChar w:fldCharType="end"/>
    </w:r>
  </w:p>
  <w:p w:rsidR="00586689" w:rsidRPr="009447A3" w:rsidRDefault="00516218" w:rsidP="007621F1">
    <w:pPr>
      <w:pStyle w:val="Header"/>
      <w:rPr>
        <w:lang w:val="en-US"/>
      </w:rPr>
    </w:pPr>
    <w:r>
      <w:t>RA15/PLEN/34(Add.</w:t>
    </w:r>
    <w:r w:rsidR="007621F1">
      <w:t>6</w:t>
    </w:r>
    <w:r>
      <w:t>)-</w:t>
    </w:r>
    <w:r w:rsidR="00877D12">
      <w:rPr>
        <w:lang w:val="en-US"/>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BD"/>
    <w:rsid w:val="000A4DE8"/>
    <w:rsid w:val="000B258F"/>
    <w:rsid w:val="000F5994"/>
    <w:rsid w:val="001468EB"/>
    <w:rsid w:val="001A41DD"/>
    <w:rsid w:val="001A50F9"/>
    <w:rsid w:val="001B1126"/>
    <w:rsid w:val="001B225D"/>
    <w:rsid w:val="001D5E28"/>
    <w:rsid w:val="001F6CF9"/>
    <w:rsid w:val="002066C1"/>
    <w:rsid w:val="00213F8F"/>
    <w:rsid w:val="00282CCD"/>
    <w:rsid w:val="00322E06"/>
    <w:rsid w:val="003322FF"/>
    <w:rsid w:val="003E7419"/>
    <w:rsid w:val="00414A93"/>
    <w:rsid w:val="004425DE"/>
    <w:rsid w:val="00464997"/>
    <w:rsid w:val="004844C1"/>
    <w:rsid w:val="004B15CF"/>
    <w:rsid w:val="005022A9"/>
    <w:rsid w:val="00504838"/>
    <w:rsid w:val="00510E3E"/>
    <w:rsid w:val="0051620C"/>
    <w:rsid w:val="00516218"/>
    <w:rsid w:val="00541AC7"/>
    <w:rsid w:val="00550F39"/>
    <w:rsid w:val="00566EF0"/>
    <w:rsid w:val="00586689"/>
    <w:rsid w:val="005C5620"/>
    <w:rsid w:val="005E0A4C"/>
    <w:rsid w:val="006004C4"/>
    <w:rsid w:val="00603A86"/>
    <w:rsid w:val="00607340"/>
    <w:rsid w:val="00611879"/>
    <w:rsid w:val="00631265"/>
    <w:rsid w:val="00637543"/>
    <w:rsid w:val="00645B0F"/>
    <w:rsid w:val="006462D9"/>
    <w:rsid w:val="00670729"/>
    <w:rsid w:val="006B0F30"/>
    <w:rsid w:val="0071246B"/>
    <w:rsid w:val="007414AA"/>
    <w:rsid w:val="00756B1C"/>
    <w:rsid w:val="007621F1"/>
    <w:rsid w:val="0076542D"/>
    <w:rsid w:val="00777A88"/>
    <w:rsid w:val="00791EA4"/>
    <w:rsid w:val="00801D86"/>
    <w:rsid w:val="00810CC4"/>
    <w:rsid w:val="00845350"/>
    <w:rsid w:val="00870A30"/>
    <w:rsid w:val="00875757"/>
    <w:rsid w:val="00877D12"/>
    <w:rsid w:val="0088075E"/>
    <w:rsid w:val="008B1239"/>
    <w:rsid w:val="008D0271"/>
    <w:rsid w:val="00922045"/>
    <w:rsid w:val="009303AE"/>
    <w:rsid w:val="00943EBD"/>
    <w:rsid w:val="009447A3"/>
    <w:rsid w:val="00957C6D"/>
    <w:rsid w:val="00970B63"/>
    <w:rsid w:val="009C1E4D"/>
    <w:rsid w:val="009D7F8E"/>
    <w:rsid w:val="00A015B6"/>
    <w:rsid w:val="00A05CE9"/>
    <w:rsid w:val="00A2305D"/>
    <w:rsid w:val="00A314F0"/>
    <w:rsid w:val="00B0145E"/>
    <w:rsid w:val="00B027B8"/>
    <w:rsid w:val="00B16DF9"/>
    <w:rsid w:val="00B20513"/>
    <w:rsid w:val="00B653C8"/>
    <w:rsid w:val="00B91659"/>
    <w:rsid w:val="00BB59AE"/>
    <w:rsid w:val="00BD2389"/>
    <w:rsid w:val="00BE3E12"/>
    <w:rsid w:val="00BE4EB7"/>
    <w:rsid w:val="00BE5003"/>
    <w:rsid w:val="00CA4C43"/>
    <w:rsid w:val="00CC3FF3"/>
    <w:rsid w:val="00D471A9"/>
    <w:rsid w:val="00D71DB3"/>
    <w:rsid w:val="00DE788E"/>
    <w:rsid w:val="00E13A1C"/>
    <w:rsid w:val="00E17171"/>
    <w:rsid w:val="00E42E15"/>
    <w:rsid w:val="00E818CB"/>
    <w:rsid w:val="00EC63A4"/>
    <w:rsid w:val="00ED6FBD"/>
    <w:rsid w:val="00ED765E"/>
    <w:rsid w:val="00F161A7"/>
    <w:rsid w:val="00F451F5"/>
    <w:rsid w:val="00F5493A"/>
    <w:rsid w:val="00F86151"/>
    <w:rsid w:val="00FA2B96"/>
    <w:rsid w:val="00FB4E64"/>
    <w:rsid w:val="00FB65ED"/>
    <w:rsid w:val="00FE16DA"/>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F3112045-F1CA-4501-9CBE-3F6EEC3B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 5 pt,(Latin)...,Footnote Reference/,Footnote symbol,Style 12,(NECG) Footnote Reference,Style 124,Appel note de bas de p + 11 pt,Italic,Appel note de bas de p1,Appel note de bas de p2"/>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customStyle="1" w:styleId="ResNoBR">
    <w:name w:val="Res_No_BR"/>
    <w:basedOn w:val="Normal"/>
    <w:next w:val="Restitle"/>
    <w:rsid w:val="006B0F30"/>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link w:val="Call"/>
    <w:locked/>
    <w:rsid w:val="006B0F30"/>
    <w:rPr>
      <w:rFonts w:ascii="STKaiti" w:eastAsia="STKaiti" w:hAnsi="STKaiti"/>
      <w:sz w:val="24"/>
      <w:lang w:val="en-GB" w:eastAsia="en-US"/>
    </w:rPr>
  </w:style>
  <w:style w:type="character" w:customStyle="1" w:styleId="enumlev1Char">
    <w:name w:val="enumlev1 Char"/>
    <w:link w:val="enumlev1"/>
    <w:locked/>
    <w:rsid w:val="006B0F30"/>
    <w:rPr>
      <w:rFonts w:ascii="Times New Roman" w:hAnsi="Times New Roman"/>
      <w:sz w:val="24"/>
      <w:lang w:val="en-GB" w:eastAsia="en-US"/>
    </w:rPr>
  </w:style>
  <w:style w:type="character" w:customStyle="1" w:styleId="RestitleChar">
    <w:name w:val="Res_title Char"/>
    <w:link w:val="Restitle"/>
    <w:locked/>
    <w:rsid w:val="006B0F30"/>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6B0F30"/>
    <w:rPr>
      <w:rFonts w:ascii="Times New Roman" w:hAnsi="Times New Roman"/>
      <w:sz w:val="24"/>
      <w:lang w:val="en-GB" w:eastAsia="en-US"/>
    </w:rPr>
  </w:style>
  <w:style w:type="character" w:customStyle="1" w:styleId="AnnexNoCar">
    <w:name w:val="Annex_No Car"/>
    <w:basedOn w:val="DefaultParagraphFont"/>
    <w:link w:val="AnnexNo"/>
    <w:locked/>
    <w:rsid w:val="006B0F30"/>
    <w:rPr>
      <w:rFonts w:ascii="Times New Roman" w:hAnsi="Times New Roman"/>
      <w:caps/>
      <w:sz w:val="28"/>
      <w:lang w:val="en-GB" w:eastAsia="en-US"/>
    </w:rPr>
  </w:style>
  <w:style w:type="character" w:styleId="Hyperlink">
    <w:name w:val="Hyperlink"/>
    <w:basedOn w:val="DefaultParagraphFont"/>
    <w:rsid w:val="00FB6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md/R15-WRC15-C-0009/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23</TotalTime>
  <Pages>1</Pages>
  <Words>1331</Words>
  <Characters>1502</Characters>
  <Application>Microsoft Office Word</Application>
  <DocSecurity>0</DocSecurity>
  <Lines>75</Lines>
  <Paragraphs>41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1532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Yuan, Tianxiang</cp:lastModifiedBy>
  <cp:revision>6</cp:revision>
  <cp:lastPrinted>2015-10-20T08:20:00Z</cp:lastPrinted>
  <dcterms:created xsi:type="dcterms:W3CDTF">2015-10-20T07:31:00Z</dcterms:created>
  <dcterms:modified xsi:type="dcterms:W3CDTF">2015-10-20T08:22:00Z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