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943EBD" w:rsidRPr="00877D12" w:rsidTr="000F5994">
        <w:trPr>
          <w:cantSplit/>
        </w:trPr>
        <w:tc>
          <w:tcPr>
            <w:tcW w:w="6379"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652"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rsidTr="000F5994">
        <w:trPr>
          <w:cantSplit/>
        </w:trPr>
        <w:tc>
          <w:tcPr>
            <w:tcW w:w="6379"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国际电信联盟</w:t>
            </w:r>
          </w:p>
        </w:tc>
        <w:tc>
          <w:tcPr>
            <w:tcW w:w="3652"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rsidTr="000F5994">
        <w:trPr>
          <w:cantSplit/>
        </w:trPr>
        <w:tc>
          <w:tcPr>
            <w:tcW w:w="6379"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652"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B83EA5" w:rsidTr="000F5994">
        <w:trPr>
          <w:cantSplit/>
          <w:trHeight w:val="23"/>
        </w:trPr>
        <w:tc>
          <w:tcPr>
            <w:tcW w:w="6379" w:type="dxa"/>
            <w:vMerge w:val="restart"/>
          </w:tcPr>
          <w:p w:rsidR="00943EBD" w:rsidRPr="00877D12" w:rsidRDefault="00B653C8"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942D25">
              <w:rPr>
                <w:rFonts w:ascii="Verdana" w:hAnsi="Verdana" w:hint="eastAsia"/>
                <w:b/>
                <w:bCs/>
                <w:sz w:val="20"/>
                <w:lang w:eastAsia="zh-CN"/>
              </w:rPr>
              <w:t>全体会议</w:t>
            </w:r>
          </w:p>
        </w:tc>
        <w:tc>
          <w:tcPr>
            <w:tcW w:w="3652" w:type="dxa"/>
          </w:tcPr>
          <w:p w:rsidR="00943EBD" w:rsidRPr="000F5994" w:rsidRDefault="00943EBD" w:rsidP="00943EBD">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000F5994" w:rsidRPr="000F5994">
              <w:rPr>
                <w:rFonts w:ascii="Verdana" w:hAnsi="Verdana"/>
                <w:b/>
                <w:sz w:val="20"/>
                <w:lang w:val="es-ES"/>
              </w:rPr>
              <w:t>RA15/PLEN/34(Add.</w:t>
            </w:r>
            <w:r w:rsidR="00B653C8">
              <w:rPr>
                <w:rFonts w:ascii="Verdana" w:hAnsi="Verdana"/>
                <w:b/>
                <w:sz w:val="20"/>
                <w:lang w:val="es-ES"/>
              </w:rPr>
              <w:t>4</w:t>
            </w:r>
            <w:r w:rsidR="000F5994">
              <w:rPr>
                <w:rFonts w:ascii="Verdana" w:hAnsi="Verdana"/>
                <w:b/>
                <w:sz w:val="20"/>
                <w:lang w:val="es-ES"/>
              </w:rPr>
              <w:t>)</w:t>
            </w:r>
            <w:r w:rsidRPr="000F5994">
              <w:rPr>
                <w:rFonts w:ascii="Verdana" w:hAnsi="Verdana"/>
                <w:b/>
                <w:sz w:val="20"/>
                <w:lang w:val="es-ES" w:eastAsia="zh-CN"/>
              </w:rPr>
              <w:t>-C</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652" w:type="dxa"/>
          </w:tcPr>
          <w:p w:rsidR="00943EBD" w:rsidRPr="000F5994" w:rsidRDefault="00943EBD" w:rsidP="001A50F9">
            <w:pPr>
              <w:tabs>
                <w:tab w:val="left" w:pos="993"/>
              </w:tabs>
              <w:spacing w:before="0"/>
              <w:rPr>
                <w:rFonts w:ascii="Verdana" w:hAnsi="Verdana"/>
                <w:sz w:val="20"/>
                <w:lang w:val="es-ES" w:eastAsia="zh-CN"/>
              </w:rPr>
            </w:pPr>
            <w:r w:rsidRPr="000F5994">
              <w:rPr>
                <w:rFonts w:ascii="Verdana" w:hAnsi="Verdana"/>
                <w:b/>
                <w:sz w:val="20"/>
                <w:lang w:val="es-ES" w:eastAsia="zh-CN"/>
              </w:rPr>
              <w:t>20</w:t>
            </w:r>
            <w:r w:rsidR="00FF7A70" w:rsidRPr="000F5994">
              <w:rPr>
                <w:rFonts w:ascii="Verdana" w:hAnsi="Verdana"/>
                <w:b/>
                <w:sz w:val="20"/>
                <w:lang w:val="es-ES" w:eastAsia="zh-CN"/>
              </w:rPr>
              <w:t>1</w:t>
            </w:r>
            <w:r w:rsidR="001A50F9" w:rsidRPr="000F5994">
              <w:rPr>
                <w:rFonts w:ascii="Verdana" w:hAnsi="Verdana"/>
                <w:b/>
                <w:sz w:val="20"/>
                <w:lang w:val="es-ES" w:eastAsia="zh-CN"/>
              </w:rPr>
              <w:t>5</w:t>
            </w:r>
            <w:r w:rsidRPr="00877D12">
              <w:rPr>
                <w:rFonts w:ascii="Verdana" w:hAnsi="Verdana"/>
                <w:b/>
                <w:sz w:val="20"/>
                <w:lang w:eastAsia="zh-CN"/>
              </w:rPr>
              <w:t>年</w:t>
            </w:r>
            <w:r w:rsidR="000F5994">
              <w:rPr>
                <w:rFonts w:ascii="Verdana" w:hAnsi="Verdana"/>
                <w:b/>
                <w:sz w:val="20"/>
                <w:lang w:val="es-ES" w:eastAsia="zh-CN"/>
              </w:rPr>
              <w:t>10</w:t>
            </w:r>
            <w:r w:rsidRPr="00877D12">
              <w:rPr>
                <w:rFonts w:ascii="Verdana" w:hAnsi="Verdana"/>
                <w:b/>
                <w:sz w:val="20"/>
                <w:lang w:eastAsia="zh-CN"/>
              </w:rPr>
              <w:t>月</w:t>
            </w:r>
            <w:r w:rsidR="000F5994">
              <w:rPr>
                <w:rFonts w:ascii="Verdana" w:hAnsi="Verdana"/>
                <w:b/>
                <w:sz w:val="20"/>
                <w:lang w:val="es-ES" w:eastAsia="zh-CN"/>
              </w:rPr>
              <w:t>13</w:t>
            </w:r>
            <w:r w:rsidRPr="00877D12">
              <w:rPr>
                <w:rFonts w:ascii="Verdana" w:hAnsi="Verdana"/>
                <w:b/>
                <w:sz w:val="20"/>
                <w:lang w:eastAsia="zh-CN"/>
              </w:rPr>
              <w:t>日</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6" w:name="dorlang" w:colFirst="1" w:colLast="1"/>
            <w:bookmarkEnd w:id="5"/>
          </w:p>
        </w:tc>
        <w:tc>
          <w:tcPr>
            <w:tcW w:w="3652" w:type="dxa"/>
          </w:tcPr>
          <w:p w:rsidR="00943EBD" w:rsidRPr="000F5994" w:rsidRDefault="000F5994" w:rsidP="000F5994">
            <w:pPr>
              <w:tabs>
                <w:tab w:val="left" w:pos="993"/>
              </w:tabs>
              <w:spacing w:before="0"/>
              <w:rPr>
                <w:rFonts w:ascii="Verdana" w:hAnsi="Verdana"/>
                <w:b/>
                <w:sz w:val="20"/>
                <w:lang w:val="es-ES" w:eastAsia="zh-CN"/>
              </w:rPr>
            </w:pPr>
            <w:r>
              <w:rPr>
                <w:rFonts w:ascii="Verdana" w:hAnsi="Verdana" w:hint="eastAsia"/>
                <w:b/>
                <w:sz w:val="20"/>
                <w:lang w:val="es-ES" w:eastAsia="zh-CN"/>
              </w:rPr>
              <w:t>原文：</w:t>
            </w:r>
            <w:r>
              <w:rPr>
                <w:rFonts w:ascii="Verdana" w:hAnsi="Verdana"/>
                <w:b/>
                <w:sz w:val="20"/>
                <w:lang w:val="es-ES" w:eastAsia="zh-CN"/>
              </w:rPr>
              <w:t>英文</w:t>
            </w:r>
          </w:p>
        </w:tc>
      </w:tr>
      <w:tr w:rsidR="00943EBD" w:rsidRPr="00801D86">
        <w:trPr>
          <w:cantSplit/>
        </w:trPr>
        <w:tc>
          <w:tcPr>
            <w:tcW w:w="10031" w:type="dxa"/>
            <w:gridSpan w:val="2"/>
          </w:tcPr>
          <w:p w:rsidR="00943EBD" w:rsidRPr="00801D86" w:rsidRDefault="00801D86" w:rsidP="00CA2F72">
            <w:pPr>
              <w:pStyle w:val="Source"/>
              <w:rPr>
                <w:lang w:eastAsia="zh-CN"/>
              </w:rPr>
            </w:pPr>
            <w:bookmarkStart w:id="7" w:name="dsource" w:colFirst="0" w:colLast="0"/>
            <w:bookmarkEnd w:id="6"/>
            <w:r w:rsidRPr="00627393">
              <w:rPr>
                <w:lang w:val="en-US" w:eastAsia="zh-CN"/>
              </w:rPr>
              <w:t xml:space="preserve">CEPT </w:t>
            </w:r>
            <w:r>
              <w:rPr>
                <w:lang w:val="en-US" w:eastAsia="zh-CN"/>
              </w:rPr>
              <w:t>–</w:t>
            </w:r>
            <w:r w:rsidR="00CA2F72">
              <w:rPr>
                <w:rFonts w:hint="eastAsia"/>
                <w:lang w:val="en-US" w:eastAsia="zh-CN"/>
              </w:rPr>
              <w:t xml:space="preserve"> </w:t>
            </w:r>
            <w:r w:rsidR="00CA2F72">
              <w:rPr>
                <w:rFonts w:hint="eastAsia"/>
                <w:lang w:val="en-US" w:eastAsia="zh-CN"/>
              </w:rPr>
              <w:t>欧洲邮电主管部门大会</w:t>
            </w:r>
            <w:r w:rsidRPr="00D042D1">
              <w:rPr>
                <w:rStyle w:val="FootnoteReference"/>
              </w:rPr>
              <w:footnoteReference w:id="1"/>
            </w:r>
          </w:p>
        </w:tc>
      </w:tr>
      <w:tr w:rsidR="00943EBD" w:rsidRPr="000F5994">
        <w:trPr>
          <w:cantSplit/>
        </w:trPr>
        <w:tc>
          <w:tcPr>
            <w:tcW w:w="10031" w:type="dxa"/>
            <w:gridSpan w:val="2"/>
          </w:tcPr>
          <w:p w:rsidR="00943EBD" w:rsidRPr="0076542D" w:rsidRDefault="004425DE" w:rsidP="00631265">
            <w:pPr>
              <w:pStyle w:val="Title1"/>
              <w:rPr>
                <w:lang w:val="en-US" w:eastAsia="zh-CN"/>
              </w:rPr>
            </w:pPr>
            <w:bookmarkStart w:id="8" w:name="dtitle1" w:colFirst="0" w:colLast="0"/>
            <w:bookmarkEnd w:id="7"/>
            <w:r w:rsidRPr="007D2357">
              <w:rPr>
                <w:lang w:eastAsia="zh-CN"/>
              </w:rPr>
              <w:t>ITU-R</w:t>
            </w:r>
            <w:r w:rsidRPr="007D2357">
              <w:rPr>
                <w:rFonts w:hint="eastAsia"/>
                <w:lang w:eastAsia="zh-CN"/>
              </w:rPr>
              <w:t>第</w:t>
            </w:r>
            <w:r w:rsidRPr="007D2357">
              <w:rPr>
                <w:rFonts w:hint="eastAsia"/>
                <w:lang w:eastAsia="zh-CN"/>
              </w:rPr>
              <w:t>59</w:t>
            </w:r>
            <w:r w:rsidRPr="007D2357">
              <w:rPr>
                <w:rFonts w:hint="eastAsia"/>
                <w:lang w:eastAsia="zh-CN"/>
              </w:rPr>
              <w:t>号决议</w:t>
            </w:r>
            <w:r w:rsidR="00CA2F72">
              <w:rPr>
                <w:rFonts w:hint="eastAsia"/>
                <w:lang w:eastAsia="zh-CN"/>
              </w:rPr>
              <w:t>修订草案</w:t>
            </w:r>
          </w:p>
        </w:tc>
      </w:tr>
      <w:tr w:rsidR="00943EBD" w:rsidRPr="009D7F8E">
        <w:trPr>
          <w:cantSplit/>
        </w:trPr>
        <w:tc>
          <w:tcPr>
            <w:tcW w:w="10031" w:type="dxa"/>
            <w:gridSpan w:val="2"/>
          </w:tcPr>
          <w:p w:rsidR="00943EBD" w:rsidRPr="00CA2F72" w:rsidRDefault="004425DE" w:rsidP="0076542D">
            <w:pPr>
              <w:pStyle w:val="Title2"/>
              <w:rPr>
                <w:b/>
                <w:lang w:val="es-ES" w:eastAsia="zh-CN"/>
              </w:rPr>
            </w:pPr>
            <w:bookmarkStart w:id="9" w:name="dtitle2" w:colFirst="0" w:colLast="0"/>
            <w:bookmarkEnd w:id="8"/>
            <w:r w:rsidRPr="00CA2F72">
              <w:rPr>
                <w:rFonts w:hint="eastAsia"/>
                <w:b/>
                <w:lang w:eastAsia="zh-CN"/>
              </w:rPr>
              <w:t>研究全球和</w:t>
            </w:r>
            <w:r w:rsidRPr="00CA2F72">
              <w:rPr>
                <w:rFonts w:hint="eastAsia"/>
                <w:b/>
                <w:lang w:eastAsia="zh-CN"/>
              </w:rPr>
              <w:t>/</w:t>
            </w:r>
            <w:r w:rsidRPr="00CA2F72">
              <w:rPr>
                <w:rFonts w:hint="eastAsia"/>
                <w:b/>
                <w:lang w:eastAsia="zh-CN"/>
              </w:rPr>
              <w:t>或区域统一可用频段和</w:t>
            </w:r>
            <w:r w:rsidRPr="00CA2F72">
              <w:rPr>
                <w:rFonts w:hint="eastAsia"/>
                <w:b/>
                <w:lang w:eastAsia="zh-CN"/>
              </w:rPr>
              <w:t>/</w:t>
            </w:r>
            <w:r w:rsidRPr="00CA2F72">
              <w:rPr>
                <w:rFonts w:hint="eastAsia"/>
                <w:b/>
                <w:lang w:eastAsia="zh-CN"/>
              </w:rPr>
              <w:t>或调谐范围及其</w:t>
            </w:r>
            <w:r w:rsidRPr="00CA2F72">
              <w:rPr>
                <w:b/>
                <w:lang w:eastAsia="zh-CN"/>
              </w:rPr>
              <w:br/>
            </w:r>
            <w:r w:rsidRPr="00CA2F72">
              <w:rPr>
                <w:rFonts w:hint="eastAsia"/>
                <w:b/>
                <w:lang w:eastAsia="zh-CN"/>
              </w:rPr>
              <w:t>供地面电子新闻采集系统使用的条件</w:t>
            </w:r>
          </w:p>
        </w:tc>
      </w:tr>
      <w:tr w:rsidR="00943EBD" w:rsidRPr="009D7F8E">
        <w:trPr>
          <w:cantSplit/>
        </w:trPr>
        <w:tc>
          <w:tcPr>
            <w:tcW w:w="10031" w:type="dxa"/>
            <w:gridSpan w:val="2"/>
          </w:tcPr>
          <w:p w:rsidR="00943EBD" w:rsidRPr="009D7F8E" w:rsidRDefault="00943EBD" w:rsidP="00FF7A70">
            <w:pPr>
              <w:pStyle w:val="Title3"/>
              <w:rPr>
                <w:lang w:val="es-ES" w:eastAsia="zh-CN"/>
              </w:rPr>
            </w:pPr>
            <w:bookmarkStart w:id="10" w:name="dtitle3" w:colFirst="0" w:colLast="0"/>
            <w:bookmarkEnd w:id="9"/>
          </w:p>
        </w:tc>
      </w:tr>
    </w:tbl>
    <w:bookmarkEnd w:id="10"/>
    <w:p w:rsidR="00970B63" w:rsidRDefault="00801D86" w:rsidP="00ED765E">
      <w:pPr>
        <w:pStyle w:val="Heading1"/>
        <w:rPr>
          <w:lang w:val="en-US" w:eastAsia="zh-CN"/>
        </w:rPr>
      </w:pPr>
      <w:r w:rsidRPr="00627393">
        <w:rPr>
          <w:lang w:val="en-US" w:eastAsia="zh-CN"/>
        </w:rPr>
        <w:t>1</w:t>
      </w:r>
      <w:r w:rsidRPr="00627393">
        <w:rPr>
          <w:lang w:val="en-US" w:eastAsia="zh-CN"/>
        </w:rPr>
        <w:tab/>
      </w:r>
      <w:r w:rsidR="00ED765E">
        <w:rPr>
          <w:rFonts w:hint="eastAsia"/>
          <w:lang w:val="en-US" w:eastAsia="zh-CN"/>
        </w:rPr>
        <w:t>引言</w:t>
      </w:r>
    </w:p>
    <w:p w:rsidR="00ED765E" w:rsidRDefault="00E42E15" w:rsidP="00E42E15">
      <w:pPr>
        <w:ind w:firstLineChars="200" w:firstLine="480"/>
        <w:rPr>
          <w:lang w:eastAsia="zh-CN"/>
        </w:rPr>
      </w:pPr>
      <w:r w:rsidRPr="00285585">
        <w:rPr>
          <w:lang w:eastAsia="zh-CN"/>
        </w:rPr>
        <w:t>CEPT</w:t>
      </w:r>
      <w:r w:rsidR="001F72B2">
        <w:rPr>
          <w:rFonts w:hint="eastAsia"/>
          <w:lang w:eastAsia="zh-CN"/>
        </w:rPr>
        <w:t>提议</w:t>
      </w:r>
      <w:r w:rsidR="00A70C5E">
        <w:rPr>
          <w:rFonts w:hint="eastAsia"/>
          <w:lang w:eastAsia="zh-CN"/>
        </w:rPr>
        <w:t>修订</w:t>
      </w:r>
      <w:r w:rsidR="001F72B2">
        <w:rPr>
          <w:lang w:eastAsia="zh-CN"/>
        </w:rPr>
        <w:t>ITU-R</w:t>
      </w:r>
      <w:r w:rsidR="001F72B2">
        <w:rPr>
          <w:rFonts w:hint="eastAsia"/>
          <w:lang w:eastAsia="zh-CN"/>
        </w:rPr>
        <w:t>第</w:t>
      </w:r>
      <w:r w:rsidRPr="00285585">
        <w:rPr>
          <w:lang w:eastAsia="zh-CN"/>
        </w:rPr>
        <w:t>59</w:t>
      </w:r>
      <w:r w:rsidR="001F72B2">
        <w:rPr>
          <w:rFonts w:hint="eastAsia"/>
          <w:lang w:eastAsia="zh-CN"/>
        </w:rPr>
        <w:t>号决议</w:t>
      </w:r>
      <w:r w:rsidR="001F72B2">
        <w:rPr>
          <w:rFonts w:hint="eastAsia"/>
          <w:lang w:eastAsia="zh-CN"/>
        </w:rPr>
        <w:t xml:space="preserve"> </w:t>
      </w:r>
      <w:r w:rsidR="001F72B2">
        <w:rPr>
          <w:lang w:val="en-US" w:eastAsia="zh-CN"/>
        </w:rPr>
        <w:t>–</w:t>
      </w:r>
      <w:r w:rsidR="00B83EA5">
        <w:rPr>
          <w:lang w:val="en-US" w:eastAsia="zh-CN"/>
        </w:rPr>
        <w:t xml:space="preserve"> </w:t>
      </w:r>
      <w:r>
        <w:rPr>
          <w:rFonts w:hint="eastAsia"/>
          <w:lang w:eastAsia="zh-CN"/>
        </w:rPr>
        <w:t>“</w:t>
      </w:r>
      <w:r w:rsidRPr="007D2357">
        <w:rPr>
          <w:rFonts w:hint="eastAsia"/>
          <w:lang w:eastAsia="zh-CN"/>
        </w:rPr>
        <w:t>研究全球和</w:t>
      </w:r>
      <w:r w:rsidRPr="007D2357">
        <w:rPr>
          <w:rFonts w:hint="eastAsia"/>
          <w:lang w:eastAsia="zh-CN"/>
        </w:rPr>
        <w:t>/</w:t>
      </w:r>
      <w:r w:rsidRPr="007D2357">
        <w:rPr>
          <w:rFonts w:hint="eastAsia"/>
          <w:lang w:eastAsia="zh-CN"/>
        </w:rPr>
        <w:t>或区域统一可用频段和</w:t>
      </w:r>
      <w:r w:rsidRPr="007D2357">
        <w:rPr>
          <w:rFonts w:hint="eastAsia"/>
          <w:lang w:eastAsia="zh-CN"/>
        </w:rPr>
        <w:t>/</w:t>
      </w:r>
      <w:r w:rsidRPr="007D2357">
        <w:rPr>
          <w:rFonts w:hint="eastAsia"/>
          <w:lang w:eastAsia="zh-CN"/>
        </w:rPr>
        <w:t>或调谐范围及其供地面电子新闻采集系统使用的条件</w:t>
      </w:r>
      <w:r>
        <w:rPr>
          <w:rFonts w:hint="eastAsia"/>
          <w:lang w:eastAsia="zh-CN"/>
        </w:rPr>
        <w:t>”</w:t>
      </w:r>
      <w:r w:rsidR="00A70C5E">
        <w:rPr>
          <w:rFonts w:hint="eastAsia"/>
          <w:lang w:eastAsia="zh-CN"/>
        </w:rPr>
        <w:t>。</w:t>
      </w:r>
    </w:p>
    <w:p w:rsidR="008574A2" w:rsidRDefault="008D09BC" w:rsidP="008574A2">
      <w:pPr>
        <w:ind w:firstLineChars="200" w:firstLine="480"/>
        <w:rPr>
          <w:rFonts w:eastAsia="STKaiti"/>
          <w:iCs/>
          <w:lang w:eastAsia="zh-CN"/>
        </w:rPr>
      </w:pPr>
      <w:r>
        <w:rPr>
          <w:rFonts w:hint="eastAsia"/>
          <w:lang w:eastAsia="zh-CN"/>
        </w:rPr>
        <w:t>此修订</w:t>
      </w:r>
      <w:r w:rsidR="00282E8A">
        <w:rPr>
          <w:rFonts w:hint="eastAsia"/>
          <w:lang w:eastAsia="zh-CN"/>
        </w:rPr>
        <w:t>建议</w:t>
      </w:r>
      <w:r w:rsidR="00844FDE">
        <w:rPr>
          <w:rFonts w:hint="eastAsia"/>
          <w:lang w:eastAsia="zh-CN"/>
        </w:rPr>
        <w:t>拓宽</w:t>
      </w:r>
      <w:r>
        <w:rPr>
          <w:rFonts w:hint="eastAsia"/>
          <w:lang w:eastAsia="zh-CN"/>
        </w:rPr>
        <w:t>可予以审议的频段范围。</w:t>
      </w:r>
      <w:r>
        <w:rPr>
          <w:lang w:eastAsia="zh-CN"/>
        </w:rPr>
        <w:t>ITU-R</w:t>
      </w:r>
      <w:r>
        <w:rPr>
          <w:rFonts w:hint="eastAsia"/>
          <w:lang w:eastAsia="zh-CN"/>
        </w:rPr>
        <w:t>第</w:t>
      </w:r>
      <w:r w:rsidR="004B15CF" w:rsidRPr="00285585">
        <w:rPr>
          <w:lang w:eastAsia="zh-CN"/>
        </w:rPr>
        <w:t>59</w:t>
      </w:r>
      <w:r>
        <w:rPr>
          <w:rFonts w:hint="eastAsia"/>
          <w:lang w:eastAsia="zh-CN"/>
        </w:rPr>
        <w:t>号决议做出决议，</w:t>
      </w:r>
      <w:r w:rsidR="00FE16DA">
        <w:rPr>
          <w:rFonts w:eastAsia="STKaiti" w:hint="eastAsia"/>
          <w:lang w:eastAsia="zh-CN"/>
        </w:rPr>
        <w:t>“</w:t>
      </w:r>
      <w:r w:rsidR="00957C6D" w:rsidRPr="00E13A1C">
        <w:rPr>
          <w:rFonts w:eastAsia="STKaiti"/>
          <w:lang w:eastAsia="zh-CN"/>
        </w:rPr>
        <w:t>就在已划分给固定、移动或广播业务的频段内，为在世界</w:t>
      </w:r>
      <w:r w:rsidR="00957C6D" w:rsidRPr="00E13A1C">
        <w:rPr>
          <w:rFonts w:eastAsia="STKaiti"/>
          <w:lang w:eastAsia="zh-CN"/>
        </w:rPr>
        <w:t>/</w:t>
      </w:r>
      <w:r w:rsidR="00957C6D" w:rsidRPr="00E13A1C">
        <w:rPr>
          <w:rFonts w:eastAsia="STKaiti"/>
          <w:lang w:eastAsia="zh-CN"/>
        </w:rPr>
        <w:t>区域范围统一</w:t>
      </w:r>
      <w:r w:rsidR="00957C6D" w:rsidRPr="00E13A1C">
        <w:rPr>
          <w:rFonts w:eastAsia="STKaiti"/>
          <w:lang w:eastAsia="zh-CN"/>
        </w:rPr>
        <w:t>ENG</w:t>
      </w:r>
      <w:r w:rsidR="00957C6D" w:rsidRPr="00E13A1C">
        <w:rPr>
          <w:rFonts w:eastAsia="STKaiti"/>
          <w:lang w:eastAsia="zh-CN"/>
        </w:rPr>
        <w:t>所用频段和调谐范围提供可能的解决方案开展研究</w:t>
      </w:r>
      <w:r w:rsidR="00957C6D" w:rsidRPr="00E13A1C">
        <w:rPr>
          <w:rFonts w:eastAsia="STKaiti"/>
          <w:i/>
          <w:lang w:eastAsia="zh-CN"/>
        </w:rPr>
        <w:t>…</w:t>
      </w:r>
      <w:r w:rsidR="00FE16DA">
        <w:rPr>
          <w:rFonts w:eastAsia="STKaiti" w:hint="eastAsia"/>
          <w:iCs/>
          <w:lang w:eastAsia="zh-CN"/>
        </w:rPr>
        <w:t>”</w:t>
      </w:r>
    </w:p>
    <w:p w:rsidR="00443061" w:rsidRDefault="00902322" w:rsidP="00443061">
      <w:pPr>
        <w:ind w:firstLineChars="200" w:firstLine="480"/>
        <w:rPr>
          <w:rFonts w:eastAsia="STKaiti"/>
          <w:iCs/>
          <w:lang w:eastAsia="zh-CN"/>
        </w:rPr>
      </w:pPr>
      <w:r>
        <w:rPr>
          <w:rFonts w:hint="eastAsia"/>
          <w:lang w:eastAsia="zh-CN"/>
        </w:rPr>
        <w:t>鉴于</w:t>
      </w:r>
      <w:r w:rsidRPr="00285585">
        <w:rPr>
          <w:lang w:eastAsia="zh-CN"/>
        </w:rPr>
        <w:t>ITU-R BT.2069-6</w:t>
      </w:r>
      <w:r>
        <w:rPr>
          <w:rFonts w:hint="eastAsia"/>
          <w:lang w:eastAsia="zh-CN"/>
        </w:rPr>
        <w:t>号报告的近期修订</w:t>
      </w:r>
      <w:r w:rsidR="00905DAB">
        <w:rPr>
          <w:rFonts w:hint="eastAsia"/>
          <w:lang w:eastAsia="zh-CN"/>
        </w:rPr>
        <w:t>阐明了</w:t>
      </w:r>
      <w:r w:rsidR="004451CB">
        <w:rPr>
          <w:rFonts w:hint="eastAsia"/>
          <w:lang w:eastAsia="zh-CN"/>
        </w:rPr>
        <w:t>如下</w:t>
      </w:r>
      <w:r w:rsidR="00AA16D9">
        <w:rPr>
          <w:rFonts w:hint="eastAsia"/>
          <w:lang w:eastAsia="zh-CN"/>
        </w:rPr>
        <w:t>事实，即</w:t>
      </w:r>
      <w:r w:rsidR="00905DAB">
        <w:rPr>
          <w:rFonts w:hint="eastAsia"/>
          <w:lang w:eastAsia="zh-CN"/>
        </w:rPr>
        <w:t>随着时间推移，</w:t>
      </w:r>
      <w:r w:rsidR="00AA16D9">
        <w:rPr>
          <w:rFonts w:hint="eastAsia"/>
          <w:lang w:eastAsia="zh-CN"/>
        </w:rPr>
        <w:t>几乎无法</w:t>
      </w:r>
      <w:r w:rsidR="00C949BB">
        <w:rPr>
          <w:rFonts w:hint="eastAsia"/>
          <w:lang w:eastAsia="zh-CN"/>
        </w:rPr>
        <w:t>再对</w:t>
      </w:r>
      <w:r w:rsidR="00AA16D9">
        <w:rPr>
          <w:rFonts w:hint="eastAsia"/>
          <w:lang w:eastAsia="zh-CN"/>
        </w:rPr>
        <w:t>SAP/SAB</w:t>
      </w:r>
      <w:r w:rsidR="00AA16D9">
        <w:rPr>
          <w:rFonts w:hint="eastAsia"/>
          <w:lang w:eastAsia="zh-CN"/>
        </w:rPr>
        <w:t>两种应</w:t>
      </w:r>
      <w:r w:rsidR="00C949BB">
        <w:rPr>
          <w:rFonts w:hint="eastAsia"/>
          <w:lang w:eastAsia="zh-CN"/>
        </w:rPr>
        <w:t>用做出区分，特别是在两者通常被一起引用的情况下，</w:t>
      </w:r>
      <w:r w:rsidR="001751E8">
        <w:rPr>
          <w:rFonts w:hint="eastAsia"/>
          <w:lang w:eastAsia="zh-CN"/>
        </w:rPr>
        <w:t>因此在标题的脚注</w:t>
      </w:r>
      <w:r w:rsidR="00CC7123">
        <w:rPr>
          <w:rFonts w:hint="eastAsia"/>
          <w:lang w:eastAsia="zh-CN"/>
        </w:rPr>
        <w:t>（即</w:t>
      </w:r>
      <w:r w:rsidR="0017541B">
        <w:rPr>
          <w:rFonts w:hint="eastAsia"/>
          <w:lang w:eastAsia="zh-CN"/>
        </w:rPr>
        <w:t>ENG</w:t>
      </w:r>
      <w:r w:rsidR="0017541B">
        <w:rPr>
          <w:rFonts w:hint="eastAsia"/>
          <w:lang w:eastAsia="zh-CN"/>
        </w:rPr>
        <w:t>的脚注</w:t>
      </w:r>
      <w:r w:rsidR="00CC7123">
        <w:rPr>
          <w:rFonts w:hint="eastAsia"/>
          <w:lang w:eastAsia="zh-CN"/>
        </w:rPr>
        <w:t>）</w:t>
      </w:r>
      <w:r w:rsidR="001751E8">
        <w:rPr>
          <w:rFonts w:hint="eastAsia"/>
          <w:lang w:eastAsia="zh-CN"/>
        </w:rPr>
        <w:t>中</w:t>
      </w:r>
      <w:r w:rsidR="003B02D4">
        <w:rPr>
          <w:rFonts w:hint="eastAsia"/>
          <w:lang w:eastAsia="zh-CN"/>
        </w:rPr>
        <w:t>应增加提及</w:t>
      </w:r>
      <w:r w:rsidR="006E4B22">
        <w:rPr>
          <w:rFonts w:hint="eastAsia"/>
          <w:lang w:eastAsia="zh-CN"/>
        </w:rPr>
        <w:t>“节目制作辅助业务”</w:t>
      </w:r>
      <w:r w:rsidR="00CA6E67">
        <w:rPr>
          <w:rFonts w:hint="eastAsia"/>
          <w:lang w:eastAsia="zh-CN"/>
        </w:rPr>
        <w:t>。</w:t>
      </w:r>
    </w:p>
    <w:p w:rsidR="008C2BF6" w:rsidRPr="00443061" w:rsidRDefault="008C2BF6" w:rsidP="00C10CE6">
      <w:pPr>
        <w:ind w:firstLineChars="200" w:firstLine="480"/>
        <w:rPr>
          <w:rFonts w:eastAsia="STKaiti"/>
          <w:iCs/>
          <w:lang w:eastAsia="zh-CN"/>
        </w:rPr>
      </w:pPr>
      <w:r>
        <w:rPr>
          <w:rFonts w:hint="eastAsia"/>
          <w:lang w:eastAsia="zh-CN"/>
        </w:rPr>
        <w:t>在满足这些应用的频谱条件</w:t>
      </w:r>
      <w:r w:rsidR="00464BF7">
        <w:rPr>
          <w:rFonts w:hint="eastAsia"/>
          <w:lang w:eastAsia="zh-CN"/>
        </w:rPr>
        <w:t>越来越具</w:t>
      </w:r>
      <w:r>
        <w:rPr>
          <w:rFonts w:hint="eastAsia"/>
          <w:lang w:eastAsia="zh-CN"/>
        </w:rPr>
        <w:t>挑战</w:t>
      </w:r>
      <w:r w:rsidR="00464BF7">
        <w:rPr>
          <w:rFonts w:hint="eastAsia"/>
          <w:lang w:eastAsia="zh-CN"/>
        </w:rPr>
        <w:t>性</w:t>
      </w:r>
      <w:r>
        <w:rPr>
          <w:rFonts w:hint="eastAsia"/>
          <w:lang w:eastAsia="zh-CN"/>
        </w:rPr>
        <w:t>的环境里，</w:t>
      </w:r>
      <w:r w:rsidR="00C10CE6">
        <w:rPr>
          <w:rFonts w:hint="eastAsia"/>
          <w:lang w:eastAsia="zh-CN"/>
        </w:rPr>
        <w:t>更多的潜在方案应从兼容性角度出发予以审议。</w:t>
      </w:r>
    </w:p>
    <w:p w:rsidR="00A2305D" w:rsidRPr="001468EB" w:rsidRDefault="0058001B" w:rsidP="001468EB">
      <w:pPr>
        <w:ind w:firstLineChars="200" w:firstLine="480"/>
        <w:rPr>
          <w:rFonts w:eastAsia="STKaiti"/>
          <w:iCs/>
          <w:lang w:eastAsia="zh-CN"/>
        </w:rPr>
      </w:pPr>
      <w:r>
        <w:rPr>
          <w:rFonts w:hint="eastAsia"/>
          <w:lang w:eastAsia="zh-CN"/>
        </w:rPr>
        <w:t>CEPT</w:t>
      </w:r>
      <w:r>
        <w:rPr>
          <w:rFonts w:hint="eastAsia"/>
          <w:lang w:eastAsia="zh-CN"/>
        </w:rPr>
        <w:t>认为，本决议仍然有效，</w:t>
      </w:r>
      <w:r w:rsidR="00225355">
        <w:rPr>
          <w:rFonts w:hint="eastAsia"/>
          <w:lang w:eastAsia="zh-CN"/>
        </w:rPr>
        <w:t>且将</w:t>
      </w:r>
      <w:r w:rsidR="00A04FF4">
        <w:rPr>
          <w:rFonts w:hint="eastAsia"/>
          <w:lang w:eastAsia="zh-CN"/>
        </w:rPr>
        <w:t>因</w:t>
      </w:r>
      <w:r w:rsidR="00225355">
        <w:rPr>
          <w:rFonts w:hint="eastAsia"/>
          <w:lang w:eastAsia="zh-CN"/>
        </w:rPr>
        <w:t>这些修订</w:t>
      </w:r>
      <w:r w:rsidR="007214BA">
        <w:rPr>
          <w:rFonts w:hint="eastAsia"/>
          <w:lang w:eastAsia="zh-CN"/>
        </w:rPr>
        <w:t>而</w:t>
      </w:r>
      <w:r w:rsidR="00F57185">
        <w:rPr>
          <w:rFonts w:hint="eastAsia"/>
          <w:lang w:eastAsia="zh-CN"/>
        </w:rPr>
        <w:t>受益</w:t>
      </w:r>
      <w:r w:rsidR="00A04FF4">
        <w:rPr>
          <w:rFonts w:hint="eastAsia"/>
          <w:lang w:eastAsia="zh-CN"/>
        </w:rPr>
        <w:t>。</w:t>
      </w:r>
    </w:p>
    <w:p w:rsidR="00A2305D" w:rsidRPr="00723C35" w:rsidRDefault="00A2305D" w:rsidP="00A2305D">
      <w:pPr>
        <w:pStyle w:val="Heading1"/>
        <w:rPr>
          <w:lang w:eastAsia="zh-CN"/>
        </w:rPr>
      </w:pPr>
      <w:r w:rsidRPr="00723C35">
        <w:rPr>
          <w:lang w:eastAsia="zh-CN"/>
        </w:rPr>
        <w:lastRenderedPageBreak/>
        <w:t>2</w:t>
      </w:r>
      <w:r w:rsidRPr="00723C35">
        <w:rPr>
          <w:lang w:eastAsia="zh-CN"/>
        </w:rPr>
        <w:tab/>
      </w:r>
      <w:r>
        <w:rPr>
          <w:rFonts w:hint="eastAsia"/>
          <w:lang w:eastAsia="zh-CN"/>
        </w:rPr>
        <w:t>背景</w:t>
      </w:r>
    </w:p>
    <w:p w:rsidR="001D073E" w:rsidRDefault="001D073E" w:rsidP="00A2305D">
      <w:pPr>
        <w:ind w:firstLineChars="200" w:firstLine="480"/>
        <w:rPr>
          <w:lang w:eastAsia="zh-CN"/>
        </w:rPr>
      </w:pPr>
      <w:r>
        <w:rPr>
          <w:rFonts w:hint="eastAsia"/>
          <w:lang w:eastAsia="zh-CN"/>
        </w:rPr>
        <w:t>WRC-12</w:t>
      </w:r>
      <w:r>
        <w:rPr>
          <w:rFonts w:hint="eastAsia"/>
          <w:lang w:eastAsia="zh-CN"/>
        </w:rPr>
        <w:t>议项</w:t>
      </w:r>
      <w:r>
        <w:rPr>
          <w:rFonts w:hint="eastAsia"/>
          <w:lang w:eastAsia="zh-CN"/>
        </w:rPr>
        <w:t>1.5</w:t>
      </w:r>
      <w:r>
        <w:rPr>
          <w:rFonts w:hint="eastAsia"/>
          <w:lang w:eastAsia="zh-CN"/>
        </w:rPr>
        <w:t>提出，“</w:t>
      </w:r>
      <w:r w:rsidR="001224B7">
        <w:rPr>
          <w:rFonts w:hint="eastAsia"/>
          <w:lang w:eastAsia="zh-CN"/>
        </w:rPr>
        <w:t>根据第</w:t>
      </w:r>
      <w:r w:rsidR="001224B7" w:rsidRPr="00B759C1">
        <w:rPr>
          <w:b/>
          <w:lang w:eastAsia="zh-CN"/>
        </w:rPr>
        <w:t>954</w:t>
      </w:r>
      <w:r w:rsidR="001224B7">
        <w:rPr>
          <w:rFonts w:hint="eastAsia"/>
          <w:lang w:eastAsia="zh-CN"/>
        </w:rPr>
        <w:t>号决议</w:t>
      </w:r>
      <w:r w:rsidR="001224B7" w:rsidRPr="001224B7">
        <w:rPr>
          <w:rFonts w:hint="eastAsia"/>
          <w:b/>
          <w:lang w:eastAsia="zh-CN"/>
        </w:rPr>
        <w:t>（</w:t>
      </w:r>
      <w:r w:rsidR="001224B7" w:rsidRPr="001224B7">
        <w:rPr>
          <w:b/>
          <w:lang w:eastAsia="zh-CN"/>
        </w:rPr>
        <w:t>WRC-07</w:t>
      </w:r>
      <w:r w:rsidR="001224B7" w:rsidRPr="001224B7">
        <w:rPr>
          <w:rFonts w:hint="eastAsia"/>
          <w:b/>
          <w:lang w:eastAsia="zh-CN"/>
        </w:rPr>
        <w:t>）</w:t>
      </w:r>
      <w:r w:rsidR="001224B7">
        <w:rPr>
          <w:rFonts w:hint="eastAsia"/>
          <w:lang w:eastAsia="zh-CN"/>
        </w:rPr>
        <w:t>，在顾及</w:t>
      </w:r>
      <w:r w:rsidR="001224B7">
        <w:rPr>
          <w:rFonts w:hint="eastAsia"/>
          <w:lang w:eastAsia="zh-CN"/>
        </w:rPr>
        <w:t>ITU-R</w:t>
      </w:r>
      <w:r w:rsidR="001224B7">
        <w:rPr>
          <w:rFonts w:hint="eastAsia"/>
          <w:lang w:eastAsia="zh-CN"/>
        </w:rPr>
        <w:t>研究成果的同时，</w:t>
      </w:r>
      <w:r w:rsidR="00BA0274">
        <w:rPr>
          <w:rFonts w:hint="eastAsia"/>
          <w:lang w:eastAsia="zh-CN"/>
        </w:rPr>
        <w:t>审议电子新闻采集（</w:t>
      </w:r>
      <w:r w:rsidR="00BA0274">
        <w:rPr>
          <w:rFonts w:hint="eastAsia"/>
          <w:lang w:eastAsia="zh-CN"/>
        </w:rPr>
        <w:t>ENG</w:t>
      </w:r>
      <w:r w:rsidR="00BA0274">
        <w:rPr>
          <w:rFonts w:hint="eastAsia"/>
          <w:lang w:eastAsia="zh-CN"/>
        </w:rPr>
        <w:t>）频谱的</w:t>
      </w:r>
      <w:r w:rsidR="00A57CD0">
        <w:rPr>
          <w:rFonts w:hint="eastAsia"/>
          <w:lang w:eastAsia="zh-CN"/>
        </w:rPr>
        <w:t>全球</w:t>
      </w:r>
      <w:r w:rsidR="00BA0274">
        <w:rPr>
          <w:rFonts w:hint="eastAsia"/>
          <w:lang w:eastAsia="zh-CN"/>
        </w:rPr>
        <w:t>/</w:t>
      </w:r>
      <w:r w:rsidR="00A57CD0">
        <w:rPr>
          <w:rFonts w:hint="eastAsia"/>
          <w:lang w:eastAsia="zh-CN"/>
        </w:rPr>
        <w:t>区域</w:t>
      </w:r>
      <w:r w:rsidR="00BA0274">
        <w:rPr>
          <w:rFonts w:hint="eastAsia"/>
          <w:lang w:eastAsia="zh-CN"/>
        </w:rPr>
        <w:t>统一；</w:t>
      </w:r>
      <w:r>
        <w:rPr>
          <w:rFonts w:hint="eastAsia"/>
          <w:lang w:eastAsia="zh-CN"/>
        </w:rPr>
        <w:t>”</w:t>
      </w:r>
      <w:r w:rsidR="00BA0274">
        <w:rPr>
          <w:rFonts w:hint="eastAsia"/>
          <w:lang w:eastAsia="zh-CN"/>
        </w:rPr>
        <w:t>作为此议项</w:t>
      </w:r>
      <w:r w:rsidR="00CC2F8F">
        <w:rPr>
          <w:rFonts w:hint="eastAsia"/>
          <w:lang w:eastAsia="zh-CN"/>
        </w:rPr>
        <w:t>以及后续讨论和提案的直接结果，</w:t>
      </w:r>
      <w:r w:rsidR="00CC2F8F">
        <w:rPr>
          <w:rFonts w:hint="eastAsia"/>
          <w:lang w:eastAsia="zh-CN"/>
        </w:rPr>
        <w:t>RA-12</w:t>
      </w:r>
      <w:r w:rsidR="00CC2F8F">
        <w:rPr>
          <w:rFonts w:hint="eastAsia"/>
          <w:lang w:eastAsia="zh-CN"/>
        </w:rPr>
        <w:t>通过了上述决议。</w:t>
      </w:r>
    </w:p>
    <w:p w:rsidR="00A2305D" w:rsidRDefault="00A2305D" w:rsidP="00A2305D">
      <w:pPr>
        <w:pStyle w:val="Heading1"/>
        <w:rPr>
          <w:lang w:val="en-US" w:eastAsia="zh-CN"/>
        </w:rPr>
      </w:pPr>
      <w:r>
        <w:rPr>
          <w:lang w:val="en-US" w:eastAsia="zh-CN"/>
        </w:rPr>
        <w:t>3</w:t>
      </w:r>
      <w:r>
        <w:rPr>
          <w:lang w:val="en-US" w:eastAsia="zh-CN"/>
        </w:rPr>
        <w:tab/>
      </w:r>
      <w:r>
        <w:rPr>
          <w:rFonts w:hint="eastAsia"/>
          <w:lang w:val="en-US" w:eastAsia="zh-CN"/>
        </w:rPr>
        <w:t>提案</w:t>
      </w:r>
    </w:p>
    <w:p w:rsidR="006562B9" w:rsidRPr="00ED765E" w:rsidRDefault="006562B9" w:rsidP="00A2305D">
      <w:pPr>
        <w:ind w:firstLineChars="200" w:firstLine="480"/>
        <w:rPr>
          <w:lang w:val="en-US" w:eastAsia="zh-CN"/>
        </w:rPr>
      </w:pPr>
      <w:r>
        <w:rPr>
          <w:rFonts w:hint="eastAsia"/>
          <w:lang w:eastAsia="zh-CN"/>
        </w:rPr>
        <w:t>因此，</w:t>
      </w:r>
      <w:r>
        <w:rPr>
          <w:rFonts w:hint="eastAsia"/>
          <w:lang w:eastAsia="zh-CN"/>
        </w:rPr>
        <w:t>CEPT</w:t>
      </w:r>
      <w:r>
        <w:rPr>
          <w:rFonts w:hint="eastAsia"/>
          <w:lang w:eastAsia="zh-CN"/>
        </w:rPr>
        <w:t>提议修订</w:t>
      </w:r>
      <w:r>
        <w:rPr>
          <w:rFonts w:hint="eastAsia"/>
          <w:lang w:eastAsia="zh-CN"/>
        </w:rPr>
        <w:t>ITU-R</w:t>
      </w:r>
      <w:r>
        <w:rPr>
          <w:rFonts w:hint="eastAsia"/>
          <w:lang w:eastAsia="zh-CN"/>
        </w:rPr>
        <w:t>第</w:t>
      </w:r>
      <w:r>
        <w:rPr>
          <w:rFonts w:hint="eastAsia"/>
          <w:lang w:eastAsia="zh-CN"/>
        </w:rPr>
        <w:t>59</w:t>
      </w:r>
      <w:r>
        <w:rPr>
          <w:rFonts w:hint="eastAsia"/>
          <w:lang w:eastAsia="zh-CN"/>
        </w:rPr>
        <w:t>号决议。</w:t>
      </w:r>
    </w:p>
    <w:p w:rsidR="001A50F9" w:rsidRPr="00801D86" w:rsidRDefault="001A50F9">
      <w:pPr>
        <w:tabs>
          <w:tab w:val="clear" w:pos="1134"/>
          <w:tab w:val="clear" w:pos="1871"/>
          <w:tab w:val="clear" w:pos="2268"/>
        </w:tabs>
        <w:overflowPunct/>
        <w:autoSpaceDE/>
        <w:autoSpaceDN/>
        <w:adjustRightInd/>
        <w:spacing w:before="0"/>
        <w:textAlignment w:val="auto"/>
        <w:rPr>
          <w:lang w:val="en-US" w:eastAsia="zh-CN"/>
        </w:rPr>
      </w:pPr>
      <w:r w:rsidRPr="00801D86">
        <w:rPr>
          <w:lang w:val="en-US" w:eastAsia="zh-CN"/>
        </w:rPr>
        <w:br w:type="page"/>
      </w:r>
    </w:p>
    <w:p w:rsidR="006B0F30" w:rsidRDefault="00B0145E" w:rsidP="00B0145E">
      <w:pPr>
        <w:pStyle w:val="Proposal"/>
        <w:rPr>
          <w:lang w:eastAsia="zh-CN"/>
        </w:rPr>
      </w:pPr>
      <w:bookmarkStart w:id="11" w:name="_Toc180535352"/>
      <w:bookmarkStart w:id="12" w:name="_Toc180536816"/>
      <w:bookmarkStart w:id="13" w:name="_Toc180547466"/>
      <w:bookmarkStart w:id="14" w:name="_Toc314867396"/>
      <w:bookmarkStart w:id="15" w:name="_Toc314867585"/>
      <w:bookmarkStart w:id="16" w:name="_Toc314868268"/>
      <w:bookmarkStart w:id="17" w:name="_Toc314869487"/>
      <w:bookmarkStart w:id="18" w:name="_Toc315019212"/>
      <w:bookmarkStart w:id="19" w:name="_Toc321147893"/>
      <w:bookmarkStart w:id="20" w:name="_Toc321148517"/>
      <w:r w:rsidRPr="00627393">
        <w:rPr>
          <w:lang w:val="en-US" w:eastAsia="zh-CN"/>
        </w:rPr>
        <w:lastRenderedPageBreak/>
        <w:t>MOD</w:t>
      </w:r>
      <w:r w:rsidRPr="00627393">
        <w:rPr>
          <w:lang w:val="en-US" w:eastAsia="zh-CN"/>
        </w:rPr>
        <w:tab/>
      </w:r>
      <w:r w:rsidRPr="00627393">
        <w:rPr>
          <w:lang w:eastAsia="zh-CN"/>
        </w:rPr>
        <w:t>EUR</w:t>
      </w:r>
      <w:r w:rsidRPr="00627393">
        <w:rPr>
          <w:lang w:val="en-US" w:eastAsia="zh-CN"/>
        </w:rPr>
        <w:t>/XX/1</w:t>
      </w:r>
    </w:p>
    <w:bookmarkEnd w:id="11"/>
    <w:bookmarkEnd w:id="12"/>
    <w:bookmarkEnd w:id="13"/>
    <w:bookmarkEnd w:id="14"/>
    <w:bookmarkEnd w:id="15"/>
    <w:bookmarkEnd w:id="16"/>
    <w:bookmarkEnd w:id="17"/>
    <w:bookmarkEnd w:id="18"/>
    <w:bookmarkEnd w:id="19"/>
    <w:bookmarkEnd w:id="20"/>
    <w:p w:rsidR="00FA2B96" w:rsidRDefault="00FA2B96" w:rsidP="00FA2B96">
      <w:pPr>
        <w:pStyle w:val="ResNo"/>
        <w:rPr>
          <w:lang w:val="en-US" w:eastAsia="zh-CN"/>
        </w:rPr>
      </w:pPr>
      <w:r w:rsidRPr="007D2357">
        <w:rPr>
          <w:lang w:eastAsia="zh-CN"/>
        </w:rPr>
        <w:t>ITU-R</w:t>
      </w:r>
      <w:r w:rsidRPr="007D2357">
        <w:rPr>
          <w:rFonts w:hint="eastAsia"/>
          <w:lang w:eastAsia="zh-CN"/>
        </w:rPr>
        <w:t>第</w:t>
      </w:r>
      <w:r w:rsidRPr="007D2357">
        <w:rPr>
          <w:rFonts w:hint="eastAsia"/>
          <w:lang w:eastAsia="zh-CN"/>
        </w:rPr>
        <w:t>59</w:t>
      </w:r>
      <w:r w:rsidRPr="007D2357">
        <w:rPr>
          <w:rFonts w:hint="eastAsia"/>
          <w:lang w:eastAsia="zh-CN"/>
        </w:rPr>
        <w:t>号决议</w:t>
      </w:r>
    </w:p>
    <w:p w:rsidR="00FA2B96" w:rsidRDefault="00FA2B96" w:rsidP="00C05500">
      <w:pPr>
        <w:pStyle w:val="Restitle"/>
        <w:rPr>
          <w:lang w:val="en-US" w:eastAsia="zh-CN"/>
        </w:rPr>
      </w:pPr>
      <w:r w:rsidRPr="007D2357">
        <w:rPr>
          <w:rFonts w:hint="eastAsia"/>
          <w:lang w:eastAsia="zh-CN"/>
        </w:rPr>
        <w:t>研究全球和</w:t>
      </w:r>
      <w:r w:rsidRPr="007D2357">
        <w:rPr>
          <w:rFonts w:hint="eastAsia"/>
          <w:lang w:eastAsia="zh-CN"/>
        </w:rPr>
        <w:t>/</w:t>
      </w:r>
      <w:r w:rsidRPr="007D2357">
        <w:rPr>
          <w:rFonts w:hint="eastAsia"/>
          <w:lang w:eastAsia="zh-CN"/>
        </w:rPr>
        <w:t>或区域统一可用频段和</w:t>
      </w:r>
      <w:r w:rsidRPr="007D2357">
        <w:rPr>
          <w:rFonts w:hint="eastAsia"/>
          <w:lang w:eastAsia="zh-CN"/>
        </w:rPr>
        <w:t>/</w:t>
      </w:r>
      <w:r w:rsidRPr="007D2357">
        <w:rPr>
          <w:rFonts w:hint="eastAsia"/>
          <w:lang w:eastAsia="zh-CN"/>
        </w:rPr>
        <w:t>或调谐范围</w:t>
      </w:r>
      <w:r w:rsidR="00B83EA5" w:rsidRPr="00285585">
        <w:rPr>
          <w:rStyle w:val="FootnoteReference"/>
          <w:b w:val="0"/>
          <w:lang w:eastAsia="nl-NL"/>
        </w:rPr>
        <w:footnoteReference w:customMarkFollows="1" w:id="2"/>
        <w:t>1</w:t>
      </w:r>
      <w:r w:rsidRPr="007D2357">
        <w:rPr>
          <w:rFonts w:hint="eastAsia"/>
          <w:lang w:eastAsia="zh-CN"/>
        </w:rPr>
        <w:t>及其</w:t>
      </w:r>
      <w:r w:rsidRPr="007D2357">
        <w:rPr>
          <w:lang w:eastAsia="zh-CN"/>
        </w:rPr>
        <w:br/>
      </w:r>
      <w:r w:rsidRPr="007D2357">
        <w:rPr>
          <w:rFonts w:hint="eastAsia"/>
          <w:lang w:eastAsia="zh-CN"/>
        </w:rPr>
        <w:t>供地面电子新闻采集</w:t>
      </w:r>
      <w:r w:rsidR="00C05500" w:rsidRPr="00285585">
        <w:rPr>
          <w:rStyle w:val="FootnoteReference"/>
          <w:b w:val="0"/>
        </w:rPr>
        <w:footnoteReference w:customMarkFollows="1" w:id="3"/>
        <w:t>2</w:t>
      </w:r>
      <w:r w:rsidRPr="007D2357">
        <w:rPr>
          <w:rFonts w:hint="eastAsia"/>
          <w:lang w:eastAsia="zh-CN"/>
        </w:rPr>
        <w:t>系统使用的条件</w:t>
      </w:r>
    </w:p>
    <w:p w:rsidR="00FA2B96" w:rsidRDefault="00FA2B96" w:rsidP="00FA2B96">
      <w:pPr>
        <w:pStyle w:val="Resdate"/>
        <w:rPr>
          <w:lang w:val="en-US" w:eastAsia="zh-CN"/>
        </w:rPr>
      </w:pPr>
      <w:r>
        <w:rPr>
          <w:rFonts w:hint="eastAsia"/>
          <w:lang w:val="en-US" w:eastAsia="zh-CN"/>
        </w:rPr>
        <w:t>（</w:t>
      </w:r>
      <w:r>
        <w:rPr>
          <w:rFonts w:hint="eastAsia"/>
          <w:lang w:val="en-US" w:eastAsia="zh-CN"/>
        </w:rPr>
        <w:t>2012</w:t>
      </w:r>
      <w:r>
        <w:rPr>
          <w:rFonts w:hint="eastAsia"/>
          <w:lang w:val="en-US" w:eastAsia="zh-CN"/>
        </w:rPr>
        <w:t>年）</w:t>
      </w:r>
    </w:p>
    <w:p w:rsidR="00FA2B96" w:rsidRPr="00093DD6" w:rsidRDefault="00FA2B96" w:rsidP="00FA2B96">
      <w:pPr>
        <w:pStyle w:val="Normalaftertitle0"/>
        <w:rPr>
          <w:lang w:val="en-US" w:eastAsia="zh-CN"/>
        </w:rPr>
      </w:pPr>
      <w:r w:rsidRPr="00093DD6">
        <w:rPr>
          <w:rFonts w:hint="eastAsia"/>
          <w:lang w:val="en-US" w:eastAsia="zh-CN"/>
        </w:rPr>
        <w:t>无线电通信</w:t>
      </w:r>
      <w:r>
        <w:rPr>
          <w:rFonts w:hint="eastAsia"/>
          <w:lang w:val="en-US" w:eastAsia="zh-CN"/>
        </w:rPr>
        <w:t>全会</w:t>
      </w:r>
      <w:r w:rsidRPr="00093DD6">
        <w:rPr>
          <w:rFonts w:hint="eastAsia"/>
          <w:lang w:val="en-US" w:eastAsia="zh-CN"/>
        </w:rPr>
        <w:t>，</w:t>
      </w:r>
    </w:p>
    <w:p w:rsidR="00FA2B96" w:rsidRPr="00E55684" w:rsidRDefault="00FA2B96" w:rsidP="00FA2B96">
      <w:pPr>
        <w:pStyle w:val="Call"/>
        <w:rPr>
          <w:lang w:val="en-US" w:eastAsia="zh-CN"/>
        </w:rPr>
      </w:pPr>
      <w:r w:rsidRPr="00E55684">
        <w:rPr>
          <w:rFonts w:hint="eastAsia"/>
          <w:lang w:val="en-US" w:eastAsia="zh-CN"/>
        </w:rPr>
        <w:t>考虑到</w:t>
      </w:r>
    </w:p>
    <w:p w:rsidR="00FA2B96" w:rsidRPr="0047220F" w:rsidRDefault="00FA2B96" w:rsidP="00FA2B96">
      <w:pPr>
        <w:rPr>
          <w:lang w:eastAsia="zh-CN"/>
        </w:rPr>
      </w:pPr>
      <w:r w:rsidRPr="0047220F">
        <w:rPr>
          <w:i/>
          <w:iCs/>
          <w:lang w:eastAsia="zh-CN"/>
        </w:rPr>
        <w:t>a)</w:t>
      </w:r>
      <w:r w:rsidRPr="0047220F">
        <w:rPr>
          <w:lang w:eastAsia="zh-CN"/>
        </w:rPr>
        <w:tab/>
      </w:r>
      <w:r w:rsidRPr="0047220F">
        <w:rPr>
          <w:rFonts w:hint="eastAsia"/>
          <w:lang w:eastAsia="zh-CN"/>
        </w:rPr>
        <w:t>一些主管部门根据其使用可能在电子新闻采集方面具有不同的操作</w:t>
      </w:r>
      <w:r>
        <w:rPr>
          <w:rFonts w:hint="eastAsia"/>
          <w:lang w:eastAsia="zh-CN"/>
        </w:rPr>
        <w:t>要</w:t>
      </w:r>
      <w:r w:rsidRPr="0047220F">
        <w:rPr>
          <w:rFonts w:hint="eastAsia"/>
          <w:lang w:eastAsia="zh-CN"/>
        </w:rPr>
        <w:t>求和频谱</w:t>
      </w:r>
      <w:r>
        <w:rPr>
          <w:rFonts w:hint="eastAsia"/>
          <w:lang w:eastAsia="zh-CN"/>
        </w:rPr>
        <w:t>需</w:t>
      </w:r>
      <w:r w:rsidRPr="0047220F">
        <w:rPr>
          <w:rFonts w:hint="eastAsia"/>
          <w:lang w:eastAsia="zh-CN"/>
        </w:rPr>
        <w:t>求；</w:t>
      </w:r>
    </w:p>
    <w:p w:rsidR="00FA2B96" w:rsidRPr="0047220F" w:rsidRDefault="00FA2B96" w:rsidP="00C05500">
      <w:pPr>
        <w:rPr>
          <w:lang w:eastAsia="zh-CN"/>
        </w:rPr>
      </w:pPr>
      <w:r w:rsidRPr="0047220F">
        <w:rPr>
          <w:i/>
          <w:iCs/>
          <w:lang w:eastAsia="zh-CN"/>
        </w:rPr>
        <w:t>b)</w:t>
      </w:r>
      <w:r w:rsidRPr="0047220F">
        <w:rPr>
          <w:rFonts w:hint="eastAsia"/>
          <w:lang w:eastAsia="zh-CN"/>
        </w:rPr>
        <w:tab/>
      </w:r>
      <w:ins w:id="24" w:author="Xing" w:date="2015-10-18T04:41:00Z">
        <w:r w:rsidR="002C2904">
          <w:rPr>
            <w:rFonts w:hint="eastAsia"/>
            <w:lang w:eastAsia="zh-CN"/>
          </w:rPr>
          <w:t>目前</w:t>
        </w:r>
      </w:ins>
      <w:r w:rsidRPr="0047220F">
        <w:rPr>
          <w:rFonts w:hint="eastAsia"/>
          <w:lang w:eastAsia="zh-CN"/>
        </w:rPr>
        <w:t>在划分给固定、移动和广播</w:t>
      </w:r>
      <w:r w:rsidR="00C05500" w:rsidRPr="00285585">
        <w:rPr>
          <w:rStyle w:val="FootnoteReference"/>
          <w:lang w:eastAsia="nl-NL"/>
        </w:rPr>
        <w:footnoteReference w:customMarkFollows="1" w:id="4"/>
        <w:t>3</w:t>
      </w:r>
      <w:r w:rsidRPr="0047220F">
        <w:rPr>
          <w:rFonts w:hint="eastAsia"/>
          <w:lang w:eastAsia="zh-CN"/>
        </w:rPr>
        <w:t>业务的频段内操作的广播</w:t>
      </w:r>
      <w:ins w:id="25" w:author="Xing" w:date="2015-10-18T04:40:00Z">
        <w:r w:rsidR="009A2191">
          <w:rPr>
            <w:rFonts w:hint="eastAsia"/>
            <w:lang w:eastAsia="zh-CN"/>
          </w:rPr>
          <w:t>和节目制作</w:t>
        </w:r>
      </w:ins>
      <w:r w:rsidRPr="0047220F">
        <w:rPr>
          <w:rFonts w:hint="eastAsia"/>
          <w:lang w:eastAsia="zh-CN"/>
        </w:rPr>
        <w:t>辅助业务</w:t>
      </w:r>
      <w:ins w:id="26" w:author="Xing" w:date="2015-10-18T04:45:00Z">
        <w:r w:rsidR="0075148D">
          <w:rPr>
            <w:rFonts w:hint="eastAsia"/>
            <w:lang w:eastAsia="zh-CN"/>
          </w:rPr>
          <w:t>（</w:t>
        </w:r>
        <w:r w:rsidR="0075148D">
          <w:rPr>
            <w:rFonts w:hint="eastAsia"/>
            <w:lang w:eastAsia="zh-CN"/>
          </w:rPr>
          <w:t>SAB/SAP</w:t>
        </w:r>
        <w:r w:rsidR="0075148D">
          <w:rPr>
            <w:rFonts w:hint="eastAsia"/>
            <w:lang w:eastAsia="zh-CN"/>
          </w:rPr>
          <w:t>）</w:t>
        </w:r>
      </w:ins>
      <w:r w:rsidRPr="0047220F">
        <w:rPr>
          <w:rFonts w:hint="eastAsia"/>
          <w:lang w:eastAsia="zh-CN"/>
        </w:rPr>
        <w:t>（通常称作“电子新闻采集”（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w:t>
      </w:r>
      <w:ins w:id="27" w:author="Xing" w:date="2015-10-18T04:43:00Z">
        <w:r w:rsidR="00BB5113">
          <w:rPr>
            <w:rFonts w:hint="eastAsia"/>
            <w:lang w:eastAsia="zh-CN"/>
          </w:rPr>
          <w:t>和内容制作</w:t>
        </w:r>
      </w:ins>
      <w:r w:rsidRPr="0047220F">
        <w:rPr>
          <w:rFonts w:hint="eastAsia"/>
          <w:lang w:eastAsia="zh-CN"/>
        </w:rPr>
        <w:t>的重要手段；</w:t>
      </w:r>
    </w:p>
    <w:p w:rsidR="00FA2B96" w:rsidRPr="0047220F" w:rsidRDefault="00FA2B96" w:rsidP="00FA2B96">
      <w:pPr>
        <w:rPr>
          <w:lang w:eastAsia="zh-CN"/>
        </w:rPr>
      </w:pPr>
      <w:r w:rsidRPr="0047220F">
        <w:rPr>
          <w:i/>
          <w:iCs/>
          <w:lang w:eastAsia="zh-CN"/>
        </w:rPr>
        <w:t>c)</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Pr>
          <w:rFonts w:hint="eastAsia"/>
          <w:lang w:eastAsia="zh-CN"/>
        </w:rPr>
        <w:t>现在</w:t>
      </w:r>
      <w:r w:rsidRPr="0047220F">
        <w:rPr>
          <w:rFonts w:hint="eastAsia"/>
          <w:lang w:eastAsia="zh-CN"/>
        </w:rPr>
        <w:t>使用的频谱不足以满足预期需求；</w:t>
      </w:r>
    </w:p>
    <w:p w:rsidR="00FA2B96" w:rsidRPr="0047220F" w:rsidRDefault="00FA2B96" w:rsidP="00FA2B96">
      <w:pPr>
        <w:rPr>
          <w:lang w:eastAsia="zh-CN"/>
        </w:rPr>
      </w:pPr>
      <w:r w:rsidRPr="0047220F">
        <w:rPr>
          <w:i/>
          <w:iCs/>
          <w:lang w:eastAsia="zh-CN"/>
        </w:rPr>
        <w:t>d)</w:t>
      </w:r>
      <w:r w:rsidRPr="0047220F">
        <w:rPr>
          <w:lang w:eastAsia="zh-CN"/>
        </w:rPr>
        <w:tab/>
      </w:r>
      <w:r w:rsidRPr="0047220F">
        <w:rPr>
          <w:rFonts w:hint="eastAsia"/>
          <w:lang w:eastAsia="zh-CN"/>
        </w:rPr>
        <w:t>目前制造商提供并被</w:t>
      </w:r>
      <w:r w:rsidRPr="0047220F">
        <w:rPr>
          <w:rFonts w:hint="eastAsia"/>
          <w:lang w:eastAsia="zh-CN"/>
        </w:rPr>
        <w:t>ENG</w:t>
      </w:r>
      <w:r w:rsidRPr="0047220F">
        <w:rPr>
          <w:rFonts w:hint="eastAsia"/>
          <w:lang w:eastAsia="zh-CN"/>
        </w:rPr>
        <w:t>运营商使用的</w:t>
      </w:r>
      <w:r w:rsidRPr="0047220F">
        <w:rPr>
          <w:rFonts w:hint="eastAsia"/>
          <w:lang w:eastAsia="zh-CN"/>
        </w:rPr>
        <w:t>ENG</w:t>
      </w:r>
      <w:r w:rsidRPr="0047220F">
        <w:rPr>
          <w:rFonts w:hint="eastAsia"/>
          <w:lang w:eastAsia="zh-CN"/>
        </w:rPr>
        <w:t>链路设备种类繁多，因此在某种程度实现世界范围</w:t>
      </w:r>
      <w:r>
        <w:rPr>
          <w:rFonts w:hint="eastAsia"/>
          <w:lang w:eastAsia="zh-CN"/>
        </w:rPr>
        <w:t>和</w:t>
      </w:r>
      <w:r w:rsidRPr="0047220F">
        <w:rPr>
          <w:rFonts w:hint="eastAsia"/>
          <w:lang w:eastAsia="zh-CN"/>
        </w:rPr>
        <w:t>/</w:t>
      </w:r>
      <w:r>
        <w:rPr>
          <w:rFonts w:hint="eastAsia"/>
          <w:lang w:eastAsia="zh-CN"/>
        </w:rPr>
        <w:t>或</w:t>
      </w:r>
      <w:r w:rsidRPr="0047220F">
        <w:rPr>
          <w:rFonts w:hint="eastAsia"/>
          <w:lang w:eastAsia="zh-CN"/>
        </w:rPr>
        <w:t>区域</w:t>
      </w:r>
      <w:r>
        <w:rPr>
          <w:rFonts w:hint="eastAsia"/>
          <w:lang w:eastAsia="zh-CN"/>
        </w:rPr>
        <w:t>的</w:t>
      </w:r>
      <w:r w:rsidRPr="0047220F">
        <w:rPr>
          <w:rFonts w:hint="eastAsia"/>
          <w:lang w:eastAsia="zh-CN"/>
        </w:rPr>
        <w:t>统一，是一项需解决的重要问题；</w:t>
      </w:r>
    </w:p>
    <w:p w:rsidR="00FA2B96" w:rsidRPr="0047220F" w:rsidRDefault="00FA2B96" w:rsidP="00FA2B96">
      <w:pPr>
        <w:rPr>
          <w:lang w:eastAsia="zh-CN"/>
        </w:rPr>
      </w:pPr>
      <w:r w:rsidRPr="0047220F">
        <w:rPr>
          <w:i/>
          <w:iCs/>
          <w:lang w:eastAsia="zh-CN"/>
        </w:rPr>
        <w:t>e)</w:t>
      </w:r>
      <w:r w:rsidRPr="0047220F">
        <w:rPr>
          <w:lang w:eastAsia="zh-CN"/>
        </w:rPr>
        <w:tab/>
      </w:r>
      <w:r w:rsidRPr="0047220F">
        <w:rPr>
          <w:rFonts w:hint="eastAsia"/>
          <w:lang w:eastAsia="zh-CN"/>
        </w:rPr>
        <w:t>对于</w:t>
      </w:r>
      <w:r w:rsidRPr="0047220F">
        <w:rPr>
          <w:rFonts w:hint="eastAsia"/>
          <w:lang w:eastAsia="zh-CN"/>
        </w:rPr>
        <w:t>ENG</w:t>
      </w:r>
      <w:r w:rsidRPr="0047220F">
        <w:rPr>
          <w:rFonts w:hint="eastAsia"/>
          <w:lang w:eastAsia="zh-CN"/>
        </w:rPr>
        <w:t>的一些要求，往往很少提前通知，预先做出协调的可能性微乎其微，因此运作上的限制经常会给主管部门带来问题；但调谐范围的统一有利于</w:t>
      </w:r>
      <w:r w:rsidRPr="0047220F">
        <w:rPr>
          <w:rFonts w:hint="eastAsia"/>
          <w:lang w:eastAsia="zh-CN"/>
        </w:rPr>
        <w:t>ENG</w:t>
      </w:r>
      <w:r w:rsidRPr="0047220F">
        <w:rPr>
          <w:rFonts w:hint="eastAsia"/>
          <w:lang w:eastAsia="zh-CN"/>
        </w:rPr>
        <w:t>链路操作，在相关事件需跨境报道（如自然灾害）时尤其如此；</w:t>
      </w:r>
    </w:p>
    <w:p w:rsidR="00FA2B96" w:rsidRDefault="00FA2B96" w:rsidP="00FA2B96">
      <w:pPr>
        <w:rPr>
          <w:lang w:val="en-US" w:eastAsia="zh-CN"/>
        </w:rPr>
      </w:pPr>
      <w:r>
        <w:rPr>
          <w:i/>
          <w:iCs/>
          <w:lang w:eastAsia="nl-NL"/>
        </w:rPr>
        <w:t>f</w:t>
      </w:r>
      <w:r w:rsidRPr="00093DD6">
        <w:rPr>
          <w:i/>
          <w:lang w:val="en-US" w:eastAsia="zh-CN"/>
        </w:rPr>
        <w:t>)</w:t>
      </w:r>
      <w:r w:rsidRPr="00093DD6">
        <w:rPr>
          <w:lang w:val="en-US" w:eastAsia="zh-CN"/>
        </w:rPr>
        <w:tab/>
      </w:r>
      <w:r w:rsidRPr="00093DD6">
        <w:rPr>
          <w:rFonts w:hint="eastAsia"/>
          <w:lang w:val="en-US" w:eastAsia="zh-CN"/>
        </w:rPr>
        <w:t>数字化可能为</w:t>
      </w:r>
      <w:r w:rsidRPr="00093DD6">
        <w:rPr>
          <w:rFonts w:hint="eastAsia"/>
          <w:lang w:val="en-US" w:eastAsia="zh-CN"/>
        </w:rPr>
        <w:t>ENG</w:t>
      </w:r>
      <w:r w:rsidRPr="00093DD6">
        <w:rPr>
          <w:rFonts w:hint="eastAsia"/>
          <w:lang w:val="en-US" w:eastAsia="zh-CN"/>
        </w:rPr>
        <w:t>更高效</w:t>
      </w:r>
      <w:r>
        <w:rPr>
          <w:rFonts w:hint="eastAsia"/>
          <w:lang w:val="en-US" w:eastAsia="zh-CN"/>
        </w:rPr>
        <w:t>地</w:t>
      </w:r>
      <w:r w:rsidRPr="00093DD6">
        <w:rPr>
          <w:rFonts w:hint="eastAsia"/>
          <w:lang w:val="en-US" w:eastAsia="zh-CN"/>
        </w:rPr>
        <w:t>使用频谱带来机遇，从而有助于满足这些系统对频谱的更大需求；</w:t>
      </w:r>
    </w:p>
    <w:p w:rsidR="00FA2B96" w:rsidRDefault="00FA2B96" w:rsidP="00FA2B96">
      <w:pPr>
        <w:rPr>
          <w:lang w:val="en-US" w:eastAsia="zh-CN"/>
        </w:rPr>
      </w:pPr>
      <w:r>
        <w:rPr>
          <w:i/>
          <w:iCs/>
          <w:lang w:eastAsia="ko-KR"/>
        </w:rPr>
        <w:t>g</w:t>
      </w:r>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rsidR="00FA2B96" w:rsidRDefault="00FA2B96" w:rsidP="00FA2B96">
      <w:pPr>
        <w:rPr>
          <w:lang w:val="en-US" w:eastAsia="zh-CN"/>
        </w:rPr>
      </w:pPr>
      <w:r>
        <w:rPr>
          <w:i/>
          <w:iCs/>
          <w:lang w:eastAsia="nl-NL"/>
        </w:rPr>
        <w:t>h</w:t>
      </w:r>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rsidR="00791EA4" w:rsidRPr="00285585" w:rsidRDefault="00791EA4" w:rsidP="00B83EA5">
      <w:pPr>
        <w:rPr>
          <w:ins w:id="28" w:author="Autor"/>
          <w:lang w:eastAsia="ko-KR"/>
        </w:rPr>
      </w:pPr>
      <w:ins w:id="29" w:author="Autor">
        <w:r w:rsidRPr="00177C35">
          <w:rPr>
            <w:i/>
            <w:iCs/>
            <w:lang w:eastAsia="ko-KR"/>
          </w:rPr>
          <w:lastRenderedPageBreak/>
          <w:t>i)</w:t>
        </w:r>
        <w:r w:rsidRPr="00285585">
          <w:rPr>
            <w:lang w:eastAsia="ko-KR"/>
          </w:rPr>
          <w:tab/>
          <w:t>ITU-R BT.2338</w:t>
        </w:r>
      </w:ins>
      <w:ins w:id="30" w:author="Xing" w:date="2015-10-18T04:46:00Z">
        <w:r w:rsidR="003E182D">
          <w:rPr>
            <w:rFonts w:hint="eastAsia"/>
            <w:lang w:eastAsia="zh-CN"/>
          </w:rPr>
          <w:t>号报告</w:t>
        </w:r>
      </w:ins>
      <w:ins w:id="31" w:author="Xing" w:date="2015-10-18T04:50:00Z">
        <w:r w:rsidR="001D11B5">
          <w:rPr>
            <w:rFonts w:hint="eastAsia"/>
            <w:lang w:eastAsia="zh-CN"/>
          </w:rPr>
          <w:t>描述了广播辅助业务</w:t>
        </w:r>
        <w:r w:rsidR="001D11B5">
          <w:rPr>
            <w:rFonts w:hint="eastAsia"/>
            <w:lang w:eastAsia="zh-CN"/>
          </w:rPr>
          <w:t>/</w:t>
        </w:r>
        <w:r w:rsidR="007506BD">
          <w:rPr>
            <w:rFonts w:hint="eastAsia"/>
            <w:lang w:eastAsia="zh-CN"/>
          </w:rPr>
          <w:t>节目制作辅助业务在</w:t>
        </w:r>
        <w:r w:rsidR="007506BD">
          <w:rPr>
            <w:rFonts w:hint="eastAsia"/>
            <w:lang w:eastAsia="zh-CN"/>
          </w:rPr>
          <w:t>1</w:t>
        </w:r>
        <w:r w:rsidR="007506BD">
          <w:rPr>
            <w:rFonts w:hint="eastAsia"/>
            <w:lang w:eastAsia="zh-CN"/>
          </w:rPr>
          <w:t>区的频谱使用情况</w:t>
        </w:r>
      </w:ins>
      <w:ins w:id="32" w:author="Xing" w:date="2015-10-18T04:53:00Z">
        <w:r w:rsidR="0062066E">
          <w:rPr>
            <w:rFonts w:hint="eastAsia"/>
            <w:lang w:eastAsia="zh-CN"/>
          </w:rPr>
          <w:t>，并表示在</w:t>
        </w:r>
        <w:r w:rsidR="0062066E">
          <w:rPr>
            <w:rFonts w:hint="eastAsia"/>
            <w:lang w:eastAsia="zh-CN"/>
          </w:rPr>
          <w:t>694</w:t>
        </w:r>
      </w:ins>
      <w:ins w:id="33" w:author="Liu, Sanping" w:date="2015-10-19T16:46:00Z">
        <w:r w:rsidR="00B83EA5">
          <w:rPr>
            <w:lang w:eastAsia="zh-CN"/>
          </w:rPr>
          <w:t>-</w:t>
        </w:r>
      </w:ins>
      <w:ins w:id="34" w:author="Xing" w:date="2015-10-18T04:53:00Z">
        <w:r w:rsidR="0062066E">
          <w:rPr>
            <w:rFonts w:hint="eastAsia"/>
            <w:lang w:eastAsia="zh-CN"/>
          </w:rPr>
          <w:t>790 MHz</w:t>
        </w:r>
        <w:r w:rsidR="0062066E">
          <w:rPr>
            <w:rFonts w:hint="eastAsia"/>
            <w:lang w:eastAsia="zh-CN"/>
          </w:rPr>
          <w:t>频段内为移动业务做出同为主要业务</w:t>
        </w:r>
      </w:ins>
      <w:ins w:id="35" w:author="Xing" w:date="2015-10-18T04:54:00Z">
        <w:r w:rsidR="0062066E">
          <w:rPr>
            <w:rFonts w:hint="eastAsia"/>
            <w:lang w:eastAsia="zh-CN"/>
          </w:rPr>
          <w:t>的划分；</w:t>
        </w:r>
      </w:ins>
    </w:p>
    <w:p w:rsidR="00791EA4" w:rsidRDefault="00791EA4" w:rsidP="00414A93">
      <w:pPr>
        <w:rPr>
          <w:lang w:val="en-US" w:eastAsia="zh-CN"/>
        </w:rPr>
      </w:pPr>
      <w:ins w:id="36" w:author="Autor">
        <w:r w:rsidRPr="00177C35">
          <w:rPr>
            <w:i/>
            <w:iCs/>
            <w:lang w:eastAsia="ko-KR"/>
          </w:rPr>
          <w:t>j)</w:t>
        </w:r>
        <w:r w:rsidRPr="00285585">
          <w:rPr>
            <w:lang w:eastAsia="ko-KR"/>
          </w:rPr>
          <w:tab/>
          <w:t>ITU-R BT.2344</w:t>
        </w:r>
      </w:ins>
      <w:ins w:id="37" w:author="Xing" w:date="2015-10-18T04:47:00Z">
        <w:r w:rsidR="00FB3D19">
          <w:rPr>
            <w:rFonts w:hint="eastAsia"/>
            <w:lang w:eastAsia="zh-CN"/>
          </w:rPr>
          <w:t>号报告</w:t>
        </w:r>
      </w:ins>
      <w:ins w:id="38" w:author="Xing" w:date="2015-10-18T04:48:00Z">
        <w:r w:rsidR="00FB3D19">
          <w:rPr>
            <w:rFonts w:hint="eastAsia"/>
            <w:lang w:eastAsia="zh-CN"/>
          </w:rPr>
          <w:t>介绍了</w:t>
        </w:r>
      </w:ins>
      <w:ins w:id="39" w:author="Xu, Hui" w:date="2015-10-15T10:27:00Z">
        <w:r w:rsidR="00414A93" w:rsidRPr="001E7FBD">
          <w:rPr>
            <w:rFonts w:hint="eastAsia"/>
            <w:lang w:eastAsia="zh-CN"/>
          </w:rPr>
          <w:t>在广播制作中使用的</w:t>
        </w:r>
        <w:r w:rsidR="00414A93" w:rsidRPr="001E7FBD">
          <w:rPr>
            <w:lang w:eastAsia="zh-CN"/>
          </w:rPr>
          <w:t>SAB/SAP</w:t>
        </w:r>
        <w:r w:rsidR="00414A93" w:rsidRPr="001E7FBD">
          <w:rPr>
            <w:rFonts w:hint="eastAsia"/>
            <w:lang w:eastAsia="zh-CN"/>
          </w:rPr>
          <w:t>的技术参数、操作特性和部署场景；</w:t>
        </w:r>
      </w:ins>
    </w:p>
    <w:p w:rsidR="00FA2B96" w:rsidRPr="00133DC1" w:rsidRDefault="00FA2B96" w:rsidP="00FA2B96">
      <w:pPr>
        <w:pStyle w:val="Call"/>
        <w:rPr>
          <w:lang w:eastAsia="zh-CN"/>
        </w:rPr>
      </w:pPr>
      <w:r w:rsidRPr="00133DC1">
        <w:rPr>
          <w:rFonts w:hint="eastAsia"/>
          <w:lang w:eastAsia="zh-CN"/>
        </w:rPr>
        <w:t>注意到</w:t>
      </w:r>
    </w:p>
    <w:p w:rsidR="00FA2B96" w:rsidRDefault="00FA2B96" w:rsidP="00FA2B96">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区域范围内统一地面</w:t>
      </w:r>
      <w:r w:rsidRPr="00093DD6">
        <w:rPr>
          <w:rFonts w:hint="eastAsia"/>
          <w:lang w:val="en-US" w:eastAsia="zh-CN"/>
        </w:rPr>
        <w:t>ENG</w:t>
      </w:r>
      <w:r w:rsidRPr="00093DD6">
        <w:rPr>
          <w:rFonts w:hint="eastAsia"/>
          <w:lang w:val="en-US" w:eastAsia="zh-CN"/>
        </w:rPr>
        <w:t>系统的调谐范围有利于主管部门</w:t>
      </w:r>
      <w:r>
        <w:rPr>
          <w:rFonts w:hint="eastAsia"/>
          <w:lang w:val="en-US" w:eastAsia="zh-CN"/>
        </w:rPr>
        <w:t>满足其</w:t>
      </w:r>
      <w:r w:rsidRPr="00093DD6">
        <w:rPr>
          <w:rFonts w:hint="eastAsia"/>
          <w:lang w:val="en-US" w:eastAsia="zh-CN"/>
        </w:rPr>
        <w:t>国际操作要求；</w:t>
      </w:r>
    </w:p>
    <w:p w:rsidR="00FA2B96" w:rsidRDefault="00FA2B96" w:rsidP="00FA2B96">
      <w:pPr>
        <w:ind w:right="-142"/>
        <w:rPr>
          <w:szCs w:val="24"/>
          <w:lang w:eastAsia="zh-CN"/>
        </w:rPr>
      </w:pPr>
      <w:r>
        <w:rPr>
          <w:i/>
          <w:lang w:eastAsia="ko-KR"/>
        </w:rPr>
        <w:t>b</w:t>
      </w:r>
      <w:r w:rsidRPr="00644CDE">
        <w:rPr>
          <w:rFonts w:hint="eastAsia"/>
          <w:i/>
          <w:iCs/>
          <w:lang w:val="en-US" w:eastAsia="zh-CN"/>
        </w:rPr>
        <w:t>)</w:t>
      </w:r>
      <w:r>
        <w:rPr>
          <w:rFonts w:hint="eastAsia"/>
          <w:lang w:val="en-US" w:eastAsia="zh-CN"/>
        </w:rPr>
        <w:tab/>
      </w:r>
      <w:r>
        <w:rPr>
          <w:rFonts w:hint="eastAsia"/>
          <w:szCs w:val="24"/>
          <w:lang w:eastAsia="zh-CN"/>
        </w:rPr>
        <w:t>某些频段的特性使其更适用于</w:t>
      </w:r>
      <w:r>
        <w:rPr>
          <w:rFonts w:hint="eastAsia"/>
          <w:szCs w:val="24"/>
          <w:lang w:eastAsia="zh-CN"/>
        </w:rPr>
        <w:t>ENG</w:t>
      </w:r>
      <w:r>
        <w:rPr>
          <w:rFonts w:hint="eastAsia"/>
          <w:szCs w:val="24"/>
          <w:lang w:eastAsia="zh-CN"/>
        </w:rPr>
        <w:t>；</w:t>
      </w:r>
    </w:p>
    <w:p w:rsidR="00FA2B96" w:rsidRPr="00644CDE" w:rsidRDefault="00FA2B96" w:rsidP="00FA2B96">
      <w:pPr>
        <w:ind w:right="-142"/>
        <w:rPr>
          <w:lang w:val="en-US" w:eastAsia="zh-CN"/>
        </w:rPr>
      </w:pPr>
      <w:r>
        <w:rPr>
          <w:i/>
          <w:lang w:eastAsia="zh-CN"/>
        </w:rPr>
        <w:t>c</w:t>
      </w:r>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往往几乎没有或完全没有</w:t>
      </w:r>
      <w:r w:rsidRPr="00093DD6">
        <w:rPr>
          <w:rFonts w:hint="eastAsia"/>
          <w:lang w:val="en-US" w:eastAsia="zh-CN"/>
        </w:rPr>
        <w:t>时间对设备部署做出准备；</w:t>
      </w:r>
    </w:p>
    <w:p w:rsidR="00FA2B96" w:rsidRPr="00093DD6" w:rsidRDefault="00FA2B96" w:rsidP="00FA2B96">
      <w:pPr>
        <w:rPr>
          <w:lang w:val="en-US" w:eastAsia="zh-CN"/>
        </w:rPr>
      </w:pPr>
      <w:r w:rsidRPr="00093DD6">
        <w:rPr>
          <w:rFonts w:hint="eastAsia"/>
          <w:i/>
          <w:iCs/>
          <w:lang w:val="en-US" w:eastAsia="zh-CN"/>
        </w:rPr>
        <w:t>d</w:t>
      </w:r>
      <w:r w:rsidRPr="00093DD6">
        <w:rPr>
          <w:i/>
          <w:iCs/>
          <w:lang w:val="en-US" w:eastAsia="zh-CN"/>
        </w:rPr>
        <w:t>)</w:t>
      </w:r>
      <w:r w:rsidRPr="00093DD6">
        <w:rPr>
          <w:lang w:val="en-US" w:eastAsia="zh-CN"/>
        </w:rPr>
        <w:tab/>
      </w:r>
      <w:r w:rsidRPr="00093DD6">
        <w:rPr>
          <w:rFonts w:hint="eastAsia"/>
          <w:lang w:val="en-US" w:eastAsia="zh-CN"/>
        </w:rPr>
        <w:t>发生具有国际新闻价值的事件时，</w:t>
      </w:r>
      <w:r>
        <w:rPr>
          <w:rFonts w:hint="eastAsia"/>
          <w:lang w:val="en-US" w:eastAsia="zh-CN"/>
        </w:rPr>
        <w:t>相关</w:t>
      </w:r>
      <w:r w:rsidRPr="00093DD6">
        <w:rPr>
          <w:rFonts w:hint="eastAsia"/>
          <w:lang w:val="en-US" w:eastAsia="zh-CN"/>
        </w:rPr>
        <w:t>主管部门</w:t>
      </w:r>
      <w:r>
        <w:rPr>
          <w:rFonts w:hint="eastAsia"/>
          <w:lang w:val="en-US" w:eastAsia="zh-CN"/>
        </w:rPr>
        <w:t>内</w:t>
      </w:r>
      <w:r w:rsidRPr="00093DD6">
        <w:rPr>
          <w:rFonts w:hint="eastAsia"/>
          <w:lang w:val="en-US" w:eastAsia="zh-CN"/>
        </w:rPr>
        <w:t>会有</w:t>
      </w:r>
      <w:r>
        <w:rPr>
          <w:rFonts w:hint="eastAsia"/>
          <w:lang w:val="en-US" w:eastAsia="zh-CN"/>
        </w:rPr>
        <w:t>立即</w:t>
      </w:r>
      <w:r w:rsidRPr="00093DD6">
        <w:rPr>
          <w:rFonts w:hint="eastAsia"/>
          <w:lang w:val="en-US" w:eastAsia="zh-CN"/>
        </w:rPr>
        <w:t>采取频谱管理行动</w:t>
      </w:r>
      <w:r>
        <w:rPr>
          <w:rFonts w:hint="eastAsia"/>
          <w:lang w:val="en-US" w:eastAsia="zh-CN"/>
        </w:rPr>
        <w:t>（</w:t>
      </w:r>
      <w:r w:rsidRPr="00093DD6">
        <w:rPr>
          <w:rFonts w:hint="eastAsia"/>
          <w:lang w:val="en-US" w:eastAsia="zh-CN"/>
        </w:rPr>
        <w:t>包括频率协调、共用和频谱复用</w:t>
      </w:r>
      <w:r>
        <w:rPr>
          <w:rFonts w:hint="eastAsia"/>
          <w:lang w:val="en-US" w:eastAsia="zh-CN"/>
        </w:rPr>
        <w:t>）的</w:t>
      </w:r>
      <w:r w:rsidRPr="00093DD6">
        <w:rPr>
          <w:rFonts w:hint="eastAsia"/>
          <w:lang w:val="en-US" w:eastAsia="zh-CN"/>
        </w:rPr>
        <w:t>迫切要求；</w:t>
      </w:r>
    </w:p>
    <w:p w:rsidR="00FA2B96" w:rsidRPr="00093DD6" w:rsidRDefault="00FA2B96" w:rsidP="00FA2B96">
      <w:pPr>
        <w:rPr>
          <w:lang w:val="en-US" w:eastAsia="zh-CN"/>
        </w:rPr>
      </w:pPr>
      <w:r w:rsidRPr="00093DD6">
        <w:rPr>
          <w:rFonts w:hint="eastAsia"/>
          <w:i/>
          <w:iCs/>
          <w:lang w:val="en-US" w:eastAsia="zh-CN"/>
        </w:rPr>
        <w:t>e</w:t>
      </w:r>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各主管部门如能事先确定设备操作的可用频率，再加上使用的设备调谐范围</w:t>
      </w:r>
      <w:r>
        <w:rPr>
          <w:rFonts w:hint="eastAsia"/>
          <w:lang w:val="en-US" w:eastAsia="zh-CN"/>
        </w:rPr>
        <w:t>充足</w:t>
      </w:r>
      <w:r w:rsidRPr="00093DD6">
        <w:rPr>
          <w:rFonts w:hint="eastAsia"/>
          <w:lang w:val="en-US" w:eastAsia="zh-CN"/>
        </w:rPr>
        <w:t>，能在各种不同频谱接入情形下操作，可能会缓解频率指配中遇到的困难，在报道吸引区域和</w:t>
      </w:r>
      <w:r>
        <w:rPr>
          <w:rFonts w:hint="eastAsia"/>
          <w:lang w:val="en-US" w:eastAsia="zh-CN"/>
        </w:rPr>
        <w:t>/</w:t>
      </w:r>
      <w:r w:rsidRPr="00093DD6">
        <w:rPr>
          <w:rFonts w:hint="eastAsia"/>
          <w:lang w:val="en-US" w:eastAsia="zh-CN"/>
        </w:rPr>
        <w:t>或全球广播听众的具国际新闻价值的事件时尤为如此，</w:t>
      </w:r>
    </w:p>
    <w:p w:rsidR="00FA2B96" w:rsidRPr="00093DD6" w:rsidRDefault="00FA2B96" w:rsidP="00FA2B96">
      <w:pPr>
        <w:pStyle w:val="Call"/>
        <w:rPr>
          <w:lang w:val="en-US" w:eastAsia="zh-CN"/>
        </w:rPr>
      </w:pPr>
      <w:r w:rsidRPr="00093DD6">
        <w:rPr>
          <w:rFonts w:hint="eastAsia"/>
          <w:lang w:val="en-US" w:eastAsia="zh-CN"/>
        </w:rPr>
        <w:t>进一步注意到</w:t>
      </w:r>
    </w:p>
    <w:p w:rsidR="00FA2B96" w:rsidRPr="00093DD6" w:rsidRDefault="00FA2B96" w:rsidP="00FA2B96">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rsidR="00FA2B96" w:rsidRPr="00133DC1" w:rsidRDefault="00FA2B96" w:rsidP="00FA2B96">
      <w:pPr>
        <w:pStyle w:val="Call"/>
        <w:rPr>
          <w:lang w:eastAsia="zh-CN"/>
        </w:rPr>
      </w:pPr>
      <w:r w:rsidRPr="00133DC1">
        <w:rPr>
          <w:rFonts w:hint="eastAsia"/>
          <w:lang w:eastAsia="zh-CN"/>
        </w:rPr>
        <w:t>认识到</w:t>
      </w:r>
    </w:p>
    <w:p w:rsidR="00FA2B96" w:rsidRPr="00093DD6" w:rsidRDefault="00FA2B96" w:rsidP="00FA2B96">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非常有必要根据商定的调谐范围提供全球统一的频谱，使</w:t>
      </w:r>
      <w:r w:rsidRPr="00093DD6">
        <w:rPr>
          <w:rFonts w:hint="eastAsia"/>
          <w:lang w:val="en-US" w:eastAsia="zh-CN"/>
        </w:rPr>
        <w:t>ENG</w:t>
      </w:r>
      <w:r w:rsidRPr="00093DD6">
        <w:rPr>
          <w:rFonts w:hint="eastAsia"/>
          <w:lang w:val="en-US" w:eastAsia="zh-CN"/>
        </w:rPr>
        <w:t>系统在各国的部署和运行更加迅速</w:t>
      </w:r>
      <w:r>
        <w:rPr>
          <w:rFonts w:hint="eastAsia"/>
          <w:lang w:val="en-US" w:eastAsia="zh-CN"/>
        </w:rPr>
        <w:t>和</w:t>
      </w:r>
      <w:r w:rsidRPr="00093DD6">
        <w:rPr>
          <w:rFonts w:hint="eastAsia"/>
          <w:lang w:val="en-US" w:eastAsia="zh-CN"/>
        </w:rPr>
        <w:t>畅通；</w:t>
      </w:r>
    </w:p>
    <w:p w:rsidR="00FA2B96" w:rsidRPr="00093DD6" w:rsidRDefault="00FA2B96" w:rsidP="00FA2B96">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Pr>
          <w:rFonts w:hint="eastAsia"/>
          <w:lang w:val="en-US" w:eastAsia="zh-CN"/>
        </w:rPr>
        <w:t>突发新闻、紧急情况和灾害等</w:t>
      </w:r>
      <w:r w:rsidRPr="00093DD6">
        <w:rPr>
          <w:rFonts w:hint="eastAsia"/>
          <w:lang w:val="en-US" w:eastAsia="zh-CN"/>
        </w:rPr>
        <w:t>计划外事件造成的；</w:t>
      </w:r>
    </w:p>
    <w:p w:rsidR="00FA2B96" w:rsidRPr="00F82626" w:rsidRDefault="00FA2B96" w:rsidP="00FA2B96">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rsidR="00FA2B96" w:rsidRDefault="00FA2B96" w:rsidP="00FA2B96">
      <w:pPr>
        <w:rPr>
          <w:lang w:val="en-US" w:eastAsia="zh-CN"/>
        </w:rPr>
      </w:pPr>
      <w:r>
        <w:rPr>
          <w:rFonts w:eastAsia="Calibri"/>
          <w:i/>
          <w:iCs/>
          <w:lang w:eastAsia="zh-CN"/>
        </w:rPr>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rsidR="00FA2B96" w:rsidRPr="00093DD6" w:rsidRDefault="00FA2B96" w:rsidP="00FA2B96">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p>
    <w:p w:rsidR="00FA2B96" w:rsidRPr="00093DD6" w:rsidRDefault="00FA2B96" w:rsidP="00FA2B96">
      <w:pPr>
        <w:rPr>
          <w:lang w:val="en-US" w:eastAsia="zh-CN"/>
        </w:rPr>
      </w:pPr>
      <w:r>
        <w:rPr>
          <w:rFonts w:eastAsia="Calibri"/>
          <w:i/>
          <w:iCs/>
          <w:lang w:eastAsia="zh-CN"/>
        </w:rPr>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rsidR="00FA2B96" w:rsidRPr="00093DD6" w:rsidRDefault="00FA2B96" w:rsidP="00FA2B96">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rsidR="00FA2B96" w:rsidRPr="00093DD6" w:rsidRDefault="00FA2B96" w:rsidP="00FA2B96">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rsidR="00FA2B96" w:rsidRPr="00133DC1" w:rsidRDefault="00FA2B96" w:rsidP="00FA2B96">
      <w:pPr>
        <w:pStyle w:val="Call"/>
        <w:rPr>
          <w:lang w:eastAsia="zh-CN"/>
        </w:rPr>
      </w:pPr>
      <w:r w:rsidRPr="00133DC1">
        <w:rPr>
          <w:rFonts w:hint="eastAsia"/>
          <w:lang w:eastAsia="zh-CN"/>
        </w:rPr>
        <w:lastRenderedPageBreak/>
        <w:t>做出决议</w:t>
      </w:r>
    </w:p>
    <w:p w:rsidR="00FA2B96" w:rsidRPr="00F82626" w:rsidRDefault="00FA2B96" w:rsidP="00FA2B96">
      <w:pPr>
        <w:rPr>
          <w:lang w:eastAsia="zh-CN"/>
        </w:rPr>
      </w:pPr>
      <w:r w:rsidRPr="003F49CB">
        <w:rPr>
          <w:bCs/>
          <w:szCs w:val="24"/>
          <w:lang w:eastAsia="nl-NL"/>
        </w:rPr>
        <w:t>1</w:t>
      </w:r>
      <w:r w:rsidRPr="00F82626">
        <w:rPr>
          <w:szCs w:val="24"/>
          <w:lang w:eastAsia="nl-NL"/>
        </w:rPr>
        <w:tab/>
      </w:r>
      <w:del w:id="40" w:author="Xing" w:date="2015-10-18T04:58:00Z">
        <w:r w:rsidDel="00AB6C8C">
          <w:rPr>
            <w:rFonts w:hint="eastAsia"/>
            <w:lang w:eastAsia="zh-CN"/>
          </w:rPr>
          <w:delText>就</w:delText>
        </w:r>
      </w:del>
      <w:ins w:id="41" w:author="Xing" w:date="2015-10-18T04:58:00Z">
        <w:r w:rsidR="00AB6C8C">
          <w:rPr>
            <w:rFonts w:hint="eastAsia"/>
            <w:lang w:eastAsia="zh-CN"/>
          </w:rPr>
          <w:t>集中但并非局限</w:t>
        </w:r>
      </w:ins>
      <w:r>
        <w:rPr>
          <w:rFonts w:hint="eastAsia"/>
          <w:lang w:eastAsia="zh-CN"/>
        </w:rPr>
        <w:t>在已划分给固定、移动或广播业务的频段内，为在世界</w:t>
      </w:r>
      <w:r>
        <w:rPr>
          <w:rFonts w:hint="eastAsia"/>
          <w:lang w:eastAsia="zh-CN"/>
        </w:rPr>
        <w:t>/</w:t>
      </w:r>
      <w:r>
        <w:rPr>
          <w:rFonts w:hint="eastAsia"/>
          <w:lang w:eastAsia="zh-CN"/>
        </w:rPr>
        <w:t>区域范围统一</w:t>
      </w:r>
      <w:r>
        <w:rPr>
          <w:rFonts w:hint="eastAsia"/>
          <w:lang w:eastAsia="zh-CN"/>
        </w:rPr>
        <w:t>ENG</w:t>
      </w:r>
      <w:r>
        <w:rPr>
          <w:rFonts w:hint="eastAsia"/>
          <w:lang w:eastAsia="zh-CN"/>
        </w:rPr>
        <w:t>所用频段和调谐范围提供可能的解决方案开展研究，并考虑到</w:t>
      </w:r>
      <w:r>
        <w:rPr>
          <w:rFonts w:hint="eastAsia"/>
          <w:szCs w:val="24"/>
          <w:lang w:eastAsia="zh-CN"/>
        </w:rPr>
        <w:t>：</w:t>
      </w:r>
    </w:p>
    <w:p w:rsidR="00FA2B96" w:rsidRPr="00F82626" w:rsidRDefault="00FA2B96" w:rsidP="00FA2B96">
      <w:pPr>
        <w:pStyle w:val="enumlev1"/>
        <w:rPr>
          <w:lang w:eastAsia="ja-JP"/>
        </w:rPr>
      </w:pPr>
      <w:r w:rsidRPr="00F82626">
        <w:rPr>
          <w:lang w:eastAsia="zh-CN"/>
        </w:rPr>
        <w:t>–</w:t>
      </w:r>
      <w:r w:rsidRPr="00F82626">
        <w:rPr>
          <w:lang w:eastAsia="zh-CN"/>
        </w:rPr>
        <w:tab/>
      </w:r>
      <w:r>
        <w:rPr>
          <w:rFonts w:hint="eastAsia"/>
          <w:lang w:eastAsia="zh-CN"/>
        </w:rPr>
        <w:t>通过可用技术，尽最大可能高效、灵活地使用频谱；</w:t>
      </w:r>
    </w:p>
    <w:p w:rsidR="00FA2B96" w:rsidRPr="00F82626" w:rsidRDefault="00FA2B96" w:rsidP="00FA2B96">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rsidR="00FA2B96" w:rsidRPr="00F82626" w:rsidRDefault="00FA2B96" w:rsidP="00FA2B96">
      <w:pPr>
        <w:rPr>
          <w:lang w:eastAsia="zh-CN"/>
        </w:rPr>
      </w:pPr>
      <w:r w:rsidRPr="003F49CB">
        <w:rPr>
          <w:bCs/>
          <w:lang w:eastAsia="zh-CN"/>
        </w:rPr>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rsidR="00FA2B96" w:rsidRDefault="00FA2B96" w:rsidP="00FA2B96">
      <w:pPr>
        <w:pStyle w:val="Call"/>
        <w:rPr>
          <w:lang w:eastAsia="zh-CN"/>
        </w:rPr>
      </w:pPr>
      <w:r>
        <w:rPr>
          <w:rFonts w:hint="eastAsia"/>
          <w:lang w:eastAsia="zh-CN"/>
        </w:rPr>
        <w:t>进一步做出决议</w:t>
      </w:r>
    </w:p>
    <w:p w:rsidR="00FA2B96" w:rsidRPr="00553C8B" w:rsidRDefault="00FA2B96" w:rsidP="00FA2B96">
      <w:pPr>
        <w:rPr>
          <w:lang w:eastAsia="zh-CN"/>
        </w:rPr>
      </w:pPr>
      <w:r>
        <w:rPr>
          <w:rFonts w:hint="eastAsia"/>
          <w:lang w:eastAsia="zh-CN"/>
        </w:rPr>
        <w:t>1</w:t>
      </w:r>
      <w:r>
        <w:rPr>
          <w:rFonts w:hint="eastAsia"/>
          <w:lang w:eastAsia="zh-CN"/>
        </w:rPr>
        <w:tab/>
      </w:r>
      <w:r w:rsidRPr="00553C8B">
        <w:rPr>
          <w:rFonts w:hint="eastAsia"/>
          <w:lang w:eastAsia="zh-CN"/>
        </w:rPr>
        <w:t>鼓励各主管部门拟定各有关国</w:t>
      </w:r>
      <w:r>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的频段或调谐范围清单、频谱管理</w:t>
      </w:r>
      <w:r>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p>
    <w:p w:rsidR="00FA2B96" w:rsidRPr="00553C8B" w:rsidRDefault="00FA2B96" w:rsidP="00FA2B96">
      <w:pPr>
        <w:rPr>
          <w:lang w:eastAsia="zh-CN"/>
        </w:rPr>
      </w:pPr>
      <w:r>
        <w:rPr>
          <w:rFonts w:hint="eastAsia"/>
          <w:lang w:eastAsia="zh-CN"/>
        </w:rPr>
        <w:t>2</w:t>
      </w:r>
      <w:r>
        <w:rPr>
          <w:rFonts w:hint="eastAsia"/>
          <w:lang w:eastAsia="zh-CN"/>
        </w:rPr>
        <w:tab/>
      </w:r>
      <w:r w:rsidRPr="00553C8B">
        <w:rPr>
          <w:rFonts w:hint="eastAsia"/>
          <w:lang w:eastAsia="zh-CN"/>
        </w:rPr>
        <w:t>为实现统一，鼓励各主管部门考虑其他主管部门用于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rsidR="00FA2B96" w:rsidRPr="00133DC1" w:rsidRDefault="00FA2B96" w:rsidP="00FA2B96">
      <w:pPr>
        <w:pStyle w:val="Call"/>
        <w:rPr>
          <w:lang w:eastAsia="zh-CN"/>
        </w:rPr>
      </w:pPr>
      <w:r w:rsidRPr="00133DC1">
        <w:rPr>
          <w:rFonts w:hint="eastAsia"/>
          <w:lang w:eastAsia="zh-CN"/>
        </w:rPr>
        <w:t>请</w:t>
      </w:r>
    </w:p>
    <w:p w:rsidR="00FA2B96" w:rsidRDefault="00FA2B96" w:rsidP="00FA2B96">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rsidR="00FA2B96" w:rsidRDefault="00FA2B96" w:rsidP="00FA2B96">
      <w:pPr>
        <w:pStyle w:val="Call"/>
        <w:rPr>
          <w:lang w:eastAsia="zh-CN"/>
        </w:rPr>
      </w:pPr>
      <w:r>
        <w:rPr>
          <w:rFonts w:hint="eastAsia"/>
          <w:lang w:eastAsia="zh-CN"/>
        </w:rPr>
        <w:t>责成无线电通信局主任</w:t>
      </w:r>
    </w:p>
    <w:p w:rsidR="00FA2B96" w:rsidRDefault="00FA2B96" w:rsidP="00FA2B96">
      <w:pPr>
        <w:rPr>
          <w:lang w:eastAsia="zh-CN"/>
        </w:rPr>
      </w:pPr>
      <w:r>
        <w:rPr>
          <w:rFonts w:hint="eastAsia"/>
          <w:lang w:eastAsia="zh-CN"/>
        </w:rPr>
        <w:t>1</w:t>
      </w:r>
      <w:r>
        <w:rPr>
          <w:rFonts w:hint="eastAsia"/>
          <w:lang w:eastAsia="zh-CN"/>
        </w:rPr>
        <w:tab/>
      </w:r>
      <w:r>
        <w:rPr>
          <w:rFonts w:hint="eastAsia"/>
          <w:lang w:eastAsia="zh-CN"/>
        </w:rPr>
        <w:t>开发网页，在其中汇总各主管部门按照</w:t>
      </w:r>
      <w:r w:rsidRPr="00553C8B">
        <w:rPr>
          <w:rFonts w:eastAsia="STKaiti" w:hint="eastAsia"/>
          <w:lang w:eastAsia="zh-CN"/>
        </w:rPr>
        <w:t>进一步做出决议</w:t>
      </w:r>
      <w:r>
        <w:rPr>
          <w:rFonts w:hint="eastAsia"/>
          <w:lang w:eastAsia="zh-CN"/>
        </w:rPr>
        <w:t>1</w:t>
      </w:r>
      <w:r>
        <w:rPr>
          <w:rFonts w:hint="eastAsia"/>
          <w:lang w:eastAsia="zh-CN"/>
        </w:rPr>
        <w:t>所提供的</w:t>
      </w:r>
      <w:r>
        <w:rPr>
          <w:rFonts w:hint="eastAsia"/>
          <w:lang w:eastAsia="zh-CN"/>
        </w:rPr>
        <w:t>ENG</w:t>
      </w:r>
      <w:r>
        <w:rPr>
          <w:rFonts w:hint="eastAsia"/>
          <w:lang w:eastAsia="zh-CN"/>
        </w:rPr>
        <w:t>信息清单链接；</w:t>
      </w:r>
    </w:p>
    <w:p w:rsidR="001A50F9" w:rsidRDefault="00FA2B96" w:rsidP="00FA2B96">
      <w:pPr>
        <w:rPr>
          <w:lang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p w:rsidR="006B0F30" w:rsidRDefault="006B0F30" w:rsidP="006B0F30">
      <w:pPr>
        <w:rPr>
          <w:lang w:eastAsia="zh-CN"/>
        </w:rPr>
      </w:pPr>
    </w:p>
    <w:p w:rsidR="006B0F30" w:rsidRDefault="006B0F30" w:rsidP="0032202E">
      <w:pPr>
        <w:pStyle w:val="Reasons"/>
        <w:rPr>
          <w:lang w:eastAsia="zh-CN"/>
        </w:rPr>
      </w:pPr>
    </w:p>
    <w:p w:rsidR="006B0F30" w:rsidRPr="006B0F30" w:rsidRDefault="006B0F30" w:rsidP="006B0F30">
      <w:pPr>
        <w:jc w:val="center"/>
      </w:pPr>
      <w:r>
        <w:t>______________</w:t>
      </w:r>
    </w:p>
    <w:sectPr w:rsidR="006B0F30" w:rsidRPr="006B0F30"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9E" w:rsidRDefault="00DA2D9E">
      <w:r>
        <w:separator/>
      </w:r>
    </w:p>
  </w:endnote>
  <w:endnote w:type="continuationSeparator" w:id="0">
    <w:p w:rsidR="00DA2D9E" w:rsidRDefault="00DA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Times New Roma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9003AF">
    <w:pPr>
      <w:rPr>
        <w:lang w:val="fr-FR"/>
      </w:rPr>
    </w:pPr>
    <w:fldSimple w:instr=" FILENAME \p  \* MERGEFORMAT ">
      <w:r w:rsidR="00824B6B" w:rsidRPr="00824B6B">
        <w:rPr>
          <w:noProof/>
          <w:lang w:val="fr-FR"/>
        </w:rPr>
        <w:t>P</w:t>
      </w:r>
      <w:r w:rsidR="00824B6B">
        <w:rPr>
          <w:noProof/>
        </w:rPr>
        <w:t>:\CHI\ITU-R\CONF-R\AR15\PLEN\000\034ADD04C.docx</w:t>
      </w:r>
    </w:fldSimple>
    <w:r w:rsidR="00586689" w:rsidRPr="00877D12">
      <w:rPr>
        <w:lang w:val="fr-FR"/>
      </w:rPr>
      <w:tab/>
    </w:r>
    <w:r w:rsidR="00CA621C">
      <w:fldChar w:fldCharType="begin"/>
    </w:r>
    <w:r w:rsidR="00586689">
      <w:instrText xml:space="preserve"> SAVEDATE \@ DD.MM.YY </w:instrText>
    </w:r>
    <w:r w:rsidR="00CA621C">
      <w:fldChar w:fldCharType="separate"/>
    </w:r>
    <w:r w:rsidR="00824B6B">
      <w:rPr>
        <w:noProof/>
      </w:rPr>
      <w:t>19.10.15</w:t>
    </w:r>
    <w:r w:rsidR="00CA621C">
      <w:fldChar w:fldCharType="end"/>
    </w:r>
    <w:r w:rsidR="00586689" w:rsidRPr="00877D12">
      <w:rPr>
        <w:lang w:val="fr-FR"/>
      </w:rPr>
      <w:tab/>
    </w:r>
    <w:r w:rsidR="00CA621C">
      <w:fldChar w:fldCharType="begin"/>
    </w:r>
    <w:r w:rsidR="00586689">
      <w:instrText xml:space="preserve"> PRINTDATE \@ DD.MM.YY </w:instrText>
    </w:r>
    <w:r w:rsidR="00CA621C">
      <w:fldChar w:fldCharType="separate"/>
    </w:r>
    <w:r w:rsidR="00824B6B">
      <w:rPr>
        <w:noProof/>
      </w:rPr>
      <w:t>19.10.15</w:t>
    </w:r>
    <w:r w:rsidR="00CA62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7414AA" w:rsidRDefault="009003AF" w:rsidP="007414AA">
    <w:pPr>
      <w:pStyle w:val="Footer"/>
      <w:tabs>
        <w:tab w:val="clear" w:pos="5954"/>
        <w:tab w:val="left" w:pos="6521"/>
      </w:tabs>
    </w:pPr>
    <w:fldSimple w:instr=" FILENAME \p  \* MERGEFORMAT ">
      <w:r w:rsidR="00824B6B">
        <w:t>P:\CHI\ITU-R\CONF-R\AR15\PLEN\000\034ADD04C.docx</w:t>
      </w:r>
    </w:fldSimple>
    <w:r w:rsidR="001F6CF9">
      <w:t xml:space="preserve"> (388137</w:t>
    </w:r>
    <w:r w:rsidR="007414AA">
      <w:t>)</w:t>
    </w:r>
    <w:r w:rsidR="007414AA">
      <w:tab/>
    </w:r>
    <w:r w:rsidR="00CA621C">
      <w:fldChar w:fldCharType="begin"/>
    </w:r>
    <w:r w:rsidR="007414AA">
      <w:instrText xml:space="preserve"> SAVEDATE \@ DD.MM.YY </w:instrText>
    </w:r>
    <w:r w:rsidR="00CA621C">
      <w:fldChar w:fldCharType="separate"/>
    </w:r>
    <w:r w:rsidR="00824B6B">
      <w:t>19.10.15</w:t>
    </w:r>
    <w:r w:rsidR="00CA621C">
      <w:fldChar w:fldCharType="end"/>
    </w:r>
    <w:r w:rsidR="007414AA">
      <w:tab/>
    </w:r>
    <w:r w:rsidR="00CA621C">
      <w:fldChar w:fldCharType="begin"/>
    </w:r>
    <w:r w:rsidR="007414AA">
      <w:instrText xml:space="preserve"> PRINTDATE \@ DD.MM.YY </w:instrText>
    </w:r>
    <w:r w:rsidR="00CA621C">
      <w:fldChar w:fldCharType="separate"/>
    </w:r>
    <w:r w:rsidR="00824B6B">
      <w:t>19.10.15</w:t>
    </w:r>
    <w:r w:rsidR="00CA621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9003AF" w:rsidP="00670729">
    <w:pPr>
      <w:pStyle w:val="Footer"/>
      <w:tabs>
        <w:tab w:val="clear" w:pos="5954"/>
        <w:tab w:val="left" w:pos="6521"/>
      </w:tabs>
    </w:pPr>
    <w:fldSimple w:instr=" FILENAME \p  \* MERGEFORMAT ">
      <w:r w:rsidR="00824B6B">
        <w:t>P:\CHI\ITU-R\CONF-R\AR15\PLEN\000\034ADD04C.docx</w:t>
      </w:r>
    </w:fldSimple>
    <w:r w:rsidR="001F6CF9">
      <w:t xml:space="preserve"> (388137</w:t>
    </w:r>
    <w:r w:rsidR="00670729">
      <w:t>)</w:t>
    </w:r>
    <w:r w:rsidR="00670729">
      <w:tab/>
    </w:r>
    <w:r w:rsidR="00CA621C">
      <w:fldChar w:fldCharType="begin"/>
    </w:r>
    <w:r w:rsidR="00670729">
      <w:instrText xml:space="preserve"> SAVEDATE \@ DD.MM.YY </w:instrText>
    </w:r>
    <w:r w:rsidR="00CA621C">
      <w:fldChar w:fldCharType="separate"/>
    </w:r>
    <w:r w:rsidR="00824B6B">
      <w:t>19.10.15</w:t>
    </w:r>
    <w:r w:rsidR="00CA621C">
      <w:fldChar w:fldCharType="end"/>
    </w:r>
    <w:r w:rsidR="00670729">
      <w:tab/>
    </w:r>
    <w:r w:rsidR="00CA621C">
      <w:fldChar w:fldCharType="begin"/>
    </w:r>
    <w:r w:rsidR="00670729">
      <w:instrText xml:space="preserve"> PRINTDATE \@ DD.MM.YY </w:instrText>
    </w:r>
    <w:r w:rsidR="00CA621C">
      <w:fldChar w:fldCharType="separate"/>
    </w:r>
    <w:r w:rsidR="00824B6B">
      <w:t>19.10.15</w:t>
    </w:r>
    <w:r w:rsidR="00CA62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9E" w:rsidRDefault="00DA2D9E">
      <w:r>
        <w:rPr>
          <w:b/>
        </w:rPr>
        <w:t>_______________</w:t>
      </w:r>
    </w:p>
  </w:footnote>
  <w:footnote w:type="continuationSeparator" w:id="0">
    <w:p w:rsidR="00DA2D9E" w:rsidRDefault="00DA2D9E">
      <w:r>
        <w:continuationSeparator/>
      </w:r>
    </w:p>
  </w:footnote>
  <w:footnote w:id="1">
    <w:p w:rsidR="00801D86" w:rsidRPr="00801D86" w:rsidRDefault="00801D86" w:rsidP="00F5493A">
      <w:pPr>
        <w:pStyle w:val="FootnoteText"/>
        <w:rPr>
          <w:lang w:val="en-US" w:eastAsia="zh-CN"/>
        </w:rPr>
      </w:pPr>
      <w:r>
        <w:rPr>
          <w:rStyle w:val="FootnoteReference"/>
        </w:rPr>
        <w:footnoteRef/>
      </w:r>
      <w:r>
        <w:rPr>
          <w:lang w:eastAsia="zh-CN"/>
        </w:rPr>
        <w:tab/>
      </w:r>
      <w:r w:rsidR="00F5493A" w:rsidRPr="00C05500">
        <w:t>CEPT</w:t>
      </w:r>
      <w:r w:rsidR="00F5493A" w:rsidRPr="00C05500">
        <w:rPr>
          <w:rFonts w:hint="eastAsia"/>
        </w:rPr>
        <w:t>成员（欧洲）包括：</w:t>
      </w:r>
      <w:r w:rsidR="00EC63A4" w:rsidRPr="00C05500">
        <w:t>阿尔巴尼亚（共和国）、德意志（联邦共和国）、安道尔（公国）、奥地利、阿塞拜疆共和国、白俄罗斯（共和国）、比利时、波斯尼亚与黑塞哥维那、保加利亚（共和国）、塞浦路斯（共和国）、梵蒂冈城国、克罗地亚（共和国）、丹麦、</w:t>
      </w:r>
      <w:r w:rsidR="009003AF" w:rsidRPr="00C05500">
        <w:br/>
      </w:r>
      <w:r w:rsidR="00EC63A4" w:rsidRPr="00C05500">
        <w:t>西班牙、爱沙尼亚（共和国）、俄罗斯联邦、芬兰、法国、格鲁吉亚、希腊、匈牙利（共和国）、爱尔兰、冰岛、意大利、拉脱维亚（共和国）、前南斯拉夫马其顿共和国、列支敦士登（公国）、立陶宛（共和国）、卢森堡、马耳他、摩尔多瓦（共和国）、摩纳哥（公国）、黑山、挪威、荷兰（王国）、波兰（共和国）、葡萄牙、斯洛伐克共和国、捷克共和国、罗马尼亚、大不列颠及北爱尔兰联合王国、圣马力诺（共和国）、塞尔维亚（共和国）、斯洛文尼亚（共和国）、瑞典、瑞士（联邦）、土耳其、乌克兰</w:t>
      </w:r>
      <w:r w:rsidR="00EC63A4" w:rsidRPr="00C05500">
        <w:rPr>
          <w:rFonts w:hint="eastAsia"/>
        </w:rPr>
        <w:t>。</w:t>
      </w:r>
    </w:p>
  </w:footnote>
  <w:footnote w:id="2">
    <w:p w:rsidR="00B83EA5" w:rsidRPr="00616693" w:rsidRDefault="00B83EA5" w:rsidP="00B83EA5">
      <w:pPr>
        <w:pStyle w:val="FootnoteText"/>
      </w:pPr>
      <w:r>
        <w:rPr>
          <w:rStyle w:val="FootnoteReference"/>
          <w:lang w:eastAsia="zh-CN"/>
        </w:rPr>
        <w:t>1</w:t>
      </w:r>
      <w:r>
        <w:rPr>
          <w:lang w:eastAsia="zh-CN"/>
        </w:rPr>
        <w:t xml:space="preserve"> </w:t>
      </w:r>
      <w:r>
        <w:rPr>
          <w:lang w:eastAsia="zh-CN"/>
        </w:rPr>
        <w:tab/>
      </w:r>
      <w:r w:rsidRPr="00C05500">
        <w:rPr>
          <w:rFonts w:hint="eastAsia"/>
        </w:rPr>
        <w:t>术语</w:t>
      </w:r>
      <w:r w:rsidRPr="00C05500">
        <w:rPr>
          <w:rFonts w:hint="eastAsia"/>
        </w:rPr>
        <w:t>ENG</w:t>
      </w:r>
      <w:r w:rsidRPr="00C05500">
        <w:rPr>
          <w:rFonts w:hint="eastAsia"/>
        </w:rPr>
        <w:t>的“调谐范围”指预计无线电设备可以操作的频率范围。在此调谐范围内，无线电设备从一个国家到另一个国家的使用将限制在该国为本国</w:t>
      </w:r>
      <w:r w:rsidRPr="00C05500">
        <w:rPr>
          <w:rFonts w:hint="eastAsia"/>
        </w:rPr>
        <w:t>ENG</w:t>
      </w:r>
      <w:r w:rsidRPr="00C05500">
        <w:rPr>
          <w:rFonts w:hint="eastAsia"/>
        </w:rPr>
        <w:t>确定的频率范围内。无线电设备的操作将符合相关国</w:t>
      </w:r>
      <w:bookmarkStart w:id="21" w:name="_GoBack"/>
      <w:bookmarkEnd w:id="21"/>
      <w:r w:rsidRPr="00C05500">
        <w:rPr>
          <w:rFonts w:hint="eastAsia"/>
        </w:rPr>
        <w:t>家的条件和要求。</w:t>
      </w:r>
    </w:p>
  </w:footnote>
  <w:footnote w:id="3">
    <w:p w:rsidR="00C05500" w:rsidRPr="00616693" w:rsidRDefault="00C05500" w:rsidP="00C05500">
      <w:pPr>
        <w:pStyle w:val="FootnoteText"/>
      </w:pPr>
      <w:r>
        <w:rPr>
          <w:rStyle w:val="FootnoteReference"/>
        </w:rPr>
        <w:t>2</w:t>
      </w:r>
      <w:r>
        <w:t xml:space="preserve"> </w:t>
      </w:r>
      <w:r>
        <w:tab/>
      </w:r>
      <w:r w:rsidRPr="00C05500">
        <w:t>在本决议中，</w:t>
      </w:r>
      <w:r w:rsidRPr="00C05500">
        <w:t>ENG</w:t>
      </w:r>
      <w:r w:rsidRPr="00C05500">
        <w:t>系指各种广播</w:t>
      </w:r>
      <w:ins w:id="22" w:author="Xing" w:date="2015-10-18T04:44:00Z">
        <w:r w:rsidRPr="00C05500">
          <w:rPr>
            <w:rFonts w:hint="eastAsia"/>
          </w:rPr>
          <w:t>和节目制作</w:t>
        </w:r>
      </w:ins>
      <w:r w:rsidRPr="00C05500">
        <w:t>辅助业务</w:t>
      </w:r>
      <w:r w:rsidRPr="00C05500">
        <w:rPr>
          <w:rFonts w:hint="eastAsia"/>
        </w:rPr>
        <w:t>应用</w:t>
      </w:r>
      <w:ins w:id="23" w:author="Xing" w:date="2015-10-18T04:45:00Z">
        <w:r w:rsidRPr="00C05500">
          <w:rPr>
            <w:rFonts w:hint="eastAsia"/>
          </w:rPr>
          <w:t>（</w:t>
        </w:r>
        <w:r w:rsidRPr="00C05500">
          <w:rPr>
            <w:rFonts w:hint="eastAsia"/>
          </w:rPr>
          <w:t>SAB/SAP</w:t>
        </w:r>
        <w:r w:rsidRPr="00C05500">
          <w:rPr>
            <w:rFonts w:hint="eastAsia"/>
          </w:rPr>
          <w:t>）</w:t>
        </w:r>
      </w:ins>
      <w:r w:rsidRPr="00C05500">
        <w:t>，</w:t>
      </w:r>
      <w:r w:rsidRPr="00C05500">
        <w:rPr>
          <w:rFonts w:hint="eastAsia"/>
        </w:rPr>
        <w:t>例如</w:t>
      </w:r>
      <w:r w:rsidRPr="00C05500">
        <w:t>地面电子新闻采集、</w:t>
      </w:r>
      <w:r w:rsidRPr="00C05500">
        <w:rPr>
          <w:rFonts w:hint="eastAsia"/>
        </w:rPr>
        <w:t>电子</w:t>
      </w:r>
      <w:r w:rsidRPr="00C05500">
        <w:t>现场制作、电视实况转播、无线传声器和现场无线电广播制作及播</w:t>
      </w:r>
      <w:r w:rsidRPr="00C05500">
        <w:rPr>
          <w:rFonts w:hint="eastAsia"/>
        </w:rPr>
        <w:t>出。</w:t>
      </w:r>
    </w:p>
  </w:footnote>
  <w:footnote w:id="4">
    <w:p w:rsidR="00C05500" w:rsidRDefault="00C05500" w:rsidP="00C05500">
      <w:pPr>
        <w:pStyle w:val="FootnoteText"/>
      </w:pPr>
      <w:r>
        <w:rPr>
          <w:rStyle w:val="FootnoteReference"/>
        </w:rPr>
        <w:t>3</w:t>
      </w:r>
      <w:r>
        <w:t xml:space="preserve"> </w:t>
      </w:r>
      <w:r>
        <w:rPr>
          <w:rStyle w:val="FootnoteTextChar"/>
        </w:rPr>
        <w:tab/>
      </w:r>
      <w:r w:rsidRPr="00C05500">
        <w:rPr>
          <w:rFonts w:hint="eastAsia"/>
        </w:rPr>
        <w:t>在一些主管部门的管辖范围内，并非划分给固定和移动业务的部分频段被指配给</w:t>
      </w:r>
      <w:r w:rsidRPr="00C05500">
        <w:t>ENG</w:t>
      </w:r>
      <w:r w:rsidRPr="00C05500">
        <w:rPr>
          <w:rFonts w:hint="eastAsia"/>
        </w:rPr>
        <w:t>应用，例如划分给广播业务的频段。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CA621C" w:rsidP="006462D9">
    <w:pPr>
      <w:pStyle w:val="Header"/>
      <w:rPr>
        <w:lang w:val="en-US"/>
      </w:rPr>
    </w:pPr>
    <w:r>
      <w:rPr>
        <w:lang w:val="en-US"/>
      </w:rPr>
      <w:fldChar w:fldCharType="begin"/>
    </w:r>
    <w:r w:rsidR="00586689">
      <w:rPr>
        <w:lang w:val="en-US"/>
      </w:rPr>
      <w:instrText xml:space="preserve"> PAGE  \* MERGEFORMAT </w:instrText>
    </w:r>
    <w:r>
      <w:rPr>
        <w:lang w:val="en-US"/>
      </w:rPr>
      <w:fldChar w:fldCharType="separate"/>
    </w:r>
    <w:r w:rsidR="00824B6B">
      <w:rPr>
        <w:noProof/>
        <w:lang w:val="en-US"/>
      </w:rPr>
      <w:t>4</w:t>
    </w:r>
    <w:r>
      <w:rPr>
        <w:lang w:val="en-US"/>
      </w:rPr>
      <w:fldChar w:fldCharType="end"/>
    </w:r>
  </w:p>
  <w:p w:rsidR="00586689" w:rsidRPr="009447A3" w:rsidRDefault="00516218" w:rsidP="001A50F9">
    <w:pPr>
      <w:pStyle w:val="Header"/>
      <w:rPr>
        <w:lang w:val="en-US"/>
      </w:rPr>
    </w:pPr>
    <w:r>
      <w:t>RA15/PLEN/34(Add.</w:t>
    </w:r>
    <w:r w:rsidR="001F6CF9">
      <w:t>4</w:t>
    </w:r>
    <w:r>
      <w:t>)-</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D"/>
    <w:rsid w:val="000A4DE8"/>
    <w:rsid w:val="000B258F"/>
    <w:rsid w:val="000F5994"/>
    <w:rsid w:val="001224B7"/>
    <w:rsid w:val="001468EB"/>
    <w:rsid w:val="001751E8"/>
    <w:rsid w:val="0017541B"/>
    <w:rsid w:val="001A41DD"/>
    <w:rsid w:val="001A50F9"/>
    <w:rsid w:val="001B225D"/>
    <w:rsid w:val="001D073E"/>
    <w:rsid w:val="001D11B5"/>
    <w:rsid w:val="001D5E28"/>
    <w:rsid w:val="001F6CF9"/>
    <w:rsid w:val="001F72B2"/>
    <w:rsid w:val="002066C1"/>
    <w:rsid w:val="00213F8F"/>
    <w:rsid w:val="00225355"/>
    <w:rsid w:val="002814A5"/>
    <w:rsid w:val="00282E8A"/>
    <w:rsid w:val="00292E98"/>
    <w:rsid w:val="002C2904"/>
    <w:rsid w:val="003322FF"/>
    <w:rsid w:val="00357178"/>
    <w:rsid w:val="003B02D4"/>
    <w:rsid w:val="003E182D"/>
    <w:rsid w:val="003E7419"/>
    <w:rsid w:val="00414A93"/>
    <w:rsid w:val="004425DE"/>
    <w:rsid w:val="00443061"/>
    <w:rsid w:val="004451CB"/>
    <w:rsid w:val="00464BF7"/>
    <w:rsid w:val="004844C1"/>
    <w:rsid w:val="004B15CF"/>
    <w:rsid w:val="005022A9"/>
    <w:rsid w:val="00504838"/>
    <w:rsid w:val="0051620C"/>
    <w:rsid w:val="00516218"/>
    <w:rsid w:val="00541AC7"/>
    <w:rsid w:val="00550F39"/>
    <w:rsid w:val="0058001B"/>
    <w:rsid w:val="00586689"/>
    <w:rsid w:val="005C5620"/>
    <w:rsid w:val="006004C4"/>
    <w:rsid w:val="00603A86"/>
    <w:rsid w:val="00611879"/>
    <w:rsid w:val="0062066E"/>
    <w:rsid w:val="00631265"/>
    <w:rsid w:val="00637543"/>
    <w:rsid w:val="00645B0F"/>
    <w:rsid w:val="006462D9"/>
    <w:rsid w:val="006562B9"/>
    <w:rsid w:val="00670729"/>
    <w:rsid w:val="006B0F30"/>
    <w:rsid w:val="006E4B22"/>
    <w:rsid w:val="0071246B"/>
    <w:rsid w:val="007214BA"/>
    <w:rsid w:val="007414AA"/>
    <w:rsid w:val="007506BD"/>
    <w:rsid w:val="0075148D"/>
    <w:rsid w:val="00756B1C"/>
    <w:rsid w:val="0076542D"/>
    <w:rsid w:val="00791EA4"/>
    <w:rsid w:val="00801D86"/>
    <w:rsid w:val="00810CC4"/>
    <w:rsid w:val="008148A3"/>
    <w:rsid w:val="00820456"/>
    <w:rsid w:val="00824B6B"/>
    <w:rsid w:val="0083017D"/>
    <w:rsid w:val="00844FDE"/>
    <w:rsid w:val="00845350"/>
    <w:rsid w:val="008574A2"/>
    <w:rsid w:val="00870A30"/>
    <w:rsid w:val="00877D12"/>
    <w:rsid w:val="0088075E"/>
    <w:rsid w:val="008B1239"/>
    <w:rsid w:val="008C2BF6"/>
    <w:rsid w:val="008D09BC"/>
    <w:rsid w:val="009003AF"/>
    <w:rsid w:val="00902322"/>
    <w:rsid w:val="00905DAB"/>
    <w:rsid w:val="00922045"/>
    <w:rsid w:val="009303AE"/>
    <w:rsid w:val="00943EBD"/>
    <w:rsid w:val="009447A3"/>
    <w:rsid w:val="00957C6D"/>
    <w:rsid w:val="00970B63"/>
    <w:rsid w:val="009A2191"/>
    <w:rsid w:val="009C1E4D"/>
    <w:rsid w:val="009D7F8E"/>
    <w:rsid w:val="00A015B6"/>
    <w:rsid w:val="00A04FF4"/>
    <w:rsid w:val="00A05CE9"/>
    <w:rsid w:val="00A1310C"/>
    <w:rsid w:val="00A2305D"/>
    <w:rsid w:val="00A314F0"/>
    <w:rsid w:val="00A57CD0"/>
    <w:rsid w:val="00A7005F"/>
    <w:rsid w:val="00A70C5E"/>
    <w:rsid w:val="00AA16D9"/>
    <w:rsid w:val="00AB6C8C"/>
    <w:rsid w:val="00B0145E"/>
    <w:rsid w:val="00B027B8"/>
    <w:rsid w:val="00B16DF9"/>
    <w:rsid w:val="00B20513"/>
    <w:rsid w:val="00B653C8"/>
    <w:rsid w:val="00B83EA5"/>
    <w:rsid w:val="00BA0274"/>
    <w:rsid w:val="00BB5113"/>
    <w:rsid w:val="00BD1EE0"/>
    <w:rsid w:val="00BD2389"/>
    <w:rsid w:val="00BE4EB7"/>
    <w:rsid w:val="00BE5003"/>
    <w:rsid w:val="00C05500"/>
    <w:rsid w:val="00C10CE6"/>
    <w:rsid w:val="00C949BB"/>
    <w:rsid w:val="00CA2F72"/>
    <w:rsid w:val="00CA4C43"/>
    <w:rsid w:val="00CA621C"/>
    <w:rsid w:val="00CA6E67"/>
    <w:rsid w:val="00CC2F8F"/>
    <w:rsid w:val="00CC3FF3"/>
    <w:rsid w:val="00CC7123"/>
    <w:rsid w:val="00D471A9"/>
    <w:rsid w:val="00D71DB3"/>
    <w:rsid w:val="00DA2D9E"/>
    <w:rsid w:val="00DE788E"/>
    <w:rsid w:val="00E13A1C"/>
    <w:rsid w:val="00E42E15"/>
    <w:rsid w:val="00EC63A4"/>
    <w:rsid w:val="00ED6FBD"/>
    <w:rsid w:val="00ED765E"/>
    <w:rsid w:val="00F033DF"/>
    <w:rsid w:val="00F128A4"/>
    <w:rsid w:val="00F161A7"/>
    <w:rsid w:val="00F451F5"/>
    <w:rsid w:val="00F5493A"/>
    <w:rsid w:val="00F57185"/>
    <w:rsid w:val="00F86151"/>
    <w:rsid w:val="00FA2B96"/>
    <w:rsid w:val="00FB3D19"/>
    <w:rsid w:val="00FB4E64"/>
    <w:rsid w:val="00FE16DA"/>
    <w:rsid w:val="00FF7A7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A1B10640-017E-4ED3-8009-A61076B1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Footnot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NoBR">
    <w:name w:val="Res_No_BR"/>
    <w:basedOn w:val="Normal"/>
    <w:next w:val="Restitle"/>
    <w:rsid w:val="006B0F3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link w:val="Call"/>
    <w:locked/>
    <w:rsid w:val="006B0F30"/>
    <w:rPr>
      <w:rFonts w:ascii="STKaiti" w:eastAsia="STKaiti" w:hAnsi="STKaiti"/>
      <w:sz w:val="24"/>
      <w:lang w:val="en-GB" w:eastAsia="en-US"/>
    </w:rPr>
  </w:style>
  <w:style w:type="character" w:customStyle="1" w:styleId="enumlev1Char">
    <w:name w:val="enumlev1 Char"/>
    <w:link w:val="enumlev1"/>
    <w:locked/>
    <w:rsid w:val="006B0F30"/>
    <w:rPr>
      <w:rFonts w:ascii="Times New Roman" w:hAnsi="Times New Roman"/>
      <w:sz w:val="24"/>
      <w:lang w:val="en-GB" w:eastAsia="en-US"/>
    </w:rPr>
  </w:style>
  <w:style w:type="character" w:customStyle="1" w:styleId="RestitleChar">
    <w:name w:val="Res_title Char"/>
    <w:link w:val="Restitle"/>
    <w:locked/>
    <w:rsid w:val="006B0F3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B0F30"/>
    <w:rPr>
      <w:rFonts w:ascii="Times New Roman" w:hAnsi="Times New Roman"/>
      <w:sz w:val="24"/>
      <w:lang w:val="en-GB" w:eastAsia="en-US"/>
    </w:rPr>
  </w:style>
  <w:style w:type="character" w:customStyle="1" w:styleId="AnnexNoCar">
    <w:name w:val="Annex_No Car"/>
    <w:basedOn w:val="DefaultParagraphFont"/>
    <w:link w:val="AnnexNo"/>
    <w:locked/>
    <w:rsid w:val="006B0F30"/>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11</TotalTime>
  <Pages>1</Pages>
  <Words>2222</Words>
  <Characters>2555</Characters>
  <Application>Microsoft Office Word</Application>
  <DocSecurity>0</DocSecurity>
  <Lines>118</Lines>
  <Paragraphs>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6</cp:revision>
  <cp:lastPrinted>2015-10-19T17:05:00Z</cp:lastPrinted>
  <dcterms:created xsi:type="dcterms:W3CDTF">2015-10-19T14:41:00Z</dcterms:created>
  <dcterms:modified xsi:type="dcterms:W3CDTF">2015-10-19T17:06:00Z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