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4E66BA">
        <w:trPr>
          <w:cantSplit/>
        </w:trPr>
        <w:tc>
          <w:tcPr>
            <w:tcW w:w="6345" w:type="dxa"/>
          </w:tcPr>
          <w:p w:rsidR="004E66BA" w:rsidRPr="00C63EB5" w:rsidRDefault="004E66BA" w:rsidP="00833D31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4E66BA" w:rsidRDefault="004E66BA" w:rsidP="00833D31">
            <w:pPr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E5CB1BC" wp14:editId="251B720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6BA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4E66BA" w:rsidRPr="00617BE4" w:rsidRDefault="004E66BA" w:rsidP="00833D31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E66BA" w:rsidRPr="00617BE4" w:rsidRDefault="004E66BA" w:rsidP="00833D3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4E66BA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4E66BA" w:rsidRPr="00C324A8" w:rsidRDefault="004E66BA" w:rsidP="00833D3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4E66BA" w:rsidRPr="00C324A8" w:rsidRDefault="004E66BA" w:rsidP="00833D3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4E66BA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4E66BA" w:rsidRPr="00FB4F95" w:rsidRDefault="009D10DF" w:rsidP="00833D31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4E66BA" w:rsidRPr="004E66BA" w:rsidRDefault="004E66BA" w:rsidP="00833D31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RA15/PLEN/32-S</w:t>
            </w:r>
          </w:p>
        </w:tc>
      </w:tr>
      <w:tr w:rsidR="004E66BA" w:rsidRPr="00C324A8">
        <w:trPr>
          <w:cantSplit/>
          <w:trHeight w:val="23"/>
        </w:trPr>
        <w:tc>
          <w:tcPr>
            <w:tcW w:w="6345" w:type="dxa"/>
            <w:vMerge/>
          </w:tcPr>
          <w:p w:rsidR="004E66BA" w:rsidRPr="00C324A8" w:rsidRDefault="004E66BA" w:rsidP="00833D31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4E66BA" w:rsidRPr="004E66BA" w:rsidRDefault="004E66BA" w:rsidP="00833D3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 de octubre de 2015</w:t>
            </w:r>
          </w:p>
        </w:tc>
      </w:tr>
      <w:tr w:rsidR="004E66BA" w:rsidRPr="00C324A8">
        <w:trPr>
          <w:cantSplit/>
          <w:trHeight w:val="23"/>
        </w:trPr>
        <w:tc>
          <w:tcPr>
            <w:tcW w:w="6345" w:type="dxa"/>
            <w:vMerge/>
          </w:tcPr>
          <w:p w:rsidR="004E66BA" w:rsidRPr="00C324A8" w:rsidRDefault="004E66BA" w:rsidP="00833D31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4E66BA" w:rsidRPr="004E66BA" w:rsidRDefault="004E66BA" w:rsidP="00833D3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F24E4" w:rsidTr="00FE2941">
        <w:trPr>
          <w:cantSplit/>
        </w:trPr>
        <w:tc>
          <w:tcPr>
            <w:tcW w:w="10031" w:type="dxa"/>
            <w:gridSpan w:val="2"/>
          </w:tcPr>
          <w:p w:rsidR="000F24E4" w:rsidRDefault="00E46552" w:rsidP="00833D31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rPr>
                <w:bCs/>
              </w:rPr>
              <w:t>Emiratos Árabes Unidos</w:t>
            </w:r>
          </w:p>
        </w:tc>
      </w:tr>
      <w:tr w:rsidR="000F24E4" w:rsidRPr="00E46552" w:rsidTr="00FE2941">
        <w:trPr>
          <w:cantSplit/>
        </w:trPr>
        <w:tc>
          <w:tcPr>
            <w:tcW w:w="10031" w:type="dxa"/>
            <w:gridSpan w:val="2"/>
          </w:tcPr>
          <w:p w:rsidR="000F24E4" w:rsidRPr="00E46552" w:rsidRDefault="00E46552" w:rsidP="00833D31">
            <w:pPr>
              <w:pStyle w:val="Title1"/>
            </w:pPr>
            <w:bookmarkStart w:id="8" w:name="dtitle1" w:colFirst="0" w:colLast="0"/>
            <w:bookmarkEnd w:id="7"/>
            <w:r w:rsidRPr="00E46552">
              <w:t xml:space="preserve">PROPUESTA DE LOS EMIRATOS ÁRABES UNIDOS SOBRE ACCESIBILIDAD </w:t>
            </w:r>
            <w:r w:rsidR="003C0812">
              <w:t>DE</w:t>
            </w:r>
            <w:r w:rsidRPr="00E46552">
              <w:t xml:space="preserve"> LAS TELECOMUNICACIONES/TIC PARA LAS PERSONAS CON DISCAPACIDAD Y CON NECESIDADES ESPECIALES</w:t>
            </w:r>
          </w:p>
        </w:tc>
      </w:tr>
      <w:tr w:rsidR="000F24E4" w:rsidRPr="00E46552" w:rsidTr="00FE2941">
        <w:trPr>
          <w:cantSplit/>
        </w:trPr>
        <w:tc>
          <w:tcPr>
            <w:tcW w:w="10031" w:type="dxa"/>
            <w:gridSpan w:val="2"/>
          </w:tcPr>
          <w:p w:rsidR="000F24E4" w:rsidRPr="00E46552" w:rsidRDefault="000F24E4" w:rsidP="00833D31">
            <w:pPr>
              <w:pStyle w:val="Title2"/>
            </w:pPr>
            <w:bookmarkStart w:id="9" w:name="dtitle2" w:colFirst="0" w:colLast="0"/>
            <w:bookmarkEnd w:id="8"/>
          </w:p>
        </w:tc>
      </w:tr>
    </w:tbl>
    <w:p w:rsidR="000F24E4" w:rsidRPr="00833D31" w:rsidRDefault="00E46552" w:rsidP="00833D31">
      <w:pPr>
        <w:pStyle w:val="Headingb"/>
      </w:pPr>
      <w:bookmarkStart w:id="10" w:name="dbreak"/>
      <w:bookmarkEnd w:id="9"/>
      <w:bookmarkEnd w:id="10"/>
      <w:r w:rsidRPr="00833D31">
        <w:t>Resumen</w:t>
      </w:r>
    </w:p>
    <w:p w:rsidR="000F24E4" w:rsidRPr="00DD2341" w:rsidRDefault="00DD2341" w:rsidP="00C90EA1">
      <w:r w:rsidRPr="00DD2341">
        <w:t xml:space="preserve">La finalidad de la presente contribución es </w:t>
      </w:r>
      <w:r w:rsidR="007F24D3">
        <w:t>incorporar a la UIT</w:t>
      </w:r>
      <w:r w:rsidRPr="00DD2341">
        <w:t xml:space="preserve"> las actividades que llevan a cabo los distintos sectores de la UIT en la esfera de la accesibilidad </w:t>
      </w:r>
      <w:r w:rsidR="003C0812">
        <w:t>de</w:t>
      </w:r>
      <w:r w:rsidRPr="00DD2341">
        <w:t xml:space="preserve"> las telecomunicaciones/TIC para las personas con discapacidad y con necesidades especiales y señalar la presente resolución a la atención de la Conferencia Mundial de Radiocomunicaciones 2015</w:t>
      </w:r>
      <w:r w:rsidR="000F24E4" w:rsidRPr="00DD2341">
        <w:t xml:space="preserve">. </w:t>
      </w:r>
    </w:p>
    <w:p w:rsidR="000F24E4" w:rsidRPr="00365DDC" w:rsidRDefault="0032552B" w:rsidP="00C90EA1">
      <w:r>
        <w:t>A este respecto</w:t>
      </w:r>
      <w:r w:rsidR="00365DDC" w:rsidRPr="00365DDC">
        <w:t>, y dado que el UIT-R está especializado en desarrollar y fortalecer la infraestructura de redes de banda ancha nacional, regional e internacional</w:t>
      </w:r>
      <w:r>
        <w:t xml:space="preserve"> y en formar en el acceso a </w:t>
      </w:r>
      <w:r w:rsidR="00365DDC">
        <w:t>nuevos servicios de TIC a través de sistemas de radiocomunicaciones y otros medios</w:t>
      </w:r>
      <w:r>
        <w:t>, s</w:t>
      </w:r>
      <w:r w:rsidR="00365DDC" w:rsidRPr="00365DDC">
        <w:t xml:space="preserve">e considera de suma importancia que el Sector de Radiocomunicaciones de la UIT incorpore a sus estudios, documentos de investigación y </w:t>
      </w:r>
      <w:r>
        <w:t>otras tareas</w:t>
      </w:r>
      <w:r w:rsidR="00365DDC" w:rsidRPr="00365DDC">
        <w:t xml:space="preserve"> contribuciones encaminadas a mejorar </w:t>
      </w:r>
      <w:r w:rsidR="00F11393">
        <w:t xml:space="preserve">y aprovechar el </w:t>
      </w:r>
      <w:r w:rsidR="00365DDC" w:rsidRPr="00365DDC">
        <w:t xml:space="preserve">acceso a las telecomunicaciones/TIC </w:t>
      </w:r>
      <w:r>
        <w:t>para</w:t>
      </w:r>
      <w:r w:rsidR="00365DDC" w:rsidRPr="00365DDC">
        <w:t xml:space="preserve"> las personas con discapacidad y con necesidades especiales, en particular</w:t>
      </w:r>
      <w:r w:rsidR="00F11393">
        <w:t xml:space="preserve"> en relación con</w:t>
      </w:r>
      <w:r w:rsidR="00365DDC" w:rsidRPr="00365DDC">
        <w:t xml:space="preserve"> las barreras creadas </w:t>
      </w:r>
      <w:r w:rsidR="00365DDC">
        <w:t xml:space="preserve">como consecuencia de </w:t>
      </w:r>
      <w:r w:rsidR="00F11393">
        <w:t>la utilización d</w:t>
      </w:r>
      <w:r w:rsidR="00365DDC">
        <w:t xml:space="preserve">el espectro sin tener en cuenta las necesidades </w:t>
      </w:r>
      <w:r>
        <w:t>de</w:t>
      </w:r>
      <w:r w:rsidR="00365DDC">
        <w:t xml:space="preserve"> las personas con discapacidad y con necesidades especiales</w:t>
      </w:r>
      <w:r w:rsidR="000F24E4" w:rsidRPr="00365DDC">
        <w:t xml:space="preserve">. </w:t>
      </w:r>
    </w:p>
    <w:p w:rsidR="000F24E4" w:rsidRPr="00365DDC" w:rsidRDefault="00365DDC" w:rsidP="00C90EA1">
      <w:r w:rsidRPr="00365DDC">
        <w:t xml:space="preserve">Estamos siendo testigos de la influencia y </w:t>
      </w:r>
      <w:r w:rsidR="0032552B">
        <w:t>d</w:t>
      </w:r>
      <w:r w:rsidRPr="00365DDC">
        <w:t xml:space="preserve">el uso cada vez </w:t>
      </w:r>
      <w:r w:rsidR="00F11393">
        <w:t xml:space="preserve">más </w:t>
      </w:r>
      <w:r w:rsidRPr="00365DDC">
        <w:t xml:space="preserve">generalizado de sistemas inalámbricos en centenares de aplicaciones que </w:t>
      </w:r>
      <w:r w:rsidR="00F11393">
        <w:t>contribuyen</w:t>
      </w:r>
      <w:r w:rsidRPr="00365DDC">
        <w:t xml:space="preserve"> a mejorar la calidad de vida de la poblaci</w:t>
      </w:r>
      <w:r>
        <w:t>ón, su empoderamiento económico y su inclusión social</w:t>
      </w:r>
      <w:r w:rsidR="000F24E4" w:rsidRPr="00365DDC">
        <w:t>.</w:t>
      </w:r>
    </w:p>
    <w:p w:rsidR="000F24E4" w:rsidRPr="003C0812" w:rsidRDefault="00365DDC" w:rsidP="00833D31">
      <w:r w:rsidRPr="003C0812">
        <w:t xml:space="preserve">A este respecto, se solicita que se incluya esta cuestión en la lista de temas de interés común a fin de </w:t>
      </w:r>
      <w:r w:rsidR="003C0812" w:rsidRPr="003C0812">
        <w:t xml:space="preserve">definir un </w:t>
      </w:r>
      <w:r w:rsidR="0032552B">
        <w:t>enfoque</w:t>
      </w:r>
      <w:r w:rsidR="003C0812" w:rsidRPr="003C0812">
        <w:t xml:space="preserve"> integrado en esta esfera, de acuerdo con la Resolución 191 de la Conferencia de Plenipotenciarios (Busán, 2014) sobre estrategia de coordinaci</w:t>
      </w:r>
      <w:r w:rsidR="003C0812">
        <w:t>ón de los tres sectores de la Unión (UIT-R, UIT-T y UIT-D</w:t>
      </w:r>
      <w:r w:rsidR="000F24E4" w:rsidRPr="003C0812">
        <w:t>).</w:t>
      </w:r>
    </w:p>
    <w:p w:rsidR="000F24E4" w:rsidRPr="003C0812" w:rsidRDefault="000F24E4" w:rsidP="00833D3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F24E4" w:rsidRPr="003C0812" w:rsidRDefault="000F24E4" w:rsidP="00833D3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0812">
        <w:br w:type="page"/>
      </w:r>
    </w:p>
    <w:p w:rsidR="000F24E4" w:rsidRPr="00833D31" w:rsidRDefault="000F24E4" w:rsidP="00833D31">
      <w:pPr>
        <w:pStyle w:val="Proposal"/>
        <w:rPr>
          <w:b/>
          <w:bCs/>
        </w:rPr>
      </w:pPr>
      <w:r w:rsidRPr="00833D31">
        <w:rPr>
          <w:b/>
          <w:bCs/>
        </w:rPr>
        <w:lastRenderedPageBreak/>
        <w:t>ADD</w:t>
      </w:r>
    </w:p>
    <w:p w:rsidR="000F24E4" w:rsidRPr="003C0812" w:rsidRDefault="003C0812" w:rsidP="00833D31">
      <w:pPr>
        <w:pStyle w:val="ResNo"/>
      </w:pPr>
      <w:bookmarkStart w:id="11" w:name="Proposal"/>
      <w:bookmarkEnd w:id="11"/>
      <w:r w:rsidRPr="003C0812">
        <w:t>PROYECTO DE NUEVA RESOLUCIÓN</w:t>
      </w:r>
      <w:r w:rsidR="000F24E4" w:rsidRPr="003C0812">
        <w:t xml:space="preserve"> (</w:t>
      </w:r>
      <w:r>
        <w:t>GINEBRA</w:t>
      </w:r>
      <w:r w:rsidR="000F24E4" w:rsidRPr="003C0812">
        <w:t>, 2015)</w:t>
      </w:r>
    </w:p>
    <w:p w:rsidR="000F24E4" w:rsidRPr="003C0812" w:rsidRDefault="003C0812" w:rsidP="00833D31">
      <w:pPr>
        <w:pStyle w:val="Restitle"/>
      </w:pPr>
      <w:r w:rsidRPr="003C0812">
        <w:t xml:space="preserve">Accesibilidad </w:t>
      </w:r>
      <w:r>
        <w:t>de</w:t>
      </w:r>
      <w:r w:rsidRPr="003C0812">
        <w:t xml:space="preserve"> las telecomunicaciones/TIC para las personas </w:t>
      </w:r>
      <w:r w:rsidR="00F97F9F">
        <w:br/>
      </w:r>
      <w:r w:rsidRPr="003C0812">
        <w:t>con discapacidad y con necesidades especiales</w:t>
      </w:r>
    </w:p>
    <w:p w:rsidR="000F24E4" w:rsidRPr="003C0812" w:rsidRDefault="003C0812" w:rsidP="00F97F9F">
      <w:pPr>
        <w:pStyle w:val="Normalaftertitle"/>
      </w:pPr>
      <w:r w:rsidRPr="003C0812">
        <w:t>La Asamblea de Radiocomunicaciones de la Unión Internacional de Telecomunicaciones (Ginebra</w:t>
      </w:r>
      <w:r w:rsidR="000F24E4" w:rsidRPr="003C0812">
        <w:t>,</w:t>
      </w:r>
      <w:r w:rsidR="00F97F9F">
        <w:t> </w:t>
      </w:r>
      <w:r w:rsidR="000F24E4" w:rsidRPr="003C0812">
        <w:t>2015),</w:t>
      </w:r>
    </w:p>
    <w:p w:rsidR="000F24E4" w:rsidRPr="008061EF" w:rsidRDefault="000F24E4" w:rsidP="00833D31">
      <w:pPr>
        <w:pStyle w:val="Call"/>
      </w:pPr>
      <w:r w:rsidRPr="008061EF">
        <w:t>recordando</w:t>
      </w:r>
    </w:p>
    <w:p w:rsidR="00016A7C" w:rsidRDefault="000F24E4" w:rsidP="00FB624F">
      <w:r w:rsidRPr="008061EF">
        <w:rPr>
          <w:i/>
          <w:iCs/>
        </w:rPr>
        <w:t>a)</w:t>
      </w:r>
      <w:r w:rsidRPr="008061EF">
        <w:rPr>
          <w:i/>
          <w:iCs/>
        </w:rPr>
        <w:tab/>
      </w:r>
      <w:r w:rsidRPr="008061EF">
        <w:t>el Artículo 12 del Reglamento de las Telecomunicaciones Internacionales (RTI), adoptado por la Conferencia Mundial de Telecomunicaciones Internacionales (CMTI) (Dubái,</w:t>
      </w:r>
      <w:r w:rsidR="00FB624F">
        <w:t> </w:t>
      </w:r>
      <w:r w:rsidRPr="008061EF">
        <w:t>2012), en el que se estipula que los Estados Miembros promoverán el acceso de las personas con discapacidad a los servicios internacionales de telecomunicación con arreglo a las Recomendaciones del Sector de Normalización de las Telecomunicaciones (UIT</w:t>
      </w:r>
      <w:r w:rsidRPr="008061EF">
        <w:noBreakHyphen/>
        <w:t>T) pertinentes;</w:t>
      </w:r>
    </w:p>
    <w:p w:rsidR="000F24E4" w:rsidRDefault="000F24E4" w:rsidP="00833D31">
      <w:r w:rsidRPr="000F24E4">
        <w:rPr>
          <w:i/>
          <w:iCs/>
        </w:rPr>
        <w:t>b)</w:t>
      </w:r>
      <w:r>
        <w:tab/>
      </w:r>
      <w:r w:rsidRPr="008061EF">
        <w:t xml:space="preserve">la Resolución 70 (Rev. Dubái, 2012) de la Asamblea Mundial de Normalización de las Telecomunicaciones relativa a la accesibilidad de las telecomunicaciones/tecnologías de la información y la comunicación (TIC) para las personas con discapacidad, </w:t>
      </w:r>
      <w:r w:rsidR="0032552B">
        <w:t>así como</w:t>
      </w:r>
      <w:r w:rsidRPr="008061EF">
        <w:t xml:space="preserve"> el actual marco reglamentario y los estudios, iniciativas y eventos en la materia llevados a cabo por el Sector de Normalización de las Telecomunicaciones de la UIT (UIT-T) y sus Comisiones de Estudio, en particular las Comisiones de Estudio 2 y 16, en colaboración con las Actividades Conjuntas de Coordinación sobre Accesibilidad y Factores Humanos (JCA-AFH);</w:t>
      </w:r>
    </w:p>
    <w:p w:rsidR="000F24E4" w:rsidRDefault="000F24E4" w:rsidP="00F97F9F">
      <w:r>
        <w:rPr>
          <w:i/>
          <w:iCs/>
        </w:rPr>
        <w:t>c</w:t>
      </w:r>
      <w:r w:rsidRPr="008061EF">
        <w:rPr>
          <w:i/>
          <w:iCs/>
        </w:rPr>
        <w:t>)</w:t>
      </w:r>
      <w:r w:rsidRPr="008061EF">
        <w:tab/>
        <w:t>el documento de resultados de la Reunión de Alto Nivel sobre Discapacidad y Desarrollo organizada por la Asamblea General de las Naciones Unidas a nivel de jefes de Estado y de Gobierno el 23 de septiembre de 2013, titulad</w:t>
      </w:r>
      <w:r w:rsidR="003C0812">
        <w:t>o</w:t>
      </w:r>
      <w:r w:rsidRPr="008061EF">
        <w:t xml:space="preserve"> </w:t>
      </w:r>
      <w:r w:rsidR="00F97F9F">
        <w:t>«</w:t>
      </w:r>
      <w:r w:rsidRPr="008061EF">
        <w:t>The ICT Opportunity for a Disability-Inclusive Development Framework</w:t>
      </w:r>
      <w:r w:rsidR="00F97F9F">
        <w:t>»</w:t>
      </w:r>
      <w:r w:rsidR="003C0812">
        <w:t xml:space="preserve"> </w:t>
      </w:r>
      <w:r w:rsidR="003C0812" w:rsidRPr="009D10DF">
        <w:t>[Las TIC, oportunidad de un marco de desarrollo que tenga en cuenta a las personas con discapacidad]</w:t>
      </w:r>
      <w:r w:rsidRPr="008061EF">
        <w:t xml:space="preserve">, en el que se destaca la necesidad de un desarrollo </w:t>
      </w:r>
      <w:r w:rsidR="0032552B">
        <w:t>incluyente</w:t>
      </w:r>
      <w:r w:rsidRPr="008061EF">
        <w:t xml:space="preserve"> en el que las personas con discapacidad sean tanto agentes como beneficiarios;</w:t>
      </w:r>
    </w:p>
    <w:p w:rsidR="000F24E4" w:rsidRPr="003C0812" w:rsidRDefault="00862C22" w:rsidP="00833D31">
      <w:r w:rsidRPr="003C0812">
        <w:rPr>
          <w:i/>
          <w:iCs/>
        </w:rPr>
        <w:t>d)</w:t>
      </w:r>
      <w:r w:rsidRPr="003C0812">
        <w:rPr>
          <w:i/>
          <w:iCs/>
        </w:rPr>
        <w:tab/>
      </w:r>
      <w:r w:rsidRPr="003C0812">
        <w:t xml:space="preserve">la Resolución 175 (Rev. </w:t>
      </w:r>
      <w:r w:rsidR="0032552B">
        <w:t>Busán</w:t>
      </w:r>
      <w:r w:rsidRPr="003C0812">
        <w:t>, 201</w:t>
      </w:r>
      <w:r w:rsidR="0032552B">
        <w:t>4</w:t>
      </w:r>
      <w:r w:rsidRPr="003C0812">
        <w:t xml:space="preserve">) </w:t>
      </w:r>
      <w:r w:rsidR="003C0812" w:rsidRPr="003C0812">
        <w:t>de la Conferencia de Plenipotenciarios sobre accesibilidad de las telecomunicaciones/tecnologías de la información y la comunicación para las personas con discapacidad, incluida la discapacidad relacionada</w:t>
      </w:r>
      <w:r w:rsidR="0032552B">
        <w:t xml:space="preserve"> con la edad</w:t>
      </w:r>
      <w:r w:rsidR="007733B1">
        <w:t>, en la que se resuelve que</w:t>
      </w:r>
      <w:r w:rsidR="00F11393" w:rsidRPr="00F11393">
        <w:t xml:space="preserve"> </w:t>
      </w:r>
      <w:r w:rsidR="00F11393">
        <w:t>la UIT tenga en cuenta</w:t>
      </w:r>
      <w:r w:rsidR="007733B1">
        <w:t xml:space="preserve"> </w:t>
      </w:r>
      <w:r w:rsidR="0032552B">
        <w:t xml:space="preserve">en su labor </w:t>
      </w:r>
      <w:r w:rsidR="007733B1">
        <w:t>a</w:t>
      </w:r>
      <w:r w:rsidR="003C0812" w:rsidRPr="003C0812">
        <w:t xml:space="preserve"> </w:t>
      </w:r>
      <w:r w:rsidR="007733B1">
        <w:t>las persona con discapacidad</w:t>
      </w:r>
      <w:r w:rsidRPr="003C0812">
        <w:t>;</w:t>
      </w:r>
    </w:p>
    <w:p w:rsidR="00862C22" w:rsidRPr="007733B1" w:rsidRDefault="00862C22" w:rsidP="00FB624F">
      <w:r w:rsidRPr="007733B1">
        <w:rPr>
          <w:i/>
          <w:iCs/>
        </w:rPr>
        <w:t>e)</w:t>
      </w:r>
      <w:r w:rsidRPr="007733B1">
        <w:rPr>
          <w:i/>
          <w:iCs/>
        </w:rPr>
        <w:tab/>
      </w:r>
      <w:r w:rsidRPr="007733B1">
        <w:t>la Resolución 17 (Rev. Dubái, 201</w:t>
      </w:r>
      <w:r w:rsidR="007733B1" w:rsidRPr="007733B1">
        <w:t>4</w:t>
      </w:r>
      <w:r w:rsidRPr="007733B1">
        <w:t xml:space="preserve">) </w:t>
      </w:r>
      <w:r w:rsidR="007733B1" w:rsidRPr="007733B1">
        <w:t xml:space="preserve">de la </w:t>
      </w:r>
      <w:r w:rsidR="00E644E4">
        <w:t>Conferencia Mundial de Desarrollo de las Telecomunicaciones</w:t>
      </w:r>
      <w:r w:rsidR="007733B1" w:rsidRPr="007733B1">
        <w:t xml:space="preserve"> sobre iniciativas regionales, en la que los </w:t>
      </w:r>
      <w:r w:rsidR="00FB624F">
        <w:t>P</w:t>
      </w:r>
      <w:r w:rsidR="007733B1" w:rsidRPr="007733B1">
        <w:t xml:space="preserve">aíses </w:t>
      </w:r>
      <w:r w:rsidR="00FB624F" w:rsidRPr="007733B1">
        <w:t>Árabes</w:t>
      </w:r>
      <w:r w:rsidR="007733B1" w:rsidRPr="007733B1">
        <w:t xml:space="preserve">, los de la </w:t>
      </w:r>
      <w:r w:rsidR="00FB624F" w:rsidRPr="007733B1">
        <w:t xml:space="preserve">Región </w:t>
      </w:r>
      <w:r w:rsidR="007733B1" w:rsidRPr="007733B1">
        <w:t>de Asia-Pacífico, los de la Comunidad de Estados Independi</w:t>
      </w:r>
      <w:r w:rsidR="007733B1">
        <w:t>ente</w:t>
      </w:r>
      <w:r w:rsidR="00FB624F">
        <w:t>s</w:t>
      </w:r>
      <w:r w:rsidR="007733B1">
        <w:t xml:space="preserve"> (CEI) y los de Europa han decidido </w:t>
      </w:r>
      <w:r w:rsidR="00F11393">
        <w:t xml:space="preserve">trabajar en común para aprovechar </w:t>
      </w:r>
      <w:r w:rsidR="007733B1">
        <w:t>los beneficios resultantes de las nuevas tecnologías y garantizar el acceso a servicios de telecomunicaciones/TIC para las personas con discapacidad</w:t>
      </w:r>
      <w:r w:rsidRPr="007733B1">
        <w:t>;</w:t>
      </w:r>
    </w:p>
    <w:p w:rsidR="00862C22" w:rsidRDefault="00FB624F" w:rsidP="00833D31">
      <w:pPr>
        <w:rPr>
          <w:szCs w:val="22"/>
          <w:lang w:eastAsia="es-ES"/>
        </w:rPr>
      </w:pPr>
      <w:r>
        <w:rPr>
          <w:i/>
          <w:iCs/>
        </w:rPr>
        <w:t>f</w:t>
      </w:r>
      <w:r w:rsidR="00862C22" w:rsidRPr="00862C22">
        <w:rPr>
          <w:i/>
          <w:iCs/>
        </w:rPr>
        <w:t>)</w:t>
      </w:r>
      <w:r w:rsidR="00862C22" w:rsidRPr="00862C22">
        <w:rPr>
          <w:i/>
          <w:iCs/>
        </w:rPr>
        <w:tab/>
      </w:r>
      <w:r w:rsidR="00862C22" w:rsidRPr="00862C22">
        <w:t xml:space="preserve">la Resolución </w:t>
      </w:r>
      <w:r w:rsidR="00862C22">
        <w:t>58</w:t>
      </w:r>
      <w:r w:rsidR="00862C22" w:rsidRPr="00862C22">
        <w:t xml:space="preserve"> (Rev. Dubái, 201</w:t>
      </w:r>
      <w:r w:rsidR="007733B1">
        <w:t>4</w:t>
      </w:r>
      <w:r w:rsidR="00862C22" w:rsidRPr="00862C22">
        <w:t xml:space="preserve">) </w:t>
      </w:r>
      <w:r w:rsidR="007733B1">
        <w:t xml:space="preserve">de la </w:t>
      </w:r>
      <w:r w:rsidR="00E644E4">
        <w:t xml:space="preserve">Conferencia Mundial de Desarrollo de las Telecomunicaciones </w:t>
      </w:r>
      <w:r w:rsidR="007733B1">
        <w:t xml:space="preserve">sobre </w:t>
      </w:r>
      <w:bookmarkStart w:id="12" w:name="_Toc401734479"/>
      <w:r w:rsidR="00F11393">
        <w:t>a</w:t>
      </w:r>
      <w:r w:rsidR="00862C22" w:rsidRPr="006E2A62">
        <w:rPr>
          <w:lang w:eastAsia="es-ES"/>
        </w:rPr>
        <w:t>ccesibilidad de las telecomunicaciones/tecnologías de la información</w:t>
      </w:r>
      <w:r w:rsidR="00862C22">
        <w:rPr>
          <w:lang w:eastAsia="es-ES"/>
        </w:rPr>
        <w:t xml:space="preserve"> </w:t>
      </w:r>
      <w:r w:rsidR="00862C22" w:rsidRPr="006E2A62">
        <w:rPr>
          <w:lang w:eastAsia="es-ES"/>
        </w:rPr>
        <w:t>y la comunicación para las personas con discapacidad,</w:t>
      </w:r>
      <w:r w:rsidR="00E644E4">
        <w:rPr>
          <w:lang w:eastAsia="es-ES"/>
        </w:rPr>
        <w:t xml:space="preserve"> </w:t>
      </w:r>
      <w:r w:rsidR="00862C22" w:rsidRPr="006E2A62">
        <w:rPr>
          <w:lang w:eastAsia="es-ES"/>
        </w:rPr>
        <w:t xml:space="preserve">incluida la </w:t>
      </w:r>
      <w:r w:rsidR="00862C22" w:rsidRPr="006E2A62">
        <w:rPr>
          <w:szCs w:val="22"/>
          <w:lang w:eastAsia="es-ES"/>
        </w:rPr>
        <w:t xml:space="preserve">discapacidad </w:t>
      </w:r>
      <w:r w:rsidR="00E644E4">
        <w:rPr>
          <w:szCs w:val="22"/>
          <w:lang w:eastAsia="es-ES"/>
        </w:rPr>
        <w:t>relacionada con</w:t>
      </w:r>
      <w:r w:rsidR="00862C22" w:rsidRPr="006E2A62">
        <w:rPr>
          <w:szCs w:val="22"/>
          <w:lang w:eastAsia="es-ES"/>
        </w:rPr>
        <w:t xml:space="preserve"> la edad</w:t>
      </w:r>
      <w:bookmarkEnd w:id="12"/>
      <w:r w:rsidR="00862C22">
        <w:rPr>
          <w:szCs w:val="22"/>
          <w:lang w:eastAsia="es-ES"/>
        </w:rPr>
        <w:t>,</w:t>
      </w:r>
    </w:p>
    <w:p w:rsidR="00D9242F" w:rsidRDefault="00F11393" w:rsidP="00833D31">
      <w:pPr>
        <w:pStyle w:val="Call"/>
      </w:pPr>
      <w:r>
        <w:t>insistiendo</w:t>
      </w:r>
    </w:p>
    <w:p w:rsidR="00D9242F" w:rsidRDefault="00D9242F" w:rsidP="00FB624F">
      <w:r w:rsidRPr="00AD0108">
        <w:rPr>
          <w:i/>
          <w:iCs/>
        </w:rPr>
        <w:t>a)</w:t>
      </w:r>
      <w:r>
        <w:tab/>
      </w:r>
      <w:r w:rsidR="0032552B">
        <w:t xml:space="preserve">en </w:t>
      </w:r>
      <w:r w:rsidR="007733B1">
        <w:t>la Declaración de la CMSI</w:t>
      </w:r>
      <w:r w:rsidRPr="00AD0108">
        <w:t xml:space="preserve">+10 </w:t>
      </w:r>
      <w:r w:rsidR="007733B1">
        <w:t>relativa a la aplicación de los resultados de la CMSI y la perspectiva para la CMSI 2015, adoptada en el Evento de Alto Nivel de la CMSI+10 coordinado por la UIT (Ginebra</w:t>
      </w:r>
      <w:r>
        <w:t xml:space="preserve">, 2014), </w:t>
      </w:r>
      <w:r w:rsidR="007733B1">
        <w:t xml:space="preserve">en la que se afirma que </w:t>
      </w:r>
      <w:r>
        <w:t>«</w:t>
      </w:r>
      <w:r w:rsidR="007733B1">
        <w:t>c</w:t>
      </w:r>
      <w:r w:rsidRPr="00970A32">
        <w:t xml:space="preserve">reemos que las TIC tienen el potencial </w:t>
      </w:r>
      <w:r w:rsidRPr="00970A32">
        <w:lastRenderedPageBreak/>
        <w:t>necesario para actuar como facilitador clave del desarrollo y convertirse en un componente fundamental de soluciones de desarrollo innovadoras en la Agenda de Desarrollo</w:t>
      </w:r>
      <w:r>
        <w:t xml:space="preserve"> para después de</w:t>
      </w:r>
      <w:r w:rsidR="00FB624F">
        <w:t> </w:t>
      </w:r>
      <w:r>
        <w:t xml:space="preserve">2015. </w:t>
      </w:r>
      <w:r w:rsidRPr="00970A32">
        <w:t>Se debe reconocer que las TIC son herramientas de empoderamiento y motor del crecimiento económico en pro del desarrollo, habida cuenta de la creciente importancia que est</w:t>
      </w:r>
      <w:r>
        <w:t>án adquiriendo los contenidos y competencias pertinentes, así como la existencia de un entorno propicio»</w:t>
      </w:r>
      <w:r w:rsidR="00FB624F">
        <w:t>;</w:t>
      </w:r>
    </w:p>
    <w:p w:rsidR="00D9242F" w:rsidRPr="00D9242F" w:rsidRDefault="00D9242F" w:rsidP="00833D31">
      <w:r w:rsidRPr="00D9242F">
        <w:rPr>
          <w:i/>
          <w:iCs/>
        </w:rPr>
        <w:t>b)</w:t>
      </w:r>
      <w:r w:rsidRPr="00D9242F">
        <w:tab/>
      </w:r>
      <w:bookmarkStart w:id="13" w:name="_Toc406754312"/>
      <w:r w:rsidR="0032552B">
        <w:t xml:space="preserve">en </w:t>
      </w:r>
      <w:r w:rsidR="007733B1">
        <w:t xml:space="preserve">la </w:t>
      </w:r>
      <w:r w:rsidRPr="00D9242F">
        <w:t xml:space="preserve">Resolución </w:t>
      </w:r>
      <w:r w:rsidRPr="00D9242F">
        <w:rPr>
          <w:rStyle w:val="href"/>
          <w:b w:val="0"/>
          <w:bCs/>
        </w:rPr>
        <w:t>191</w:t>
      </w:r>
      <w:r w:rsidRPr="00D9242F">
        <w:t xml:space="preserve"> (Busán, 2014)</w:t>
      </w:r>
      <w:bookmarkEnd w:id="13"/>
      <w:r w:rsidRPr="00D9242F">
        <w:t xml:space="preserve"> </w:t>
      </w:r>
      <w:r w:rsidR="007733B1">
        <w:t xml:space="preserve">de la Conferencia de Plenipotenciarios relativa a una </w:t>
      </w:r>
      <w:bookmarkStart w:id="14" w:name="_Toc406754313"/>
      <w:r w:rsidR="007733B1">
        <w:t>e</w:t>
      </w:r>
      <w:r w:rsidRPr="008061EF">
        <w:t>strategia de coordinación de los trabajos</w:t>
      </w:r>
      <w:r>
        <w:t xml:space="preserve"> </w:t>
      </w:r>
      <w:r w:rsidRPr="008061EF">
        <w:t>de los tres Sectores</w:t>
      </w:r>
      <w:r>
        <w:t xml:space="preserve"> </w:t>
      </w:r>
      <w:r w:rsidRPr="008061EF">
        <w:t>de la Unión</w:t>
      </w:r>
      <w:bookmarkEnd w:id="14"/>
      <w:r>
        <w:t>;</w:t>
      </w:r>
    </w:p>
    <w:p w:rsidR="00D9242F" w:rsidRDefault="00D9242F" w:rsidP="00833D31">
      <w:r w:rsidRPr="00D9242F">
        <w:rPr>
          <w:i/>
          <w:iCs/>
        </w:rPr>
        <w:t>c)</w:t>
      </w:r>
      <w:r w:rsidRPr="00D9242F">
        <w:tab/>
      </w:r>
      <w:r w:rsidR="0032552B">
        <w:t xml:space="preserve">en </w:t>
      </w:r>
      <w:r w:rsidR="007733B1">
        <w:t xml:space="preserve">la </w:t>
      </w:r>
      <w:r w:rsidRPr="00D9242F">
        <w:t xml:space="preserve">Resolución </w:t>
      </w:r>
      <w:r w:rsidRPr="00D9242F">
        <w:rPr>
          <w:rStyle w:val="href"/>
          <w:b w:val="0"/>
          <w:bCs/>
        </w:rPr>
        <w:t>200</w:t>
      </w:r>
      <w:r w:rsidRPr="00D9242F">
        <w:t xml:space="preserve"> (Busán, 2014) </w:t>
      </w:r>
      <w:r w:rsidR="007733B1">
        <w:t xml:space="preserve">de la Conferencia de Plenipotenciarios relativa a la </w:t>
      </w:r>
      <w:r w:rsidRPr="008061EF">
        <w:t>Agenda Conectar 2020 para el desarrollo mundial</w:t>
      </w:r>
      <w:r>
        <w:t xml:space="preserve"> </w:t>
      </w:r>
      <w:r w:rsidRPr="008061EF">
        <w:t>de las telecomunicaciones/tecnologías de</w:t>
      </w:r>
      <w:r>
        <w:t xml:space="preserve"> </w:t>
      </w:r>
      <w:r w:rsidRPr="008061EF">
        <w:t>la información y la comunicación</w:t>
      </w:r>
      <w:r w:rsidR="00E644E4">
        <w:t xml:space="preserve">, en la que se establecen las metas y los objetivos mundiales </w:t>
      </w:r>
      <w:r w:rsidR="0012467C">
        <w:t xml:space="preserve">para los cuales es </w:t>
      </w:r>
      <w:r w:rsidR="00E644E4">
        <w:t xml:space="preserve">fundamental </w:t>
      </w:r>
      <w:r w:rsidR="0012467C">
        <w:t xml:space="preserve">que existan </w:t>
      </w:r>
      <w:r w:rsidR="00E644E4">
        <w:t>entornos propicios para garantizar unas telecomunicaciones/TIC accesibles para las personas con discapacidad en todo el mundo</w:t>
      </w:r>
      <w:r>
        <w:t>;</w:t>
      </w:r>
    </w:p>
    <w:p w:rsidR="00D9242F" w:rsidRPr="00D9242F" w:rsidRDefault="00D9242F" w:rsidP="00833D31">
      <w:r w:rsidRPr="00D9242F">
        <w:rPr>
          <w:i/>
          <w:iCs/>
        </w:rPr>
        <w:t>d)</w:t>
      </w:r>
      <w:r w:rsidRPr="00D9242F">
        <w:tab/>
      </w:r>
      <w:r w:rsidR="0032552B">
        <w:t xml:space="preserve">en </w:t>
      </w:r>
      <w:r w:rsidR="007733B1">
        <w:t xml:space="preserve">la </w:t>
      </w:r>
      <w:r w:rsidRPr="00D9242F">
        <w:t xml:space="preserve">Resolución </w:t>
      </w:r>
      <w:r w:rsidRPr="00D9242F">
        <w:rPr>
          <w:rStyle w:val="href"/>
          <w:b w:val="0"/>
          <w:bCs/>
        </w:rPr>
        <w:t>196</w:t>
      </w:r>
      <w:r w:rsidRPr="00D9242F">
        <w:t xml:space="preserve"> (Busán, 2014) </w:t>
      </w:r>
      <w:r w:rsidR="007733B1">
        <w:t>de la Conferencia de Plenipotenciarios relativa a la p</w:t>
      </w:r>
      <w:bookmarkStart w:id="15" w:name="_Toc406754323"/>
      <w:r w:rsidRPr="008061EF">
        <w:t>rotección del usuario/consumidor de servicios</w:t>
      </w:r>
      <w:r>
        <w:t xml:space="preserve"> </w:t>
      </w:r>
      <w:r w:rsidRPr="008061EF">
        <w:t>de telecomunicaciones</w:t>
      </w:r>
      <w:bookmarkEnd w:id="15"/>
      <w:r>
        <w:t>;</w:t>
      </w:r>
    </w:p>
    <w:p w:rsidR="00D9242F" w:rsidRDefault="00D9242F" w:rsidP="00833D31">
      <w:r w:rsidRPr="00D9242F">
        <w:rPr>
          <w:i/>
          <w:iCs/>
        </w:rPr>
        <w:t>e)</w:t>
      </w:r>
      <w:r w:rsidRPr="00D9242F">
        <w:tab/>
      </w:r>
      <w:r w:rsidR="0032552B">
        <w:t xml:space="preserve">en </w:t>
      </w:r>
      <w:r w:rsidR="007733B1">
        <w:t xml:space="preserve">la </w:t>
      </w:r>
      <w:r w:rsidRPr="00D9242F">
        <w:t xml:space="preserve">Resolución </w:t>
      </w:r>
      <w:r w:rsidRPr="00D9242F">
        <w:rPr>
          <w:rStyle w:val="href"/>
          <w:b w:val="0"/>
          <w:bCs/>
        </w:rPr>
        <w:t>197</w:t>
      </w:r>
      <w:r w:rsidRPr="00D9242F">
        <w:t xml:space="preserve"> (Busán, 2014) </w:t>
      </w:r>
      <w:r w:rsidR="007733B1">
        <w:t xml:space="preserve">de la Conferencia de Plenipotenciarios relativa a </w:t>
      </w:r>
      <w:bookmarkStart w:id="16" w:name="_Toc406754325"/>
      <w:r w:rsidR="007733B1">
        <w:t>la f</w:t>
      </w:r>
      <w:r w:rsidRPr="008061EF">
        <w:t>acilitación de la Internet de las cosas como preparación para un mundo globalmente conectado</w:t>
      </w:r>
      <w:bookmarkEnd w:id="16"/>
      <w:r w:rsidR="00E644E4">
        <w:t>, de modo que los servicios puedan redefinir la relación entre personas y dispositivos en el marco de la Internet de las cosas</w:t>
      </w:r>
      <w:r w:rsidR="00FB624F">
        <w:t>,</w:t>
      </w:r>
    </w:p>
    <w:p w:rsidR="00D9242F" w:rsidRPr="008061EF" w:rsidRDefault="00D9242F" w:rsidP="00833D31">
      <w:pPr>
        <w:pStyle w:val="Call"/>
      </w:pPr>
      <w:r w:rsidRPr="008061EF">
        <w:t>reconociendo</w:t>
      </w:r>
    </w:p>
    <w:p w:rsidR="00D9242F" w:rsidRPr="008061EF" w:rsidRDefault="00D9242F" w:rsidP="00833D31">
      <w:r>
        <w:rPr>
          <w:i/>
          <w:iCs/>
        </w:rPr>
        <w:t>a</w:t>
      </w:r>
      <w:r w:rsidRPr="008061EF">
        <w:rPr>
          <w:i/>
          <w:iCs/>
        </w:rPr>
        <w:t>)</w:t>
      </w:r>
      <w:r w:rsidRPr="008061EF">
        <w:rPr>
          <w:i/>
          <w:iCs/>
        </w:rPr>
        <w:tab/>
      </w:r>
      <w:r w:rsidRPr="008061EF">
        <w:t>los trabajos en curso en el Sector de Radiocomunicaciones (UIT-R):</w:t>
      </w:r>
    </w:p>
    <w:p w:rsidR="00D9242F" w:rsidRPr="008061EF" w:rsidRDefault="00D9242F" w:rsidP="00F97F9F">
      <w:pPr>
        <w:pStyle w:val="enumlev1"/>
      </w:pPr>
      <w:r w:rsidRPr="008061EF">
        <w:t>i)</w:t>
      </w:r>
      <w:r w:rsidRPr="008061EF">
        <w:tab/>
        <w:t>la Recomendación UIT</w:t>
      </w:r>
      <w:r w:rsidRPr="008061EF">
        <w:noBreakHyphen/>
        <w:t xml:space="preserve">R M.1076 titulada </w:t>
      </w:r>
      <w:r w:rsidR="00F97F9F">
        <w:t>«</w:t>
      </w:r>
      <w:r w:rsidRPr="008061EF">
        <w:t>Sistemas de comunicación inalámbricos para personas con audición deficiente</w:t>
      </w:r>
      <w:r w:rsidR="00F97F9F">
        <w:t>»</w:t>
      </w:r>
      <w:r w:rsidRPr="008061EF">
        <w:t>;</w:t>
      </w:r>
    </w:p>
    <w:p w:rsidR="00D9242F" w:rsidRDefault="00D9242F" w:rsidP="00F97F9F">
      <w:pPr>
        <w:pStyle w:val="enumlev1"/>
      </w:pPr>
      <w:r w:rsidRPr="008061EF">
        <w:t>ii)</w:t>
      </w:r>
      <w:r w:rsidRPr="008061EF">
        <w:tab/>
        <w:t>las partes pertinentes del manual del UIT</w:t>
      </w:r>
      <w:r w:rsidRPr="008061EF">
        <w:noBreakHyphen/>
        <w:t xml:space="preserve">R titulado </w:t>
      </w:r>
      <w:r w:rsidR="00F97F9F">
        <w:t>«</w:t>
      </w:r>
      <w:r w:rsidR="0012467C">
        <w:t xml:space="preserve">Manual DTTB – Radiodifusión de </w:t>
      </w:r>
      <w:r w:rsidRPr="008061EF">
        <w:t>televisión terrenal digital en las bandas de ondas métricas/decimétricas</w:t>
      </w:r>
      <w:r w:rsidR="00F97F9F">
        <w:t>»</w:t>
      </w:r>
      <w:r w:rsidRPr="008061EF">
        <w:t>, sobre técnicas para la transmisión de programas para personas con deficiencias auditivas;</w:t>
      </w:r>
    </w:p>
    <w:p w:rsidR="0008605D" w:rsidRPr="007733B1" w:rsidRDefault="0008605D" w:rsidP="00F97F9F">
      <w:pPr>
        <w:pStyle w:val="enumlev1"/>
      </w:pPr>
      <w:r w:rsidRPr="00C90EA1">
        <w:t>iii)</w:t>
      </w:r>
      <w:r w:rsidRPr="00137AAB">
        <w:tab/>
      </w:r>
      <w:r w:rsidR="007733B1" w:rsidRPr="00137AAB">
        <w:t xml:space="preserve">las iniciativas encaminadas a cerrar </w:t>
      </w:r>
      <w:r w:rsidR="0012467C">
        <w:t>aquellos aspectos de la brecha digital relacionados</w:t>
      </w:r>
      <w:r w:rsidR="007733B1" w:rsidRPr="00137AAB">
        <w:t xml:space="preserve"> con la discapacidad, incluida la labor de la Comisión de Estudio 6 del UIT-R </w:t>
      </w:r>
      <w:r w:rsidR="00E644E4">
        <w:t xml:space="preserve">sobre el servicio de radiodifusión </w:t>
      </w:r>
      <w:r w:rsidR="007733B1" w:rsidRPr="00137AAB">
        <w:t>y la creación de un nuevo Grupo de Relator Intersectorial de la</w:t>
      </w:r>
      <w:r w:rsidR="00F97F9F">
        <w:t> </w:t>
      </w:r>
      <w:r w:rsidR="007733B1" w:rsidRPr="00137AAB">
        <w:t xml:space="preserve"> UIT sobre accesibilidad a los medios audiovisuales </w:t>
      </w:r>
      <w:r w:rsidRPr="007733B1">
        <w:t xml:space="preserve">(IRG-AVA) </w:t>
      </w:r>
      <w:r w:rsidR="00137AAB">
        <w:t>entre el UIT-R y el</w:t>
      </w:r>
      <w:r w:rsidR="00F97F9F">
        <w:t> </w:t>
      </w:r>
      <w:r w:rsidR="00137AAB">
        <w:t>UIT</w:t>
      </w:r>
      <w:r w:rsidRPr="007733B1">
        <w:t>-T;</w:t>
      </w:r>
    </w:p>
    <w:p w:rsidR="0008605D" w:rsidRPr="00137AAB" w:rsidRDefault="0008605D" w:rsidP="00833D31">
      <w:pPr>
        <w:pStyle w:val="enumlev1"/>
      </w:pPr>
      <w:r w:rsidRPr="00C90EA1">
        <w:t>iv)</w:t>
      </w:r>
      <w:r w:rsidRPr="00137AAB">
        <w:tab/>
      </w:r>
      <w:r w:rsidR="00137AAB" w:rsidRPr="00137AAB">
        <w:t xml:space="preserve">la labor de los Grupos de Trabajo 4A y 4B de la Comisión de Estudio 4 del UIT-R y de los Grupos de Trabajo 5A y 5D de la Comisión de Estudio 5 en relación con la mejora del acceso a prótesis auditivas </w:t>
      </w:r>
      <w:r w:rsidR="00E644E4">
        <w:t>a escala mundial</w:t>
      </w:r>
      <w:r w:rsidR="0012467C">
        <w:t>,</w:t>
      </w:r>
      <w:r w:rsidR="00137AAB" w:rsidRPr="00137AAB">
        <w:t xml:space="preserve"> </w:t>
      </w:r>
      <w:r w:rsidR="0012467C">
        <w:t>así como</w:t>
      </w:r>
      <w:r w:rsidR="00137AAB" w:rsidRPr="00137AAB">
        <w:t xml:space="preserve"> </w:t>
      </w:r>
      <w:r w:rsidR="00137AAB">
        <w:t>cualquier obstáculo creado por la utilización del espectro sin tener en cuenta las necesidades de las personas con discapacidad y con necesidades especiales</w:t>
      </w:r>
      <w:r w:rsidRPr="00137AAB">
        <w:t>,</w:t>
      </w:r>
    </w:p>
    <w:p w:rsidR="0008605D" w:rsidRPr="00833D31" w:rsidRDefault="00137AAB" w:rsidP="00833D31">
      <w:pPr>
        <w:pStyle w:val="Call"/>
      </w:pPr>
      <w:r w:rsidRPr="00833D31">
        <w:t>teniendo en cuenta</w:t>
      </w:r>
    </w:p>
    <w:p w:rsidR="0008605D" w:rsidRPr="00137AAB" w:rsidRDefault="00137AAB" w:rsidP="00833D31">
      <w:r w:rsidRPr="00137AAB">
        <w:t xml:space="preserve">que la utilización de las telecomunicaciones/TIC por las personas con discapacidad y con necesidades especiales </w:t>
      </w:r>
      <w:r w:rsidR="00E644E4">
        <w:t>es</w:t>
      </w:r>
      <w:r w:rsidRPr="00137AAB">
        <w:t xml:space="preserve"> una herramienta esencial para su desarrollo personal, social y económico, que les permite </w:t>
      </w:r>
      <w:r w:rsidR="00E644E4">
        <w:t>empoderar</w:t>
      </w:r>
      <w:r w:rsidR="0012467C">
        <w:t>se y mejorar</w:t>
      </w:r>
      <w:r w:rsidR="00E644E4">
        <w:t xml:space="preserve"> su</w:t>
      </w:r>
      <w:r w:rsidRPr="00137AAB">
        <w:t xml:space="preserve"> autonomía</w:t>
      </w:r>
      <w:r w:rsidR="00FB624F">
        <w:t>,</w:t>
      </w:r>
    </w:p>
    <w:p w:rsidR="0008605D" w:rsidRPr="00137AAB" w:rsidRDefault="00137AAB" w:rsidP="00833D31">
      <w:pPr>
        <w:pStyle w:val="Call"/>
      </w:pPr>
      <w:r w:rsidRPr="00137AAB">
        <w:t>resuelve encargar al Director de la Oficina de Radiocomunicaciones</w:t>
      </w:r>
    </w:p>
    <w:p w:rsidR="0008605D" w:rsidRPr="00137AAB" w:rsidRDefault="0008605D" w:rsidP="00833D31">
      <w:r w:rsidRPr="00137AAB">
        <w:t>1</w:t>
      </w:r>
      <w:r w:rsidRPr="00137AAB">
        <w:tab/>
      </w:r>
      <w:r w:rsidR="00137AAB" w:rsidRPr="00137AAB">
        <w:t>seguir elaborando estudios, investigaciones, directrices y recomendaciones relacionadas con la accesibilidad de las telecomunicaciones/TIC para las personas con discapacidad y con necesidades especiales</w:t>
      </w:r>
      <w:r w:rsidR="00E644E4">
        <w:t>,</w:t>
      </w:r>
      <w:r w:rsidR="00137AAB" w:rsidRPr="00137AAB">
        <w:t xml:space="preserve"> en estrecha colaboraci</w:t>
      </w:r>
      <w:r w:rsidR="00137AAB">
        <w:t>ón con el UIT-T y el UIT-D</w:t>
      </w:r>
      <w:r w:rsidRPr="00137AAB">
        <w:t>;</w:t>
      </w:r>
    </w:p>
    <w:p w:rsidR="0008605D" w:rsidRPr="00292AA6" w:rsidRDefault="0008605D" w:rsidP="00833D31">
      <w:r w:rsidRPr="00292AA6">
        <w:lastRenderedPageBreak/>
        <w:t>2</w:t>
      </w:r>
      <w:r w:rsidRPr="00292AA6">
        <w:tab/>
      </w:r>
      <w:r w:rsidR="00292AA6" w:rsidRPr="00292AA6">
        <w:t>colaborar con los Directores de la Oficina de Desarrollo de las Telecomunicaciones</w:t>
      </w:r>
      <w:r w:rsidR="00F97F9F">
        <w:t xml:space="preserve"> </w:t>
      </w:r>
      <w:r w:rsidR="00292AA6" w:rsidRPr="00292AA6">
        <w:t>y de la Oficina de Normalización de las Telecomunicaciones en el desarrollo sostenible de dispositivos y aplicaciones que promuevan la compatibilidad entre las nuevas tecnologías y las tecnologías actuales, en beneficio de las telecomunicaciones/tecnolo</w:t>
      </w:r>
      <w:r w:rsidR="00832FE2">
        <w:t>g</w:t>
      </w:r>
      <w:r w:rsidR="00292AA6" w:rsidRPr="00292AA6">
        <w:t>ías de la informaci</w:t>
      </w:r>
      <w:r w:rsidR="00292AA6">
        <w:t xml:space="preserve">ón y de la comunicación para las personas con discapacidad y con necesidades especiales, teniendo en cuenta la necesidad de proteger a las personas con discapacidad de los nuevos obstáculos </w:t>
      </w:r>
      <w:r w:rsidR="002268C3">
        <w:t>resultantes de la utilización del espectro y de cuestiones relacionadas con la CMR</w:t>
      </w:r>
      <w:r w:rsidRPr="00292AA6">
        <w:t>;</w:t>
      </w:r>
    </w:p>
    <w:p w:rsidR="0008605D" w:rsidRPr="0008605D" w:rsidRDefault="0008605D" w:rsidP="00833D31">
      <w:r w:rsidRPr="0008605D">
        <w:t>3</w:t>
      </w:r>
      <w:r w:rsidRPr="0008605D">
        <w:tab/>
      </w:r>
      <w:r w:rsidRPr="008061EF">
        <w:t>aliente y promueva la representación de las personas con discapacidades y personas con necesidades especiales, con el fin de que se tengan en cuenta sus experiencias, opiniones y puntos de vista en la elaboración y el a</w:t>
      </w:r>
      <w:r w:rsidR="00C90EA1">
        <w:t>vance de los trabajos de la UIT.</w:t>
      </w:r>
    </w:p>
    <w:p w:rsidR="0008605D" w:rsidRPr="0008605D" w:rsidRDefault="0008605D" w:rsidP="00752B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3175"/>
        <w:gridCol w:w="4632"/>
      </w:tblGrid>
      <w:tr w:rsidR="002268C3" w:rsidRPr="002268C3" w:rsidTr="009D10DF">
        <w:tc>
          <w:tcPr>
            <w:tcW w:w="1822" w:type="dxa"/>
          </w:tcPr>
          <w:p w:rsidR="0008605D" w:rsidRPr="00752BE0" w:rsidRDefault="0008605D" w:rsidP="00752BE0">
            <w:pPr>
              <w:pStyle w:val="Tabletext"/>
              <w:rPr>
                <w:b/>
                <w:bCs/>
              </w:rPr>
            </w:pPr>
            <w:r w:rsidRPr="00752BE0">
              <w:rPr>
                <w:b/>
                <w:bCs/>
              </w:rPr>
              <w:t>Contact</w:t>
            </w:r>
            <w:r w:rsidR="002268C3" w:rsidRPr="00752BE0">
              <w:rPr>
                <w:b/>
                <w:bCs/>
              </w:rPr>
              <w:t>o</w:t>
            </w:r>
            <w:r w:rsidRPr="00752BE0">
              <w:rPr>
                <w:b/>
                <w:bCs/>
              </w:rPr>
              <w:t>:</w:t>
            </w:r>
          </w:p>
        </w:tc>
        <w:tc>
          <w:tcPr>
            <w:tcW w:w="3175" w:type="dxa"/>
          </w:tcPr>
          <w:p w:rsidR="0008605D" w:rsidRPr="00752BE0" w:rsidRDefault="002268C3" w:rsidP="00752BE0">
            <w:pPr>
              <w:pStyle w:val="Tabletext"/>
            </w:pPr>
            <w:r w:rsidRPr="00752BE0">
              <w:t>Nombre/Organización/Entidad</w:t>
            </w:r>
            <w:r w:rsidR="00752BE0">
              <w:t>:</w:t>
            </w:r>
          </w:p>
        </w:tc>
        <w:tc>
          <w:tcPr>
            <w:tcW w:w="4632" w:type="dxa"/>
          </w:tcPr>
          <w:p w:rsidR="0008605D" w:rsidRPr="00752BE0" w:rsidRDefault="002268C3" w:rsidP="00752BE0">
            <w:pPr>
              <w:pStyle w:val="Tabletext"/>
            </w:pPr>
            <w:r w:rsidRPr="00752BE0">
              <w:t>S</w:t>
            </w:r>
            <w:r w:rsidR="0008605D" w:rsidRPr="00752BE0">
              <w:t>r</w:t>
            </w:r>
            <w:r w:rsidRPr="00752BE0">
              <w:t>.</w:t>
            </w:r>
            <w:r w:rsidR="0008605D" w:rsidRPr="00752BE0">
              <w:t xml:space="preserve"> Nasser Almarzouqi, </w:t>
            </w:r>
            <w:r w:rsidR="00FB624F" w:rsidRPr="00752BE0">
              <w:t>Organismo</w:t>
            </w:r>
            <w:r w:rsidRPr="00752BE0">
              <w:t xml:space="preserve"> Regulador de las Telecomunicaciones, Emiratos Árabes Unidos</w:t>
            </w:r>
          </w:p>
        </w:tc>
      </w:tr>
      <w:tr w:rsidR="002268C3" w:rsidTr="009D10DF">
        <w:tc>
          <w:tcPr>
            <w:tcW w:w="1822" w:type="dxa"/>
          </w:tcPr>
          <w:p w:rsidR="0008605D" w:rsidRPr="00752BE0" w:rsidRDefault="0008605D" w:rsidP="00752BE0">
            <w:pPr>
              <w:pStyle w:val="Tabletext"/>
            </w:pPr>
          </w:p>
        </w:tc>
        <w:tc>
          <w:tcPr>
            <w:tcW w:w="3175" w:type="dxa"/>
          </w:tcPr>
          <w:p w:rsidR="0008605D" w:rsidRPr="00752BE0" w:rsidRDefault="002268C3" w:rsidP="00752BE0">
            <w:pPr>
              <w:pStyle w:val="Tabletext"/>
            </w:pPr>
            <w:r w:rsidRPr="00752BE0">
              <w:t>Teléfono</w:t>
            </w:r>
            <w:r w:rsidR="0008605D" w:rsidRPr="00752BE0">
              <w:t>:</w:t>
            </w:r>
          </w:p>
        </w:tc>
        <w:tc>
          <w:tcPr>
            <w:tcW w:w="4632" w:type="dxa"/>
          </w:tcPr>
          <w:p w:rsidR="0008605D" w:rsidRPr="00752BE0" w:rsidRDefault="0008605D" w:rsidP="00752BE0">
            <w:pPr>
              <w:pStyle w:val="Tabletext"/>
            </w:pPr>
            <w:r w:rsidRPr="00752BE0">
              <w:t>+971 50 900 7177</w:t>
            </w:r>
          </w:p>
        </w:tc>
      </w:tr>
      <w:tr w:rsidR="002268C3" w:rsidTr="009D10DF">
        <w:tc>
          <w:tcPr>
            <w:tcW w:w="1822" w:type="dxa"/>
          </w:tcPr>
          <w:p w:rsidR="0008605D" w:rsidRPr="00752BE0" w:rsidRDefault="0008605D" w:rsidP="00752BE0">
            <w:pPr>
              <w:pStyle w:val="Tabletext"/>
            </w:pPr>
          </w:p>
        </w:tc>
        <w:tc>
          <w:tcPr>
            <w:tcW w:w="3175" w:type="dxa"/>
          </w:tcPr>
          <w:p w:rsidR="0008605D" w:rsidRPr="00752BE0" w:rsidRDefault="002268C3" w:rsidP="00752BE0">
            <w:pPr>
              <w:pStyle w:val="Tabletext"/>
            </w:pPr>
            <w:r w:rsidRPr="00752BE0">
              <w:t>Correo-e</w:t>
            </w:r>
            <w:r w:rsidR="0008605D" w:rsidRPr="00752BE0">
              <w:t>:</w:t>
            </w:r>
          </w:p>
        </w:tc>
        <w:tc>
          <w:tcPr>
            <w:tcW w:w="4632" w:type="dxa"/>
          </w:tcPr>
          <w:p w:rsidR="0008605D" w:rsidRPr="00752BE0" w:rsidRDefault="00752BE0" w:rsidP="00C90EA1">
            <w:pPr>
              <w:pStyle w:val="Tabletext"/>
            </w:pPr>
            <w:hyperlink r:id="rId9" w:history="1">
              <w:r w:rsidR="0008605D" w:rsidRPr="00752BE0">
                <w:rPr>
                  <w:rStyle w:val="Hyperlink"/>
                </w:rPr>
                <w:t>Nasser.almarzouqi@tra.gov.ae</w:t>
              </w:r>
            </w:hyperlink>
          </w:p>
        </w:tc>
      </w:tr>
    </w:tbl>
    <w:p w:rsidR="009D10DF" w:rsidRDefault="009D10DF" w:rsidP="0032202E">
      <w:pPr>
        <w:pStyle w:val="Reasons"/>
      </w:pPr>
      <w:bookmarkStart w:id="17" w:name="_GoBack"/>
      <w:bookmarkEnd w:id="17"/>
    </w:p>
    <w:p w:rsidR="009D10DF" w:rsidRDefault="009D10DF">
      <w:pPr>
        <w:jc w:val="center"/>
      </w:pPr>
      <w:r>
        <w:t>______________</w:t>
      </w:r>
    </w:p>
    <w:sectPr w:rsidR="009D10DF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BA" w:rsidRDefault="004E66BA">
      <w:r>
        <w:separator/>
      </w:r>
    </w:p>
  </w:endnote>
  <w:endnote w:type="continuationSeparator" w:id="0">
    <w:p w:rsidR="004E66BA" w:rsidRDefault="004E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F97F9F" w:rsidRDefault="00020ACE">
    <w:r>
      <w:fldChar w:fldCharType="begin"/>
    </w:r>
    <w:r w:rsidRPr="00F97F9F">
      <w:instrText xml:space="preserve"> FILENAME \p  \* MERGEFORMAT </w:instrText>
    </w:r>
    <w:r>
      <w:fldChar w:fldCharType="separate"/>
    </w:r>
    <w:r w:rsidR="00F97F9F">
      <w:rPr>
        <w:noProof/>
      </w:rPr>
      <w:t>P:\ESP\ITU-R\CONF-R\AR15\PLEN\000\032S.docx</w:t>
    </w:r>
    <w:r>
      <w:fldChar w:fldCharType="end"/>
    </w:r>
    <w:r w:rsidRPr="00F97F9F">
      <w:tab/>
    </w:r>
    <w:r>
      <w:fldChar w:fldCharType="begin"/>
    </w:r>
    <w:r>
      <w:instrText xml:space="preserve"> SAVEDATE \@ DD.MM.YY </w:instrText>
    </w:r>
    <w:r>
      <w:fldChar w:fldCharType="separate"/>
    </w:r>
    <w:r w:rsidR="00FB624F">
      <w:rPr>
        <w:noProof/>
      </w:rPr>
      <w:t>19.10.15</w:t>
    </w:r>
    <w:r>
      <w:fldChar w:fldCharType="end"/>
    </w:r>
    <w:r w:rsidRPr="00F97F9F">
      <w:tab/>
    </w:r>
    <w:r>
      <w:fldChar w:fldCharType="begin"/>
    </w:r>
    <w:r>
      <w:instrText xml:space="preserve"> PRINTDATE \@ DD.MM.YY </w:instrText>
    </w:r>
    <w:r>
      <w:fldChar w:fldCharType="separate"/>
    </w:r>
    <w:r w:rsidR="00F97F9F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C90EA1" w:rsidRDefault="00752BE0" w:rsidP="00C90EA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97F9F">
      <w:t>P:\ESP\ITU-R\CONF-R\AR15\PLEN\000\032S.docx</w:t>
    </w:r>
    <w:r>
      <w:fldChar w:fldCharType="end"/>
    </w:r>
    <w:r w:rsidR="00C90EA1">
      <w:t xml:space="preserve"> (388124)</w:t>
    </w:r>
    <w:r w:rsidR="00C90EA1">
      <w:tab/>
    </w:r>
    <w:r w:rsidR="00C90EA1">
      <w:fldChar w:fldCharType="begin"/>
    </w:r>
    <w:r w:rsidR="00C90EA1">
      <w:instrText xml:space="preserve"> SAVEDATE \@ DD.MM.YY </w:instrText>
    </w:r>
    <w:r w:rsidR="00C90EA1">
      <w:fldChar w:fldCharType="separate"/>
    </w:r>
    <w:r w:rsidR="00FB624F">
      <w:t>19.10.15</w:t>
    </w:r>
    <w:r w:rsidR="00C90EA1">
      <w:fldChar w:fldCharType="end"/>
    </w:r>
    <w:r w:rsidR="00C90EA1">
      <w:tab/>
    </w:r>
    <w:r w:rsidR="00C90EA1">
      <w:fldChar w:fldCharType="begin"/>
    </w:r>
    <w:r w:rsidR="00C90EA1">
      <w:instrText xml:space="preserve"> PRINTDATE \@ DD.MM.YY </w:instrText>
    </w:r>
    <w:r w:rsidR="00C90EA1">
      <w:fldChar w:fldCharType="separate"/>
    </w:r>
    <w:r w:rsidR="00F97F9F">
      <w:t>19.10.15</w:t>
    </w:r>
    <w:r w:rsidR="00C90EA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C90EA1" w:rsidRDefault="00C90EA1" w:rsidP="00C90EA1">
    <w:pPr>
      <w:pStyle w:val="Footer"/>
    </w:pPr>
    <w:fldSimple w:instr=" FILENAME \p  \* MERGEFORMAT ">
      <w:r w:rsidR="00F97F9F">
        <w:t>P:\ESP\ITU-R\CONF-R\AR15\PLEN\000\032S.docx</w:t>
      </w:r>
    </w:fldSimple>
    <w:r>
      <w:t xml:space="preserve"> (388124)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B624F"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97F9F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BA" w:rsidRDefault="004E66BA">
      <w:r>
        <w:rPr>
          <w:b/>
        </w:rPr>
        <w:t>_______________</w:t>
      </w:r>
    </w:p>
  </w:footnote>
  <w:footnote w:type="continuationSeparator" w:id="0">
    <w:p w:rsidR="004E66BA" w:rsidRDefault="004E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BA" w:rsidRDefault="004E66BA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52BE0">
      <w:rPr>
        <w:noProof/>
      </w:rPr>
      <w:t>3</w:t>
    </w:r>
    <w:r>
      <w:fldChar w:fldCharType="end"/>
    </w:r>
    <w:r>
      <w:t xml:space="preserve"> -</w:t>
    </w:r>
  </w:p>
  <w:p w:rsidR="004E66BA" w:rsidRDefault="004E66BA">
    <w:pPr>
      <w:pStyle w:val="Header"/>
    </w:pPr>
    <w:r>
      <w:t>RA15/PLEN/32-S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mirrorMargin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BA"/>
    <w:rsid w:val="00012B52"/>
    <w:rsid w:val="00016A7C"/>
    <w:rsid w:val="00020ACE"/>
    <w:rsid w:val="0008605D"/>
    <w:rsid w:val="000F24E4"/>
    <w:rsid w:val="0012467C"/>
    <w:rsid w:val="00137AAB"/>
    <w:rsid w:val="001721DD"/>
    <w:rsid w:val="002268C3"/>
    <w:rsid w:val="002334F2"/>
    <w:rsid w:val="00292AA6"/>
    <w:rsid w:val="002B6243"/>
    <w:rsid w:val="0032552B"/>
    <w:rsid w:val="00365DDC"/>
    <w:rsid w:val="0037586E"/>
    <w:rsid w:val="003C0812"/>
    <w:rsid w:val="00466F3C"/>
    <w:rsid w:val="004E66BA"/>
    <w:rsid w:val="005335D1"/>
    <w:rsid w:val="005648DF"/>
    <w:rsid w:val="005C4F7E"/>
    <w:rsid w:val="006050EE"/>
    <w:rsid w:val="00693CB4"/>
    <w:rsid w:val="00752BE0"/>
    <w:rsid w:val="007733B1"/>
    <w:rsid w:val="007F24D3"/>
    <w:rsid w:val="008246E6"/>
    <w:rsid w:val="00832FE2"/>
    <w:rsid w:val="00833D31"/>
    <w:rsid w:val="00862C22"/>
    <w:rsid w:val="008E02B6"/>
    <w:rsid w:val="00920FD2"/>
    <w:rsid w:val="009630C4"/>
    <w:rsid w:val="009D10DF"/>
    <w:rsid w:val="00AD6C85"/>
    <w:rsid w:val="00AF7660"/>
    <w:rsid w:val="00BF1023"/>
    <w:rsid w:val="00C278F8"/>
    <w:rsid w:val="00C90EA1"/>
    <w:rsid w:val="00D40000"/>
    <w:rsid w:val="00D9242F"/>
    <w:rsid w:val="00DD2341"/>
    <w:rsid w:val="00DE35E9"/>
    <w:rsid w:val="00E01901"/>
    <w:rsid w:val="00E46552"/>
    <w:rsid w:val="00E644E4"/>
    <w:rsid w:val="00E778A3"/>
    <w:rsid w:val="00EB5C7B"/>
    <w:rsid w:val="00F11393"/>
    <w:rsid w:val="00F65EC4"/>
    <w:rsid w:val="00F97F9F"/>
    <w:rsid w:val="00FB4F95"/>
    <w:rsid w:val="00FB624F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4143441-5C20-40C2-B18E-D414B0F8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href">
    <w:name w:val="href"/>
    <w:basedOn w:val="DefaultParagraphFont"/>
    <w:rsid w:val="00D9242F"/>
    <w:rPr>
      <w:b/>
      <w:color w:val="auto"/>
    </w:rPr>
  </w:style>
  <w:style w:type="character" w:customStyle="1" w:styleId="enumlev1Char">
    <w:name w:val="enumlev1 Char"/>
    <w:basedOn w:val="DefaultParagraphFont"/>
    <w:link w:val="enumlev1"/>
    <w:locked/>
    <w:rsid w:val="00D9242F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uiPriority w:val="59"/>
    <w:rsid w:val="0008605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0860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2F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2FE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sser.almarzouqi@tra.gov.a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98B4-85E5-4B45-BD72-3EB44D27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73</TotalTime>
  <Pages>4</Pages>
  <Words>1469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9856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Miguel Callejón Berenguer</dc:creator>
  <cp:keywords/>
  <dc:description>PS_RA07.dot  Para: _x000d_Fecha del documento: _x000d_Registrado por MM-43480 a 16:09:38 el 16.10.07</dc:description>
  <cp:lastModifiedBy>Spanish</cp:lastModifiedBy>
  <cp:revision>7</cp:revision>
  <cp:lastPrinted>2015-10-19T21:13:00Z</cp:lastPrinted>
  <dcterms:created xsi:type="dcterms:W3CDTF">2015-10-19T20:18:00Z</dcterms:created>
  <dcterms:modified xsi:type="dcterms:W3CDTF">2015-10-20T15:02:00Z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