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60"/>
        <w:gridCol w:w="15"/>
        <w:gridCol w:w="3264"/>
      </w:tblGrid>
      <w:tr w:rsidR="001952E0" w:rsidRPr="001952E0" w:rsidTr="003C399E">
        <w:trPr>
          <w:cantSplit/>
          <w:trHeight w:val="20"/>
          <w:jc w:val="center"/>
        </w:trPr>
        <w:tc>
          <w:tcPr>
            <w:tcW w:w="3299"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701" w:type="pct"/>
            <w:gridSpan w:val="2"/>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3C399E">
        <w:trPr>
          <w:cantSplit/>
          <w:trHeight w:val="20"/>
          <w:jc w:val="center"/>
        </w:trPr>
        <w:tc>
          <w:tcPr>
            <w:tcW w:w="3299" w:type="pct"/>
            <w:tcBorders>
              <w:bottom w:val="single" w:sz="12" w:space="0" w:color="auto"/>
            </w:tcBorders>
          </w:tcPr>
          <w:p w:rsidR="001952E0" w:rsidRPr="001952E0" w:rsidRDefault="001952E0" w:rsidP="003C399E">
            <w:pPr>
              <w:spacing w:before="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701" w:type="pct"/>
            <w:gridSpan w:val="2"/>
            <w:tcBorders>
              <w:bottom w:val="single" w:sz="12" w:space="0" w:color="auto"/>
            </w:tcBorders>
          </w:tcPr>
          <w:p w:rsidR="001952E0" w:rsidRPr="001952E0" w:rsidRDefault="001952E0" w:rsidP="001D17A2">
            <w:pPr>
              <w:rPr>
                <w:lang w:bidi="ar-SY"/>
              </w:rPr>
            </w:pPr>
          </w:p>
        </w:tc>
      </w:tr>
      <w:tr w:rsidR="001952E0" w:rsidRPr="001952E0" w:rsidTr="003C399E">
        <w:trPr>
          <w:cantSplit/>
          <w:trHeight w:val="20"/>
          <w:jc w:val="center"/>
        </w:trPr>
        <w:tc>
          <w:tcPr>
            <w:tcW w:w="3307" w:type="pct"/>
            <w:gridSpan w:val="2"/>
            <w:tcBorders>
              <w:top w:val="single" w:sz="12" w:space="0" w:color="auto"/>
            </w:tcBorders>
          </w:tcPr>
          <w:p w:rsidR="001952E0" w:rsidRPr="00F9134D" w:rsidRDefault="001952E0" w:rsidP="003C399E">
            <w:pPr>
              <w:spacing w:before="0" w:line="300" w:lineRule="exact"/>
              <w:rPr>
                <w:rFonts w:ascii="Verdana Bold" w:hAnsi="Verdana Bold" w:hint="eastAsia"/>
                <w:b/>
                <w:bCs/>
                <w:sz w:val="19"/>
                <w:rtl/>
                <w:lang w:bidi="ar-EG"/>
              </w:rPr>
            </w:pPr>
          </w:p>
        </w:tc>
        <w:tc>
          <w:tcPr>
            <w:tcW w:w="1693" w:type="pct"/>
            <w:tcBorders>
              <w:top w:val="single" w:sz="12" w:space="0" w:color="auto"/>
            </w:tcBorders>
          </w:tcPr>
          <w:p w:rsidR="001952E0" w:rsidRPr="00F9134D" w:rsidRDefault="001952E0" w:rsidP="003C399E">
            <w:pPr>
              <w:spacing w:before="0" w:line="300" w:lineRule="exact"/>
              <w:rPr>
                <w:rFonts w:ascii="Verdana Bold" w:hAnsi="Verdana Bold" w:hint="eastAsia"/>
                <w:b/>
                <w:bCs/>
                <w:sz w:val="19"/>
                <w:lang w:bidi="ar-SY"/>
              </w:rPr>
            </w:pPr>
          </w:p>
        </w:tc>
      </w:tr>
      <w:tr w:rsidR="001952E0" w:rsidRPr="001952E0" w:rsidTr="003C399E">
        <w:trPr>
          <w:cantSplit/>
          <w:jc w:val="center"/>
        </w:trPr>
        <w:tc>
          <w:tcPr>
            <w:tcW w:w="3307" w:type="pct"/>
            <w:gridSpan w:val="2"/>
          </w:tcPr>
          <w:p w:rsidR="001952E0" w:rsidRPr="001D17A2" w:rsidRDefault="001952E0" w:rsidP="003C399E">
            <w:pPr>
              <w:pStyle w:val="Firstpageheader"/>
              <w:framePr w:hSpace="0" w:wrap="auto" w:vAnchor="margin" w:xAlign="left" w:yAlign="inline"/>
              <w:spacing w:before="0" w:after="0"/>
              <w:rPr>
                <w:rFonts w:asciiTheme="minorHAnsi" w:hAnsiTheme="minorHAnsi"/>
                <w:lang w:bidi="ar-SY"/>
              </w:rPr>
            </w:pPr>
            <w:r w:rsidRPr="00F9134D">
              <w:rPr>
                <w:rtl/>
              </w:rPr>
              <w:t>الجلسة العامة</w:t>
            </w:r>
          </w:p>
        </w:tc>
        <w:tc>
          <w:tcPr>
            <w:tcW w:w="1693" w:type="pct"/>
            <w:vAlign w:val="center"/>
          </w:tcPr>
          <w:p w:rsidR="001952E0" w:rsidRPr="00DE74D5" w:rsidRDefault="001952E0" w:rsidP="003C399E">
            <w:pPr>
              <w:pStyle w:val="Firstpageheader"/>
              <w:framePr w:hSpace="0" w:wrap="auto" w:vAnchor="margin" w:xAlign="left" w:yAlign="inline"/>
              <w:spacing w:before="0" w:after="0"/>
              <w:rPr>
                <w:rFonts w:hint="eastAsia"/>
                <w:rtl/>
              </w:rPr>
            </w:pPr>
            <w:r w:rsidRPr="00DE74D5">
              <w:rPr>
                <w:rtl/>
              </w:rPr>
              <w:t>ا</w:t>
            </w:r>
            <w:r w:rsidRPr="00DE74D5">
              <w:rPr>
                <w:rFonts w:hint="cs"/>
                <w:rtl/>
              </w:rPr>
              <w:t>ل</w:t>
            </w:r>
            <w:r w:rsidRPr="00DE74D5">
              <w:rPr>
                <w:rtl/>
              </w:rPr>
              <w:t>و</w:t>
            </w:r>
            <w:r w:rsidRPr="00DE74D5">
              <w:rPr>
                <w:rFonts w:hint="cs"/>
                <w:rtl/>
              </w:rPr>
              <w:t xml:space="preserve">ثيقة </w:t>
            </w:r>
            <w:r w:rsidR="007E24ED" w:rsidRPr="00DE74D5">
              <w:t>RA15/</w:t>
            </w:r>
            <w:r w:rsidR="00DE74D5" w:rsidRPr="00DE74D5">
              <w:t>PLEN</w:t>
            </w:r>
            <w:r w:rsidR="007E24ED" w:rsidRPr="00DE74D5">
              <w:t>/</w:t>
            </w:r>
            <w:r w:rsidR="00DE74D5" w:rsidRPr="00DE74D5">
              <w:t>29</w:t>
            </w:r>
            <w:r w:rsidRPr="00DE74D5">
              <w:t>-A</w:t>
            </w:r>
          </w:p>
        </w:tc>
      </w:tr>
      <w:tr w:rsidR="001952E0" w:rsidRPr="001952E0" w:rsidTr="003C399E">
        <w:trPr>
          <w:cantSplit/>
          <w:jc w:val="center"/>
        </w:trPr>
        <w:tc>
          <w:tcPr>
            <w:tcW w:w="3307" w:type="pct"/>
            <w:gridSpan w:val="2"/>
          </w:tcPr>
          <w:p w:rsidR="001952E0" w:rsidRPr="00F9134D" w:rsidRDefault="001952E0" w:rsidP="003C399E">
            <w:pPr>
              <w:pStyle w:val="Firstpageheader"/>
              <w:framePr w:hSpace="0" w:wrap="auto" w:vAnchor="margin" w:xAlign="left" w:yAlign="inline"/>
              <w:spacing w:before="0" w:after="0"/>
              <w:rPr>
                <w:rFonts w:hint="eastAsia"/>
                <w:rtl/>
              </w:rPr>
            </w:pPr>
          </w:p>
        </w:tc>
        <w:tc>
          <w:tcPr>
            <w:tcW w:w="1693" w:type="pct"/>
            <w:vAlign w:val="center"/>
          </w:tcPr>
          <w:p w:rsidR="001952E0" w:rsidRPr="00DE74D5" w:rsidRDefault="00DE74D5" w:rsidP="003C399E">
            <w:pPr>
              <w:pStyle w:val="Firstpageheader"/>
              <w:framePr w:hSpace="0" w:wrap="auto" w:vAnchor="margin" w:xAlign="left" w:yAlign="inline"/>
              <w:spacing w:before="0" w:after="0"/>
              <w:rPr>
                <w:rFonts w:hint="eastAsia"/>
                <w:rtl/>
              </w:rPr>
            </w:pPr>
            <w:r w:rsidRPr="00DE74D5">
              <w:t>12</w:t>
            </w:r>
            <w:r w:rsidR="001952E0" w:rsidRPr="00DE74D5">
              <w:rPr>
                <w:rFonts w:hint="cs"/>
                <w:rtl/>
              </w:rPr>
              <w:t xml:space="preserve"> </w:t>
            </w:r>
            <w:r w:rsidRPr="00DE74D5">
              <w:rPr>
                <w:rFonts w:hint="cs"/>
                <w:rtl/>
              </w:rPr>
              <w:t>أكتوبر</w:t>
            </w:r>
            <w:r w:rsidR="001952E0" w:rsidRPr="00DE74D5">
              <w:rPr>
                <w:rFonts w:hint="cs"/>
                <w:rtl/>
              </w:rPr>
              <w:t xml:space="preserve"> </w:t>
            </w:r>
            <w:r w:rsidR="001952E0" w:rsidRPr="00DE74D5">
              <w:t>2015</w:t>
            </w:r>
          </w:p>
        </w:tc>
      </w:tr>
      <w:tr w:rsidR="001952E0" w:rsidRPr="001952E0" w:rsidTr="003C399E">
        <w:trPr>
          <w:cantSplit/>
          <w:jc w:val="center"/>
        </w:trPr>
        <w:tc>
          <w:tcPr>
            <w:tcW w:w="3307" w:type="pct"/>
            <w:gridSpan w:val="2"/>
          </w:tcPr>
          <w:p w:rsidR="001952E0" w:rsidRPr="00F9134D" w:rsidRDefault="001952E0" w:rsidP="003C399E">
            <w:pPr>
              <w:pStyle w:val="Firstpageheader"/>
              <w:framePr w:hSpace="0" w:wrap="auto" w:vAnchor="margin" w:xAlign="left" w:yAlign="inline"/>
              <w:spacing w:before="0" w:after="0"/>
              <w:rPr>
                <w:rFonts w:hint="eastAsia"/>
                <w:rtl/>
              </w:rPr>
            </w:pPr>
          </w:p>
        </w:tc>
        <w:tc>
          <w:tcPr>
            <w:tcW w:w="1693" w:type="pct"/>
            <w:vAlign w:val="center"/>
          </w:tcPr>
          <w:p w:rsidR="001952E0" w:rsidRPr="00DE74D5" w:rsidRDefault="001952E0" w:rsidP="003C399E">
            <w:pPr>
              <w:pStyle w:val="Firstpageheader"/>
              <w:framePr w:hSpace="0" w:wrap="auto" w:vAnchor="margin" w:xAlign="left" w:yAlign="inline"/>
              <w:spacing w:before="0" w:after="0"/>
              <w:rPr>
                <w:rFonts w:hint="eastAsia"/>
              </w:rPr>
            </w:pPr>
            <w:r w:rsidRPr="00DE74D5">
              <w:rPr>
                <w:rFonts w:hint="cs"/>
                <w:rtl/>
              </w:rPr>
              <w:t xml:space="preserve">الأصل: </w:t>
            </w:r>
            <w:r w:rsidR="00DE74D5" w:rsidRPr="00DE74D5">
              <w:rPr>
                <w:rFonts w:hint="cs"/>
                <w:rtl/>
              </w:rPr>
              <w:t>بالإنكليزية</w:t>
            </w:r>
          </w:p>
        </w:tc>
      </w:tr>
      <w:tr w:rsidR="001952E0" w:rsidRPr="001952E0" w:rsidTr="001D17A2">
        <w:trPr>
          <w:cantSplit/>
          <w:jc w:val="center"/>
        </w:trPr>
        <w:tc>
          <w:tcPr>
            <w:tcW w:w="5000" w:type="pct"/>
            <w:gridSpan w:val="3"/>
          </w:tcPr>
          <w:p w:rsidR="001952E0" w:rsidRPr="001952E0" w:rsidRDefault="00DE74D5" w:rsidP="003C399E">
            <w:pPr>
              <w:pStyle w:val="Source"/>
              <w:spacing w:after="0"/>
              <w:rPr>
                <w:rtl/>
                <w:lang w:bidi="ar-SY"/>
              </w:rPr>
            </w:pPr>
            <w:r w:rsidRPr="00DE74D5">
              <w:rPr>
                <w:rFonts w:hint="cs"/>
                <w:rtl/>
                <w:lang w:bidi="ar-SY"/>
              </w:rPr>
              <w:t>كندا</w:t>
            </w:r>
          </w:p>
        </w:tc>
      </w:tr>
      <w:tr w:rsidR="001952E0" w:rsidRPr="001952E0" w:rsidTr="001D17A2">
        <w:trPr>
          <w:cantSplit/>
          <w:jc w:val="center"/>
        </w:trPr>
        <w:tc>
          <w:tcPr>
            <w:tcW w:w="5000" w:type="pct"/>
            <w:gridSpan w:val="3"/>
          </w:tcPr>
          <w:p w:rsidR="001952E0" w:rsidRPr="001952E0" w:rsidRDefault="00DE74D5" w:rsidP="0095658C">
            <w:pPr>
              <w:pStyle w:val="Title1"/>
              <w:rPr>
                <w:rtl/>
                <w:lang w:bidi="ar-EG"/>
              </w:rPr>
            </w:pPr>
            <w:r w:rsidRPr="00DE74D5">
              <w:rPr>
                <w:rFonts w:hint="cs"/>
                <w:rtl/>
                <w:lang w:bidi="ar-SY"/>
              </w:rPr>
              <w:t>ت</w:t>
            </w:r>
            <w:r w:rsidR="0095658C">
              <w:rPr>
                <w:rFonts w:hint="cs"/>
                <w:rtl/>
                <w:lang w:bidi="ar-SY"/>
              </w:rPr>
              <w:t>‍</w:t>
            </w:r>
            <w:r w:rsidRPr="00DE74D5">
              <w:rPr>
                <w:rFonts w:hint="cs"/>
                <w:rtl/>
                <w:lang w:bidi="ar-SY"/>
              </w:rPr>
              <w:t xml:space="preserve">حديث </w:t>
            </w:r>
            <w:r w:rsidRPr="00DE74D5">
              <w:rPr>
                <w:rtl/>
                <w:lang w:bidi="ar-SY"/>
              </w:rPr>
              <w:t xml:space="preserve">القـرار </w:t>
            </w:r>
            <w:r w:rsidRPr="00DE74D5">
              <w:rPr>
                <w:lang w:bidi="ar-SY"/>
              </w:rPr>
              <w:t>ITU-R 1-6</w:t>
            </w:r>
            <w:r w:rsidR="003C399E">
              <w:rPr>
                <w:rtl/>
                <w:lang w:bidi="ar-EG"/>
              </w:rPr>
              <w:br/>
            </w:r>
            <w:r w:rsidRPr="00DE74D5">
              <w:rPr>
                <w:rFonts w:hint="cs"/>
                <w:rtl/>
                <w:lang w:bidi="ar-EG"/>
              </w:rPr>
              <w:t>"</w:t>
            </w:r>
            <w:r w:rsidRPr="00DE74D5">
              <w:rPr>
                <w:rtl/>
                <w:lang w:bidi="ar-EG"/>
              </w:rPr>
              <w:t>طرائق عمل ج</w:t>
            </w:r>
            <w:r w:rsidR="0095658C">
              <w:rPr>
                <w:rFonts w:hint="cs"/>
                <w:rtl/>
                <w:lang w:bidi="ar-EG"/>
              </w:rPr>
              <w:t>‍</w:t>
            </w:r>
            <w:r w:rsidRPr="00DE74D5">
              <w:rPr>
                <w:rtl/>
                <w:lang w:bidi="ar-EG"/>
              </w:rPr>
              <w:t>معية الاتصالات الراديوية ول</w:t>
            </w:r>
            <w:r w:rsidR="0095658C">
              <w:rPr>
                <w:rFonts w:hint="cs"/>
                <w:rtl/>
                <w:lang w:bidi="ar-EG"/>
              </w:rPr>
              <w:t>‍</w:t>
            </w:r>
            <w:r w:rsidRPr="00DE74D5">
              <w:rPr>
                <w:rtl/>
                <w:lang w:bidi="ar-EG"/>
              </w:rPr>
              <w:t>جان دراسات الاتصالات الراديوية والفريق</w:t>
            </w:r>
            <w:r w:rsidR="0095658C">
              <w:rPr>
                <w:rFonts w:hint="cs"/>
                <w:rtl/>
                <w:lang w:bidi="ar-EG"/>
              </w:rPr>
              <w:t> </w:t>
            </w:r>
            <w:r w:rsidRPr="00DE74D5">
              <w:rPr>
                <w:rtl/>
                <w:lang w:bidi="ar-EG"/>
              </w:rPr>
              <w:t>الاستشاري للاتصالات الراديوية</w:t>
            </w:r>
            <w:r w:rsidRPr="00DE74D5">
              <w:rPr>
                <w:rFonts w:hint="cs"/>
                <w:rtl/>
                <w:lang w:bidi="ar-EG"/>
              </w:rPr>
              <w:t>"</w:t>
            </w:r>
          </w:p>
        </w:tc>
      </w:tr>
    </w:tbl>
    <w:p w:rsidR="00DE74D5" w:rsidRPr="00DE74D5" w:rsidRDefault="00DE74D5" w:rsidP="00CB1782">
      <w:pPr>
        <w:pStyle w:val="Heading1"/>
        <w:rPr>
          <w:rtl/>
          <w:lang w:bidi="ar-EG"/>
        </w:rPr>
      </w:pPr>
      <w:r w:rsidRPr="00DE74D5">
        <w:rPr>
          <w:lang w:bidi="ar-EG"/>
        </w:rPr>
        <w:t>1</w:t>
      </w:r>
      <w:r w:rsidRPr="00DE74D5">
        <w:rPr>
          <w:rtl/>
          <w:lang w:bidi="ar-EG"/>
        </w:rPr>
        <w:tab/>
        <w:t>مقدمة</w:t>
      </w:r>
    </w:p>
    <w:p w:rsidR="00DE74D5" w:rsidRPr="003C399E" w:rsidRDefault="00DE74D5" w:rsidP="00EC6C3A">
      <w:pPr>
        <w:rPr>
          <w:rtl/>
        </w:rPr>
      </w:pPr>
      <w:r w:rsidRPr="003C399E">
        <w:rPr>
          <w:rFonts w:hint="cs"/>
          <w:rtl/>
        </w:rPr>
        <w:t xml:space="preserve">استعرضت كندا </w:t>
      </w:r>
      <w:r w:rsidR="0057229D" w:rsidRPr="003C399E">
        <w:rPr>
          <w:rFonts w:hint="cs"/>
          <w:rtl/>
        </w:rPr>
        <w:t>النتائج التي توصل إليها</w:t>
      </w:r>
      <w:r w:rsidRPr="003C399E">
        <w:rPr>
          <w:rFonts w:hint="cs"/>
          <w:rtl/>
        </w:rPr>
        <w:t xml:space="preserve"> فريق العمل بالمراسلة التابع للفريق الاستشاري للاتصالات الراديوية</w:t>
      </w:r>
      <w:r w:rsidR="00096C0A" w:rsidRPr="003C399E">
        <w:rPr>
          <w:rFonts w:hint="cs"/>
          <w:rtl/>
        </w:rPr>
        <w:t xml:space="preserve"> بشأن </w:t>
      </w:r>
      <w:hyperlink r:id="rId9" w:history="1">
        <w:r w:rsidR="00096C0A" w:rsidRPr="00096C0A">
          <w:rPr>
            <w:rStyle w:val="Hyperlink"/>
            <w:rFonts w:hint="cs"/>
            <w:rtl/>
          </w:rPr>
          <w:t>مراجعة</w:t>
        </w:r>
        <w:r w:rsidR="00EC6C3A">
          <w:rPr>
            <w:rStyle w:val="Hyperlink"/>
            <w:rFonts w:hint="eastAsia"/>
            <w:rtl/>
          </w:rPr>
          <w:t> </w:t>
        </w:r>
        <w:r w:rsidR="00096C0A" w:rsidRPr="00096C0A">
          <w:rPr>
            <w:rStyle w:val="Hyperlink"/>
            <w:rtl/>
          </w:rPr>
          <w:t>القـرار</w:t>
        </w:r>
        <w:r w:rsidR="00EC6C3A">
          <w:rPr>
            <w:rStyle w:val="Hyperlink"/>
            <w:rFonts w:hint="cs"/>
            <w:rtl/>
          </w:rPr>
          <w:t> </w:t>
        </w:r>
        <w:r w:rsidR="00096C0A" w:rsidRPr="00096C0A">
          <w:rPr>
            <w:rStyle w:val="Hyperlink"/>
          </w:rPr>
          <w:t>ITU-R 1-6</w:t>
        </w:r>
      </w:hyperlink>
      <w:r w:rsidRPr="003C399E">
        <w:rPr>
          <w:rFonts w:hint="cs"/>
          <w:rtl/>
        </w:rPr>
        <w:t xml:space="preserve">، وهي تؤيد عموماً الهيكل الجديد للقرار على النحو الوارد في التذييل </w:t>
      </w:r>
      <w:r w:rsidR="00CB1782" w:rsidRPr="003C399E">
        <w:t>3</w:t>
      </w:r>
      <w:r w:rsidRPr="003C399E">
        <w:rPr>
          <w:rFonts w:hint="cs"/>
          <w:rtl/>
        </w:rPr>
        <w:t xml:space="preserve"> </w:t>
      </w:r>
      <w:hyperlink r:id="rId10" w:history="1">
        <w:r w:rsidRPr="003C399E">
          <w:rPr>
            <w:rFonts w:hint="cs"/>
            <w:rtl/>
          </w:rPr>
          <w:t xml:space="preserve">للوثيقة </w:t>
        </w:r>
        <w:r w:rsidR="00096C0A" w:rsidRPr="00096C0A">
          <w:rPr>
            <w:rStyle w:val="Hyperlink"/>
          </w:rPr>
          <w:t>RA15/PLEN/7</w:t>
        </w:r>
      </w:hyperlink>
      <w:r w:rsidR="00F53408" w:rsidRPr="003C399E">
        <w:rPr>
          <w:rFonts w:hint="cs"/>
          <w:rtl/>
        </w:rPr>
        <w:t>.</w:t>
      </w:r>
    </w:p>
    <w:p w:rsidR="00DE74D5" w:rsidRPr="00DE74D5" w:rsidRDefault="00DE74D5" w:rsidP="00CB1782">
      <w:pPr>
        <w:rPr>
          <w:rtl/>
          <w:lang w:bidi="ar-EG"/>
        </w:rPr>
      </w:pPr>
      <w:r w:rsidRPr="00DE74D5">
        <w:rPr>
          <w:rFonts w:hint="cs"/>
          <w:rtl/>
          <w:lang w:bidi="ar-EG"/>
        </w:rPr>
        <w:t>وعلاوة</w:t>
      </w:r>
      <w:r w:rsidR="00EC6C3A">
        <w:rPr>
          <w:rFonts w:hint="cs"/>
          <w:rtl/>
          <w:lang w:bidi="ar-EG"/>
        </w:rPr>
        <w:t>ً</w:t>
      </w:r>
      <w:r w:rsidRPr="00DE74D5">
        <w:rPr>
          <w:rFonts w:hint="cs"/>
          <w:rtl/>
          <w:lang w:bidi="ar-EG"/>
        </w:rPr>
        <w:t xml:space="preserve"> على ذلك، تقدم كندا بعض الاقتراحات الرامية إلى إدخال تحسينات كما نوقش في الفقرة </w:t>
      </w:r>
      <w:r w:rsidR="00CB1782">
        <w:rPr>
          <w:lang w:bidi="ar-EG"/>
        </w:rPr>
        <w:t>2</w:t>
      </w:r>
      <w:r w:rsidR="00CB1782">
        <w:rPr>
          <w:rFonts w:hint="cs"/>
          <w:rtl/>
          <w:lang w:bidi="ar-EG"/>
        </w:rPr>
        <w:t>.</w:t>
      </w:r>
    </w:p>
    <w:p w:rsidR="00DE74D5" w:rsidRPr="00DE74D5" w:rsidRDefault="00DE74D5" w:rsidP="00CB1782">
      <w:pPr>
        <w:pStyle w:val="Heading1"/>
        <w:rPr>
          <w:rtl/>
        </w:rPr>
      </w:pPr>
      <w:r w:rsidRPr="00DE74D5">
        <w:rPr>
          <w:lang w:bidi="ar-EG"/>
        </w:rPr>
        <w:t>2</w:t>
      </w:r>
      <w:r w:rsidRPr="00DE74D5">
        <w:rPr>
          <w:rtl/>
          <w:lang w:bidi="ar-SY"/>
        </w:rPr>
        <w:tab/>
      </w:r>
      <w:r w:rsidRPr="00DE74D5">
        <w:rPr>
          <w:rFonts w:hint="cs"/>
          <w:rtl/>
        </w:rPr>
        <w:t>المناقشة</w:t>
      </w:r>
    </w:p>
    <w:p w:rsidR="00DE74D5" w:rsidRPr="00DE74D5" w:rsidRDefault="00DE74D5" w:rsidP="00CB1782">
      <w:pPr>
        <w:rPr>
          <w:rtl/>
          <w:lang w:bidi="ar-EG"/>
        </w:rPr>
      </w:pPr>
      <w:r w:rsidRPr="00DE74D5">
        <w:rPr>
          <w:rFonts w:hint="cs"/>
          <w:i/>
          <w:iCs/>
          <w:rtl/>
        </w:rPr>
        <w:t>اعتماد التوصيات والموافقة عليها</w:t>
      </w:r>
      <w:r w:rsidRPr="00DE74D5">
        <w:rPr>
          <w:rFonts w:hint="cs"/>
          <w:rtl/>
        </w:rPr>
        <w:t xml:space="preserve">-يتضمن النص الوارد في الفقرة </w:t>
      </w:r>
      <w:r w:rsidR="00CB1782">
        <w:t>1.1.2.14</w:t>
      </w:r>
      <w:r w:rsidRPr="00DE74D5">
        <w:rPr>
          <w:rFonts w:hint="cs"/>
          <w:rtl/>
        </w:rPr>
        <w:t xml:space="preserve"> جملة جديدة هي "</w:t>
      </w:r>
      <w:r w:rsidRPr="00DE74D5">
        <w:rPr>
          <w:rtl/>
        </w:rPr>
        <w:t>على النحو الذي اتفق عليه الفريق التابع المناسب</w:t>
      </w:r>
      <w:r w:rsidRPr="00DE74D5">
        <w:rPr>
          <w:rFonts w:hint="cs"/>
          <w:rtl/>
        </w:rPr>
        <w:t>"</w:t>
      </w:r>
      <w:r w:rsidRPr="00DE74D5">
        <w:rPr>
          <w:rtl/>
        </w:rPr>
        <w:t>،</w:t>
      </w:r>
      <w:r w:rsidRPr="00DE74D5">
        <w:rPr>
          <w:rFonts w:hint="cs"/>
          <w:rtl/>
        </w:rPr>
        <w:t xml:space="preserve"> ولا توجد هذه الجملة في الفقرة المقابلة لها في </w:t>
      </w:r>
      <w:hyperlink r:id="rId11" w:history="1">
        <w:r w:rsidRPr="0063207F">
          <w:rPr>
            <w:rStyle w:val="Hyperlink"/>
            <w:rFonts w:hint="cs"/>
            <w:rtl/>
          </w:rPr>
          <w:t xml:space="preserve">القرار </w:t>
        </w:r>
        <w:r w:rsidRPr="0063207F">
          <w:rPr>
            <w:rStyle w:val="Hyperlink"/>
            <w:lang w:bidi="ar-EG"/>
          </w:rPr>
          <w:t>ITU-R 1-6</w:t>
        </w:r>
      </w:hyperlink>
      <w:r w:rsidRPr="00DE74D5">
        <w:rPr>
          <w:rFonts w:hint="cs"/>
          <w:rtl/>
          <w:lang w:bidi="ar-EG"/>
        </w:rPr>
        <w:t xml:space="preserve"> المطبق حالياً (الفقرة </w:t>
      </w:r>
      <w:r w:rsidR="00CB1782">
        <w:rPr>
          <w:lang w:bidi="ar-EG"/>
        </w:rPr>
        <w:t>1.1.10</w:t>
      </w:r>
      <w:r w:rsidRPr="00DE74D5">
        <w:rPr>
          <w:rFonts w:hint="cs"/>
          <w:rtl/>
          <w:lang w:bidi="ar-EG"/>
        </w:rPr>
        <w:t xml:space="preserve">). ورغم أنه ينبغي في معظم الحالات أن يقدم فريق تابع مشاريع التوصيات، فإن ذلك لا يطبق دائماً وينبغي ألاّ تستثنى هذه الحالات لأسباب إجرائية. وينبغي أن تكون الدول الأعضاء قادرة على اتخاذ قرار بشأن إمكانية أو عدم إمكانية اعتماد مشروع توصية بصرف النظر عن المصدر </w:t>
      </w:r>
      <w:r w:rsidR="00CB1782">
        <w:rPr>
          <w:rFonts w:hint="cs"/>
          <w:rtl/>
          <w:lang w:bidi="ar-EG"/>
        </w:rPr>
        <w:t>استناداً إلى طبيعة التوصية.</w:t>
      </w:r>
    </w:p>
    <w:p w:rsidR="00DE74D5" w:rsidRPr="00DE74D5" w:rsidRDefault="00DE74D5" w:rsidP="0063207F">
      <w:pPr>
        <w:rPr>
          <w:rtl/>
          <w:lang w:bidi="ar-EG"/>
        </w:rPr>
      </w:pPr>
      <w:r w:rsidRPr="00DE74D5">
        <w:rPr>
          <w:i/>
          <w:iCs/>
          <w:rtl/>
        </w:rPr>
        <w:t xml:space="preserve">نسق توصيات قطاع الاتصالات </w:t>
      </w:r>
      <w:r w:rsidRPr="00DE74D5">
        <w:rPr>
          <w:rFonts w:hint="cs"/>
          <w:i/>
          <w:iCs/>
          <w:rtl/>
        </w:rPr>
        <w:t>الراديوية</w:t>
      </w:r>
      <w:r w:rsidRPr="00DE74D5">
        <w:rPr>
          <w:rFonts w:hint="cs"/>
          <w:rtl/>
        </w:rPr>
        <w:t xml:space="preserve">-تتضمن الفقرة </w:t>
      </w:r>
      <w:r w:rsidR="00CB1782">
        <w:t>1.2.8</w:t>
      </w:r>
      <w:r w:rsidRPr="00DE74D5">
        <w:rPr>
          <w:rFonts w:hint="cs"/>
          <w:rtl/>
        </w:rPr>
        <w:t xml:space="preserve"> هذه الجملة "</w:t>
      </w:r>
      <w:r w:rsidRPr="00DE74D5">
        <w:rPr>
          <w:rtl/>
        </w:rPr>
        <w:t xml:space="preserve"> تتضمن هذه المبادئ التوجيهية بشكل خاص النسق العام لتوصيات قطاع الاتصالات الراديوية الذي أعده الفريق الاستشاري للاتصالات الراديوية</w:t>
      </w:r>
      <w:r w:rsidRPr="00DE74D5">
        <w:rPr>
          <w:rFonts w:hint="cs"/>
          <w:rtl/>
        </w:rPr>
        <w:t>"</w:t>
      </w:r>
      <w:r w:rsidRPr="00DE74D5">
        <w:rPr>
          <w:rtl/>
        </w:rPr>
        <w:t>.</w:t>
      </w:r>
      <w:r w:rsidRPr="00DE74D5">
        <w:rPr>
          <w:rFonts w:hint="cs"/>
          <w:rtl/>
        </w:rPr>
        <w:t xml:space="preserve"> ولا بأس في ذلك، ولكن ينبغي بالإضافة إلى ذلك الإشارة إلى قرار للجمعية يقدم التوجيه بشأن نسق توصيات قطاع الاتصالات الراديوية ويوضح ما إذا كان النسق إلزامياً أم خيارياً، وما إذا كان ينبغي تحويل التوصيات القائمة إلى النسق الجديد عند تحديثها (</w:t>
      </w:r>
      <w:r w:rsidR="0057229D">
        <w:rPr>
          <w:rFonts w:hint="cs"/>
          <w:rtl/>
        </w:rPr>
        <w:t>يرجى الاطلاع على</w:t>
      </w:r>
      <w:r w:rsidRPr="00DE74D5">
        <w:rPr>
          <w:rFonts w:hint="cs"/>
          <w:rtl/>
        </w:rPr>
        <w:t xml:space="preserve"> مساهمة كندا في الوثيقة </w:t>
      </w:r>
      <w:hyperlink r:id="rId12" w:history="1">
        <w:r w:rsidRPr="0063207F">
          <w:rPr>
            <w:rStyle w:val="Hyperlink"/>
            <w:lang w:bidi="ar-EG"/>
          </w:rPr>
          <w:t>RA15/PLEN/18</w:t>
        </w:r>
      </w:hyperlink>
      <w:r w:rsidRPr="00DE74D5">
        <w:rPr>
          <w:rFonts w:hint="cs"/>
          <w:rtl/>
        </w:rPr>
        <w:t>).</w:t>
      </w:r>
    </w:p>
    <w:p w:rsidR="00DE74D5" w:rsidRPr="00DE74D5" w:rsidRDefault="00DE74D5" w:rsidP="00285C6A">
      <w:pPr>
        <w:pStyle w:val="Heading1"/>
        <w:rPr>
          <w:rtl/>
          <w:lang w:bidi="ar-EG"/>
        </w:rPr>
      </w:pPr>
      <w:r w:rsidRPr="00DE74D5">
        <w:rPr>
          <w:lang w:bidi="ar-EG"/>
        </w:rPr>
        <w:lastRenderedPageBreak/>
        <w:t>3</w:t>
      </w:r>
      <w:r w:rsidRPr="00DE74D5">
        <w:rPr>
          <w:rtl/>
          <w:lang w:bidi="ar-SY"/>
        </w:rPr>
        <w:tab/>
      </w:r>
      <w:r w:rsidRPr="00DE74D5">
        <w:rPr>
          <w:rFonts w:hint="cs"/>
          <w:rtl/>
          <w:lang w:bidi="ar-SY"/>
        </w:rPr>
        <w:t>المقترح</w:t>
      </w:r>
    </w:p>
    <w:p w:rsidR="00DE74D5" w:rsidRPr="00DE74D5" w:rsidRDefault="00DE74D5" w:rsidP="00285C6A">
      <w:pPr>
        <w:keepNext/>
        <w:keepLines/>
        <w:rPr>
          <w:rtl/>
          <w:lang w:bidi="ar-EG"/>
        </w:rPr>
      </w:pPr>
      <w:r w:rsidRPr="00DE74D5">
        <w:rPr>
          <w:rFonts w:hint="cs"/>
          <w:rtl/>
        </w:rPr>
        <w:t>تقترح كندا ما يلي</w:t>
      </w:r>
      <w:r w:rsidR="00AD5003">
        <w:rPr>
          <w:rFonts w:hint="cs"/>
          <w:rtl/>
        </w:rPr>
        <w:t>:</w:t>
      </w:r>
    </w:p>
    <w:p w:rsidR="00DE74D5" w:rsidRPr="00DE74D5" w:rsidRDefault="00AD5003" w:rsidP="00285C6A">
      <w:pPr>
        <w:pStyle w:val="enumlev1"/>
        <w:keepNext/>
        <w:keepLines/>
        <w:rPr>
          <w:rtl/>
        </w:rPr>
      </w:pPr>
      <w:r>
        <w:t>1</w:t>
      </w:r>
      <w:r w:rsidR="00DE74D5" w:rsidRPr="00DE74D5">
        <w:rPr>
          <w:rFonts w:hint="cs"/>
          <w:rtl/>
        </w:rPr>
        <w:t>)</w:t>
      </w:r>
      <w:r w:rsidR="00DE74D5" w:rsidRPr="00DE74D5">
        <w:rPr>
          <w:rFonts w:hint="cs"/>
          <w:rtl/>
        </w:rPr>
        <w:tab/>
        <w:t>حذف الجملة "</w:t>
      </w:r>
      <w:r w:rsidR="00DE74D5" w:rsidRPr="00DE74D5">
        <w:rPr>
          <w:rtl/>
        </w:rPr>
        <w:t>على النحو الذي اتفق عليه الفريق التابع المناسب</w:t>
      </w:r>
      <w:r w:rsidR="00DE74D5" w:rsidRPr="00DE74D5">
        <w:rPr>
          <w:rFonts w:hint="cs"/>
          <w:rtl/>
        </w:rPr>
        <w:t xml:space="preserve">" من الفقرة </w:t>
      </w:r>
      <w:r>
        <w:t>1.1.2.14</w:t>
      </w:r>
      <w:r>
        <w:rPr>
          <w:rFonts w:hint="cs"/>
          <w:rtl/>
        </w:rPr>
        <w:t>.</w:t>
      </w:r>
    </w:p>
    <w:p w:rsidR="00DE74D5" w:rsidRDefault="00AD5003" w:rsidP="00285C6A">
      <w:pPr>
        <w:pStyle w:val="enumlev1"/>
        <w:rPr>
          <w:rtl/>
        </w:rPr>
      </w:pPr>
      <w:r>
        <w:t>2</w:t>
      </w:r>
      <w:r w:rsidR="00DE74D5" w:rsidRPr="00DE74D5">
        <w:rPr>
          <w:rFonts w:hint="cs"/>
          <w:rtl/>
        </w:rPr>
        <w:t>)</w:t>
      </w:r>
      <w:r w:rsidR="00DE74D5" w:rsidRPr="00DE74D5">
        <w:rPr>
          <w:rFonts w:hint="cs"/>
          <w:rtl/>
        </w:rPr>
        <w:tab/>
        <w:t xml:space="preserve">إضافة إشارة في الفقرة </w:t>
      </w:r>
      <w:r>
        <w:t>1.2.8</w:t>
      </w:r>
      <w:r w:rsidR="00DE74D5" w:rsidRPr="00DE74D5">
        <w:rPr>
          <w:rFonts w:hint="cs"/>
          <w:rtl/>
        </w:rPr>
        <w:t xml:space="preserve"> إلى قرار للجمعية بشأن نسق توصيات فطاع الاتصالات الراديوية (انظر الوثيقة</w:t>
      </w:r>
      <w:r w:rsidR="00285C6A">
        <w:rPr>
          <w:rFonts w:hint="eastAsia"/>
          <w:rtl/>
        </w:rPr>
        <w:t> </w:t>
      </w:r>
      <w:r w:rsidR="00DE74D5" w:rsidRPr="00DE74D5">
        <w:rPr>
          <w:lang w:bidi="ar-EG"/>
        </w:rPr>
        <w:t>RA15/PLEN/18</w:t>
      </w:r>
      <w:r>
        <w:rPr>
          <w:rFonts w:hint="cs"/>
          <w:rtl/>
        </w:rPr>
        <w:t>).</w:t>
      </w:r>
    </w:p>
    <w:p w:rsidR="00285C6A" w:rsidRPr="00DE74D5" w:rsidRDefault="00285C6A" w:rsidP="00285C6A">
      <w:pPr>
        <w:pStyle w:val="enumlev1"/>
        <w:rPr>
          <w:rtl/>
        </w:rPr>
      </w:pPr>
      <w:bookmarkStart w:id="1" w:name="_GoBack"/>
      <w:bookmarkEnd w:id="1"/>
    </w:p>
    <w:p w:rsidR="002C116F" w:rsidRPr="00706D7A" w:rsidRDefault="00DE74D5" w:rsidP="00096C0A">
      <w:pPr>
        <w:spacing w:before="600"/>
        <w:jc w:val="center"/>
        <w:rPr>
          <w:rtl/>
          <w:lang w:bidi="ar-EG"/>
        </w:rPr>
      </w:pPr>
      <w:r w:rsidRPr="00DE74D5">
        <w:rPr>
          <w:rFonts w:hint="cs"/>
          <w:rtl/>
        </w:rPr>
        <w:t>__________</w:t>
      </w:r>
    </w:p>
    <w:sectPr w:rsidR="002C116F" w:rsidRPr="00706D7A" w:rsidSect="006A644C">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290" w:rsidRDefault="00B26290" w:rsidP="00F9134D">
      <w:pPr>
        <w:spacing w:before="0" w:line="240" w:lineRule="auto"/>
      </w:pPr>
      <w:r>
        <w:separator/>
      </w:r>
    </w:p>
  </w:endnote>
  <w:endnote w:type="continuationSeparator" w:id="0">
    <w:p w:rsidR="00B26290" w:rsidRDefault="00B26290"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DE74D5" w:rsidRDefault="006A644C" w:rsidP="00DE74D5">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DE74D5">
      <w:rPr>
        <w:sz w:val="16"/>
        <w:szCs w:val="16"/>
        <w:lang w:val="es-ES"/>
      </w:rPr>
      <w:instrText xml:space="preserve"> FILENAME \p \* MERGEFORMAT </w:instrText>
    </w:r>
    <w:r w:rsidRPr="00F9134D">
      <w:rPr>
        <w:sz w:val="16"/>
        <w:szCs w:val="16"/>
      </w:rPr>
      <w:fldChar w:fldCharType="separate"/>
    </w:r>
    <w:r w:rsidR="00DE74D5" w:rsidRPr="00DE74D5">
      <w:rPr>
        <w:noProof/>
        <w:sz w:val="16"/>
        <w:szCs w:val="16"/>
        <w:lang w:val="es-ES"/>
      </w:rPr>
      <w:t>P:\ARA\ITU-R\CONF-R\AR15\PLEN\000\029A.docx</w:t>
    </w:r>
    <w:r w:rsidRPr="00F9134D">
      <w:rPr>
        <w:sz w:val="16"/>
        <w:szCs w:val="16"/>
      </w:rPr>
      <w:fldChar w:fldCharType="end"/>
    </w:r>
    <w:r w:rsidRPr="00DE74D5">
      <w:rPr>
        <w:sz w:val="16"/>
        <w:szCs w:val="16"/>
        <w:lang w:val="es-ES"/>
      </w:rPr>
      <w:t xml:space="preserve">   (</w:t>
    </w:r>
    <w:r w:rsidR="00DE74D5" w:rsidRPr="00DE74D5">
      <w:rPr>
        <w:sz w:val="16"/>
        <w:szCs w:val="16"/>
        <w:lang w:val="es-ES"/>
      </w:rPr>
      <w:t>388048</w:t>
    </w:r>
    <w:r w:rsidRPr="00DE74D5">
      <w:rPr>
        <w:sz w:val="16"/>
        <w:szCs w:val="16"/>
        <w:lang w:val="es-ES"/>
      </w:rPr>
      <w:t>)</w:t>
    </w:r>
    <w:r w:rsidRPr="00DE74D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95658C">
      <w:rPr>
        <w:noProof/>
        <w:sz w:val="16"/>
        <w:szCs w:val="16"/>
      </w:rPr>
      <w:t>22.10.15</w:t>
    </w:r>
    <w:r w:rsidRPr="00F9134D">
      <w:rPr>
        <w:sz w:val="16"/>
        <w:szCs w:val="16"/>
      </w:rPr>
      <w:fldChar w:fldCharType="end"/>
    </w:r>
    <w:r w:rsidRPr="00DE74D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B26290">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DE74D5" w:rsidRDefault="006A644C" w:rsidP="00DE74D5">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DE74D5">
      <w:rPr>
        <w:sz w:val="16"/>
        <w:szCs w:val="16"/>
        <w:lang w:val="es-ES"/>
      </w:rPr>
      <w:instrText xml:space="preserve"> FILENAME \p \* MERGEFORMAT </w:instrText>
    </w:r>
    <w:r w:rsidRPr="00F9134D">
      <w:rPr>
        <w:sz w:val="16"/>
        <w:szCs w:val="16"/>
      </w:rPr>
      <w:fldChar w:fldCharType="separate"/>
    </w:r>
    <w:r w:rsidR="00DE74D5" w:rsidRPr="00DE74D5">
      <w:rPr>
        <w:noProof/>
        <w:sz w:val="16"/>
        <w:szCs w:val="16"/>
        <w:lang w:val="es-ES"/>
      </w:rPr>
      <w:t>P:\ARA\ITU-R\CONF-R\AR15\PLEN\000\029A.docx</w:t>
    </w:r>
    <w:r w:rsidRPr="00F9134D">
      <w:rPr>
        <w:sz w:val="16"/>
        <w:szCs w:val="16"/>
      </w:rPr>
      <w:fldChar w:fldCharType="end"/>
    </w:r>
    <w:r w:rsidRPr="00DE74D5">
      <w:rPr>
        <w:sz w:val="16"/>
        <w:szCs w:val="16"/>
        <w:lang w:val="es-ES"/>
      </w:rPr>
      <w:t xml:space="preserve">   (</w:t>
    </w:r>
    <w:r w:rsidR="00DE74D5" w:rsidRPr="00DE74D5">
      <w:rPr>
        <w:sz w:val="16"/>
        <w:szCs w:val="16"/>
        <w:lang w:val="es-ES"/>
      </w:rPr>
      <w:t>388048</w:t>
    </w:r>
    <w:r w:rsidRPr="00DE74D5">
      <w:rPr>
        <w:sz w:val="16"/>
        <w:szCs w:val="16"/>
        <w:lang w:val="es-ES"/>
      </w:rPr>
      <w:t>)</w:t>
    </w:r>
    <w:r w:rsidRPr="00DE74D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95658C">
      <w:rPr>
        <w:noProof/>
        <w:sz w:val="16"/>
        <w:szCs w:val="16"/>
      </w:rPr>
      <w:t>22.10.15</w:t>
    </w:r>
    <w:r w:rsidRPr="00F9134D">
      <w:rPr>
        <w:sz w:val="16"/>
        <w:szCs w:val="16"/>
      </w:rPr>
      <w:fldChar w:fldCharType="end"/>
    </w:r>
    <w:r w:rsidRPr="00DE74D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B26290">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290" w:rsidRDefault="00B26290" w:rsidP="00F9134D">
      <w:pPr>
        <w:spacing w:before="0" w:line="240" w:lineRule="auto"/>
      </w:pPr>
      <w:r>
        <w:separator/>
      </w:r>
    </w:p>
  </w:footnote>
  <w:footnote w:type="continuationSeparator" w:id="0">
    <w:p w:rsidR="00B26290" w:rsidRDefault="00B26290"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096C0A">
    <w:pPr>
      <w:pStyle w:val="Header"/>
      <w:spacing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285C6A">
      <w:rPr>
        <w:rFonts w:cs="Times New Roman"/>
        <w:noProof/>
        <w:sz w:val="20"/>
        <w:szCs w:val="20"/>
        <w:rtl/>
      </w:rPr>
      <w:t>2</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DE74D5">
      <w:rPr>
        <w:rFonts w:cs="Times New Roman"/>
        <w:sz w:val="20"/>
        <w:szCs w:val="20"/>
      </w:rPr>
      <w:t>PLEN</w:t>
    </w:r>
    <w:r w:rsidRPr="006A644C">
      <w:rPr>
        <w:rFonts w:cs="Times New Roman"/>
        <w:sz w:val="20"/>
        <w:szCs w:val="20"/>
      </w:rPr>
      <w:t>/</w:t>
    </w:r>
    <w:r w:rsidR="00DE74D5">
      <w:rPr>
        <w:rFonts w:cs="Times New Roman"/>
        <w:sz w:val="20"/>
        <w:szCs w:val="20"/>
      </w:rPr>
      <w:t>29</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87A83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3269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C4C7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5A18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CB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5AA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3028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E6F0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C003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EE1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90"/>
    <w:rsid w:val="000261C0"/>
    <w:rsid w:val="00090574"/>
    <w:rsid w:val="00096C0A"/>
    <w:rsid w:val="000A7B06"/>
    <w:rsid w:val="00160530"/>
    <w:rsid w:val="00173915"/>
    <w:rsid w:val="001952E0"/>
    <w:rsid w:val="001D17A2"/>
    <w:rsid w:val="0023283D"/>
    <w:rsid w:val="00285C6A"/>
    <w:rsid w:val="002978F4"/>
    <w:rsid w:val="002B028D"/>
    <w:rsid w:val="002C116F"/>
    <w:rsid w:val="002E625E"/>
    <w:rsid w:val="002E6541"/>
    <w:rsid w:val="00357185"/>
    <w:rsid w:val="003C399E"/>
    <w:rsid w:val="003F678F"/>
    <w:rsid w:val="0042686F"/>
    <w:rsid w:val="00443869"/>
    <w:rsid w:val="004E7162"/>
    <w:rsid w:val="00501E0E"/>
    <w:rsid w:val="0055516A"/>
    <w:rsid w:val="0057229D"/>
    <w:rsid w:val="0060468A"/>
    <w:rsid w:val="0063207F"/>
    <w:rsid w:val="006A644C"/>
    <w:rsid w:val="006B7027"/>
    <w:rsid w:val="006C51D4"/>
    <w:rsid w:val="006F63F7"/>
    <w:rsid w:val="00706D7A"/>
    <w:rsid w:val="007E24ED"/>
    <w:rsid w:val="00802B79"/>
    <w:rsid w:val="00803F08"/>
    <w:rsid w:val="008235CD"/>
    <w:rsid w:val="00850B5D"/>
    <w:rsid w:val="008513CB"/>
    <w:rsid w:val="00951C29"/>
    <w:rsid w:val="0095658C"/>
    <w:rsid w:val="00982B28"/>
    <w:rsid w:val="009B581E"/>
    <w:rsid w:val="00A8197E"/>
    <w:rsid w:val="00A97F94"/>
    <w:rsid w:val="00AD5003"/>
    <w:rsid w:val="00B23259"/>
    <w:rsid w:val="00B26290"/>
    <w:rsid w:val="00B507B5"/>
    <w:rsid w:val="00B60766"/>
    <w:rsid w:val="00BF2C38"/>
    <w:rsid w:val="00C51DAD"/>
    <w:rsid w:val="00C674FE"/>
    <w:rsid w:val="00C75633"/>
    <w:rsid w:val="00CB1782"/>
    <w:rsid w:val="00CE2EE1"/>
    <w:rsid w:val="00CF3FFD"/>
    <w:rsid w:val="00D01BDF"/>
    <w:rsid w:val="00D77D0F"/>
    <w:rsid w:val="00DA1CF0"/>
    <w:rsid w:val="00DC24B4"/>
    <w:rsid w:val="00DC4055"/>
    <w:rsid w:val="00DE74D5"/>
    <w:rsid w:val="00DE7D8E"/>
    <w:rsid w:val="00DF16DC"/>
    <w:rsid w:val="00E17033"/>
    <w:rsid w:val="00E45211"/>
    <w:rsid w:val="00EC6C3A"/>
    <w:rsid w:val="00F401D0"/>
    <w:rsid w:val="00F53408"/>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70943F3-3727-4B37-A25E-19418237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iPriority w:val="99"/>
    <w:unhideWhenUsed/>
    <w:rsid w:val="00EC6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RA15-C-0018/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R.1-6-20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15-RA15-C-0007/en" TargetMode="External"/><Relationship Id="rId4" Type="http://schemas.openxmlformats.org/officeDocument/2006/relationships/settings" Target="settings.xml"/><Relationship Id="rId9" Type="http://schemas.openxmlformats.org/officeDocument/2006/relationships/hyperlink" Target="https://extranet.itu.int/itu-r/conferences/rag/cg_resolution_itu_r_1_6/SitePages/Home.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C8D2-4201-4AE8-8633-BBB5ECB0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35</TotalTime>
  <Pages>2</Pages>
  <Words>356</Words>
  <Characters>1817</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Eltawabti, Ibrahim</dc:creator>
  <cp:keywords/>
  <dc:description/>
  <cp:lastModifiedBy>Awad, Samy</cp:lastModifiedBy>
  <cp:revision>11</cp:revision>
  <dcterms:created xsi:type="dcterms:W3CDTF">2015-10-22T09:52:00Z</dcterms:created>
  <dcterms:modified xsi:type="dcterms:W3CDTF">2015-10-22T15:18:00Z</dcterms:modified>
</cp:coreProperties>
</file>