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36D19" w:rsidRPr="003340DA">
        <w:trPr>
          <w:cantSplit/>
        </w:trPr>
        <w:tc>
          <w:tcPr>
            <w:tcW w:w="6345" w:type="dxa"/>
          </w:tcPr>
          <w:p w:rsidR="00736D19" w:rsidRPr="003340DA" w:rsidRDefault="00736D19" w:rsidP="00346CDF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val="en-US"/>
              </w:rPr>
            </w:pPr>
            <w:r w:rsidRPr="003340DA">
              <w:rPr>
                <w:rFonts w:ascii="Verdana" w:hAnsi="Verdana"/>
                <w:b/>
                <w:sz w:val="26"/>
                <w:szCs w:val="26"/>
                <w:lang w:val="en-US"/>
              </w:rPr>
              <w:t>Radiocommunication Assembly (RA-12)</w:t>
            </w:r>
            <w:r w:rsidRPr="003340DA">
              <w:rPr>
                <w:rFonts w:ascii="Verdana" w:hAnsi="Verdana"/>
                <w:b/>
                <w:sz w:val="22"/>
                <w:szCs w:val="22"/>
                <w:lang w:val="en-US"/>
              </w:rPr>
              <w:br/>
            </w:r>
            <w:r w:rsidRPr="003340DA">
              <w:rPr>
                <w:rFonts w:ascii="Verdana" w:hAnsi="Verdana"/>
                <w:b/>
                <w:bCs/>
                <w:sz w:val="20"/>
                <w:lang w:val="en-US"/>
              </w:rPr>
              <w:t xml:space="preserve">Geneva, </w:t>
            </w:r>
            <w:r w:rsidR="00346CDF">
              <w:rPr>
                <w:rFonts w:ascii="Verdana" w:hAnsi="Verdana"/>
                <w:b/>
                <w:bCs/>
                <w:sz w:val="20"/>
                <w:lang w:val="en-US"/>
              </w:rPr>
              <w:t>26</w:t>
            </w:r>
            <w:r w:rsidR="00346CDF">
              <w:rPr>
                <w:rFonts w:ascii="Verdana" w:hAnsi="Verdana"/>
                <w:b/>
                <w:bCs/>
                <w:sz w:val="20"/>
                <w:lang w:val="en-US"/>
              </w:rPr>
              <w:noBreakHyphen/>
              <w:t>30 October</w:t>
            </w:r>
            <w:r w:rsidRPr="003340DA">
              <w:rPr>
                <w:rFonts w:ascii="Verdana" w:hAnsi="Verdana"/>
                <w:b/>
                <w:bCs/>
                <w:sz w:val="20"/>
                <w:lang w:val="en-US"/>
              </w:rPr>
              <w:t xml:space="preserve"> 201</w:t>
            </w:r>
            <w:r w:rsidR="00346CDF">
              <w:rPr>
                <w:rFonts w:ascii="Verdana" w:hAnsi="Verdana"/>
                <w:b/>
                <w:bCs/>
                <w:sz w:val="20"/>
                <w:lang w:val="en-US"/>
              </w:rPr>
              <w:t>5</w:t>
            </w:r>
          </w:p>
        </w:tc>
        <w:tc>
          <w:tcPr>
            <w:tcW w:w="3686" w:type="dxa"/>
          </w:tcPr>
          <w:p w:rsidR="00736D19" w:rsidRPr="003340DA" w:rsidRDefault="00736D19" w:rsidP="001C3919">
            <w:pPr>
              <w:rPr>
                <w:lang w:val="en-US"/>
              </w:rPr>
            </w:pPr>
            <w:bookmarkStart w:id="0" w:name="ditulogo"/>
            <w:bookmarkEnd w:id="0"/>
            <w:r w:rsidRPr="003340DA">
              <w:rPr>
                <w:noProof/>
                <w:lang w:eastAsia="zh-CN"/>
              </w:rPr>
              <w:drawing>
                <wp:inline distT="0" distB="0" distL="0" distR="0" wp14:anchorId="743AE074" wp14:editId="11C1C6FE">
                  <wp:extent cx="1762125" cy="742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19" w:rsidRPr="003340DA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36D19" w:rsidRPr="003340DA" w:rsidRDefault="00736D19" w:rsidP="001C3919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36D19" w:rsidRPr="003340DA" w:rsidRDefault="00736D19" w:rsidP="001C3919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736D19" w:rsidRPr="003340DA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36D19" w:rsidRPr="003340DA" w:rsidRDefault="00736D19" w:rsidP="001C391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36D19" w:rsidRPr="003340DA" w:rsidRDefault="00736D19" w:rsidP="001C3919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736D19" w:rsidRPr="003340DA">
        <w:trPr>
          <w:cantSplit/>
          <w:trHeight w:val="23"/>
        </w:trPr>
        <w:tc>
          <w:tcPr>
            <w:tcW w:w="6345" w:type="dxa"/>
            <w:vMerge w:val="restart"/>
          </w:tcPr>
          <w:p w:rsidR="00736D19" w:rsidRDefault="00736D19" w:rsidP="001C391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340DA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:rsidR="006261C5" w:rsidRDefault="006261C5" w:rsidP="001C391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  <w:p w:rsidR="006261C5" w:rsidRPr="006261C5" w:rsidRDefault="006261C5" w:rsidP="001C3919">
            <w:pPr>
              <w:tabs>
                <w:tab w:val="left" w:pos="851"/>
              </w:tabs>
              <w:spacing w:before="0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686" w:type="dxa"/>
          </w:tcPr>
          <w:p w:rsidR="00736D19" w:rsidRPr="003340DA" w:rsidRDefault="00736D19" w:rsidP="00470114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3340DA">
              <w:rPr>
                <w:rFonts w:ascii="Verdana" w:hAnsi="Verdana"/>
                <w:b/>
                <w:sz w:val="20"/>
                <w:lang w:val="en-US"/>
              </w:rPr>
              <w:t xml:space="preserve">Addendum </w:t>
            </w:r>
            <w:r w:rsidR="00470114" w:rsidRPr="003340DA">
              <w:rPr>
                <w:rFonts w:ascii="Verdana" w:hAnsi="Verdana"/>
                <w:b/>
                <w:sz w:val="20"/>
                <w:lang w:val="en-US"/>
              </w:rPr>
              <w:t>3</w:t>
            </w:r>
            <w:r w:rsidR="006261C5">
              <w:rPr>
                <w:rFonts w:ascii="Verdana" w:hAnsi="Verdana"/>
                <w:b/>
                <w:sz w:val="20"/>
                <w:lang w:val="en-US"/>
              </w:rPr>
              <w:t xml:space="preserve"> to</w:t>
            </w:r>
            <w:r w:rsidR="006261C5">
              <w:rPr>
                <w:rFonts w:ascii="Verdana" w:hAnsi="Verdana"/>
                <w:b/>
                <w:sz w:val="20"/>
                <w:lang w:val="en-US"/>
              </w:rPr>
              <w:br/>
              <w:t>Document RA15</w:t>
            </w:r>
            <w:r w:rsidRPr="003340DA">
              <w:rPr>
                <w:rFonts w:ascii="Verdana" w:hAnsi="Verdana"/>
                <w:b/>
                <w:sz w:val="20"/>
                <w:lang w:val="en-US"/>
              </w:rPr>
              <w:t>/PLEN/21-E</w:t>
            </w:r>
          </w:p>
        </w:tc>
      </w:tr>
      <w:tr w:rsidR="00736D19" w:rsidRPr="003340DA">
        <w:trPr>
          <w:cantSplit/>
          <w:trHeight w:val="23"/>
        </w:trPr>
        <w:tc>
          <w:tcPr>
            <w:tcW w:w="6345" w:type="dxa"/>
            <w:vMerge/>
          </w:tcPr>
          <w:p w:rsidR="00736D19" w:rsidRPr="003340DA" w:rsidRDefault="00736D19" w:rsidP="001C3919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736D19" w:rsidRPr="003340DA" w:rsidRDefault="006261C5" w:rsidP="001C391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9 October</w:t>
            </w:r>
            <w:r w:rsidR="00736D19" w:rsidRPr="003340DA">
              <w:rPr>
                <w:rFonts w:ascii="Verdana" w:hAnsi="Verdana"/>
                <w:b/>
                <w:sz w:val="20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sz w:val="20"/>
                <w:lang w:val="en-US"/>
              </w:rPr>
              <w:t>5</w:t>
            </w:r>
          </w:p>
        </w:tc>
      </w:tr>
      <w:tr w:rsidR="00736D19" w:rsidRPr="003340DA">
        <w:trPr>
          <w:cantSplit/>
          <w:trHeight w:val="23"/>
        </w:trPr>
        <w:tc>
          <w:tcPr>
            <w:tcW w:w="6345" w:type="dxa"/>
            <w:vMerge/>
          </w:tcPr>
          <w:p w:rsidR="00736D19" w:rsidRPr="003340DA" w:rsidRDefault="00736D19" w:rsidP="001C3919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en-US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736D19" w:rsidRPr="003340DA" w:rsidRDefault="00736D19" w:rsidP="001C391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  <w:lang w:val="en-US"/>
              </w:rPr>
            </w:pPr>
            <w:r w:rsidRPr="003340DA">
              <w:rPr>
                <w:rFonts w:ascii="Verdana" w:hAnsi="Verdana"/>
                <w:b/>
                <w:sz w:val="20"/>
                <w:lang w:val="en-US"/>
              </w:rPr>
              <w:t>Original: Russian</w:t>
            </w:r>
          </w:p>
        </w:tc>
      </w:tr>
      <w:tr w:rsidR="00736D19" w:rsidRPr="003340DA">
        <w:trPr>
          <w:cantSplit/>
        </w:trPr>
        <w:tc>
          <w:tcPr>
            <w:tcW w:w="10031" w:type="dxa"/>
            <w:gridSpan w:val="2"/>
          </w:tcPr>
          <w:p w:rsidR="00736D19" w:rsidRPr="003340DA" w:rsidRDefault="00F043B5" w:rsidP="001C3919">
            <w:pPr>
              <w:pStyle w:val="Source"/>
              <w:rPr>
                <w:lang w:val="en-US"/>
              </w:rPr>
            </w:pPr>
            <w:bookmarkStart w:id="6" w:name="dsource" w:colFirst="0" w:colLast="0"/>
            <w:bookmarkEnd w:id="5"/>
            <w:r>
              <w:t>Regional Commonwealth in the field of Communications Common Proposals</w:t>
            </w:r>
          </w:p>
        </w:tc>
      </w:tr>
      <w:tr w:rsidR="00736D19" w:rsidRPr="003340DA">
        <w:trPr>
          <w:cantSplit/>
        </w:trPr>
        <w:tc>
          <w:tcPr>
            <w:tcW w:w="10031" w:type="dxa"/>
            <w:gridSpan w:val="2"/>
          </w:tcPr>
          <w:p w:rsidR="00736D19" w:rsidRPr="003340DA" w:rsidRDefault="0034367F" w:rsidP="001C3919">
            <w:pPr>
              <w:pStyle w:val="Title1"/>
              <w:rPr>
                <w:lang w:val="en-US"/>
              </w:rPr>
            </w:pPr>
            <w:bookmarkStart w:id="7" w:name="dtitle1" w:colFirst="0" w:colLast="0"/>
            <w:bookmarkEnd w:id="6"/>
            <w:r w:rsidRPr="003340DA">
              <w:rPr>
                <w:lang w:val="en-US"/>
              </w:rPr>
              <w:t>PROPOSAL</w:t>
            </w:r>
            <w:r w:rsidR="00F043B5">
              <w:rPr>
                <w:lang w:val="en-US"/>
              </w:rPr>
              <w:t>S</w:t>
            </w:r>
            <w:r w:rsidR="001C3919" w:rsidRPr="003340DA">
              <w:rPr>
                <w:lang w:val="en-US"/>
              </w:rPr>
              <w:t xml:space="preserve"> FOR THE WORK OF THE ASSEMBLY</w:t>
            </w:r>
          </w:p>
        </w:tc>
      </w:tr>
      <w:tr w:rsidR="00736D19" w:rsidRPr="003340DA">
        <w:trPr>
          <w:cantSplit/>
        </w:trPr>
        <w:tc>
          <w:tcPr>
            <w:tcW w:w="10031" w:type="dxa"/>
            <w:gridSpan w:val="2"/>
          </w:tcPr>
          <w:p w:rsidR="00736D19" w:rsidRPr="003340DA" w:rsidRDefault="00A70C79" w:rsidP="007F1EED">
            <w:pPr>
              <w:pStyle w:val="ResNo"/>
              <w:rPr>
                <w:lang w:val="en-US"/>
              </w:rPr>
            </w:pPr>
            <w:bookmarkStart w:id="8" w:name="dtitle3" w:colFirst="0" w:colLast="0"/>
            <w:bookmarkEnd w:id="7"/>
            <w:r>
              <w:rPr>
                <w:lang w:val="en-US"/>
              </w:rPr>
              <w:t>draft new resolution</w:t>
            </w:r>
            <w:r w:rsidR="00DF52C6">
              <w:rPr>
                <w:lang w:val="en-US"/>
              </w:rPr>
              <w:t xml:space="preserve"> ITU-R [</w:t>
            </w:r>
            <w:r w:rsidR="007F1EED">
              <w:rPr>
                <w:lang w:val="en-US"/>
              </w:rPr>
              <w:t>IOT</w:t>
            </w:r>
            <w:r w:rsidR="00DF52C6">
              <w:rPr>
                <w:lang w:val="en-US"/>
              </w:rPr>
              <w:t>]</w:t>
            </w:r>
          </w:p>
        </w:tc>
      </w:tr>
      <w:tr w:rsidR="00A70C79" w:rsidRPr="003340DA">
        <w:trPr>
          <w:cantSplit/>
        </w:trPr>
        <w:tc>
          <w:tcPr>
            <w:tcW w:w="10031" w:type="dxa"/>
            <w:gridSpan w:val="2"/>
          </w:tcPr>
          <w:p w:rsidR="00A70C79" w:rsidRPr="003340DA" w:rsidRDefault="00A70C79" w:rsidP="0087655F">
            <w:pPr>
              <w:pStyle w:val="Restitle"/>
              <w:jc w:val="left"/>
              <w:rPr>
                <w:lang w:val="en-US"/>
              </w:rPr>
            </w:pPr>
          </w:p>
        </w:tc>
      </w:tr>
    </w:tbl>
    <w:p w:rsidR="001C3919" w:rsidRDefault="00697B4C" w:rsidP="00A9320A">
      <w:pPr>
        <w:pStyle w:val="Heading1"/>
        <w:rPr>
          <w:lang w:val="en-US"/>
        </w:rPr>
      </w:pPr>
      <w:bookmarkStart w:id="9" w:name="dbreak"/>
      <w:bookmarkEnd w:id="8"/>
      <w:bookmarkEnd w:id="9"/>
      <w:r w:rsidRPr="003340DA">
        <w:rPr>
          <w:lang w:val="en-US"/>
        </w:rPr>
        <w:t>1</w:t>
      </w:r>
      <w:r w:rsidR="001C3919" w:rsidRPr="003340DA">
        <w:rPr>
          <w:lang w:val="en-US"/>
        </w:rPr>
        <w:tab/>
        <w:t>Introduction</w:t>
      </w:r>
    </w:p>
    <w:p w:rsidR="00AD04EC" w:rsidRDefault="007F1EED" w:rsidP="003E0466">
      <w:pPr>
        <w:rPr>
          <w:lang w:val="en-US"/>
        </w:rPr>
      </w:pPr>
      <w:r>
        <w:rPr>
          <w:lang w:val="en-US"/>
        </w:rPr>
        <w:t>The Internet of Things (IoT) is rapidly becoming a reali</w:t>
      </w:r>
      <w:r w:rsidR="00076183">
        <w:rPr>
          <w:lang w:val="en-US"/>
        </w:rPr>
        <w:t>ty. In the near future, there w</w:t>
      </w:r>
      <w:r>
        <w:rPr>
          <w:lang w:val="en-US"/>
        </w:rPr>
        <w:t xml:space="preserve">ill be significant growth in the number of </w:t>
      </w:r>
      <w:r w:rsidR="00076183">
        <w:rPr>
          <w:lang w:val="en-US"/>
        </w:rPr>
        <w:t>connections</w:t>
      </w:r>
      <w:r>
        <w:rPr>
          <w:lang w:val="en-US"/>
        </w:rPr>
        <w:t xml:space="preserve"> for machine to </w:t>
      </w:r>
      <w:r w:rsidR="00076183">
        <w:rPr>
          <w:lang w:val="en-US"/>
        </w:rPr>
        <w:t>machine</w:t>
      </w:r>
      <w:r>
        <w:rPr>
          <w:lang w:val="en-US"/>
        </w:rPr>
        <w:t xml:space="preserve"> (M2M) interaction, reflecting a growth in </w:t>
      </w:r>
      <w:r w:rsidR="00076183">
        <w:rPr>
          <w:lang w:val="en-US"/>
        </w:rPr>
        <w:t>network</w:t>
      </w:r>
      <w:r>
        <w:rPr>
          <w:lang w:val="en-US"/>
        </w:rPr>
        <w:t xml:space="preserve"> </w:t>
      </w:r>
      <w:r w:rsidR="00076183">
        <w:rPr>
          <w:lang w:val="en-US"/>
        </w:rPr>
        <w:t>infrastructure</w:t>
      </w:r>
      <w:r>
        <w:rPr>
          <w:lang w:val="en-US"/>
        </w:rPr>
        <w:t xml:space="preserve"> for </w:t>
      </w:r>
      <w:r w:rsidR="00076183">
        <w:rPr>
          <w:lang w:val="en-US"/>
        </w:rPr>
        <w:t>IoT</w:t>
      </w:r>
      <w:r w:rsidR="00346CDF">
        <w:rPr>
          <w:lang w:val="en-US"/>
        </w:rPr>
        <w:t xml:space="preserve">. </w:t>
      </w:r>
      <w:r>
        <w:rPr>
          <w:lang w:val="en-US"/>
        </w:rPr>
        <w:t>New trends in the telecommu</w:t>
      </w:r>
      <w:r w:rsidR="00076183">
        <w:rPr>
          <w:lang w:val="en-US"/>
        </w:rPr>
        <w:t>ni</w:t>
      </w:r>
      <w:r>
        <w:rPr>
          <w:lang w:val="en-US"/>
        </w:rPr>
        <w:t>cations/ICT sphere</w:t>
      </w:r>
      <w:r w:rsidR="0087655F">
        <w:rPr>
          <w:lang w:val="en-US"/>
        </w:rPr>
        <w:t>,</w:t>
      </w:r>
      <w:r w:rsidR="00076183">
        <w:rPr>
          <w:lang w:val="en-US"/>
        </w:rPr>
        <w:t xml:space="preserve"> such </w:t>
      </w:r>
      <w:r>
        <w:rPr>
          <w:lang w:val="en-US"/>
        </w:rPr>
        <w:t xml:space="preserve">as </w:t>
      </w:r>
      <w:r w:rsidR="007249C1">
        <w:rPr>
          <w:lang w:val="en-US"/>
        </w:rPr>
        <w:t>combining</w:t>
      </w:r>
      <w:r>
        <w:rPr>
          <w:lang w:val="en-US"/>
        </w:rPr>
        <w:t xml:space="preserve"> mobile </w:t>
      </w:r>
      <w:r w:rsidR="00076183">
        <w:rPr>
          <w:lang w:val="en-US"/>
        </w:rPr>
        <w:t>Internet</w:t>
      </w:r>
      <w:r>
        <w:rPr>
          <w:lang w:val="en-US"/>
        </w:rPr>
        <w:t xml:space="preserve"> </w:t>
      </w:r>
      <w:r w:rsidR="00076183">
        <w:rPr>
          <w:lang w:val="en-US"/>
        </w:rPr>
        <w:t>and</w:t>
      </w:r>
      <w:r>
        <w:rPr>
          <w:lang w:val="en-US"/>
        </w:rPr>
        <w:t xml:space="preserve"> </w:t>
      </w:r>
      <w:r w:rsidR="00076183">
        <w:rPr>
          <w:lang w:val="en-US"/>
        </w:rPr>
        <w:t>IoT</w:t>
      </w:r>
      <w:r w:rsidR="00346CDF">
        <w:rPr>
          <w:lang w:val="en-US"/>
        </w:rPr>
        <w:t>,</w:t>
      </w:r>
      <w:r>
        <w:rPr>
          <w:lang w:val="en-US"/>
        </w:rPr>
        <w:t xml:space="preserve"> are </w:t>
      </w:r>
      <w:r w:rsidR="007249C1">
        <w:rPr>
          <w:lang w:val="en-US"/>
        </w:rPr>
        <w:t>seen</w:t>
      </w:r>
      <w:r>
        <w:rPr>
          <w:lang w:val="en-US"/>
        </w:rPr>
        <w:t xml:space="preserve"> as the technology of the </w:t>
      </w:r>
      <w:r w:rsidR="008E603F">
        <w:rPr>
          <w:lang w:val="en-US"/>
        </w:rPr>
        <w:t>coming decades, posing</w:t>
      </w:r>
      <w:r w:rsidR="00076183">
        <w:rPr>
          <w:lang w:val="en-US"/>
        </w:rPr>
        <w:t xml:space="preserve"> n</w:t>
      </w:r>
      <w:r w:rsidR="008E603F">
        <w:rPr>
          <w:lang w:val="en-US"/>
        </w:rPr>
        <w:t>ew challenges</w:t>
      </w:r>
      <w:r>
        <w:rPr>
          <w:lang w:val="en-US"/>
        </w:rPr>
        <w:t xml:space="preserve"> and </w:t>
      </w:r>
      <w:r w:rsidR="008E603F">
        <w:rPr>
          <w:lang w:val="en-US"/>
        </w:rPr>
        <w:t>with</w:t>
      </w:r>
      <w:r>
        <w:rPr>
          <w:lang w:val="en-US"/>
        </w:rPr>
        <w:t xml:space="preserve"> the capacity to change the landscape of the telecommunication sector </w:t>
      </w:r>
      <w:r w:rsidR="0087655F">
        <w:rPr>
          <w:lang w:val="en-US"/>
        </w:rPr>
        <w:t>and</w:t>
      </w:r>
      <w:r>
        <w:rPr>
          <w:lang w:val="en-US"/>
        </w:rPr>
        <w:t xml:space="preserve"> the face of other </w:t>
      </w:r>
      <w:r w:rsidR="008E603F">
        <w:rPr>
          <w:lang w:val="en-US"/>
        </w:rPr>
        <w:t>basic sectors of the economy</w:t>
      </w:r>
      <w:r>
        <w:rPr>
          <w:lang w:val="en-US"/>
        </w:rPr>
        <w:t xml:space="preserve">. The emergence of </w:t>
      </w:r>
      <w:r w:rsidR="00076183">
        <w:rPr>
          <w:lang w:val="en-US"/>
        </w:rPr>
        <w:t>new</w:t>
      </w:r>
      <w:r>
        <w:rPr>
          <w:lang w:val="en-US"/>
        </w:rPr>
        <w:t xml:space="preserve"> </w:t>
      </w:r>
      <w:r w:rsidR="00076183">
        <w:rPr>
          <w:lang w:val="en-US"/>
        </w:rPr>
        <w:t>digital</w:t>
      </w:r>
      <w:r>
        <w:rPr>
          <w:lang w:val="en-US"/>
        </w:rPr>
        <w:t xml:space="preserve"> devices, </w:t>
      </w:r>
      <w:r w:rsidR="00076183">
        <w:rPr>
          <w:lang w:val="en-US"/>
        </w:rPr>
        <w:t>networks</w:t>
      </w:r>
      <w:r>
        <w:rPr>
          <w:lang w:val="en-US"/>
        </w:rPr>
        <w:t xml:space="preserve">, services and </w:t>
      </w:r>
      <w:r w:rsidR="00076183">
        <w:rPr>
          <w:lang w:val="en-US"/>
        </w:rPr>
        <w:t>applications</w:t>
      </w:r>
      <w:r w:rsidR="00346CDF">
        <w:rPr>
          <w:lang w:val="en-US"/>
        </w:rPr>
        <w:t>,</w:t>
      </w:r>
      <w:r>
        <w:rPr>
          <w:lang w:val="en-US"/>
        </w:rPr>
        <w:t xml:space="preserve"> constitutes a </w:t>
      </w:r>
      <w:r w:rsidR="00076183">
        <w:rPr>
          <w:lang w:val="en-US"/>
        </w:rPr>
        <w:t>profound</w:t>
      </w:r>
      <w:r w:rsidR="008E603F">
        <w:rPr>
          <w:lang w:val="en-US"/>
        </w:rPr>
        <w:t xml:space="preserve"> change which is re</w:t>
      </w:r>
      <w:r w:rsidR="008E603F">
        <w:rPr>
          <w:lang w:val="en-US"/>
        </w:rPr>
        <w:noBreakHyphen/>
      </w:r>
      <w:r>
        <w:rPr>
          <w:lang w:val="en-US"/>
        </w:rPr>
        <w:t xml:space="preserve">shaping </w:t>
      </w:r>
      <w:r w:rsidR="0087655F">
        <w:rPr>
          <w:lang w:val="en-US"/>
        </w:rPr>
        <w:t>the basic</w:t>
      </w:r>
      <w:r>
        <w:rPr>
          <w:lang w:val="en-US"/>
        </w:rPr>
        <w:t xml:space="preserve"> </w:t>
      </w:r>
      <w:r w:rsidR="00076183">
        <w:rPr>
          <w:lang w:val="en-US"/>
        </w:rPr>
        <w:t>sectors</w:t>
      </w:r>
      <w:r>
        <w:rPr>
          <w:lang w:val="en-US"/>
        </w:rPr>
        <w:t>.</w:t>
      </w:r>
    </w:p>
    <w:p w:rsidR="007F1EED" w:rsidRDefault="007F1EED" w:rsidP="003E0466">
      <w:pPr>
        <w:rPr>
          <w:lang w:val="en-US"/>
        </w:rPr>
      </w:pPr>
      <w:r>
        <w:rPr>
          <w:lang w:val="en-US"/>
        </w:rPr>
        <w:t xml:space="preserve">A specific </w:t>
      </w:r>
      <w:r w:rsidR="00076183">
        <w:rPr>
          <w:lang w:val="en-US"/>
        </w:rPr>
        <w:t>feature</w:t>
      </w:r>
      <w:r>
        <w:rPr>
          <w:lang w:val="en-US"/>
        </w:rPr>
        <w:t xml:space="preserve"> of the IoT </w:t>
      </w:r>
      <w:r w:rsidR="00076183">
        <w:rPr>
          <w:lang w:val="en-US"/>
        </w:rPr>
        <w:t>segment</w:t>
      </w:r>
      <w:r>
        <w:rPr>
          <w:lang w:val="en-US"/>
        </w:rPr>
        <w:t xml:space="preserve"> is the great diversity of services </w:t>
      </w:r>
      <w:r w:rsidR="008E603F">
        <w:rPr>
          <w:lang w:val="en-US"/>
        </w:rPr>
        <w:t>it can offer</w:t>
      </w:r>
      <w:r>
        <w:rPr>
          <w:lang w:val="en-US"/>
        </w:rPr>
        <w:t xml:space="preserve">, </w:t>
      </w:r>
      <w:r w:rsidR="007249C1">
        <w:rPr>
          <w:lang w:val="en-US"/>
        </w:rPr>
        <w:t>making</w:t>
      </w:r>
      <w:r>
        <w:rPr>
          <w:lang w:val="en-US"/>
        </w:rPr>
        <w:t xml:space="preserve"> a range of demands as regards </w:t>
      </w:r>
      <w:r w:rsidR="00076183">
        <w:rPr>
          <w:lang w:val="en-US"/>
        </w:rPr>
        <w:t>network</w:t>
      </w:r>
      <w:r>
        <w:rPr>
          <w:lang w:val="en-US"/>
        </w:rPr>
        <w:t xml:space="preserve"> coverage</w:t>
      </w:r>
      <w:r w:rsidR="009373E1">
        <w:rPr>
          <w:lang w:val="en-US"/>
        </w:rPr>
        <w:t xml:space="preserve">, interfaces </w:t>
      </w:r>
      <w:r w:rsidR="00076183">
        <w:rPr>
          <w:lang w:val="en-US"/>
        </w:rPr>
        <w:t>and</w:t>
      </w:r>
      <w:r w:rsidR="009373E1">
        <w:rPr>
          <w:lang w:val="en-US"/>
        </w:rPr>
        <w:t xml:space="preserve"> architecture.</w:t>
      </w:r>
    </w:p>
    <w:p w:rsidR="007F1EED" w:rsidRDefault="007F1EED" w:rsidP="003E0466">
      <w:pPr>
        <w:rPr>
          <w:lang w:val="en-US"/>
        </w:rPr>
      </w:pPr>
      <w:r>
        <w:rPr>
          <w:lang w:val="en-US"/>
        </w:rPr>
        <w:t xml:space="preserve">Study Group 20 in ITU’s </w:t>
      </w:r>
      <w:r w:rsidR="00076183">
        <w:rPr>
          <w:lang w:val="en-US"/>
        </w:rPr>
        <w:t>Telecommunication</w:t>
      </w:r>
      <w:r>
        <w:rPr>
          <w:lang w:val="en-US"/>
        </w:rPr>
        <w:t xml:space="preserve"> Standardization Sector (ITU-T) is developing inte</w:t>
      </w:r>
      <w:r w:rsidR="0087655F">
        <w:rPr>
          <w:lang w:val="en-US"/>
        </w:rPr>
        <w:t>rnational s</w:t>
      </w:r>
      <w:r>
        <w:rPr>
          <w:lang w:val="en-US"/>
        </w:rPr>
        <w:t xml:space="preserve">tandards for the </w:t>
      </w:r>
      <w:r w:rsidR="00076183">
        <w:rPr>
          <w:lang w:val="en-US"/>
        </w:rPr>
        <w:t>coordinated</w:t>
      </w:r>
      <w:r>
        <w:rPr>
          <w:lang w:val="en-US"/>
        </w:rPr>
        <w:t xml:space="preserve"> development of IoT technologies including machine to machine (M2M)</w:t>
      </w:r>
      <w:r w:rsidR="0087655F">
        <w:rPr>
          <w:lang w:val="en-US"/>
        </w:rPr>
        <w:t xml:space="preserve"> communications</w:t>
      </w:r>
      <w:r>
        <w:rPr>
          <w:lang w:val="en-US"/>
        </w:rPr>
        <w:t xml:space="preserve"> and </w:t>
      </w:r>
      <w:r w:rsidR="00076183">
        <w:rPr>
          <w:lang w:val="en-US"/>
        </w:rPr>
        <w:t>Ubiquitous</w:t>
      </w:r>
      <w:r w:rsidR="0087655F">
        <w:rPr>
          <w:lang w:val="en-US"/>
        </w:rPr>
        <w:t xml:space="preserve"> Sensor Networ</w:t>
      </w:r>
      <w:r>
        <w:rPr>
          <w:lang w:val="en-US"/>
        </w:rPr>
        <w:t xml:space="preserve">ks (USN) based on them. IoT issues are already being discussed in ITU-R in various study groups </w:t>
      </w:r>
      <w:r w:rsidR="00076183">
        <w:rPr>
          <w:lang w:val="en-US"/>
        </w:rPr>
        <w:t>and</w:t>
      </w:r>
      <w:r>
        <w:rPr>
          <w:lang w:val="en-US"/>
        </w:rPr>
        <w:t xml:space="preserve"> </w:t>
      </w:r>
      <w:r w:rsidR="00076183">
        <w:rPr>
          <w:lang w:val="en-US"/>
        </w:rPr>
        <w:t>working</w:t>
      </w:r>
      <w:r w:rsidR="00A47B43">
        <w:rPr>
          <w:lang w:val="en-US"/>
        </w:rPr>
        <w:t xml:space="preserve"> g</w:t>
      </w:r>
      <w:r w:rsidR="0087655F">
        <w:rPr>
          <w:lang w:val="en-US"/>
        </w:rPr>
        <w:t xml:space="preserve">roups in the </w:t>
      </w:r>
      <w:r w:rsidR="00A47B43">
        <w:rPr>
          <w:lang w:val="en-US"/>
        </w:rPr>
        <w:t>contex</w:t>
      </w:r>
      <w:r>
        <w:rPr>
          <w:lang w:val="en-US"/>
        </w:rPr>
        <w:t xml:space="preserve">t of </w:t>
      </w:r>
      <w:r w:rsidR="007249C1">
        <w:rPr>
          <w:lang w:val="en-US"/>
        </w:rPr>
        <w:t xml:space="preserve">the </w:t>
      </w:r>
      <w:r w:rsidR="00076183">
        <w:rPr>
          <w:lang w:val="en-US"/>
        </w:rPr>
        <w:t>development</w:t>
      </w:r>
      <w:r>
        <w:rPr>
          <w:lang w:val="en-US"/>
        </w:rPr>
        <w:t xml:space="preserve"> of </w:t>
      </w:r>
      <w:r w:rsidR="0087655F">
        <w:rPr>
          <w:lang w:val="en-US"/>
        </w:rPr>
        <w:t>a whole range of technologies and</w:t>
      </w:r>
      <w:r>
        <w:rPr>
          <w:lang w:val="en-US"/>
        </w:rPr>
        <w:t xml:space="preserve"> networks. Currently, </w:t>
      </w:r>
      <w:r w:rsidR="00076183">
        <w:rPr>
          <w:lang w:val="en-US"/>
        </w:rPr>
        <w:t>however</w:t>
      </w:r>
      <w:r>
        <w:rPr>
          <w:lang w:val="en-US"/>
        </w:rPr>
        <w:t xml:space="preserve">, ITU-R </w:t>
      </w:r>
      <w:r w:rsidR="00574F25">
        <w:rPr>
          <w:lang w:val="en-US"/>
        </w:rPr>
        <w:t xml:space="preserve">has no Questions or Resolutions that would facilitate a more systematic </w:t>
      </w:r>
      <w:r w:rsidR="00076183">
        <w:rPr>
          <w:lang w:val="en-US"/>
        </w:rPr>
        <w:t>approach</w:t>
      </w:r>
      <w:r w:rsidR="00574F25">
        <w:rPr>
          <w:lang w:val="en-US"/>
        </w:rPr>
        <w:t xml:space="preserve"> to desc</w:t>
      </w:r>
      <w:r w:rsidR="00076183">
        <w:rPr>
          <w:lang w:val="en-US"/>
        </w:rPr>
        <w:t xml:space="preserve">ribing </w:t>
      </w:r>
      <w:r w:rsidR="00574F25">
        <w:rPr>
          <w:lang w:val="en-US"/>
        </w:rPr>
        <w:t>aspects of the use of the radiofrequency spectrum by various IoT segments.</w:t>
      </w:r>
    </w:p>
    <w:p w:rsidR="001C3919" w:rsidRPr="003340DA" w:rsidRDefault="00697B4C" w:rsidP="00697B4C">
      <w:pPr>
        <w:pStyle w:val="Heading1"/>
        <w:rPr>
          <w:lang w:val="en-US"/>
        </w:rPr>
      </w:pPr>
      <w:r w:rsidRPr="003340DA">
        <w:rPr>
          <w:lang w:val="en-US"/>
        </w:rPr>
        <w:t>2</w:t>
      </w:r>
      <w:r w:rsidR="0034367F" w:rsidRPr="003340DA">
        <w:rPr>
          <w:lang w:val="en-US"/>
        </w:rPr>
        <w:tab/>
      </w:r>
      <w:r w:rsidR="00AA2198" w:rsidRPr="003340DA">
        <w:rPr>
          <w:lang w:val="en-US"/>
        </w:rPr>
        <w:t>Discussion</w:t>
      </w:r>
    </w:p>
    <w:p w:rsidR="007E6FD5" w:rsidRDefault="007E6FD5" w:rsidP="003E0466">
      <w:pPr>
        <w:rPr>
          <w:lang w:val="en-US" w:eastAsia="zh-CN"/>
        </w:rPr>
      </w:pPr>
      <w:r>
        <w:rPr>
          <w:lang w:val="en-US" w:eastAsia="zh-CN"/>
        </w:rPr>
        <w:t xml:space="preserve">The deployment of IoT is expected to enable the </w:t>
      </w:r>
      <w:r w:rsidR="00076183">
        <w:rPr>
          <w:lang w:val="en-US" w:eastAsia="zh-CN"/>
        </w:rPr>
        <w:t>connection</w:t>
      </w:r>
      <w:r>
        <w:rPr>
          <w:lang w:val="en-US" w:eastAsia="zh-CN"/>
        </w:rPr>
        <w:t xml:space="preserve"> of 20 billion</w:t>
      </w:r>
      <w:r w:rsidR="008E603F">
        <w:rPr>
          <w:lang w:val="en-US" w:eastAsia="zh-CN"/>
        </w:rPr>
        <w:t xml:space="preserve"> or more</w:t>
      </w:r>
      <w:r>
        <w:rPr>
          <w:lang w:val="en-US" w:eastAsia="zh-CN"/>
        </w:rPr>
        <w:t xml:space="preserve"> devices to the </w:t>
      </w:r>
      <w:r w:rsidR="00076183">
        <w:rPr>
          <w:lang w:val="en-US" w:eastAsia="zh-CN"/>
        </w:rPr>
        <w:t>network</w:t>
      </w:r>
      <w:r>
        <w:rPr>
          <w:lang w:val="en-US" w:eastAsia="zh-CN"/>
        </w:rPr>
        <w:t xml:space="preserve"> by 2020. This will </w:t>
      </w:r>
      <w:r w:rsidR="00076183">
        <w:rPr>
          <w:lang w:val="en-US" w:eastAsia="zh-CN"/>
        </w:rPr>
        <w:t>influence almost every</w:t>
      </w:r>
      <w:r>
        <w:rPr>
          <w:lang w:val="en-US" w:eastAsia="zh-CN"/>
        </w:rPr>
        <w:t xml:space="preserve"> aspect of our everyday lives. IoT </w:t>
      </w:r>
      <w:r w:rsidR="007249C1">
        <w:rPr>
          <w:lang w:val="en-US" w:eastAsia="zh-CN"/>
        </w:rPr>
        <w:t>promotes convergence (</w:t>
      </w:r>
      <w:r w:rsidR="00275715">
        <w:rPr>
          <w:lang w:val="en-US" w:eastAsia="zh-CN"/>
        </w:rPr>
        <w:t>mixing</w:t>
      </w:r>
      <w:r w:rsidR="007249C1">
        <w:rPr>
          <w:lang w:val="en-US" w:eastAsia="zh-CN"/>
        </w:rPr>
        <w:t xml:space="preserve">) </w:t>
      </w:r>
      <w:r w:rsidR="00275715">
        <w:rPr>
          <w:lang w:val="en-US" w:eastAsia="zh-CN"/>
        </w:rPr>
        <w:t>of</w:t>
      </w:r>
      <w:r w:rsidR="007249C1">
        <w:rPr>
          <w:lang w:val="en-US" w:eastAsia="zh-CN"/>
        </w:rPr>
        <w:t xml:space="preserve"> </w:t>
      </w:r>
      <w:r>
        <w:rPr>
          <w:lang w:val="en-US" w:eastAsia="zh-CN"/>
        </w:rPr>
        <w:t>branches of industry</w:t>
      </w:r>
      <w:r w:rsidR="00346CDF">
        <w:rPr>
          <w:lang w:val="en-US" w:eastAsia="zh-CN"/>
        </w:rPr>
        <w:t>, and</w:t>
      </w:r>
      <w:r w:rsidR="008E603F">
        <w:rPr>
          <w:lang w:val="en-US" w:eastAsia="zh-CN"/>
        </w:rPr>
        <w:t xml:space="preserve"> </w:t>
      </w:r>
      <w:r>
        <w:rPr>
          <w:lang w:val="en-US" w:eastAsia="zh-CN"/>
        </w:rPr>
        <w:t>SG20 is providing a specialize</w:t>
      </w:r>
      <w:r w:rsidR="008E603F">
        <w:rPr>
          <w:lang w:val="en-US" w:eastAsia="zh-CN"/>
        </w:rPr>
        <w:t>d</w:t>
      </w:r>
      <w:r>
        <w:rPr>
          <w:lang w:val="en-US" w:eastAsia="zh-CN"/>
        </w:rPr>
        <w:t xml:space="preserve"> platform for IoT standardization </w:t>
      </w:r>
      <w:r w:rsidR="00076183">
        <w:rPr>
          <w:lang w:val="en-US" w:eastAsia="zh-CN"/>
        </w:rPr>
        <w:t>in</w:t>
      </w:r>
      <w:r>
        <w:rPr>
          <w:lang w:val="en-US" w:eastAsia="zh-CN"/>
        </w:rPr>
        <w:t xml:space="preserve"> </w:t>
      </w:r>
      <w:r w:rsidR="00076183">
        <w:rPr>
          <w:lang w:val="en-US" w:eastAsia="zh-CN"/>
        </w:rPr>
        <w:t>order</w:t>
      </w:r>
      <w:r>
        <w:rPr>
          <w:lang w:val="en-US" w:eastAsia="zh-CN"/>
        </w:rPr>
        <w:t xml:space="preserve"> </w:t>
      </w:r>
      <w:r w:rsidR="00076183">
        <w:rPr>
          <w:lang w:val="en-US" w:eastAsia="zh-CN"/>
        </w:rPr>
        <w:t>to</w:t>
      </w:r>
      <w:r>
        <w:rPr>
          <w:lang w:val="en-US" w:eastAsia="zh-CN"/>
        </w:rPr>
        <w:t xml:space="preserve"> </w:t>
      </w:r>
      <w:r w:rsidR="00076183">
        <w:rPr>
          <w:lang w:val="en-US" w:eastAsia="zh-CN"/>
        </w:rPr>
        <w:t>promote</w:t>
      </w:r>
      <w:r>
        <w:rPr>
          <w:lang w:val="en-US" w:eastAsia="zh-CN"/>
        </w:rPr>
        <w:t xml:space="preserve"> that process</w:t>
      </w:r>
      <w:r w:rsidR="0087655F">
        <w:rPr>
          <w:lang w:val="en-US" w:eastAsia="zh-CN"/>
        </w:rPr>
        <w:t xml:space="preserve"> and </w:t>
      </w:r>
      <w:r w:rsidR="008E603F">
        <w:rPr>
          <w:lang w:val="en-US" w:eastAsia="zh-CN"/>
        </w:rPr>
        <w:t>make available</w:t>
      </w:r>
      <w:r w:rsidR="0087655F">
        <w:rPr>
          <w:lang w:val="en-US" w:eastAsia="zh-CN"/>
        </w:rPr>
        <w:t xml:space="preserve"> </w:t>
      </w:r>
      <w:r w:rsidR="008E603F">
        <w:rPr>
          <w:lang w:val="en-US" w:eastAsia="zh-CN"/>
        </w:rPr>
        <w:t>a</w:t>
      </w:r>
      <w:r w:rsidR="00346CDF">
        <w:rPr>
          <w:lang w:val="en-US" w:eastAsia="zh-CN"/>
        </w:rPr>
        <w:t>n</w:t>
      </w:r>
      <w:r w:rsidR="008E603F">
        <w:rPr>
          <w:lang w:val="en-US" w:eastAsia="zh-CN"/>
        </w:rPr>
        <w:t xml:space="preserve"> effective</w:t>
      </w:r>
      <w:r w:rsidR="00346CDF">
        <w:rPr>
          <w:lang w:val="en-US" w:eastAsia="zh-CN"/>
        </w:rPr>
        <w:t xml:space="preserve"> set</w:t>
      </w:r>
      <w:r w:rsidR="008E603F">
        <w:rPr>
          <w:lang w:val="en-US" w:eastAsia="zh-CN"/>
        </w:rPr>
        <w:t xml:space="preserve"> </w:t>
      </w:r>
      <w:r w:rsidR="00346CDF">
        <w:rPr>
          <w:lang w:val="en-US" w:eastAsia="zh-CN"/>
        </w:rPr>
        <w:t xml:space="preserve">of </w:t>
      </w:r>
      <w:r w:rsidR="00076183">
        <w:rPr>
          <w:lang w:val="en-US" w:eastAsia="zh-CN"/>
        </w:rPr>
        <w:t>international</w:t>
      </w:r>
      <w:r>
        <w:rPr>
          <w:lang w:val="en-US" w:eastAsia="zh-CN"/>
        </w:rPr>
        <w:t xml:space="preserve"> standards.</w:t>
      </w:r>
    </w:p>
    <w:p w:rsidR="00B364A8" w:rsidRDefault="00076183" w:rsidP="003E0466">
      <w:pPr>
        <w:rPr>
          <w:lang w:val="en-US" w:eastAsia="zh-CN"/>
        </w:rPr>
      </w:pPr>
      <w:r>
        <w:rPr>
          <w:lang w:val="en-US" w:eastAsia="zh-CN"/>
        </w:rPr>
        <w:t>Many assessments</w:t>
      </w:r>
      <w:r w:rsidR="007E6FD5">
        <w:rPr>
          <w:lang w:val="en-US" w:eastAsia="zh-CN"/>
        </w:rPr>
        <w:t xml:space="preserve"> and forecasts suggest that IoT </w:t>
      </w:r>
      <w:r w:rsidR="0087655F">
        <w:rPr>
          <w:lang w:val="en-US" w:eastAsia="zh-CN"/>
        </w:rPr>
        <w:t xml:space="preserve">will </w:t>
      </w:r>
      <w:r w:rsidR="007E6FD5">
        <w:rPr>
          <w:lang w:val="en-US" w:eastAsia="zh-CN"/>
        </w:rPr>
        <w:t xml:space="preserve">create a significant burden on existing broadband </w:t>
      </w:r>
      <w:r>
        <w:rPr>
          <w:lang w:val="en-US" w:eastAsia="zh-CN"/>
        </w:rPr>
        <w:t>applications</w:t>
      </w:r>
      <w:r w:rsidR="007E6FD5">
        <w:rPr>
          <w:lang w:val="en-US" w:eastAsia="zh-CN"/>
        </w:rPr>
        <w:t xml:space="preserve"> in the </w:t>
      </w:r>
      <w:r>
        <w:rPr>
          <w:lang w:val="en-US" w:eastAsia="zh-CN"/>
        </w:rPr>
        <w:t>mobile</w:t>
      </w:r>
      <w:r w:rsidR="007E6FD5">
        <w:rPr>
          <w:lang w:val="en-US" w:eastAsia="zh-CN"/>
        </w:rPr>
        <w:t xml:space="preserve"> </w:t>
      </w:r>
      <w:r>
        <w:rPr>
          <w:lang w:val="en-US" w:eastAsia="zh-CN"/>
        </w:rPr>
        <w:t>service</w:t>
      </w:r>
      <w:r w:rsidR="007E6FD5">
        <w:rPr>
          <w:lang w:val="en-US" w:eastAsia="zh-CN"/>
        </w:rPr>
        <w:t xml:space="preserve"> </w:t>
      </w:r>
      <w:r w:rsidR="00346CDF">
        <w:rPr>
          <w:lang w:val="en-US" w:eastAsia="zh-CN"/>
        </w:rPr>
        <w:t>including</w:t>
      </w:r>
      <w:r w:rsidR="007E6FD5">
        <w:rPr>
          <w:lang w:val="en-US" w:eastAsia="zh-CN"/>
        </w:rPr>
        <w:t xml:space="preserve"> RLAN and next-</w:t>
      </w:r>
      <w:r>
        <w:rPr>
          <w:lang w:val="en-US" w:eastAsia="zh-CN"/>
        </w:rPr>
        <w:t>generation IMT</w:t>
      </w:r>
      <w:r w:rsidR="007E6FD5">
        <w:rPr>
          <w:lang w:val="en-US" w:eastAsia="zh-CN"/>
        </w:rPr>
        <w:t xml:space="preserve"> netw</w:t>
      </w:r>
      <w:r w:rsidR="006323F6">
        <w:rPr>
          <w:lang w:val="en-US" w:eastAsia="zh-CN"/>
        </w:rPr>
        <w:t xml:space="preserve">orks </w:t>
      </w:r>
      <w:r w:rsidR="006323F6">
        <w:rPr>
          <w:lang w:val="en-US" w:eastAsia="zh-CN"/>
        </w:rPr>
        <w:lastRenderedPageBreak/>
        <w:t>(“IMT-Advanced</w:t>
      </w:r>
      <w:r w:rsidR="007E6FD5">
        <w:rPr>
          <w:lang w:val="en-US" w:eastAsia="zh-CN"/>
        </w:rPr>
        <w:t xml:space="preserve">” and </w:t>
      </w:r>
      <w:r w:rsidR="006323F6">
        <w:rPr>
          <w:lang w:val="en-US" w:eastAsia="zh-CN"/>
        </w:rPr>
        <w:t>“</w:t>
      </w:r>
      <w:r w:rsidR="007E6FD5">
        <w:rPr>
          <w:lang w:val="en-US" w:eastAsia="zh-CN"/>
        </w:rPr>
        <w:t>IMT-2020</w:t>
      </w:r>
      <w:r w:rsidR="006323F6">
        <w:rPr>
          <w:lang w:val="en-US" w:eastAsia="zh-CN"/>
        </w:rPr>
        <w:t>”</w:t>
      </w:r>
      <w:r w:rsidR="007E6FD5">
        <w:rPr>
          <w:lang w:val="en-US" w:eastAsia="zh-CN"/>
        </w:rPr>
        <w:t xml:space="preserve">). In </w:t>
      </w:r>
      <w:r>
        <w:rPr>
          <w:lang w:val="en-US" w:eastAsia="zh-CN"/>
        </w:rPr>
        <w:t>order</w:t>
      </w:r>
      <w:r w:rsidR="007E6FD5">
        <w:rPr>
          <w:lang w:val="en-US" w:eastAsia="zh-CN"/>
        </w:rPr>
        <w:t xml:space="preserve"> to ensure </w:t>
      </w:r>
      <w:r>
        <w:rPr>
          <w:lang w:val="en-US" w:eastAsia="zh-CN"/>
        </w:rPr>
        <w:t>successful</w:t>
      </w:r>
      <w:r w:rsidR="007E6FD5">
        <w:rPr>
          <w:lang w:val="en-US" w:eastAsia="zh-CN"/>
        </w:rPr>
        <w:t xml:space="preserve"> broadband </w:t>
      </w:r>
      <w:r>
        <w:rPr>
          <w:lang w:val="en-US" w:eastAsia="zh-CN"/>
        </w:rPr>
        <w:t>deployment</w:t>
      </w:r>
      <w:r w:rsidR="007E6FD5">
        <w:rPr>
          <w:lang w:val="en-US" w:eastAsia="zh-CN"/>
        </w:rPr>
        <w:t xml:space="preserve"> of IoT services</w:t>
      </w:r>
      <w:r w:rsidR="006323F6">
        <w:rPr>
          <w:lang w:val="en-US" w:eastAsia="zh-CN"/>
        </w:rPr>
        <w:t>,</w:t>
      </w:r>
      <w:r w:rsidR="007E6FD5">
        <w:rPr>
          <w:lang w:val="en-US" w:eastAsia="zh-CN"/>
        </w:rPr>
        <w:t xml:space="preserve"> </w:t>
      </w:r>
      <w:r>
        <w:rPr>
          <w:lang w:val="en-US" w:eastAsia="zh-CN"/>
        </w:rPr>
        <w:t>communication</w:t>
      </w:r>
      <w:r w:rsidR="006323F6">
        <w:rPr>
          <w:lang w:val="en-US" w:eastAsia="zh-CN"/>
        </w:rPr>
        <w:t xml:space="preserve"> netw</w:t>
      </w:r>
      <w:r w:rsidR="007E6FD5">
        <w:rPr>
          <w:lang w:val="en-US" w:eastAsia="zh-CN"/>
        </w:rPr>
        <w:t>o</w:t>
      </w:r>
      <w:r w:rsidR="006323F6">
        <w:rPr>
          <w:lang w:val="en-US" w:eastAsia="zh-CN"/>
        </w:rPr>
        <w:t>r</w:t>
      </w:r>
      <w:r w:rsidR="007E6FD5">
        <w:rPr>
          <w:lang w:val="en-US" w:eastAsia="zh-CN"/>
        </w:rPr>
        <w:t>ks must ensure universal coverage</w:t>
      </w:r>
      <w:r w:rsidR="006323F6">
        <w:rPr>
          <w:lang w:val="en-US" w:eastAsia="zh-CN"/>
        </w:rPr>
        <w:t xml:space="preserve"> that </w:t>
      </w:r>
      <w:r w:rsidR="00346CDF">
        <w:rPr>
          <w:lang w:val="en-US" w:eastAsia="zh-CN"/>
        </w:rPr>
        <w:t>extends into</w:t>
      </w:r>
      <w:r w:rsidR="008E603F">
        <w:rPr>
          <w:lang w:val="en-US" w:eastAsia="zh-CN"/>
        </w:rPr>
        <w:t xml:space="preserve"> </w:t>
      </w:r>
      <w:r w:rsidR="007E6FD5">
        <w:rPr>
          <w:lang w:val="en-US" w:eastAsia="zh-CN"/>
        </w:rPr>
        <w:t>building</w:t>
      </w:r>
      <w:r w:rsidR="00346CDF">
        <w:rPr>
          <w:lang w:val="en-US" w:eastAsia="zh-CN"/>
        </w:rPr>
        <w:t xml:space="preserve"> interiors and includes</w:t>
      </w:r>
      <w:r w:rsidR="007E6FD5">
        <w:rPr>
          <w:lang w:val="en-US" w:eastAsia="zh-CN"/>
        </w:rPr>
        <w:t xml:space="preserve"> sparsely populated rura</w:t>
      </w:r>
      <w:r w:rsidR="006323F6">
        <w:rPr>
          <w:lang w:val="en-US" w:eastAsia="zh-CN"/>
        </w:rPr>
        <w:t>l ar</w:t>
      </w:r>
      <w:r w:rsidR="008E603F">
        <w:rPr>
          <w:lang w:val="en-US" w:eastAsia="zh-CN"/>
        </w:rPr>
        <w:t>eas,</w:t>
      </w:r>
      <w:r w:rsidR="006323F6">
        <w:rPr>
          <w:lang w:val="en-US" w:eastAsia="zh-CN"/>
        </w:rPr>
        <w:t xml:space="preserve"> </w:t>
      </w:r>
      <w:r w:rsidR="008E603F">
        <w:rPr>
          <w:lang w:val="en-US" w:eastAsia="zh-CN"/>
        </w:rPr>
        <w:t>allows</w:t>
      </w:r>
      <w:r w:rsidR="006323F6">
        <w:rPr>
          <w:lang w:val="en-US" w:eastAsia="zh-CN"/>
        </w:rPr>
        <w:t xml:space="preserve"> </w:t>
      </w:r>
      <w:r w:rsidR="007E6FD5">
        <w:rPr>
          <w:lang w:val="en-US" w:eastAsia="zh-CN"/>
        </w:rPr>
        <w:t xml:space="preserve">large-scale </w:t>
      </w:r>
      <w:r>
        <w:rPr>
          <w:lang w:val="en-US" w:eastAsia="zh-CN"/>
        </w:rPr>
        <w:t>connection</w:t>
      </w:r>
      <w:r w:rsidR="007E6FD5">
        <w:rPr>
          <w:lang w:val="en-US" w:eastAsia="zh-CN"/>
        </w:rPr>
        <w:t xml:space="preserve"> of IoT devices (tens to </w:t>
      </w:r>
      <w:r>
        <w:rPr>
          <w:lang w:val="en-US" w:eastAsia="zh-CN"/>
        </w:rPr>
        <w:t>hundreds</w:t>
      </w:r>
      <w:r w:rsidR="007E6FD5">
        <w:rPr>
          <w:lang w:val="en-US" w:eastAsia="zh-CN"/>
        </w:rPr>
        <w:t xml:space="preserve"> of thousands) to a </w:t>
      </w:r>
      <w:r>
        <w:rPr>
          <w:lang w:val="en-US" w:eastAsia="zh-CN"/>
        </w:rPr>
        <w:t>single</w:t>
      </w:r>
      <w:r w:rsidR="007E6FD5">
        <w:rPr>
          <w:lang w:val="en-US" w:eastAsia="zh-CN"/>
        </w:rPr>
        <w:t xml:space="preserve"> cell</w:t>
      </w:r>
      <w:r w:rsidR="008E603F">
        <w:rPr>
          <w:lang w:val="en-US" w:eastAsia="zh-CN"/>
        </w:rPr>
        <w:t>, ensures</w:t>
      </w:r>
      <w:r w:rsidR="00B364A8">
        <w:rPr>
          <w:lang w:val="en-US" w:eastAsia="zh-CN"/>
        </w:rPr>
        <w:t xml:space="preserve"> </w:t>
      </w:r>
      <w:r w:rsidR="008E603F">
        <w:rPr>
          <w:lang w:val="en-US" w:eastAsia="zh-CN"/>
        </w:rPr>
        <w:t xml:space="preserve">a </w:t>
      </w:r>
      <w:r w:rsidR="00B364A8">
        <w:rPr>
          <w:lang w:val="en-US" w:eastAsia="zh-CN"/>
        </w:rPr>
        <w:t>many-fold reduc</w:t>
      </w:r>
      <w:r>
        <w:rPr>
          <w:lang w:val="en-US" w:eastAsia="zh-CN"/>
        </w:rPr>
        <w:t>tion</w:t>
      </w:r>
      <w:r w:rsidR="00B364A8">
        <w:rPr>
          <w:lang w:val="en-US" w:eastAsia="zh-CN"/>
        </w:rPr>
        <w:t xml:space="preserve"> in </w:t>
      </w:r>
      <w:r>
        <w:rPr>
          <w:lang w:val="en-US" w:eastAsia="zh-CN"/>
        </w:rPr>
        <w:t>network</w:t>
      </w:r>
      <w:r w:rsidR="008E603F">
        <w:rPr>
          <w:lang w:val="en-US" w:eastAsia="zh-CN"/>
        </w:rPr>
        <w:t xml:space="preserve"> delays and simplifies</w:t>
      </w:r>
      <w:r w:rsidR="00B364A8">
        <w:rPr>
          <w:lang w:val="en-US" w:eastAsia="zh-CN"/>
        </w:rPr>
        <w:t xml:space="preserve"> </w:t>
      </w:r>
      <w:r>
        <w:rPr>
          <w:lang w:val="en-US" w:eastAsia="zh-CN"/>
        </w:rPr>
        <w:t>signalling</w:t>
      </w:r>
      <w:r w:rsidR="008E603F">
        <w:rPr>
          <w:lang w:val="en-US" w:eastAsia="zh-CN"/>
        </w:rPr>
        <w:t xml:space="preserve">, </w:t>
      </w:r>
      <w:r w:rsidR="00346CDF">
        <w:rPr>
          <w:lang w:val="en-US" w:eastAsia="zh-CN"/>
        </w:rPr>
        <w:t>with the aim</w:t>
      </w:r>
      <w:r w:rsidR="00B364A8">
        <w:rPr>
          <w:lang w:val="en-US" w:eastAsia="zh-CN"/>
        </w:rPr>
        <w:t xml:space="preserve"> </w:t>
      </w:r>
      <w:r w:rsidR="00346CDF">
        <w:rPr>
          <w:lang w:val="en-US" w:eastAsia="zh-CN"/>
        </w:rPr>
        <w:t xml:space="preserve">of reducing </w:t>
      </w:r>
      <w:r>
        <w:rPr>
          <w:lang w:val="en-US" w:eastAsia="zh-CN"/>
        </w:rPr>
        <w:t>terminal</w:t>
      </w:r>
      <w:r w:rsidR="00B364A8">
        <w:rPr>
          <w:lang w:val="en-US" w:eastAsia="zh-CN"/>
        </w:rPr>
        <w:t xml:space="preserve"> equipment</w:t>
      </w:r>
      <w:r w:rsidR="00346CDF">
        <w:rPr>
          <w:lang w:val="en-US" w:eastAsia="zh-CN"/>
        </w:rPr>
        <w:t xml:space="preserve"> costs</w:t>
      </w:r>
      <w:r w:rsidR="00B364A8">
        <w:rPr>
          <w:lang w:val="en-US" w:eastAsia="zh-CN"/>
        </w:rPr>
        <w:t xml:space="preserve"> and cut</w:t>
      </w:r>
      <w:r w:rsidR="00346CDF">
        <w:rPr>
          <w:lang w:val="en-US" w:eastAsia="zh-CN"/>
        </w:rPr>
        <w:t>ting</w:t>
      </w:r>
      <w:r w:rsidR="006323F6">
        <w:rPr>
          <w:lang w:val="en-US" w:eastAsia="zh-CN"/>
        </w:rPr>
        <w:t xml:space="preserve"> </w:t>
      </w:r>
      <w:r w:rsidR="00B364A8">
        <w:rPr>
          <w:lang w:val="en-US" w:eastAsia="zh-CN"/>
        </w:rPr>
        <w:t xml:space="preserve">energy consumption. </w:t>
      </w:r>
      <w:r>
        <w:rPr>
          <w:lang w:val="en-US" w:eastAsia="zh-CN"/>
        </w:rPr>
        <w:t>Regulators</w:t>
      </w:r>
      <w:r w:rsidR="00B364A8">
        <w:rPr>
          <w:lang w:val="en-US" w:eastAsia="zh-CN"/>
        </w:rPr>
        <w:t xml:space="preserve"> </w:t>
      </w:r>
      <w:r w:rsidR="00346CDF">
        <w:rPr>
          <w:lang w:val="en-US" w:eastAsia="zh-CN"/>
        </w:rPr>
        <w:t>need</w:t>
      </w:r>
      <w:r w:rsidR="00B364A8">
        <w:rPr>
          <w:lang w:val="en-US" w:eastAsia="zh-CN"/>
        </w:rPr>
        <w:t xml:space="preserve"> to </w:t>
      </w:r>
      <w:r w:rsidR="00275715">
        <w:rPr>
          <w:lang w:val="en-US" w:eastAsia="zh-CN"/>
        </w:rPr>
        <w:t>keep constantly in mind the</w:t>
      </w:r>
      <w:r w:rsidR="00B364A8">
        <w:rPr>
          <w:lang w:val="en-US" w:eastAsia="zh-CN"/>
        </w:rPr>
        <w:t xml:space="preserve"> eff</w:t>
      </w:r>
      <w:r w:rsidR="006323F6">
        <w:rPr>
          <w:lang w:val="en-US" w:eastAsia="zh-CN"/>
        </w:rPr>
        <w:t xml:space="preserve">icient </w:t>
      </w:r>
      <w:r w:rsidR="00B364A8">
        <w:rPr>
          <w:lang w:val="en-US" w:eastAsia="zh-CN"/>
        </w:rPr>
        <w:t xml:space="preserve">use of </w:t>
      </w:r>
      <w:r>
        <w:rPr>
          <w:lang w:val="en-US" w:eastAsia="zh-CN"/>
        </w:rPr>
        <w:t>spectrum</w:t>
      </w:r>
      <w:r w:rsidR="00B364A8">
        <w:rPr>
          <w:lang w:val="en-US" w:eastAsia="zh-CN"/>
        </w:rPr>
        <w:t xml:space="preserve"> </w:t>
      </w:r>
      <w:r>
        <w:rPr>
          <w:lang w:val="en-US" w:eastAsia="zh-CN"/>
        </w:rPr>
        <w:t>already</w:t>
      </w:r>
      <w:r w:rsidR="00B364A8">
        <w:rPr>
          <w:lang w:val="en-US" w:eastAsia="zh-CN"/>
        </w:rPr>
        <w:t xml:space="preserve"> allocated </w:t>
      </w:r>
      <w:r w:rsidR="008B7E0E">
        <w:rPr>
          <w:lang w:val="en-US" w:eastAsia="zh-CN"/>
        </w:rPr>
        <w:t>to</w:t>
      </w:r>
      <w:r w:rsidR="00B364A8">
        <w:rPr>
          <w:lang w:val="en-US" w:eastAsia="zh-CN"/>
        </w:rPr>
        <w:t xml:space="preserve"> mobile </w:t>
      </w:r>
      <w:r>
        <w:rPr>
          <w:lang w:val="en-US" w:eastAsia="zh-CN"/>
        </w:rPr>
        <w:t>communications</w:t>
      </w:r>
      <w:r w:rsidR="00B364A8">
        <w:rPr>
          <w:lang w:val="en-US" w:eastAsia="zh-CN"/>
        </w:rPr>
        <w:t xml:space="preserve"> for IoT </w:t>
      </w:r>
      <w:r>
        <w:rPr>
          <w:lang w:val="en-US" w:eastAsia="zh-CN"/>
        </w:rPr>
        <w:t>applications</w:t>
      </w:r>
      <w:r w:rsidR="00B364A8">
        <w:rPr>
          <w:lang w:val="en-US" w:eastAsia="zh-CN"/>
        </w:rPr>
        <w:t xml:space="preserve">, the </w:t>
      </w:r>
      <w:r>
        <w:rPr>
          <w:lang w:val="en-US" w:eastAsia="zh-CN"/>
        </w:rPr>
        <w:t>availability</w:t>
      </w:r>
      <w:r w:rsidR="00B364A8">
        <w:rPr>
          <w:lang w:val="en-US" w:eastAsia="zh-CN"/>
        </w:rPr>
        <w:t xml:space="preserve"> </w:t>
      </w:r>
      <w:r>
        <w:rPr>
          <w:lang w:val="en-US" w:eastAsia="zh-CN"/>
        </w:rPr>
        <w:t>of</w:t>
      </w:r>
      <w:r w:rsidR="00B364A8">
        <w:rPr>
          <w:lang w:val="en-US" w:eastAsia="zh-CN"/>
        </w:rPr>
        <w:t xml:space="preserve"> additional spectrum including modifications to radio-</w:t>
      </w:r>
      <w:r>
        <w:rPr>
          <w:lang w:val="en-US" w:eastAsia="zh-CN"/>
        </w:rPr>
        <w:t>interface</w:t>
      </w:r>
      <w:r w:rsidR="00B364A8">
        <w:rPr>
          <w:lang w:val="en-US" w:eastAsia="zh-CN"/>
        </w:rPr>
        <w:t xml:space="preserve"> parameters for </w:t>
      </w:r>
      <w:r>
        <w:rPr>
          <w:lang w:val="en-US" w:eastAsia="zh-CN"/>
        </w:rPr>
        <w:t>IoT communications</w:t>
      </w:r>
      <w:r w:rsidR="00B364A8">
        <w:rPr>
          <w:lang w:val="en-US" w:eastAsia="zh-CN"/>
        </w:rPr>
        <w:t xml:space="preserve"> in the conte</w:t>
      </w:r>
      <w:r w:rsidR="008B7E0E">
        <w:rPr>
          <w:lang w:val="en-US" w:eastAsia="zh-CN"/>
        </w:rPr>
        <w:t>xt of short-range systems, and</w:t>
      </w:r>
      <w:r w:rsidR="00B364A8">
        <w:rPr>
          <w:lang w:val="en-US" w:eastAsia="zh-CN"/>
        </w:rPr>
        <w:t xml:space="preserve"> measures to boost </w:t>
      </w:r>
      <w:r w:rsidR="00275715">
        <w:rPr>
          <w:lang w:val="en-US" w:eastAsia="zh-CN"/>
        </w:rPr>
        <w:t xml:space="preserve">the </w:t>
      </w:r>
      <w:r w:rsidR="00B364A8">
        <w:rPr>
          <w:lang w:val="en-US" w:eastAsia="zh-CN"/>
        </w:rPr>
        <w:t xml:space="preserve">throughput </w:t>
      </w:r>
      <w:r>
        <w:rPr>
          <w:lang w:val="en-US" w:eastAsia="zh-CN"/>
        </w:rPr>
        <w:t>capacity</w:t>
      </w:r>
      <w:r w:rsidR="00B364A8">
        <w:rPr>
          <w:lang w:val="en-US" w:eastAsia="zh-CN"/>
        </w:rPr>
        <w:t xml:space="preserve"> of transport </w:t>
      </w:r>
      <w:r>
        <w:rPr>
          <w:lang w:val="en-US" w:eastAsia="zh-CN"/>
        </w:rPr>
        <w:t>netw</w:t>
      </w:r>
      <w:r w:rsidR="008B7E0E">
        <w:rPr>
          <w:lang w:val="en-US" w:eastAsia="zh-CN"/>
        </w:rPr>
        <w:t xml:space="preserve">orks </w:t>
      </w:r>
      <w:r w:rsidR="00B364A8">
        <w:rPr>
          <w:lang w:val="en-US" w:eastAsia="zh-CN"/>
        </w:rPr>
        <w:t xml:space="preserve">connecting IoT </w:t>
      </w:r>
      <w:r w:rsidR="00275715">
        <w:rPr>
          <w:lang w:val="en-US" w:eastAsia="zh-CN"/>
        </w:rPr>
        <w:t xml:space="preserve">hubs </w:t>
      </w:r>
      <w:r w:rsidR="00346CDF">
        <w:rPr>
          <w:lang w:val="en-US" w:eastAsia="zh-CN"/>
        </w:rPr>
        <w:t>in</w:t>
      </w:r>
      <w:r w:rsidR="00B364A8">
        <w:rPr>
          <w:lang w:val="en-US" w:eastAsia="zh-CN"/>
        </w:rPr>
        <w:t xml:space="preserve"> the </w:t>
      </w:r>
      <w:r>
        <w:rPr>
          <w:lang w:val="en-US" w:eastAsia="zh-CN"/>
        </w:rPr>
        <w:t>Internet</w:t>
      </w:r>
      <w:r w:rsidR="00B364A8">
        <w:rPr>
          <w:lang w:val="en-US" w:eastAsia="zh-CN"/>
        </w:rPr>
        <w:t>.</w:t>
      </w:r>
    </w:p>
    <w:p w:rsidR="00B364A8" w:rsidRDefault="009373E1" w:rsidP="003E0466">
      <w:pPr>
        <w:rPr>
          <w:lang w:val="en-US" w:eastAsia="zh-CN"/>
        </w:rPr>
      </w:pPr>
      <w:r>
        <w:rPr>
          <w:lang w:val="en-US" w:eastAsia="zh-CN"/>
        </w:rPr>
        <w:t>Nevertheless the growth in</w:t>
      </w:r>
      <w:r w:rsidR="008B7E0E">
        <w:rPr>
          <w:lang w:val="en-US" w:eastAsia="zh-CN"/>
        </w:rPr>
        <w:t xml:space="preserve"> demand for wireless access and</w:t>
      </w:r>
      <w:r>
        <w:rPr>
          <w:lang w:val="en-US" w:eastAsia="zh-CN"/>
        </w:rPr>
        <w:t xml:space="preserve"> mobile </w:t>
      </w:r>
      <w:r w:rsidR="008B7E0E">
        <w:rPr>
          <w:lang w:val="en-US" w:eastAsia="zh-CN"/>
        </w:rPr>
        <w:t xml:space="preserve">broadband </w:t>
      </w:r>
      <w:r w:rsidR="00076183">
        <w:rPr>
          <w:lang w:val="en-US" w:eastAsia="zh-CN"/>
        </w:rPr>
        <w:t>communications</w:t>
      </w:r>
      <w:r>
        <w:rPr>
          <w:lang w:val="en-US" w:eastAsia="zh-CN"/>
        </w:rPr>
        <w:t xml:space="preserve"> in the </w:t>
      </w:r>
      <w:r w:rsidR="00076183">
        <w:rPr>
          <w:lang w:val="en-US" w:eastAsia="zh-CN"/>
        </w:rPr>
        <w:t>future</w:t>
      </w:r>
      <w:r>
        <w:rPr>
          <w:lang w:val="en-US" w:eastAsia="zh-CN"/>
        </w:rPr>
        <w:t xml:space="preserve"> may </w:t>
      </w:r>
      <w:r w:rsidR="008E603F">
        <w:rPr>
          <w:lang w:val="en-US" w:eastAsia="zh-CN"/>
        </w:rPr>
        <w:t xml:space="preserve">limit the ability to provide the </w:t>
      </w:r>
      <w:r>
        <w:rPr>
          <w:lang w:val="en-US" w:eastAsia="zh-CN"/>
        </w:rPr>
        <w:t xml:space="preserve">capacity </w:t>
      </w:r>
      <w:r w:rsidR="008E603F">
        <w:rPr>
          <w:lang w:val="en-US" w:eastAsia="zh-CN"/>
        </w:rPr>
        <w:t xml:space="preserve">needed </w:t>
      </w:r>
      <w:r>
        <w:rPr>
          <w:lang w:val="en-US" w:eastAsia="zh-CN"/>
        </w:rPr>
        <w:t xml:space="preserve">for IoT </w:t>
      </w:r>
      <w:r w:rsidR="00076183">
        <w:rPr>
          <w:lang w:val="en-US" w:eastAsia="zh-CN"/>
        </w:rPr>
        <w:t>applications</w:t>
      </w:r>
      <w:r>
        <w:rPr>
          <w:lang w:val="en-US" w:eastAsia="zh-CN"/>
        </w:rPr>
        <w:t xml:space="preserve"> in </w:t>
      </w:r>
      <w:r w:rsidR="00076183">
        <w:rPr>
          <w:lang w:val="en-US" w:eastAsia="zh-CN"/>
        </w:rPr>
        <w:t>existing</w:t>
      </w:r>
      <w:r>
        <w:rPr>
          <w:lang w:val="en-US" w:eastAsia="zh-CN"/>
        </w:rPr>
        <w:t xml:space="preserve"> and developing IMT networks, which </w:t>
      </w:r>
      <w:r w:rsidR="008E603F">
        <w:rPr>
          <w:lang w:val="en-US" w:eastAsia="zh-CN"/>
        </w:rPr>
        <w:t>calls for</w:t>
      </w:r>
      <w:r>
        <w:rPr>
          <w:lang w:val="en-US" w:eastAsia="zh-CN"/>
        </w:rPr>
        <w:t xml:space="preserve"> the implem</w:t>
      </w:r>
      <w:r w:rsidR="00076183">
        <w:rPr>
          <w:lang w:val="en-US" w:eastAsia="zh-CN"/>
        </w:rPr>
        <w:t xml:space="preserve">entation </w:t>
      </w:r>
      <w:r>
        <w:rPr>
          <w:lang w:val="en-US" w:eastAsia="zh-CN"/>
        </w:rPr>
        <w:t xml:space="preserve">of new technologies and </w:t>
      </w:r>
      <w:r w:rsidR="008B7E0E">
        <w:rPr>
          <w:lang w:val="en-US" w:eastAsia="zh-CN"/>
        </w:rPr>
        <w:t>the</w:t>
      </w:r>
      <w:r>
        <w:rPr>
          <w:lang w:val="en-US" w:eastAsia="zh-CN"/>
        </w:rPr>
        <w:t xml:space="preserve"> develop</w:t>
      </w:r>
      <w:r w:rsidR="008B7E0E">
        <w:rPr>
          <w:lang w:val="en-US" w:eastAsia="zh-CN"/>
        </w:rPr>
        <w:t>ment of</w:t>
      </w:r>
      <w:r>
        <w:rPr>
          <w:lang w:val="en-US" w:eastAsia="zh-CN"/>
        </w:rPr>
        <w:t xml:space="preserve"> new radio-</w:t>
      </w:r>
      <w:r w:rsidR="00076183">
        <w:rPr>
          <w:lang w:val="en-US" w:eastAsia="zh-CN"/>
        </w:rPr>
        <w:t>interfaces</w:t>
      </w:r>
      <w:r>
        <w:rPr>
          <w:lang w:val="en-US" w:eastAsia="zh-CN"/>
        </w:rPr>
        <w:t xml:space="preserve"> for IoT </w:t>
      </w:r>
      <w:r w:rsidR="00076183">
        <w:rPr>
          <w:lang w:val="en-US" w:eastAsia="zh-CN"/>
        </w:rPr>
        <w:t>applications</w:t>
      </w:r>
      <w:r w:rsidR="006323F6">
        <w:rPr>
          <w:lang w:val="en-US" w:eastAsia="zh-CN"/>
        </w:rPr>
        <w:t>. New IoT radio-</w:t>
      </w:r>
      <w:r>
        <w:rPr>
          <w:lang w:val="en-US" w:eastAsia="zh-CN"/>
        </w:rPr>
        <w:t>interfaces</w:t>
      </w:r>
      <w:r w:rsidR="006323F6">
        <w:rPr>
          <w:lang w:val="en-US" w:eastAsia="zh-CN"/>
        </w:rPr>
        <w:t>,</w:t>
      </w:r>
      <w:r>
        <w:rPr>
          <w:lang w:val="en-US" w:eastAsia="zh-CN"/>
        </w:rPr>
        <w:t xml:space="preserve"> whether using already allocated spectrum or requiring dedicated spectrum for </w:t>
      </w:r>
      <w:r w:rsidR="008E603F">
        <w:rPr>
          <w:lang w:val="en-US" w:eastAsia="zh-CN"/>
        </w:rPr>
        <w:t xml:space="preserve">interference-free and uninterrupted </w:t>
      </w:r>
      <w:r>
        <w:rPr>
          <w:lang w:val="en-US" w:eastAsia="zh-CN"/>
        </w:rPr>
        <w:t>operation,</w:t>
      </w:r>
      <w:r w:rsidR="00275715">
        <w:rPr>
          <w:lang w:val="en-US" w:eastAsia="zh-CN"/>
        </w:rPr>
        <w:t xml:space="preserve"> require more accurate forecasts of future trends</w:t>
      </w:r>
      <w:r>
        <w:rPr>
          <w:lang w:val="en-US" w:eastAsia="zh-CN"/>
        </w:rPr>
        <w:t>.</w:t>
      </w:r>
    </w:p>
    <w:p w:rsidR="009373E1" w:rsidRDefault="00C07765" w:rsidP="003E0466">
      <w:pPr>
        <w:rPr>
          <w:lang w:val="en-US" w:eastAsia="zh-CN"/>
        </w:rPr>
      </w:pPr>
      <w:r>
        <w:rPr>
          <w:lang w:val="en-US" w:eastAsia="zh-CN"/>
        </w:rPr>
        <w:t xml:space="preserve">This gives rise to </w:t>
      </w:r>
      <w:r w:rsidR="00076183">
        <w:rPr>
          <w:lang w:val="en-US" w:eastAsia="zh-CN"/>
        </w:rPr>
        <w:t xml:space="preserve">a number of questions regarding the use of radiofrequency spectrum by </w:t>
      </w:r>
      <w:r>
        <w:rPr>
          <w:lang w:val="en-US" w:eastAsia="zh-CN"/>
        </w:rPr>
        <w:t xml:space="preserve">the </w:t>
      </w:r>
      <w:r w:rsidR="00076183">
        <w:rPr>
          <w:lang w:val="en-US" w:eastAsia="zh-CN"/>
        </w:rPr>
        <w:t>new IoT technologies.</w:t>
      </w:r>
    </w:p>
    <w:p w:rsidR="00711EC3" w:rsidRPr="003340DA" w:rsidRDefault="00697B4C" w:rsidP="003E0466">
      <w:pPr>
        <w:pStyle w:val="Heading1"/>
        <w:rPr>
          <w:lang w:val="en-US"/>
        </w:rPr>
      </w:pPr>
      <w:r w:rsidRPr="003340DA">
        <w:rPr>
          <w:lang w:val="en-US"/>
        </w:rPr>
        <w:t>3</w:t>
      </w:r>
      <w:r w:rsidR="00711EC3" w:rsidRPr="003340DA">
        <w:rPr>
          <w:lang w:val="en-US"/>
        </w:rPr>
        <w:tab/>
        <w:t>Proposals</w:t>
      </w:r>
    </w:p>
    <w:p w:rsidR="00E711F5" w:rsidRDefault="00E5412F" w:rsidP="003E0466">
      <w:pPr>
        <w:rPr>
          <w:lang w:val="en-US"/>
        </w:rPr>
      </w:pPr>
      <w:r>
        <w:rPr>
          <w:lang w:val="en-US"/>
        </w:rPr>
        <w:t>The RCC Administrations consider that, in view of the work being carried out in ITU-T and the rapid</w:t>
      </w:r>
      <w:r w:rsidR="009F6F08">
        <w:rPr>
          <w:lang w:val="en-US"/>
        </w:rPr>
        <w:t>ly growing</w:t>
      </w:r>
      <w:r>
        <w:rPr>
          <w:lang w:val="en-US"/>
        </w:rPr>
        <w:t xml:space="preserve"> interest of manufacturers in developing the Internet of Things, it </w:t>
      </w:r>
      <w:r w:rsidR="009F6F08">
        <w:rPr>
          <w:lang w:val="en-US"/>
        </w:rPr>
        <w:t xml:space="preserve">would be helpful </w:t>
      </w:r>
      <w:r>
        <w:rPr>
          <w:lang w:val="en-US"/>
        </w:rPr>
        <w:t>to adopt an ITU-R Resolution setting the general direction for studies in the field of IoT with</w:t>
      </w:r>
      <w:r w:rsidR="009F6F08">
        <w:rPr>
          <w:lang w:val="en-US"/>
        </w:rPr>
        <w:t>in the remit of ITU-R</w:t>
      </w:r>
      <w:r w:rsidR="00275715">
        <w:rPr>
          <w:lang w:val="en-US"/>
        </w:rPr>
        <w:t xml:space="preserve"> and helping</w:t>
      </w:r>
      <w:r>
        <w:rPr>
          <w:lang w:val="en-US"/>
        </w:rPr>
        <w:t xml:space="preserve"> to systematize the </w:t>
      </w:r>
      <w:r w:rsidR="00C07765">
        <w:rPr>
          <w:lang w:val="en-US"/>
        </w:rPr>
        <w:t>knowledge acquired by</w:t>
      </w:r>
      <w:r w:rsidR="008E603F">
        <w:rPr>
          <w:lang w:val="en-US"/>
        </w:rPr>
        <w:t xml:space="preserve"> the</w:t>
      </w:r>
      <w:r>
        <w:rPr>
          <w:lang w:val="en-US"/>
        </w:rPr>
        <w:t xml:space="preserve"> various study groups and working groups in this area.</w:t>
      </w:r>
    </w:p>
    <w:p w:rsidR="006261C5" w:rsidRDefault="006261C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E711F5" w:rsidRPr="009F6F08" w:rsidRDefault="009F6F08" w:rsidP="008A72F2">
      <w:pPr>
        <w:pStyle w:val="AnnexNo"/>
        <w:rPr>
          <w:lang w:val="en-US"/>
        </w:rPr>
      </w:pPr>
      <w:r w:rsidRPr="009F6F08">
        <w:rPr>
          <w:lang w:val="en-US"/>
        </w:rPr>
        <w:t>Annex 1</w:t>
      </w:r>
    </w:p>
    <w:p w:rsidR="009F6F08" w:rsidRPr="00144CDB" w:rsidRDefault="009F6F08" w:rsidP="003E0466">
      <w:pPr>
        <w:pStyle w:val="Proposal"/>
        <w:rPr>
          <w:b/>
          <w:bCs/>
        </w:rPr>
      </w:pPr>
      <w:r w:rsidRPr="00144CDB">
        <w:rPr>
          <w:b/>
          <w:bCs/>
        </w:rPr>
        <w:t>RCC/XA3/1</w:t>
      </w:r>
    </w:p>
    <w:p w:rsidR="00E711F5" w:rsidRPr="003340DA" w:rsidRDefault="00E711F5" w:rsidP="00CA0CA8">
      <w:pPr>
        <w:pStyle w:val="ResNo"/>
        <w:rPr>
          <w:lang w:val="en-US"/>
        </w:rPr>
      </w:pPr>
      <w:r w:rsidRPr="00C07765">
        <w:rPr>
          <w:lang w:val="en-US"/>
        </w:rPr>
        <w:t>Draft new</w:t>
      </w:r>
      <w:r w:rsidRPr="003340DA">
        <w:rPr>
          <w:lang w:val="en-US"/>
        </w:rPr>
        <w:t xml:space="preserve"> Resolution</w:t>
      </w:r>
      <w:r w:rsidR="00DF52C6">
        <w:rPr>
          <w:lang w:val="en-US"/>
        </w:rPr>
        <w:t xml:space="preserve"> </w:t>
      </w:r>
      <w:r w:rsidR="00DF52C6" w:rsidRPr="003340DA">
        <w:rPr>
          <w:lang w:val="en-US"/>
        </w:rPr>
        <w:t>ITU-R</w:t>
      </w:r>
      <w:r w:rsidR="00DF52C6">
        <w:rPr>
          <w:lang w:val="en-US"/>
        </w:rPr>
        <w:t xml:space="preserve"> [</w:t>
      </w:r>
      <w:r w:rsidR="00CA0CA8">
        <w:rPr>
          <w:lang w:val="en-US"/>
        </w:rPr>
        <w:t>IOT</w:t>
      </w:r>
      <w:r w:rsidR="00DF52C6">
        <w:rPr>
          <w:lang w:val="en-US"/>
        </w:rPr>
        <w:t>]</w:t>
      </w:r>
    </w:p>
    <w:p w:rsidR="0095242B" w:rsidRPr="003340DA" w:rsidRDefault="00E711F5" w:rsidP="00C1260B">
      <w:pPr>
        <w:pStyle w:val="Restitle"/>
        <w:rPr>
          <w:lang w:val="en-US"/>
        </w:rPr>
      </w:pPr>
      <w:r w:rsidRPr="003340DA">
        <w:rPr>
          <w:lang w:val="en-US"/>
        </w:rPr>
        <w:t xml:space="preserve">Studies related to </w:t>
      </w:r>
      <w:r w:rsidR="00C1260B">
        <w:rPr>
          <w:lang w:val="en-US"/>
        </w:rPr>
        <w:t>wireless systems and applications for the development of the Internet of Things (IoT)</w:t>
      </w:r>
    </w:p>
    <w:p w:rsidR="00E711F5" w:rsidRPr="003340DA" w:rsidRDefault="00C1260B" w:rsidP="00E900F3">
      <w:pPr>
        <w:pStyle w:val="Resdate"/>
        <w:rPr>
          <w:lang w:val="en-US"/>
        </w:rPr>
      </w:pPr>
      <w:r>
        <w:rPr>
          <w:lang w:val="en-US"/>
        </w:rPr>
        <w:t>(2015</w:t>
      </w:r>
      <w:r w:rsidR="00E711F5" w:rsidRPr="003340DA">
        <w:rPr>
          <w:lang w:val="en-US"/>
        </w:rPr>
        <w:t>)</w:t>
      </w:r>
    </w:p>
    <w:p w:rsidR="003340DA" w:rsidRPr="003340DA" w:rsidRDefault="003340DA" w:rsidP="00E900F3">
      <w:pPr>
        <w:pStyle w:val="Normalaftertitle"/>
        <w:rPr>
          <w:lang w:val="en-US"/>
        </w:rPr>
      </w:pPr>
      <w:r w:rsidRPr="003340DA">
        <w:rPr>
          <w:lang w:val="en-US"/>
        </w:rPr>
        <w:t>The ITU Radiocommunication Assembly,</w:t>
      </w:r>
    </w:p>
    <w:p w:rsidR="003340DA" w:rsidRPr="003340DA" w:rsidRDefault="00C1260B" w:rsidP="008A72F2">
      <w:pPr>
        <w:pStyle w:val="Call"/>
        <w:rPr>
          <w:lang w:val="en-US"/>
        </w:rPr>
      </w:pPr>
      <w:r>
        <w:rPr>
          <w:lang w:val="en-US"/>
        </w:rPr>
        <w:t>considering</w:t>
      </w:r>
    </w:p>
    <w:p w:rsidR="003340DA" w:rsidRPr="00C1260B" w:rsidRDefault="003340DA" w:rsidP="008A72F2">
      <w:pPr>
        <w:rPr>
          <w:lang w:val="en-US" w:eastAsia="zh-CN"/>
        </w:rPr>
      </w:pPr>
      <w:r w:rsidRPr="00E900F3">
        <w:rPr>
          <w:i/>
          <w:iCs/>
          <w:lang w:val="en-US"/>
        </w:rPr>
        <w:t>a)</w:t>
      </w:r>
      <w:r w:rsidRPr="003340DA">
        <w:rPr>
          <w:lang w:val="en-US"/>
        </w:rPr>
        <w:tab/>
      </w:r>
      <w:r w:rsidR="00C1260B" w:rsidRPr="00C1260B">
        <w:rPr>
          <w:lang w:val="en-US" w:eastAsia="zh-CN"/>
        </w:rPr>
        <w:t>that a globally connected "Internet of Things" (IoT) world will be built on the connectivity and functionality made possible by telecommunication networks;</w:t>
      </w:r>
    </w:p>
    <w:p w:rsidR="00C1260B" w:rsidRPr="00C1260B" w:rsidRDefault="003340DA" w:rsidP="008A72F2">
      <w:pPr>
        <w:rPr>
          <w:lang w:val="en-US" w:eastAsia="zh-CN"/>
        </w:rPr>
      </w:pPr>
      <w:r w:rsidRPr="00C1260B">
        <w:rPr>
          <w:i/>
          <w:iCs/>
          <w:lang w:val="en-US"/>
        </w:rPr>
        <w:t>b)</w:t>
      </w:r>
      <w:r w:rsidRPr="00C1260B">
        <w:rPr>
          <w:lang w:val="en-US"/>
        </w:rPr>
        <w:tab/>
      </w:r>
      <w:r w:rsidR="00C1260B" w:rsidRPr="00C1260B">
        <w:rPr>
          <w:lang w:val="en-US" w:eastAsia="zh-CN"/>
        </w:rPr>
        <w:t>that the global</w:t>
      </w:r>
      <w:r w:rsidR="009F6F08">
        <w:rPr>
          <w:lang w:val="en-US" w:eastAsia="zh-CN"/>
        </w:rPr>
        <w:t>ly</w:t>
      </w:r>
      <w:r w:rsidR="00C1260B" w:rsidRPr="00C1260B">
        <w:rPr>
          <w:lang w:val="en-US" w:eastAsia="zh-CN"/>
        </w:rPr>
        <w:t xml:space="preserve"> connected world also requires considerable enhancement of transmission speed, device connectivity and energy efficiency to accommodate the significant amounts of data among a plethora of devices;</w:t>
      </w:r>
    </w:p>
    <w:p w:rsidR="003340DA" w:rsidRPr="00C1260B" w:rsidRDefault="003340DA" w:rsidP="008A72F2">
      <w:pPr>
        <w:rPr>
          <w:lang w:val="en-US" w:eastAsia="zh-CN"/>
        </w:rPr>
      </w:pPr>
      <w:r w:rsidRPr="00C1260B">
        <w:rPr>
          <w:i/>
          <w:iCs/>
          <w:lang w:val="en-US"/>
        </w:rPr>
        <w:t>c)</w:t>
      </w:r>
      <w:r w:rsidRPr="00C1260B">
        <w:rPr>
          <w:lang w:val="en-US"/>
        </w:rPr>
        <w:tab/>
      </w:r>
      <w:r w:rsidR="00922B58" w:rsidRPr="00C1260B">
        <w:rPr>
          <w:lang w:val="en-US"/>
        </w:rPr>
        <w:t>that</w:t>
      </w:r>
      <w:r w:rsidR="00C1260B" w:rsidRPr="00C1260B">
        <w:rPr>
          <w:lang w:val="en-US"/>
        </w:rPr>
        <w:t xml:space="preserve"> ITU-T Study Group 20</w:t>
      </w:r>
      <w:r w:rsidR="009F6F08">
        <w:rPr>
          <w:lang w:val="en-US"/>
        </w:rPr>
        <w:t>, which is dealing with “</w:t>
      </w:r>
      <w:r w:rsidR="00C91CD1">
        <w:rPr>
          <w:rFonts w:cs="Segoe UI"/>
        </w:rPr>
        <w:t>IoT and its applications including smart cities and communities (SC&amp;C)</w:t>
      </w:r>
      <w:r w:rsidR="00C07765">
        <w:rPr>
          <w:rFonts w:cs="Segoe UI"/>
        </w:rPr>
        <w:t>”</w:t>
      </w:r>
      <w:r w:rsidR="008E603F">
        <w:rPr>
          <w:rFonts w:cs="Segoe UI"/>
        </w:rPr>
        <w:t>,</w:t>
      </w:r>
      <w:r w:rsidR="00C91CD1">
        <w:rPr>
          <w:lang w:val="en-US"/>
        </w:rPr>
        <w:t xml:space="preserve"> </w:t>
      </w:r>
      <w:r w:rsidR="00C1260B" w:rsidRPr="00C1260B">
        <w:rPr>
          <w:lang w:val="en-US"/>
        </w:rPr>
        <w:t>is developing international standards for the development</w:t>
      </w:r>
      <w:r w:rsidR="00C07765">
        <w:rPr>
          <w:lang w:val="en-US"/>
        </w:rPr>
        <w:t xml:space="preserve"> of IoT technologies including </w:t>
      </w:r>
      <w:r w:rsidR="00C1260B" w:rsidRPr="00C1260B">
        <w:rPr>
          <w:lang w:val="en-US"/>
        </w:rPr>
        <w:t>machine to machine (M2M) netw</w:t>
      </w:r>
      <w:r w:rsidR="00C1260B">
        <w:rPr>
          <w:lang w:val="en-US"/>
        </w:rPr>
        <w:t>or</w:t>
      </w:r>
      <w:r w:rsidR="00C1260B" w:rsidRPr="00C1260B">
        <w:rPr>
          <w:lang w:val="en-US"/>
        </w:rPr>
        <w:t>ks and Ubiquitous</w:t>
      </w:r>
      <w:r w:rsidR="00C1260B">
        <w:rPr>
          <w:lang w:val="en-US"/>
        </w:rPr>
        <w:t xml:space="preserve"> Sensor Networks </w:t>
      </w:r>
      <w:r w:rsidR="00C1260B" w:rsidRPr="00C1260B">
        <w:rPr>
          <w:lang w:val="en-US"/>
        </w:rPr>
        <w:t>(USN)</w:t>
      </w:r>
      <w:r w:rsidRPr="00C1260B">
        <w:rPr>
          <w:lang w:val="en-US"/>
        </w:rPr>
        <w:t>;</w:t>
      </w:r>
    </w:p>
    <w:p w:rsidR="003340DA" w:rsidRDefault="003340DA" w:rsidP="008A72F2">
      <w:pPr>
        <w:rPr>
          <w:lang w:val="en-US"/>
        </w:rPr>
      </w:pPr>
      <w:r w:rsidRPr="00E900F3">
        <w:rPr>
          <w:i/>
          <w:iCs/>
          <w:lang w:val="en-US"/>
        </w:rPr>
        <w:t>d)</w:t>
      </w:r>
      <w:r w:rsidRPr="003340DA">
        <w:rPr>
          <w:lang w:val="en-US"/>
        </w:rPr>
        <w:tab/>
      </w:r>
      <w:r w:rsidR="00C1260B">
        <w:rPr>
          <w:lang w:val="en-US"/>
        </w:rPr>
        <w:t>that many administrations, equipment developers and standard</w:t>
      </w:r>
      <w:r w:rsidR="00C07765">
        <w:rPr>
          <w:lang w:val="en-US"/>
        </w:rPr>
        <w:t xml:space="preserve">ization </w:t>
      </w:r>
      <w:r w:rsidR="00C1260B">
        <w:rPr>
          <w:lang w:val="en-US"/>
        </w:rPr>
        <w:t xml:space="preserve">bodies are considering wireless </w:t>
      </w:r>
      <w:r w:rsidR="008E603F">
        <w:rPr>
          <w:lang w:val="en-US"/>
        </w:rPr>
        <w:t xml:space="preserve">technologies and short-range applications for </w:t>
      </w:r>
      <w:r w:rsidR="00C1260B">
        <w:rPr>
          <w:lang w:val="en-US"/>
        </w:rPr>
        <w:t>IoT</w:t>
      </w:r>
      <w:r w:rsidR="008E603F">
        <w:rPr>
          <w:lang w:val="en-US"/>
        </w:rPr>
        <w:t xml:space="preserve"> use</w:t>
      </w:r>
      <w:r w:rsidR="00C1260B">
        <w:rPr>
          <w:lang w:val="en-US"/>
        </w:rPr>
        <w:t xml:space="preserve"> </w:t>
      </w:r>
      <w:r w:rsidR="003650F1">
        <w:rPr>
          <w:lang w:val="en-US"/>
        </w:rPr>
        <w:t>in various license-exempt</w:t>
      </w:r>
      <w:r w:rsidR="00F96BB9">
        <w:rPr>
          <w:lang w:val="en-US"/>
        </w:rPr>
        <w:t xml:space="preserve"> frequency bands including bands </w:t>
      </w:r>
      <w:r w:rsidR="008E603F">
        <w:rPr>
          <w:lang w:val="en-US"/>
        </w:rPr>
        <w:t xml:space="preserve">earmarked </w:t>
      </w:r>
      <w:r w:rsidR="00F96BB9">
        <w:rPr>
          <w:lang w:val="en-US"/>
        </w:rPr>
        <w:t xml:space="preserve">for </w:t>
      </w:r>
      <w:r w:rsidR="008E603F">
        <w:rPr>
          <w:lang w:val="en-US"/>
        </w:rPr>
        <w:t xml:space="preserve">the deployment of </w:t>
      </w:r>
      <w:r w:rsidR="00357A98">
        <w:rPr>
          <w:lang w:val="en-US"/>
        </w:rPr>
        <w:t>industrial</w:t>
      </w:r>
      <w:r w:rsidR="00F96BB9">
        <w:rPr>
          <w:lang w:val="en-US"/>
        </w:rPr>
        <w:t xml:space="preserve">, </w:t>
      </w:r>
      <w:r w:rsidR="00357A98">
        <w:rPr>
          <w:lang w:val="en-US"/>
        </w:rPr>
        <w:t>scientific</w:t>
      </w:r>
      <w:r w:rsidR="00F96BB9">
        <w:rPr>
          <w:lang w:val="en-US"/>
        </w:rPr>
        <w:t xml:space="preserve"> and medical (ISM) applications;</w:t>
      </w:r>
    </w:p>
    <w:p w:rsidR="00F96BB9" w:rsidRDefault="00F96BB9" w:rsidP="008A72F2">
      <w:pPr>
        <w:rPr>
          <w:lang w:val="en-US"/>
        </w:rPr>
      </w:pPr>
      <w:r w:rsidRPr="003650F1">
        <w:rPr>
          <w:i/>
          <w:iCs/>
          <w:lang w:val="en-US"/>
        </w:rPr>
        <w:t>e)</w:t>
      </w:r>
      <w:r>
        <w:rPr>
          <w:lang w:val="en-US"/>
        </w:rPr>
        <w:tab/>
        <w:t>that many admi</w:t>
      </w:r>
      <w:r w:rsidR="00357A98">
        <w:rPr>
          <w:lang w:val="en-US"/>
        </w:rPr>
        <w:t>nistrations</w:t>
      </w:r>
      <w:r>
        <w:rPr>
          <w:lang w:val="en-US"/>
        </w:rPr>
        <w:t xml:space="preserve">, </w:t>
      </w:r>
      <w:r w:rsidR="00357A98">
        <w:rPr>
          <w:lang w:val="en-US"/>
        </w:rPr>
        <w:t>equipment</w:t>
      </w:r>
      <w:r>
        <w:rPr>
          <w:lang w:val="en-US"/>
        </w:rPr>
        <w:t xml:space="preserve"> develop</w:t>
      </w:r>
      <w:r w:rsidR="009F6F08">
        <w:rPr>
          <w:lang w:val="en-US"/>
        </w:rPr>
        <w:t xml:space="preserve">ers </w:t>
      </w:r>
      <w:r>
        <w:rPr>
          <w:lang w:val="en-US"/>
        </w:rPr>
        <w:t xml:space="preserve">and </w:t>
      </w:r>
      <w:r w:rsidR="00357A98">
        <w:rPr>
          <w:lang w:val="en-US"/>
        </w:rPr>
        <w:t>standard</w:t>
      </w:r>
      <w:r w:rsidR="008E603F">
        <w:rPr>
          <w:lang w:val="en-US"/>
        </w:rPr>
        <w:t xml:space="preserve">ization </w:t>
      </w:r>
      <w:r>
        <w:rPr>
          <w:lang w:val="en-US"/>
        </w:rPr>
        <w:t xml:space="preserve">bodies are </w:t>
      </w:r>
      <w:r w:rsidR="00357A98">
        <w:rPr>
          <w:lang w:val="en-US"/>
        </w:rPr>
        <w:t>also</w:t>
      </w:r>
      <w:r>
        <w:rPr>
          <w:lang w:val="en-US"/>
        </w:rPr>
        <w:t xml:space="preserve"> </w:t>
      </w:r>
      <w:r w:rsidR="008E603F">
        <w:rPr>
          <w:lang w:val="en-US"/>
        </w:rPr>
        <w:t>considering</w:t>
      </w:r>
      <w:r>
        <w:rPr>
          <w:lang w:val="en-US"/>
        </w:rPr>
        <w:t xml:space="preserve"> </w:t>
      </w:r>
      <w:r w:rsidR="00357A98">
        <w:rPr>
          <w:lang w:val="en-US"/>
        </w:rPr>
        <w:t>wireless</w:t>
      </w:r>
      <w:r>
        <w:rPr>
          <w:lang w:val="en-US"/>
        </w:rPr>
        <w:t xml:space="preserve"> technologies and </w:t>
      </w:r>
      <w:r w:rsidR="00357A98">
        <w:rPr>
          <w:lang w:val="en-US"/>
        </w:rPr>
        <w:t>applications</w:t>
      </w:r>
      <w:r>
        <w:rPr>
          <w:lang w:val="en-US"/>
        </w:rPr>
        <w:t xml:space="preserve"> for IoT in various frequency bands allocated to the </w:t>
      </w:r>
      <w:r w:rsidR="008E603F">
        <w:rPr>
          <w:lang w:val="en-US"/>
        </w:rPr>
        <w:t>relevant</w:t>
      </w:r>
      <w:r>
        <w:rPr>
          <w:lang w:val="en-US"/>
        </w:rPr>
        <w:t xml:space="preserve"> services;</w:t>
      </w:r>
    </w:p>
    <w:p w:rsidR="00F96BB9" w:rsidRDefault="00F96BB9" w:rsidP="008A72F2">
      <w:pPr>
        <w:rPr>
          <w:lang w:val="en-US"/>
        </w:rPr>
      </w:pPr>
      <w:r w:rsidRPr="003650F1">
        <w:rPr>
          <w:i/>
          <w:iCs/>
          <w:lang w:val="en-US"/>
        </w:rPr>
        <w:t>f)</w:t>
      </w:r>
      <w:r>
        <w:rPr>
          <w:lang w:val="en-US"/>
        </w:rPr>
        <w:tab/>
        <w:t>Recommendation ITU-R M.2002</w:t>
      </w:r>
      <w:r w:rsidR="003650F1">
        <w:rPr>
          <w:lang w:val="en-US"/>
        </w:rPr>
        <w:t xml:space="preserve">, on </w:t>
      </w:r>
      <w:r w:rsidRPr="00F96BB9">
        <w:rPr>
          <w:lang w:val="en-US"/>
        </w:rPr>
        <w:t>Objectives, characteristics and functional requirements of wide-area sensor and/or actuator network (WASN) systems</w:t>
      </w:r>
      <w:r>
        <w:rPr>
          <w:lang w:val="en-US"/>
        </w:rPr>
        <w:t>;</w:t>
      </w:r>
    </w:p>
    <w:p w:rsidR="00F96BB9" w:rsidRPr="00C91CD1" w:rsidRDefault="00F96BB9" w:rsidP="008A72F2">
      <w:pPr>
        <w:rPr>
          <w:lang w:val="en-US"/>
        </w:rPr>
      </w:pPr>
      <w:r w:rsidRPr="003650F1">
        <w:rPr>
          <w:i/>
          <w:iCs/>
          <w:lang w:val="en-US"/>
        </w:rPr>
        <w:t>g)</w:t>
      </w:r>
      <w:r w:rsidR="00C91CD1">
        <w:rPr>
          <w:lang w:val="en-US"/>
        </w:rPr>
        <w:tab/>
        <w:t>Recommendation ITU-R M.2083</w:t>
      </w:r>
      <w:r w:rsidR="008E603F">
        <w:rPr>
          <w:lang w:val="en-US"/>
        </w:rPr>
        <w:t>,</w:t>
      </w:r>
      <w:r w:rsidR="003650F1">
        <w:rPr>
          <w:lang w:val="en-US"/>
        </w:rPr>
        <w:t xml:space="preserve"> on </w:t>
      </w:r>
      <w:r w:rsidR="00C91CD1">
        <w:rPr>
          <w:lang w:val="en-US"/>
        </w:rPr>
        <w:t>IMT Vision – Framework and overall objectives of the future development of IMT for 2020 and beyond;</w:t>
      </w:r>
    </w:p>
    <w:p w:rsidR="00F96BB9" w:rsidRDefault="003650F1" w:rsidP="008A72F2">
      <w:pPr>
        <w:rPr>
          <w:b/>
          <w:lang w:eastAsia="ja-JP"/>
        </w:rPr>
      </w:pPr>
      <w:r w:rsidRPr="003650F1">
        <w:rPr>
          <w:i/>
          <w:iCs/>
        </w:rPr>
        <w:t>h)</w:t>
      </w:r>
      <w:r w:rsidR="00F96BB9">
        <w:rPr>
          <w:lang w:val="en-US"/>
        </w:rPr>
        <w:tab/>
      </w:r>
      <w:r w:rsidR="00F96BB9" w:rsidRPr="00F96BB9">
        <w:rPr>
          <w:lang w:val="en-US"/>
        </w:rPr>
        <w:t>Question ITU-R 250-1/5</w:t>
      </w:r>
      <w:r w:rsidR="008E603F">
        <w:rPr>
          <w:lang w:val="en-US"/>
        </w:rPr>
        <w:t>,</w:t>
      </w:r>
      <w:r>
        <w:rPr>
          <w:b/>
          <w:lang w:val="en-US"/>
        </w:rPr>
        <w:t xml:space="preserve"> </w:t>
      </w:r>
      <w:r w:rsidRPr="00903E2A">
        <w:rPr>
          <w:bCs/>
          <w:lang w:val="en-US"/>
        </w:rPr>
        <w:t>on</w:t>
      </w:r>
      <w:r>
        <w:rPr>
          <w:b/>
          <w:lang w:val="en-US"/>
        </w:rPr>
        <w:t xml:space="preserve"> </w:t>
      </w:r>
      <w:r w:rsidR="00F96BB9" w:rsidRPr="00F96BB9">
        <w:t>Mobile wireless access systems providing telecommunications for a large number of ubiquitous sensors and/or actuators scattered over wide areas</w:t>
      </w:r>
      <w:r w:rsidR="00F96BB9" w:rsidRPr="00F96BB9">
        <w:rPr>
          <w:lang w:eastAsia="ja-JP"/>
        </w:rPr>
        <w:t xml:space="preserve"> </w:t>
      </w:r>
      <w:r w:rsidR="00F96BB9" w:rsidRPr="00F96BB9">
        <w:t xml:space="preserve">as well as </w:t>
      </w:r>
      <w:r w:rsidR="00F96BB9" w:rsidRPr="00F96BB9">
        <w:rPr>
          <w:lang w:eastAsia="ja-JP"/>
        </w:rPr>
        <w:t xml:space="preserve">machine to machine </w:t>
      </w:r>
      <w:r w:rsidR="0012631C" w:rsidRPr="00F96BB9">
        <w:rPr>
          <w:lang w:eastAsia="ja-JP"/>
        </w:rPr>
        <w:t>communications</w:t>
      </w:r>
      <w:r w:rsidR="0012631C" w:rsidRPr="00F96BB9">
        <w:t xml:space="preserve"> in</w:t>
      </w:r>
      <w:r w:rsidR="00F96BB9" w:rsidRPr="00F96BB9">
        <w:rPr>
          <w:lang w:eastAsia="ja-JP"/>
        </w:rPr>
        <w:t xml:space="preserve"> the land mobile service</w:t>
      </w:r>
      <w:r w:rsidR="00F96BB9">
        <w:rPr>
          <w:lang w:eastAsia="ja-JP"/>
        </w:rPr>
        <w:t>;</w:t>
      </w:r>
    </w:p>
    <w:p w:rsidR="0012631C" w:rsidRPr="0012631C" w:rsidRDefault="0012631C" w:rsidP="003C07F5">
      <w:r w:rsidRPr="003650F1">
        <w:rPr>
          <w:i/>
          <w:iCs/>
          <w:lang w:eastAsia="ja-JP"/>
        </w:rPr>
        <w:t>i)</w:t>
      </w:r>
      <w:r>
        <w:rPr>
          <w:lang w:eastAsia="ja-JP"/>
        </w:rPr>
        <w:tab/>
        <w:t>Rep</w:t>
      </w:r>
      <w:r w:rsidR="00C91CD1" w:rsidRPr="0012631C">
        <w:rPr>
          <w:lang w:eastAsia="ja-JP"/>
        </w:rPr>
        <w:t>ort ITU-R M.2370-0</w:t>
      </w:r>
      <w:r w:rsidR="008E603F">
        <w:rPr>
          <w:lang w:eastAsia="ja-JP"/>
        </w:rPr>
        <w:t>,</w:t>
      </w:r>
      <w:r w:rsidR="00C91CD1" w:rsidRPr="0012631C">
        <w:rPr>
          <w:lang w:eastAsia="ja-JP"/>
        </w:rPr>
        <w:t xml:space="preserve"> </w:t>
      </w:r>
      <w:r w:rsidR="003650F1">
        <w:rPr>
          <w:lang w:eastAsia="ja-JP"/>
        </w:rPr>
        <w:t xml:space="preserve">on </w:t>
      </w:r>
      <w:r>
        <w:t>IMT</w:t>
      </w:r>
      <w:r w:rsidRPr="0012631C">
        <w:t xml:space="preserve"> </w:t>
      </w:r>
      <w:r>
        <w:t>traffic estimates for the years 2020 to 2030,</w:t>
      </w:r>
    </w:p>
    <w:p w:rsidR="003340DA" w:rsidRPr="00E900F3" w:rsidRDefault="00F96BB9" w:rsidP="008A72F2">
      <w:pPr>
        <w:pStyle w:val="Call"/>
        <w:rPr>
          <w:lang w:val="en-US"/>
        </w:rPr>
      </w:pPr>
      <w:r>
        <w:rPr>
          <w:lang w:val="en-US"/>
        </w:rPr>
        <w:t>recognizing</w:t>
      </w:r>
    </w:p>
    <w:p w:rsidR="003340DA" w:rsidRPr="008A72F2" w:rsidRDefault="003340DA" w:rsidP="008A72F2">
      <w:pPr>
        <w:rPr>
          <w:lang w:val="en-US" w:eastAsia="zh-CN"/>
        </w:rPr>
      </w:pPr>
      <w:r w:rsidRPr="00E900F3">
        <w:rPr>
          <w:i/>
          <w:iCs/>
          <w:lang w:val="en-US"/>
        </w:rPr>
        <w:t>a)</w:t>
      </w:r>
      <w:r w:rsidRPr="003340DA">
        <w:rPr>
          <w:lang w:val="en-US"/>
        </w:rPr>
        <w:tab/>
      </w:r>
      <w:r w:rsidR="003650F1">
        <w:rPr>
          <w:lang w:val="en-US"/>
        </w:rPr>
        <w:t xml:space="preserve">Resolution 197 (Busan, 2014), on </w:t>
      </w:r>
      <w:r w:rsidR="00271408" w:rsidRPr="00271408">
        <w:rPr>
          <w:lang w:val="en-US" w:eastAsia="zh-CN"/>
        </w:rPr>
        <w:t>Facilitating the Internet of Things to prepare for</w:t>
      </w:r>
      <w:r w:rsidR="008A72F2">
        <w:rPr>
          <w:lang w:val="en-US" w:eastAsia="zh-CN"/>
        </w:rPr>
        <w:t xml:space="preserve"> </w:t>
      </w:r>
      <w:r w:rsidR="00271408" w:rsidRPr="00271408">
        <w:rPr>
          <w:szCs w:val="24"/>
          <w:lang w:val="en-US" w:eastAsia="zh-CN"/>
        </w:rPr>
        <w:t>a globally connected world</w:t>
      </w:r>
      <w:r w:rsidR="00271408">
        <w:rPr>
          <w:szCs w:val="24"/>
          <w:lang w:val="en-US" w:eastAsia="zh-CN"/>
        </w:rPr>
        <w:t>;</w:t>
      </w:r>
    </w:p>
    <w:p w:rsidR="00321FF2" w:rsidRDefault="003340DA" w:rsidP="003C07F5">
      <w:pPr>
        <w:rPr>
          <w:lang w:val="en-US"/>
        </w:rPr>
      </w:pPr>
      <w:r w:rsidRPr="00E900F3">
        <w:rPr>
          <w:i/>
          <w:iCs/>
          <w:lang w:val="en-US"/>
        </w:rPr>
        <w:t>b)</w:t>
      </w:r>
      <w:r w:rsidRPr="003340DA">
        <w:rPr>
          <w:lang w:val="en-US"/>
        </w:rPr>
        <w:tab/>
      </w:r>
      <w:r w:rsidR="00271408">
        <w:rPr>
          <w:lang w:val="en-US"/>
        </w:rPr>
        <w:t>the use of different radiofr</w:t>
      </w:r>
      <w:r w:rsidR="009F6F08">
        <w:rPr>
          <w:lang w:val="en-US"/>
        </w:rPr>
        <w:t>eque</w:t>
      </w:r>
      <w:r w:rsidR="00271408">
        <w:rPr>
          <w:lang w:val="en-US"/>
        </w:rPr>
        <w:t>n</w:t>
      </w:r>
      <w:r w:rsidR="009F6F08">
        <w:rPr>
          <w:lang w:val="en-US"/>
        </w:rPr>
        <w:t>c</w:t>
      </w:r>
      <w:r w:rsidR="00271408">
        <w:rPr>
          <w:lang w:val="en-US"/>
        </w:rPr>
        <w:t xml:space="preserve">y bands by </w:t>
      </w:r>
      <w:r w:rsidR="002A1FCE">
        <w:rPr>
          <w:lang w:val="en-US"/>
        </w:rPr>
        <w:t>radiocommunication</w:t>
      </w:r>
      <w:r w:rsidR="00271408">
        <w:rPr>
          <w:lang w:val="en-US"/>
        </w:rPr>
        <w:t xml:space="preserve"> services, many of which provide communication</w:t>
      </w:r>
      <w:r w:rsidR="009F6F08">
        <w:rPr>
          <w:lang w:val="en-US"/>
        </w:rPr>
        <w:t xml:space="preserve"> channels, </w:t>
      </w:r>
      <w:r w:rsidR="002A1FCE">
        <w:rPr>
          <w:lang w:val="en-US"/>
        </w:rPr>
        <w:t>infrastructure</w:t>
      </w:r>
      <w:r w:rsidR="009F6F08">
        <w:rPr>
          <w:lang w:val="en-US"/>
        </w:rPr>
        <w:t xml:space="preserve"> and capacity</w:t>
      </w:r>
      <w:r w:rsidR="00271408">
        <w:rPr>
          <w:lang w:val="en-US"/>
        </w:rPr>
        <w:t xml:space="preserve"> that could be used in IoT deployment with the aim of ensuring cost-effective</w:t>
      </w:r>
      <w:r w:rsidR="00C07765">
        <w:rPr>
          <w:lang w:val="en-US"/>
        </w:rPr>
        <w:t xml:space="preserve"> </w:t>
      </w:r>
      <w:r w:rsidR="00357A98">
        <w:rPr>
          <w:lang w:val="en-US"/>
        </w:rPr>
        <w:t>deployment</w:t>
      </w:r>
      <w:r w:rsidR="00271408">
        <w:rPr>
          <w:lang w:val="en-US"/>
        </w:rPr>
        <w:t xml:space="preserve"> and </w:t>
      </w:r>
      <w:r w:rsidR="00357A98">
        <w:rPr>
          <w:lang w:val="en-US"/>
        </w:rPr>
        <w:t>eff</w:t>
      </w:r>
      <w:r w:rsidR="009F6F08">
        <w:rPr>
          <w:lang w:val="en-US"/>
        </w:rPr>
        <w:t xml:space="preserve">icient </w:t>
      </w:r>
      <w:r w:rsidR="00271408">
        <w:rPr>
          <w:lang w:val="en-US"/>
        </w:rPr>
        <w:t>use of the radiofre</w:t>
      </w:r>
      <w:r w:rsidR="00357A98">
        <w:rPr>
          <w:lang w:val="en-US"/>
        </w:rPr>
        <w:t xml:space="preserve">quency </w:t>
      </w:r>
      <w:r w:rsidR="009F6F08">
        <w:rPr>
          <w:lang w:val="en-US"/>
        </w:rPr>
        <w:t>spectrum,</w:t>
      </w:r>
    </w:p>
    <w:p w:rsidR="003340DA" w:rsidRPr="00E900F3" w:rsidRDefault="003340DA" w:rsidP="008A72F2">
      <w:pPr>
        <w:pStyle w:val="Call"/>
        <w:rPr>
          <w:lang w:val="en-US"/>
        </w:rPr>
      </w:pPr>
      <w:r w:rsidRPr="003340DA">
        <w:rPr>
          <w:lang w:val="en-US"/>
        </w:rPr>
        <w:t>resolves</w:t>
      </w:r>
      <w:r w:rsidR="003650F1">
        <w:rPr>
          <w:lang w:val="en-US"/>
        </w:rPr>
        <w:t xml:space="preserve"> to invite</w:t>
      </w:r>
      <w:r w:rsidR="00271408">
        <w:rPr>
          <w:lang w:val="en-US"/>
        </w:rPr>
        <w:t xml:space="preserve"> ITU-R</w:t>
      </w:r>
    </w:p>
    <w:p w:rsidR="003340DA" w:rsidRPr="00321FF2" w:rsidRDefault="00271408" w:rsidP="008A72F2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 xml:space="preserve">to conduct studies in the area of </w:t>
      </w:r>
      <w:r w:rsidR="00357A98">
        <w:rPr>
          <w:lang w:val="en-US"/>
        </w:rPr>
        <w:t>development</w:t>
      </w:r>
      <w:r>
        <w:rPr>
          <w:lang w:val="en-US"/>
        </w:rPr>
        <w:t xml:space="preserve"> of radio netw</w:t>
      </w:r>
      <w:r w:rsidR="009F6F08">
        <w:rPr>
          <w:lang w:val="en-US"/>
        </w:rPr>
        <w:t xml:space="preserve">orks </w:t>
      </w:r>
      <w:r>
        <w:rPr>
          <w:lang w:val="en-US"/>
        </w:rPr>
        <w:t xml:space="preserve">and </w:t>
      </w:r>
      <w:r w:rsidR="00357A98">
        <w:rPr>
          <w:lang w:val="en-US"/>
        </w:rPr>
        <w:t>systems</w:t>
      </w:r>
      <w:r>
        <w:rPr>
          <w:lang w:val="en-US"/>
        </w:rPr>
        <w:t xml:space="preserve"> for the development of the Internet of Things;</w:t>
      </w:r>
    </w:p>
    <w:p w:rsidR="00321FF2" w:rsidRDefault="00321FF2" w:rsidP="008A72F2">
      <w:pPr>
        <w:rPr>
          <w:lang w:val="en-US"/>
        </w:rPr>
      </w:pPr>
      <w:r w:rsidRPr="00321FF2">
        <w:rPr>
          <w:lang w:val="en-US"/>
        </w:rPr>
        <w:t>2</w:t>
      </w:r>
      <w:r w:rsidRPr="00321FF2">
        <w:rPr>
          <w:lang w:val="en-US"/>
        </w:rPr>
        <w:tab/>
      </w:r>
      <w:r w:rsidR="00271408">
        <w:rPr>
          <w:lang w:val="en-US"/>
        </w:rPr>
        <w:t xml:space="preserve">to develop </w:t>
      </w:r>
      <w:r w:rsidR="00357A98">
        <w:rPr>
          <w:lang w:val="en-US"/>
        </w:rPr>
        <w:t>appropriate</w:t>
      </w:r>
      <w:r w:rsidR="00271408">
        <w:rPr>
          <w:lang w:val="en-US"/>
        </w:rPr>
        <w:t xml:space="preserve"> ITU-R Recommendations and/or </w:t>
      </w:r>
      <w:r w:rsidR="00357A98">
        <w:rPr>
          <w:lang w:val="en-US"/>
        </w:rPr>
        <w:t>reports</w:t>
      </w:r>
      <w:r w:rsidR="009F6F08">
        <w:rPr>
          <w:lang w:val="en-US"/>
        </w:rPr>
        <w:t>,</w:t>
      </w:r>
      <w:r w:rsidR="00271408">
        <w:rPr>
          <w:lang w:val="en-US"/>
        </w:rPr>
        <w:t xml:space="preserve"> </w:t>
      </w:r>
      <w:r w:rsidR="009F6F08">
        <w:rPr>
          <w:lang w:val="en-US"/>
        </w:rPr>
        <w:t xml:space="preserve">as appropriate, </w:t>
      </w:r>
      <w:r w:rsidR="00271408">
        <w:rPr>
          <w:lang w:val="en-US"/>
        </w:rPr>
        <w:t xml:space="preserve">on the </w:t>
      </w:r>
      <w:r w:rsidR="00357A98">
        <w:rPr>
          <w:lang w:val="en-US"/>
        </w:rPr>
        <w:t>basis</w:t>
      </w:r>
      <w:r w:rsidR="00271408">
        <w:rPr>
          <w:lang w:val="en-US"/>
        </w:rPr>
        <w:t xml:space="preserve"> of the studies referred </w:t>
      </w:r>
      <w:r w:rsidR="00357A98">
        <w:rPr>
          <w:lang w:val="en-US"/>
        </w:rPr>
        <w:t>to</w:t>
      </w:r>
      <w:r w:rsidR="008E603F">
        <w:rPr>
          <w:lang w:val="en-US"/>
        </w:rPr>
        <w:t xml:space="preserve"> above</w:t>
      </w:r>
      <w:r w:rsidR="00271408">
        <w:rPr>
          <w:lang w:val="en-US"/>
        </w:rPr>
        <w:t>;</w:t>
      </w:r>
    </w:p>
    <w:p w:rsidR="00271408" w:rsidRDefault="00271408" w:rsidP="003C07F5">
      <w:pPr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 xml:space="preserve">that the study groups conducting </w:t>
      </w:r>
      <w:r w:rsidR="00357A98">
        <w:rPr>
          <w:lang w:val="en-US"/>
        </w:rPr>
        <w:t>studies</w:t>
      </w:r>
      <w:r>
        <w:rPr>
          <w:lang w:val="en-US"/>
        </w:rPr>
        <w:t xml:space="preserve"> regularly inform the </w:t>
      </w:r>
      <w:r w:rsidR="00357A98">
        <w:rPr>
          <w:lang w:val="en-US"/>
        </w:rPr>
        <w:t>Radiocommunication</w:t>
      </w:r>
      <w:r>
        <w:rPr>
          <w:lang w:val="en-US"/>
        </w:rPr>
        <w:t xml:space="preserve"> </w:t>
      </w:r>
      <w:r w:rsidR="00357A98">
        <w:rPr>
          <w:lang w:val="en-US"/>
        </w:rPr>
        <w:t>A</w:t>
      </w:r>
      <w:r>
        <w:rPr>
          <w:lang w:val="en-US"/>
        </w:rPr>
        <w:t>dvisory Group of the results of the implem</w:t>
      </w:r>
      <w:r w:rsidR="00357A98">
        <w:rPr>
          <w:lang w:val="en-US"/>
        </w:rPr>
        <w:t>en</w:t>
      </w:r>
      <w:r>
        <w:rPr>
          <w:lang w:val="en-US"/>
        </w:rPr>
        <w:t>ta</w:t>
      </w:r>
      <w:r w:rsidR="00357A98">
        <w:rPr>
          <w:lang w:val="en-US"/>
        </w:rPr>
        <w:t>t</w:t>
      </w:r>
      <w:r>
        <w:rPr>
          <w:lang w:val="en-US"/>
        </w:rPr>
        <w:t>ion of this Resolution,</w:t>
      </w:r>
    </w:p>
    <w:p w:rsidR="00271408" w:rsidRDefault="00271408" w:rsidP="008A72F2">
      <w:pPr>
        <w:pStyle w:val="Call"/>
        <w:rPr>
          <w:lang w:val="en-US"/>
        </w:rPr>
      </w:pPr>
      <w:r w:rsidRPr="00271408">
        <w:rPr>
          <w:lang w:val="en-US"/>
        </w:rPr>
        <w:t>further resolves</w:t>
      </w:r>
    </w:p>
    <w:p w:rsidR="00562DF1" w:rsidRDefault="00271408" w:rsidP="003C07F5">
      <w:pPr>
        <w:rPr>
          <w:lang w:val="en-US"/>
        </w:rPr>
      </w:pPr>
      <w:r w:rsidRPr="00271408">
        <w:rPr>
          <w:lang w:val="en-US"/>
        </w:rPr>
        <w:t>to support close cooperation and</w:t>
      </w:r>
      <w:r>
        <w:rPr>
          <w:lang w:val="en-US"/>
        </w:rPr>
        <w:t xml:space="preserve"> to collaborate </w:t>
      </w:r>
      <w:r w:rsidR="00357A98">
        <w:rPr>
          <w:lang w:val="en-US"/>
        </w:rPr>
        <w:t>regularly</w:t>
      </w:r>
      <w:r>
        <w:rPr>
          <w:lang w:val="en-US"/>
        </w:rPr>
        <w:t xml:space="preserve"> with ITU-T, to take account of the results </w:t>
      </w:r>
      <w:r w:rsidR="00357A98">
        <w:rPr>
          <w:lang w:val="en-US"/>
        </w:rPr>
        <w:t>of</w:t>
      </w:r>
      <w:r>
        <w:rPr>
          <w:lang w:val="en-US"/>
        </w:rPr>
        <w:t xml:space="preserve"> work being </w:t>
      </w:r>
      <w:r w:rsidR="00357A98">
        <w:rPr>
          <w:lang w:val="en-US"/>
        </w:rPr>
        <w:t>done</w:t>
      </w:r>
      <w:r w:rsidR="008E603F">
        <w:rPr>
          <w:lang w:val="en-US"/>
        </w:rPr>
        <w:t xml:space="preserve"> in that</w:t>
      </w:r>
      <w:r>
        <w:rPr>
          <w:lang w:val="en-US"/>
        </w:rPr>
        <w:t xml:space="preserve"> Sector, and to avoid duplication of effort,</w:t>
      </w:r>
    </w:p>
    <w:p w:rsidR="00562DF1" w:rsidRDefault="00562DF1" w:rsidP="008A72F2">
      <w:pPr>
        <w:pStyle w:val="Call"/>
        <w:rPr>
          <w:lang w:val="en-US"/>
        </w:rPr>
      </w:pPr>
      <w:r>
        <w:rPr>
          <w:lang w:val="en-US"/>
        </w:rPr>
        <w:t xml:space="preserve">invites Members </w:t>
      </w:r>
      <w:r w:rsidR="00357A98">
        <w:rPr>
          <w:lang w:val="en-US"/>
        </w:rPr>
        <w:t>of the Union</w:t>
      </w:r>
    </w:p>
    <w:p w:rsidR="009C642B" w:rsidRDefault="00C07765" w:rsidP="008A72F2">
      <w:pPr>
        <w:rPr>
          <w:lang w:val="en-US"/>
        </w:rPr>
      </w:pPr>
      <w:r>
        <w:rPr>
          <w:lang w:val="en-US"/>
        </w:rPr>
        <w:t>t</w:t>
      </w:r>
      <w:r w:rsidR="002A1FCE">
        <w:rPr>
          <w:lang w:val="en-US"/>
        </w:rPr>
        <w:t>o</w:t>
      </w:r>
      <w:r w:rsidR="00357A98">
        <w:rPr>
          <w:lang w:val="en-US"/>
        </w:rPr>
        <w:t xml:space="preserve"> participate actively in implementing this Resolutio</w:t>
      </w:r>
      <w:r w:rsidR="008E603F">
        <w:rPr>
          <w:lang w:val="en-US"/>
        </w:rPr>
        <w:t>n</w:t>
      </w:r>
      <w:r w:rsidR="00357A98">
        <w:rPr>
          <w:lang w:val="en-US"/>
        </w:rPr>
        <w:t xml:space="preserve"> by</w:t>
      </w:r>
      <w:r>
        <w:rPr>
          <w:lang w:val="en-US"/>
        </w:rPr>
        <w:t>,</w:t>
      </w:r>
      <w:r w:rsidR="009F6F08">
        <w:rPr>
          <w:lang w:val="en-US"/>
        </w:rPr>
        <w:t xml:space="preserve"> </w:t>
      </w:r>
      <w:r w:rsidR="009F6F08" w:rsidRPr="003650F1">
        <w:rPr>
          <w:i/>
          <w:iCs/>
          <w:lang w:val="en-US"/>
        </w:rPr>
        <w:t>inter alia</w:t>
      </w:r>
      <w:r>
        <w:rPr>
          <w:lang w:val="en-US"/>
        </w:rPr>
        <w:t>,</w:t>
      </w:r>
      <w:r w:rsidR="00357A98">
        <w:rPr>
          <w:lang w:val="en-US"/>
        </w:rPr>
        <w:t xml:space="preserve"> submitting contributions for consideration by ITU-R and providing relevant information from sources </w:t>
      </w:r>
      <w:r w:rsidR="002A1FCE">
        <w:rPr>
          <w:lang w:val="en-US"/>
        </w:rPr>
        <w:t>outside</w:t>
      </w:r>
      <w:r w:rsidR="00357A98">
        <w:rPr>
          <w:lang w:val="en-US"/>
        </w:rPr>
        <w:t xml:space="preserve"> ITU-R.</w:t>
      </w:r>
    </w:p>
    <w:p w:rsidR="003650F1" w:rsidRDefault="003650F1" w:rsidP="003650F1">
      <w:pPr>
        <w:rPr>
          <w:lang w:val="en-US"/>
        </w:rPr>
      </w:pPr>
    </w:p>
    <w:p w:rsidR="003650F1" w:rsidRDefault="003650F1" w:rsidP="003650F1">
      <w:pPr>
        <w:rPr>
          <w:lang w:val="en-US"/>
        </w:rPr>
      </w:pPr>
    </w:p>
    <w:p w:rsidR="003650F1" w:rsidRDefault="003650F1" w:rsidP="003650F1">
      <w:pPr>
        <w:rPr>
          <w:lang w:val="en-US"/>
        </w:rPr>
      </w:pPr>
    </w:p>
    <w:p w:rsidR="003650F1" w:rsidRDefault="003650F1">
      <w:pPr>
        <w:jc w:val="center"/>
      </w:pPr>
      <w:r>
        <w:t>______________</w:t>
      </w:r>
    </w:p>
    <w:p w:rsidR="003650F1" w:rsidRPr="003650F1" w:rsidRDefault="003650F1" w:rsidP="003650F1">
      <w:pPr>
        <w:rPr>
          <w:lang w:val="en-US"/>
        </w:rPr>
      </w:pPr>
    </w:p>
    <w:sectPr w:rsidR="003650F1" w:rsidRPr="003650F1" w:rsidSect="00E97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D1" w:rsidRDefault="00C91CD1">
      <w:r>
        <w:separator/>
      </w:r>
    </w:p>
  </w:endnote>
  <w:endnote w:type="continuationSeparator" w:id="0">
    <w:p w:rsidR="00C91CD1" w:rsidRDefault="00C9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D1" w:rsidRPr="001B25FD" w:rsidRDefault="00C91CD1">
    <w:pPr>
      <w:rPr>
        <w:lang w:val="en-US"/>
      </w:rPr>
    </w:pPr>
    <w:r>
      <w:fldChar w:fldCharType="begin"/>
    </w:r>
    <w:r w:rsidRPr="001B25FD">
      <w:rPr>
        <w:lang w:val="en-US"/>
      </w:rPr>
      <w:instrText xml:space="preserve"> FILENAME \p  \* MERGEFORMAT </w:instrText>
    </w:r>
    <w:r>
      <w:fldChar w:fldCharType="separate"/>
    </w:r>
    <w:r w:rsidR="001B25FD">
      <w:rPr>
        <w:noProof/>
        <w:lang w:val="en-US"/>
      </w:rPr>
      <w:t>P:\ENG\ITU-R\CONF-R\AR15\PLEN\000\021ADD03.docx</w:t>
    </w:r>
    <w:r>
      <w:fldChar w:fldCharType="end"/>
    </w:r>
    <w:r w:rsidRPr="001B25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3FFB">
      <w:rPr>
        <w:noProof/>
      </w:rPr>
      <w:t>20.10.15</w:t>
    </w:r>
    <w:r>
      <w:fldChar w:fldCharType="end"/>
    </w:r>
    <w:r w:rsidRPr="001B25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25FD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_GoBack"/>
  <w:p w:rsidR="00C91CD1" w:rsidRPr="00AD04EC" w:rsidRDefault="00144CDB" w:rsidP="0092753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13FFB">
      <w:t>P:\ENG\ITU-R\CONF-R\AR15\PLEN\000\021ADD03E.docx</w:t>
    </w:r>
    <w:r>
      <w:fldChar w:fldCharType="end"/>
    </w:r>
    <w:bookmarkEnd w:id="10"/>
    <w:r w:rsidR="00AD04EC">
      <w:t xml:space="preserve"> (387954)</w:t>
    </w:r>
    <w:r w:rsidR="00AD04EC">
      <w:tab/>
    </w:r>
    <w:r w:rsidR="00AD04EC">
      <w:fldChar w:fldCharType="begin"/>
    </w:r>
    <w:r w:rsidR="00AD04EC">
      <w:instrText xml:space="preserve"> SAVEDATE \@ DD.MM.YY </w:instrText>
    </w:r>
    <w:r w:rsidR="00AD04EC">
      <w:fldChar w:fldCharType="separate"/>
    </w:r>
    <w:r w:rsidR="00013FFB">
      <w:t>20.10.15</w:t>
    </w:r>
    <w:r w:rsidR="00AD04EC">
      <w:fldChar w:fldCharType="end"/>
    </w:r>
    <w:r w:rsidR="00AD04EC">
      <w:tab/>
    </w:r>
    <w:r w:rsidR="00AD04EC">
      <w:fldChar w:fldCharType="begin"/>
    </w:r>
    <w:r w:rsidR="00AD04EC">
      <w:instrText xml:space="preserve"> PRINTDATE \@ DD.MM.YY </w:instrText>
    </w:r>
    <w:r w:rsidR="00AD04EC">
      <w:fldChar w:fldCharType="separate"/>
    </w:r>
    <w:r w:rsidR="001B25FD">
      <w:t>19.10.15</w:t>
    </w:r>
    <w:r w:rsidR="00AD04E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D1" w:rsidRPr="00903E2A" w:rsidRDefault="00013FFB" w:rsidP="00903E2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P:\ENG\ITU-R\CONF-R\AR15\PLEN\000\021ADD03E.docx</w:t>
    </w:r>
    <w:r>
      <w:fldChar w:fldCharType="end"/>
    </w:r>
    <w:r w:rsidR="00903E2A">
      <w:t xml:space="preserve"> (387954)</w:t>
    </w:r>
    <w:r w:rsidR="00903E2A">
      <w:tab/>
    </w:r>
    <w:r w:rsidR="00903E2A">
      <w:fldChar w:fldCharType="begin"/>
    </w:r>
    <w:r w:rsidR="00903E2A">
      <w:instrText xml:space="preserve"> SAVEDATE \@ DD.MM.YY </w:instrText>
    </w:r>
    <w:r w:rsidR="00903E2A">
      <w:fldChar w:fldCharType="separate"/>
    </w:r>
    <w:r>
      <w:t>20.10.15</w:t>
    </w:r>
    <w:r w:rsidR="00903E2A">
      <w:fldChar w:fldCharType="end"/>
    </w:r>
    <w:r w:rsidR="00903E2A">
      <w:tab/>
    </w:r>
    <w:r w:rsidR="00903E2A">
      <w:fldChar w:fldCharType="begin"/>
    </w:r>
    <w:r w:rsidR="00903E2A">
      <w:instrText xml:space="preserve"> PRINTDATE \@ DD.MM.YY </w:instrText>
    </w:r>
    <w:r w:rsidR="00903E2A">
      <w:fldChar w:fldCharType="separate"/>
    </w:r>
    <w:r w:rsidR="001B25FD">
      <w:t>19.10.15</w:t>
    </w:r>
    <w:r w:rsidR="00903E2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D1" w:rsidRPr="00E9794D" w:rsidRDefault="00C91CD1">
      <w:pPr>
        <w:rPr>
          <w:bCs/>
        </w:rPr>
      </w:pPr>
      <w:r w:rsidRPr="00E9794D">
        <w:rPr>
          <w:bCs/>
        </w:rPr>
        <w:t>_______________</w:t>
      </w:r>
    </w:p>
  </w:footnote>
  <w:footnote w:type="continuationSeparator" w:id="0">
    <w:p w:rsidR="00C91CD1" w:rsidRDefault="00C9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FFB" w:rsidRDefault="00013F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D1" w:rsidRDefault="00C91CD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13FFB">
      <w:rPr>
        <w:noProof/>
      </w:rPr>
      <w:t>2</w:t>
    </w:r>
    <w:r>
      <w:fldChar w:fldCharType="end"/>
    </w:r>
  </w:p>
  <w:p w:rsidR="00C91CD1" w:rsidRDefault="00C91CD1" w:rsidP="00757846">
    <w:pPr>
      <w:pStyle w:val="Header"/>
    </w:pPr>
    <w:r>
      <w:t>RA12/PLEN/21(Add.3)-E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FFB" w:rsidRDefault="00013F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4BC1EBB-816B-454E-8B18-6DB83DD5DEA2}"/>
    <w:docVar w:name="dgnword-eventsink" w:val="156162824"/>
  </w:docVars>
  <w:rsids>
    <w:rsidRoot w:val="00736D19"/>
    <w:rsid w:val="00003B6D"/>
    <w:rsid w:val="00013FFB"/>
    <w:rsid w:val="00076183"/>
    <w:rsid w:val="00090EFD"/>
    <w:rsid w:val="000D1293"/>
    <w:rsid w:val="0012631C"/>
    <w:rsid w:val="00144CDB"/>
    <w:rsid w:val="001600AC"/>
    <w:rsid w:val="00167392"/>
    <w:rsid w:val="00194D4A"/>
    <w:rsid w:val="001B225D"/>
    <w:rsid w:val="001B25FD"/>
    <w:rsid w:val="001C2996"/>
    <w:rsid w:val="001C3919"/>
    <w:rsid w:val="00205668"/>
    <w:rsid w:val="00206408"/>
    <w:rsid w:val="0027091B"/>
    <w:rsid w:val="00271408"/>
    <w:rsid w:val="00275715"/>
    <w:rsid w:val="0028405B"/>
    <w:rsid w:val="002A1FCE"/>
    <w:rsid w:val="002B36AC"/>
    <w:rsid w:val="002E4C2A"/>
    <w:rsid w:val="002F465C"/>
    <w:rsid w:val="003142C1"/>
    <w:rsid w:val="00321FF2"/>
    <w:rsid w:val="003340DA"/>
    <w:rsid w:val="00343072"/>
    <w:rsid w:val="0034367F"/>
    <w:rsid w:val="00346CDF"/>
    <w:rsid w:val="00347AFF"/>
    <w:rsid w:val="00350733"/>
    <w:rsid w:val="00350966"/>
    <w:rsid w:val="00357A98"/>
    <w:rsid w:val="003650F1"/>
    <w:rsid w:val="0036518C"/>
    <w:rsid w:val="00383D91"/>
    <w:rsid w:val="003A02B8"/>
    <w:rsid w:val="003B28ED"/>
    <w:rsid w:val="003C07F5"/>
    <w:rsid w:val="003E0466"/>
    <w:rsid w:val="0040678E"/>
    <w:rsid w:val="0041281E"/>
    <w:rsid w:val="00425F3D"/>
    <w:rsid w:val="00432F8D"/>
    <w:rsid w:val="00470114"/>
    <w:rsid w:val="004770DE"/>
    <w:rsid w:val="004844C1"/>
    <w:rsid w:val="00485219"/>
    <w:rsid w:val="004B2764"/>
    <w:rsid w:val="004D6FFE"/>
    <w:rsid w:val="004E5C7D"/>
    <w:rsid w:val="004F01EE"/>
    <w:rsid w:val="004F0AA4"/>
    <w:rsid w:val="005567D2"/>
    <w:rsid w:val="00562DF1"/>
    <w:rsid w:val="00574F25"/>
    <w:rsid w:val="005C3695"/>
    <w:rsid w:val="005C6156"/>
    <w:rsid w:val="005E0BE1"/>
    <w:rsid w:val="00602825"/>
    <w:rsid w:val="00605524"/>
    <w:rsid w:val="006261C5"/>
    <w:rsid w:val="006323F6"/>
    <w:rsid w:val="00697B4C"/>
    <w:rsid w:val="006B276F"/>
    <w:rsid w:val="00711EC3"/>
    <w:rsid w:val="0071246B"/>
    <w:rsid w:val="007249C1"/>
    <w:rsid w:val="00736D19"/>
    <w:rsid w:val="00745D31"/>
    <w:rsid w:val="00746DBB"/>
    <w:rsid w:val="00756B1C"/>
    <w:rsid w:val="00757846"/>
    <w:rsid w:val="007657B3"/>
    <w:rsid w:val="007746E8"/>
    <w:rsid w:val="007C6911"/>
    <w:rsid w:val="007D1BE1"/>
    <w:rsid w:val="007D4D0A"/>
    <w:rsid w:val="007D6063"/>
    <w:rsid w:val="007E6FD5"/>
    <w:rsid w:val="007F1EED"/>
    <w:rsid w:val="00810E0E"/>
    <w:rsid w:val="0083759B"/>
    <w:rsid w:val="00870E7F"/>
    <w:rsid w:val="0087655F"/>
    <w:rsid w:val="008A72F2"/>
    <w:rsid w:val="008A7B8E"/>
    <w:rsid w:val="008B7E0E"/>
    <w:rsid w:val="008E0AAB"/>
    <w:rsid w:val="008E603F"/>
    <w:rsid w:val="008E6DF3"/>
    <w:rsid w:val="00903E2A"/>
    <w:rsid w:val="00922B58"/>
    <w:rsid w:val="0092753B"/>
    <w:rsid w:val="009373E1"/>
    <w:rsid w:val="009447A3"/>
    <w:rsid w:val="0095242B"/>
    <w:rsid w:val="00952DEE"/>
    <w:rsid w:val="00955845"/>
    <w:rsid w:val="00957F60"/>
    <w:rsid w:val="00985D37"/>
    <w:rsid w:val="009C4367"/>
    <w:rsid w:val="009C642B"/>
    <w:rsid w:val="009E375D"/>
    <w:rsid w:val="009E48F3"/>
    <w:rsid w:val="009F6F08"/>
    <w:rsid w:val="00A05CE9"/>
    <w:rsid w:val="00A218DF"/>
    <w:rsid w:val="00A47B43"/>
    <w:rsid w:val="00A70C79"/>
    <w:rsid w:val="00A77891"/>
    <w:rsid w:val="00A9320A"/>
    <w:rsid w:val="00AA2198"/>
    <w:rsid w:val="00AB2B70"/>
    <w:rsid w:val="00AD04EC"/>
    <w:rsid w:val="00AD3E06"/>
    <w:rsid w:val="00AF4F9A"/>
    <w:rsid w:val="00B03405"/>
    <w:rsid w:val="00B039C6"/>
    <w:rsid w:val="00B06B12"/>
    <w:rsid w:val="00B2680F"/>
    <w:rsid w:val="00B364A8"/>
    <w:rsid w:val="00B42584"/>
    <w:rsid w:val="00B50454"/>
    <w:rsid w:val="00B67F80"/>
    <w:rsid w:val="00BB03AF"/>
    <w:rsid w:val="00BE5003"/>
    <w:rsid w:val="00BF5E61"/>
    <w:rsid w:val="00C07765"/>
    <w:rsid w:val="00C1260B"/>
    <w:rsid w:val="00C46060"/>
    <w:rsid w:val="00C60934"/>
    <w:rsid w:val="00C9134B"/>
    <w:rsid w:val="00C91CD1"/>
    <w:rsid w:val="00CA0CA8"/>
    <w:rsid w:val="00CB230B"/>
    <w:rsid w:val="00CC32C7"/>
    <w:rsid w:val="00CD2679"/>
    <w:rsid w:val="00CF2708"/>
    <w:rsid w:val="00D45592"/>
    <w:rsid w:val="00D471A9"/>
    <w:rsid w:val="00D50D44"/>
    <w:rsid w:val="00D920A6"/>
    <w:rsid w:val="00DA716F"/>
    <w:rsid w:val="00DF52C6"/>
    <w:rsid w:val="00E1776E"/>
    <w:rsid w:val="00E410D9"/>
    <w:rsid w:val="00E424C3"/>
    <w:rsid w:val="00E5412F"/>
    <w:rsid w:val="00E61509"/>
    <w:rsid w:val="00E62A78"/>
    <w:rsid w:val="00E711F5"/>
    <w:rsid w:val="00E900F3"/>
    <w:rsid w:val="00E9794D"/>
    <w:rsid w:val="00EC2893"/>
    <w:rsid w:val="00EE1A06"/>
    <w:rsid w:val="00EE4AD6"/>
    <w:rsid w:val="00F043B5"/>
    <w:rsid w:val="00F20235"/>
    <w:rsid w:val="00F329B0"/>
    <w:rsid w:val="00F96B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EE7F4C68-2B43-4253-BBCE-72814CF9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enumlev1Char">
    <w:name w:val="enumlev1 Char"/>
    <w:link w:val="enumlev1"/>
    <w:rsid w:val="004770DE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5C3695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F96BB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styleId="Hyperlink">
    <w:name w:val="Hyperlink"/>
    <w:basedOn w:val="DefaultParagraphFont"/>
    <w:unhideWhenUsed/>
    <w:rsid w:val="00C91CD1"/>
    <w:rPr>
      <w:color w:val="0000FF" w:themeColor="hyperlink"/>
      <w:u w:val="single"/>
    </w:rPr>
  </w:style>
  <w:style w:type="character" w:customStyle="1" w:styleId="href">
    <w:name w:val="href"/>
    <w:basedOn w:val="DefaultParagraphFont"/>
    <w:rsid w:val="00C9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82F4-C3B5-409F-9007-7D123D87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62</TotalTime>
  <Pages>4</Pages>
  <Words>1111</Words>
  <Characters>6545</Characters>
  <Application>Microsoft Office Word</Application>
  <DocSecurity>0</DocSecurity>
  <Lines>218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turnbulk</dc:creator>
  <dc:description>PE_RA12.dotm  For: _x000d_Document date: _x000d_Saved by MM-106465 at 11:44:53 on 04/04/11</dc:description>
  <cp:lastModifiedBy>Currie, Jane</cp:lastModifiedBy>
  <cp:revision>8</cp:revision>
  <cp:lastPrinted>2015-10-19T12:55:00Z</cp:lastPrinted>
  <dcterms:created xsi:type="dcterms:W3CDTF">2015-10-19T11:58:00Z</dcterms:created>
  <dcterms:modified xsi:type="dcterms:W3CDTF">2015-10-20T19:56:00Z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