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ayout w:type="fixed"/>
        <w:tblLook w:val="0000" w:firstRow="0" w:lastRow="0" w:firstColumn="0" w:lastColumn="0" w:noHBand="0" w:noVBand="0"/>
      </w:tblPr>
      <w:tblGrid>
        <w:gridCol w:w="6520"/>
        <w:gridCol w:w="3119"/>
      </w:tblGrid>
      <w:tr w:rsidR="001952E0" w:rsidRPr="001952E0" w:rsidTr="00D2740F">
        <w:trPr>
          <w:cantSplit/>
          <w:trHeight w:val="20"/>
          <w:jc w:val="center"/>
        </w:trPr>
        <w:tc>
          <w:tcPr>
            <w:tcW w:w="3382"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18"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D2740F">
        <w:trPr>
          <w:cantSplit/>
          <w:trHeight w:val="20"/>
          <w:jc w:val="center"/>
        </w:trPr>
        <w:tc>
          <w:tcPr>
            <w:tcW w:w="3382" w:type="pct"/>
            <w:tcBorders>
              <w:bottom w:val="single" w:sz="12" w:space="0" w:color="auto"/>
            </w:tcBorders>
          </w:tcPr>
          <w:p w:rsidR="001952E0" w:rsidRPr="001952E0" w:rsidRDefault="001952E0" w:rsidP="00D2740F">
            <w:pPr>
              <w:spacing w:before="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18" w:type="pct"/>
            <w:tcBorders>
              <w:bottom w:val="single" w:sz="12" w:space="0" w:color="auto"/>
            </w:tcBorders>
          </w:tcPr>
          <w:p w:rsidR="001952E0" w:rsidRPr="001952E0" w:rsidRDefault="001952E0" w:rsidP="001D17A2">
            <w:pPr>
              <w:rPr>
                <w:lang w:bidi="ar-SY"/>
              </w:rPr>
            </w:pPr>
          </w:p>
        </w:tc>
      </w:tr>
      <w:tr w:rsidR="001952E0" w:rsidRPr="001952E0" w:rsidTr="00D2740F">
        <w:trPr>
          <w:cantSplit/>
          <w:trHeight w:val="20"/>
          <w:jc w:val="center"/>
        </w:trPr>
        <w:tc>
          <w:tcPr>
            <w:tcW w:w="3382" w:type="pct"/>
            <w:tcBorders>
              <w:top w:val="single" w:sz="12" w:space="0" w:color="auto"/>
            </w:tcBorders>
          </w:tcPr>
          <w:p w:rsidR="001952E0" w:rsidRPr="00F9134D" w:rsidRDefault="001952E0" w:rsidP="00D2740F">
            <w:pPr>
              <w:spacing w:before="0" w:line="300" w:lineRule="exact"/>
              <w:rPr>
                <w:rFonts w:ascii="Verdana Bold" w:hAnsi="Verdana Bold" w:hint="eastAsia"/>
                <w:b/>
                <w:bCs/>
                <w:sz w:val="19"/>
                <w:rtl/>
                <w:lang w:bidi="ar-EG"/>
              </w:rPr>
            </w:pPr>
          </w:p>
        </w:tc>
        <w:tc>
          <w:tcPr>
            <w:tcW w:w="1618" w:type="pct"/>
            <w:tcBorders>
              <w:top w:val="single" w:sz="12" w:space="0" w:color="auto"/>
            </w:tcBorders>
          </w:tcPr>
          <w:p w:rsidR="001952E0" w:rsidRPr="00072E84" w:rsidRDefault="001952E0" w:rsidP="00D2740F">
            <w:pPr>
              <w:spacing w:before="0" w:line="300" w:lineRule="exact"/>
              <w:rPr>
                <w:rFonts w:asciiTheme="minorHAnsi" w:hAnsiTheme="minorHAnsi"/>
                <w:b/>
                <w:bCs/>
                <w:sz w:val="19"/>
                <w:lang w:bidi="ar-EG"/>
              </w:rPr>
            </w:pPr>
          </w:p>
        </w:tc>
      </w:tr>
      <w:tr w:rsidR="001952E0" w:rsidRPr="001952E0" w:rsidTr="00D2740F">
        <w:trPr>
          <w:cantSplit/>
          <w:jc w:val="center"/>
        </w:trPr>
        <w:tc>
          <w:tcPr>
            <w:tcW w:w="3382" w:type="pct"/>
          </w:tcPr>
          <w:p w:rsidR="001952E0" w:rsidRPr="001D17A2" w:rsidRDefault="00D2740F" w:rsidP="00D2740F">
            <w:pPr>
              <w:pStyle w:val="Firstpageheader"/>
              <w:framePr w:hSpace="0" w:wrap="auto" w:vAnchor="margin" w:xAlign="left" w:yAlign="inline"/>
              <w:spacing w:before="0" w:after="0"/>
              <w:rPr>
                <w:rFonts w:asciiTheme="minorHAnsi" w:hAnsiTheme="minorHAnsi"/>
                <w:lang w:bidi="ar-SY"/>
              </w:rPr>
            </w:pPr>
            <w:r>
              <w:rPr>
                <w:rFonts w:asciiTheme="minorHAnsi" w:hAnsiTheme="minorHAnsi" w:hint="cs"/>
                <w:rtl/>
                <w:lang w:bidi="ar-SY"/>
              </w:rPr>
              <w:t>الجلسة العامة</w:t>
            </w:r>
          </w:p>
        </w:tc>
        <w:tc>
          <w:tcPr>
            <w:tcW w:w="1618" w:type="pct"/>
            <w:vAlign w:val="center"/>
          </w:tcPr>
          <w:p w:rsidR="001952E0" w:rsidRPr="00F9134D" w:rsidRDefault="00D2740F" w:rsidP="00D2740F">
            <w:pPr>
              <w:pStyle w:val="Firstpageheader"/>
              <w:framePr w:hSpace="0" w:wrap="auto" w:vAnchor="margin" w:xAlign="left" w:yAlign="inline"/>
              <w:spacing w:before="0" w:after="0"/>
              <w:rPr>
                <w:rFonts w:hint="eastAsia"/>
                <w:rtl/>
              </w:rPr>
            </w:pPr>
            <w:r>
              <w:rPr>
                <w:rFonts w:hint="cs"/>
                <w:rtl/>
              </w:rPr>
              <w:t xml:space="preserve">الإضافة </w:t>
            </w:r>
            <w:r w:rsidRPr="00D2740F">
              <w:rPr>
                <w:lang w:bidi="ar-SY"/>
              </w:rPr>
              <w:t>3</w:t>
            </w:r>
            <w:r>
              <w:rPr>
                <w:rtl/>
              </w:rPr>
              <w:br/>
            </w:r>
            <w:r w:rsidR="00072E84">
              <w:rPr>
                <w:rFonts w:hint="cs"/>
                <w:rtl/>
              </w:rPr>
              <w:t>ل</w:t>
            </w:r>
            <w:r w:rsidR="001952E0" w:rsidRPr="00F9134D">
              <w:rPr>
                <w:rFonts w:hint="cs"/>
                <w:rtl/>
              </w:rPr>
              <w:t>ل</w:t>
            </w:r>
            <w:r w:rsidR="001952E0" w:rsidRPr="00F9134D">
              <w:rPr>
                <w:rtl/>
              </w:rPr>
              <w:t>و</w:t>
            </w:r>
            <w:r w:rsidR="001952E0" w:rsidRPr="00F9134D">
              <w:rPr>
                <w:rFonts w:hint="cs"/>
                <w:rtl/>
              </w:rPr>
              <w:t xml:space="preserve">ثيقة </w:t>
            </w:r>
            <w:r w:rsidR="007E24ED">
              <w:rPr>
                <w:lang w:bidi="ar-SY"/>
              </w:rPr>
              <w:t>RA15/</w:t>
            </w:r>
            <w:r w:rsidR="00072E84">
              <w:rPr>
                <w:lang w:bidi="ar-SY"/>
              </w:rPr>
              <w:t>PLEN</w:t>
            </w:r>
            <w:r w:rsidR="007E24ED">
              <w:rPr>
                <w:lang w:bidi="ar-SY"/>
              </w:rPr>
              <w:t>/</w:t>
            </w:r>
            <w:r w:rsidR="00072E84">
              <w:rPr>
                <w:lang w:bidi="ar-SY"/>
              </w:rPr>
              <w:t>21</w:t>
            </w:r>
            <w:r w:rsidR="001952E0" w:rsidRPr="00F9134D">
              <w:rPr>
                <w:lang w:bidi="ar-SY"/>
              </w:rPr>
              <w:t>-A</w:t>
            </w:r>
          </w:p>
        </w:tc>
      </w:tr>
      <w:tr w:rsidR="001952E0" w:rsidRPr="001952E0" w:rsidTr="00D2740F">
        <w:trPr>
          <w:cantSplit/>
          <w:jc w:val="center"/>
        </w:trPr>
        <w:tc>
          <w:tcPr>
            <w:tcW w:w="3382" w:type="pct"/>
          </w:tcPr>
          <w:p w:rsidR="001952E0" w:rsidRPr="00F9134D" w:rsidRDefault="001952E0" w:rsidP="00D2740F">
            <w:pPr>
              <w:pStyle w:val="Firstpageheader"/>
              <w:framePr w:hSpace="0" w:wrap="auto" w:vAnchor="margin" w:xAlign="left" w:yAlign="inline"/>
              <w:spacing w:before="0" w:after="0"/>
              <w:rPr>
                <w:rFonts w:hint="eastAsia"/>
                <w:rtl/>
              </w:rPr>
            </w:pPr>
          </w:p>
        </w:tc>
        <w:tc>
          <w:tcPr>
            <w:tcW w:w="1618" w:type="pct"/>
            <w:vAlign w:val="center"/>
          </w:tcPr>
          <w:p w:rsidR="001952E0" w:rsidRPr="00F9134D" w:rsidRDefault="00072E84" w:rsidP="00D2740F">
            <w:pPr>
              <w:pStyle w:val="Firstpageheader"/>
              <w:framePr w:hSpace="0" w:wrap="auto" w:vAnchor="margin" w:xAlign="left" w:yAlign="inline"/>
              <w:spacing w:before="0" w:after="0"/>
              <w:rPr>
                <w:rFonts w:hint="eastAsia"/>
                <w:rtl/>
              </w:rPr>
            </w:pPr>
            <w:r>
              <w:rPr>
                <w:lang w:bidi="ar-SY"/>
              </w:rPr>
              <w:t>9</w:t>
            </w:r>
            <w:r w:rsidR="001952E0" w:rsidRPr="00F9134D">
              <w:rPr>
                <w:rFonts w:hint="cs"/>
                <w:rtl/>
              </w:rPr>
              <w:t xml:space="preserve"> </w:t>
            </w:r>
            <w:r>
              <w:rPr>
                <w:rFonts w:hint="cs"/>
                <w:rtl/>
              </w:rPr>
              <w:t>أكتوبر</w:t>
            </w:r>
            <w:r w:rsidR="001952E0" w:rsidRPr="00F9134D">
              <w:rPr>
                <w:rFonts w:hint="cs"/>
                <w:rtl/>
              </w:rPr>
              <w:t xml:space="preserve"> </w:t>
            </w:r>
            <w:r w:rsidR="001952E0" w:rsidRPr="00F9134D">
              <w:rPr>
                <w:lang w:bidi="ar-SY"/>
              </w:rPr>
              <w:t>2015</w:t>
            </w:r>
          </w:p>
        </w:tc>
      </w:tr>
      <w:tr w:rsidR="001952E0" w:rsidRPr="001952E0" w:rsidTr="00D2740F">
        <w:trPr>
          <w:cantSplit/>
          <w:jc w:val="center"/>
        </w:trPr>
        <w:tc>
          <w:tcPr>
            <w:tcW w:w="3382" w:type="pct"/>
          </w:tcPr>
          <w:p w:rsidR="001952E0" w:rsidRPr="00F9134D" w:rsidRDefault="001952E0" w:rsidP="00D2740F">
            <w:pPr>
              <w:pStyle w:val="Firstpageheader"/>
              <w:framePr w:hSpace="0" w:wrap="auto" w:vAnchor="margin" w:xAlign="left" w:yAlign="inline"/>
              <w:spacing w:before="0" w:after="0"/>
              <w:rPr>
                <w:rFonts w:hint="eastAsia"/>
                <w:rtl/>
              </w:rPr>
            </w:pPr>
          </w:p>
        </w:tc>
        <w:tc>
          <w:tcPr>
            <w:tcW w:w="1618" w:type="pct"/>
            <w:vAlign w:val="center"/>
          </w:tcPr>
          <w:p w:rsidR="001952E0" w:rsidRPr="00F9134D" w:rsidRDefault="00072E84" w:rsidP="00D2740F">
            <w:pPr>
              <w:pStyle w:val="Firstpageheader"/>
              <w:framePr w:hSpace="0" w:wrap="auto" w:vAnchor="margin" w:xAlign="left" w:yAlign="inline"/>
              <w:spacing w:before="0" w:after="0"/>
              <w:rPr>
                <w:rFonts w:hint="eastAsia"/>
                <w:lang w:bidi="ar-SY"/>
              </w:rPr>
            </w:pPr>
            <w:r>
              <w:rPr>
                <w:rFonts w:hint="cs"/>
                <w:rtl/>
                <w:lang w:bidi="ar-SY"/>
              </w:rPr>
              <w:t>الأصل: بالروسية</w:t>
            </w:r>
          </w:p>
        </w:tc>
      </w:tr>
      <w:tr w:rsidR="001952E0" w:rsidRPr="001952E0" w:rsidTr="00D2740F">
        <w:trPr>
          <w:cantSplit/>
          <w:jc w:val="center"/>
        </w:trPr>
        <w:tc>
          <w:tcPr>
            <w:tcW w:w="5000" w:type="pct"/>
            <w:gridSpan w:val="2"/>
          </w:tcPr>
          <w:p w:rsidR="001952E0" w:rsidRPr="001952E0" w:rsidRDefault="006B5505" w:rsidP="006B5505">
            <w:pPr>
              <w:pStyle w:val="Source"/>
              <w:spacing w:after="0"/>
              <w:rPr>
                <w:rtl/>
                <w:lang w:bidi="ar-EG"/>
              </w:rPr>
            </w:pPr>
            <w:r>
              <w:rPr>
                <w:rFonts w:hint="cs"/>
                <w:rtl/>
                <w:lang w:bidi="ar-EG"/>
              </w:rPr>
              <w:t xml:space="preserve">مقترحات </w:t>
            </w:r>
            <w:r w:rsidR="00D51AC3" w:rsidRPr="00D51AC3">
              <w:rPr>
                <w:rFonts w:hint="cs"/>
                <w:rtl/>
                <w:lang w:bidi="ar-EG"/>
              </w:rPr>
              <w:t xml:space="preserve">مشتركة </w:t>
            </w:r>
            <w:r>
              <w:rPr>
                <w:rFonts w:hint="cs"/>
                <w:rtl/>
                <w:lang w:bidi="ar-EG"/>
              </w:rPr>
              <w:t>مقدمة من</w:t>
            </w:r>
            <w:r w:rsidR="00D51AC3" w:rsidRPr="00D51AC3">
              <w:rPr>
                <w:rFonts w:hint="cs"/>
                <w:rtl/>
                <w:lang w:bidi="ar-EG"/>
              </w:rPr>
              <w:t xml:space="preserve"> الكومنولث الإقليمي في مجال الاتصالات</w:t>
            </w:r>
          </w:p>
        </w:tc>
      </w:tr>
      <w:tr w:rsidR="001952E0" w:rsidRPr="001952E0" w:rsidTr="00D2740F">
        <w:trPr>
          <w:cantSplit/>
          <w:jc w:val="center"/>
        </w:trPr>
        <w:tc>
          <w:tcPr>
            <w:tcW w:w="5000" w:type="pct"/>
            <w:gridSpan w:val="2"/>
          </w:tcPr>
          <w:p w:rsidR="001952E0" w:rsidRPr="001952E0" w:rsidRDefault="00D51AC3" w:rsidP="00D51AC3">
            <w:pPr>
              <w:pStyle w:val="Title1"/>
              <w:rPr>
                <w:rtl/>
                <w:lang w:bidi="ar-EG"/>
              </w:rPr>
            </w:pPr>
            <w:r w:rsidRPr="00D51AC3">
              <w:rPr>
                <w:rFonts w:hint="cs"/>
                <w:rtl/>
                <w:lang w:bidi="ar-EG"/>
              </w:rPr>
              <w:t>مقترحات بشأن أعمال ال</w:t>
            </w:r>
            <w:r w:rsidR="00B24240">
              <w:rPr>
                <w:rFonts w:hint="cs"/>
                <w:rtl/>
                <w:lang w:bidi="ar-EG"/>
              </w:rPr>
              <w:t>‍</w:t>
            </w:r>
            <w:r w:rsidRPr="00D51AC3">
              <w:rPr>
                <w:rFonts w:hint="cs"/>
                <w:rtl/>
                <w:lang w:bidi="ar-EG"/>
              </w:rPr>
              <w:t>جمعية</w:t>
            </w:r>
          </w:p>
        </w:tc>
      </w:tr>
      <w:tr w:rsidR="001952E0" w:rsidRPr="001952E0" w:rsidTr="00D2740F">
        <w:trPr>
          <w:cantSplit/>
          <w:jc w:val="center"/>
        </w:trPr>
        <w:tc>
          <w:tcPr>
            <w:tcW w:w="5000" w:type="pct"/>
            <w:gridSpan w:val="2"/>
          </w:tcPr>
          <w:p w:rsidR="001952E0" w:rsidRPr="00952D2C" w:rsidRDefault="00D51AC3" w:rsidP="00B24240">
            <w:pPr>
              <w:pStyle w:val="ResNo"/>
            </w:pPr>
            <w:r w:rsidRPr="007806FC">
              <w:rPr>
                <w:rFonts w:hint="cs"/>
                <w:rtl/>
              </w:rPr>
              <w:t>مشروع القرار ال</w:t>
            </w:r>
            <w:r w:rsidR="00B24240">
              <w:rPr>
                <w:rFonts w:hint="cs"/>
                <w:rtl/>
              </w:rPr>
              <w:t>‍</w:t>
            </w:r>
            <w:r w:rsidRPr="007806FC">
              <w:rPr>
                <w:rFonts w:hint="cs"/>
                <w:rtl/>
              </w:rPr>
              <w:t xml:space="preserve">جديد </w:t>
            </w:r>
            <w:r w:rsidR="00B24240">
              <w:t>ITU-R </w:t>
            </w:r>
            <w:r w:rsidRPr="007806FC">
              <w:t>[IOT]</w:t>
            </w:r>
          </w:p>
        </w:tc>
      </w:tr>
      <w:tr w:rsidR="00952D2C" w:rsidRPr="001952E0" w:rsidTr="00D2740F">
        <w:trPr>
          <w:cantSplit/>
          <w:jc w:val="center"/>
        </w:trPr>
        <w:tc>
          <w:tcPr>
            <w:tcW w:w="5000" w:type="pct"/>
            <w:gridSpan w:val="2"/>
          </w:tcPr>
          <w:p w:rsidR="00952D2C" w:rsidRDefault="00952D2C" w:rsidP="00952D2C"/>
        </w:tc>
      </w:tr>
    </w:tbl>
    <w:p w:rsidR="00D51AC3" w:rsidRPr="00D51AC3" w:rsidRDefault="00D51AC3" w:rsidP="00D51AC3">
      <w:pPr>
        <w:pStyle w:val="Heading1"/>
        <w:rPr>
          <w:rtl/>
          <w:lang w:bidi="ar-EG"/>
        </w:rPr>
      </w:pPr>
      <w:r>
        <w:rPr>
          <w:lang w:bidi="ar-EG"/>
        </w:rPr>
        <w:t>1</w:t>
      </w:r>
      <w:r w:rsidRPr="00D51AC3">
        <w:rPr>
          <w:rFonts w:hint="cs"/>
          <w:rtl/>
          <w:lang w:bidi="ar-EG"/>
        </w:rPr>
        <w:tab/>
        <w:t>مقدمة</w:t>
      </w:r>
    </w:p>
    <w:p w:rsidR="00D51AC3" w:rsidRPr="00D51AC3" w:rsidRDefault="00D51AC3" w:rsidP="00D51AC3">
      <w:pPr>
        <w:rPr>
          <w:rtl/>
        </w:rPr>
      </w:pPr>
      <w:r w:rsidRPr="00D51AC3">
        <w:rPr>
          <w:rFonts w:hint="cs"/>
          <w:rtl/>
          <w:lang w:bidi="ar-EG"/>
        </w:rPr>
        <w:t xml:space="preserve">تغدو إنترنت الأشياء حقيقة واقعة بسرعة بالغة. وسيشهد المستقبل القريب نمواً واسعاً في عدد التوصيلات الخاصة بالتفاعل من آلة إلى آلة </w:t>
      </w:r>
      <w:r>
        <w:rPr>
          <w:lang w:bidi="ar-EG"/>
        </w:rPr>
        <w:t>(M2M)</w:t>
      </w:r>
      <w:r w:rsidRPr="00D51AC3">
        <w:rPr>
          <w:rFonts w:hint="cs"/>
          <w:rtl/>
        </w:rPr>
        <w:t>، وهو ما يعكس تنامي البنية التحتية الشبكية الخاصة بإنترنت الأشياء. ويُنظر إلى الاتجاهات الجديدة في ميدان الاتصالات/تكنولوجيا المعلومات والاتصالات، مثل الجمع بين الإنترنت المتنقلة وإنترنت الأشياء على أنها تكنولوجيا العقود المقبلة، وهو ما يطرح تحديات جديدة ويمكن أن يغيِّر مشهد قطاع الاتصالات ووجه قطاعات اقتصادية أساسية أخرى. ويمثل نشوء أجهزة، وشبكات، وخدمات، وتطبيقات رقمية جديدة تحولاً عميقاً يعيد صياغة القطاعات الأساسية.</w:t>
      </w:r>
    </w:p>
    <w:p w:rsidR="00D51AC3" w:rsidRPr="00D51AC3" w:rsidRDefault="00D51AC3" w:rsidP="00423D16">
      <w:pPr>
        <w:rPr>
          <w:rtl/>
        </w:rPr>
      </w:pPr>
      <w:r w:rsidRPr="00D51AC3">
        <w:rPr>
          <w:rFonts w:hint="cs"/>
          <w:rtl/>
        </w:rPr>
        <w:t>ومن بين السمات الخاصة بقطاع إنترنت الأشياء ذلك التنوع الواسع بما يقدمه من خدمات، مما يخلق سلسلة من الطلبات فيما</w:t>
      </w:r>
      <w:r w:rsidR="00540178">
        <w:rPr>
          <w:rFonts w:hint="eastAsia"/>
          <w:rtl/>
        </w:rPr>
        <w:t> </w:t>
      </w:r>
      <w:r w:rsidRPr="00D51AC3">
        <w:rPr>
          <w:rFonts w:hint="cs"/>
          <w:rtl/>
        </w:rPr>
        <w:t>يتصل بالتغطية الشبكية والسطوح البينية والمعمارية.</w:t>
      </w:r>
    </w:p>
    <w:p w:rsidR="00D51AC3" w:rsidRPr="00D51AC3" w:rsidRDefault="00D51AC3" w:rsidP="009469E9">
      <w:pPr>
        <w:rPr>
          <w:rtl/>
          <w:lang w:bidi="ar-EG"/>
        </w:rPr>
      </w:pPr>
      <w:r w:rsidRPr="00D51AC3">
        <w:rPr>
          <w:rFonts w:hint="cs"/>
          <w:rtl/>
        </w:rPr>
        <w:t xml:space="preserve">وتعمل لجنة الدراسات </w:t>
      </w:r>
      <w:r>
        <w:t>20</w:t>
      </w:r>
      <w:r w:rsidRPr="00D51AC3">
        <w:rPr>
          <w:rFonts w:hint="cs"/>
          <w:rtl/>
        </w:rPr>
        <w:t xml:space="preserve"> التابعة لقطاع تقييس الاتصالات في الاتحاد الدولي للاتصالات على إعداد معايير دولية للتطوير المنسق لتكنولوجيات إنترنت الأشياء بما في ذلك الاتصالات من آلة إلى آلة وشبكات الاستشعار الشمولية </w:t>
      </w:r>
      <w:r w:rsidR="009469E9">
        <w:rPr>
          <w:rFonts w:asciiTheme="majorBidi" w:hAnsiTheme="majorBidi" w:cstheme="majorBidi"/>
          <w:szCs w:val="22"/>
        </w:rPr>
        <w:t>(USN)</w:t>
      </w:r>
      <w:r w:rsidRPr="00D51AC3">
        <w:rPr>
          <w:rFonts w:hint="cs"/>
          <w:rtl/>
        </w:rPr>
        <w:t xml:space="preserve"> المستندة إليها. وتخضع قضايا إنترنت الأشياء للمناقشة بالفعل في قطاع الاتصالات الراديوية في مختلف لجان الدراسات وأفرقة العمل في سياق استحداث مجموعة شاملة من التكنولوجيات والشبكات. على أنه ليس لدى قطاع الاتصالات الراديوية في الوقت الراهن مسائل أو قرارات تيسر اعتماد نهج أشد انتظاماً في وصف جوانب استخدام طيف الترددات الراديوية من جانب مختلف مكونات إنترنت الأشياء.</w:t>
      </w:r>
    </w:p>
    <w:p w:rsidR="00D51AC3" w:rsidRPr="00D51AC3" w:rsidRDefault="00D51AC3" w:rsidP="00D51AC3">
      <w:pPr>
        <w:pStyle w:val="Heading1"/>
        <w:rPr>
          <w:rtl/>
          <w:lang w:bidi="ar-EG"/>
        </w:rPr>
      </w:pPr>
      <w:r>
        <w:rPr>
          <w:lang w:bidi="ar-EG"/>
        </w:rPr>
        <w:t>2</w:t>
      </w:r>
      <w:r w:rsidRPr="00D51AC3">
        <w:rPr>
          <w:rFonts w:hint="cs"/>
          <w:rtl/>
          <w:lang w:bidi="ar-EG"/>
        </w:rPr>
        <w:tab/>
        <w:t>المناقشة</w:t>
      </w:r>
    </w:p>
    <w:p w:rsidR="00D51AC3" w:rsidRPr="00D51AC3" w:rsidRDefault="00D51AC3" w:rsidP="009469E9">
      <w:pPr>
        <w:rPr>
          <w:rtl/>
        </w:rPr>
      </w:pPr>
      <w:r w:rsidRPr="00D51AC3">
        <w:rPr>
          <w:rFonts w:hint="cs"/>
          <w:rtl/>
        </w:rPr>
        <w:t xml:space="preserve">من المنتظر أن يتيح نشر إنترنت الأشياء توصيل </w:t>
      </w:r>
      <w:r w:rsidR="009469E9">
        <w:rPr>
          <w:rFonts w:asciiTheme="majorBidi" w:hAnsiTheme="majorBidi" w:cstheme="majorBidi"/>
          <w:szCs w:val="22"/>
        </w:rPr>
        <w:t>20</w:t>
      </w:r>
      <w:r w:rsidRPr="00D51AC3">
        <w:rPr>
          <w:rFonts w:hint="cs"/>
          <w:rtl/>
        </w:rPr>
        <w:t xml:space="preserve"> مليار أو أكثر من الأجهزة بالشبكة بحلول عام </w:t>
      </w:r>
      <w:r w:rsidR="009469E9">
        <w:rPr>
          <w:rFonts w:asciiTheme="majorBidi" w:hAnsiTheme="majorBidi" w:cstheme="majorBidi"/>
          <w:szCs w:val="22"/>
        </w:rPr>
        <w:t>2020</w:t>
      </w:r>
      <w:r w:rsidRPr="00D51AC3">
        <w:rPr>
          <w:rFonts w:hint="cs"/>
          <w:rtl/>
        </w:rPr>
        <w:t xml:space="preserve">. وسيؤثر ذلك على مختلف جوانب حياتنا اليومية. وتعزز إنترنت الأشياء من التقارب (المزج) بين فروع الصناعة، وتوفر لجنة الدراسات </w:t>
      </w:r>
      <w:r w:rsidR="009469E9">
        <w:rPr>
          <w:rFonts w:asciiTheme="majorBidi" w:hAnsiTheme="majorBidi" w:cstheme="majorBidi"/>
          <w:szCs w:val="22"/>
        </w:rPr>
        <w:t>20</w:t>
      </w:r>
      <w:r w:rsidRPr="00D51AC3">
        <w:rPr>
          <w:rFonts w:hint="cs"/>
          <w:rtl/>
        </w:rPr>
        <w:t xml:space="preserve"> منتدى متخصصاً لتقييس إنترنت الأشياء بغية ترويج تلك العملية وإتاحة مجموعة فعالة من المعايير الدولية.</w:t>
      </w:r>
    </w:p>
    <w:p w:rsidR="00D51AC3" w:rsidRPr="00D51AC3" w:rsidRDefault="00D51AC3" w:rsidP="009B0327">
      <w:pPr>
        <w:rPr>
          <w:rtl/>
        </w:rPr>
      </w:pPr>
      <w:r w:rsidRPr="00D51AC3">
        <w:rPr>
          <w:rFonts w:hint="cs"/>
          <w:rtl/>
          <w:lang w:bidi="ar-EG"/>
        </w:rPr>
        <w:t>وتشير الكثير من التقديرات والتوقعات إلى أن إنترنت الأشياء ستخلق عبئاً جسيماً على التطبيقات الحالية للنطاق العريض ف</w:t>
      </w:r>
      <w:r w:rsidR="00540178">
        <w:rPr>
          <w:rFonts w:hint="cs"/>
          <w:rtl/>
          <w:lang w:bidi="ar-EG"/>
        </w:rPr>
        <w:t>ي</w:t>
      </w:r>
      <w:r w:rsidR="00540178">
        <w:rPr>
          <w:rFonts w:hint="eastAsia"/>
          <w:rtl/>
          <w:lang w:bidi="ar-EG"/>
        </w:rPr>
        <w:t> </w:t>
      </w:r>
      <w:r w:rsidRPr="00D51AC3">
        <w:rPr>
          <w:rFonts w:hint="cs"/>
          <w:rtl/>
          <w:lang w:bidi="ar-EG"/>
        </w:rPr>
        <w:t xml:space="preserve"> الخدمة المتنقلة بما في ذلك الشبكات المحلية الراديوية وشبكات الجيل التالي للاتصالات المتنقلة الدولية </w:t>
      </w:r>
      <w:r w:rsidRPr="008059CC">
        <w:rPr>
          <w:rFonts w:ascii="Traditional Arabic" w:hAnsi="Traditional Arabic"/>
          <w:rtl/>
          <w:lang w:bidi="ar-EG"/>
        </w:rPr>
        <w:t>(</w:t>
      </w:r>
      <w:r w:rsidRPr="00D51AC3">
        <w:rPr>
          <w:rFonts w:hint="cs"/>
          <w:rtl/>
          <w:lang w:bidi="ar-EG"/>
        </w:rPr>
        <w:t>"</w:t>
      </w:r>
      <w:r w:rsidRPr="00D51AC3">
        <w:rPr>
          <w:lang w:bidi="ar-EG"/>
        </w:rPr>
        <w:t>IMT-Advanced</w:t>
      </w:r>
      <w:r w:rsidRPr="00D51AC3">
        <w:rPr>
          <w:rFonts w:hint="cs"/>
          <w:rtl/>
        </w:rPr>
        <w:t>" "</w:t>
      </w:r>
      <w:r w:rsidRPr="00D51AC3">
        <w:rPr>
          <w:lang w:bidi="ar-EG"/>
        </w:rPr>
        <w:t>IMT</w:t>
      </w:r>
      <w:r w:rsidR="009B0327">
        <w:rPr>
          <w:lang w:bidi="ar-EG"/>
        </w:rPr>
        <w:noBreakHyphen/>
      </w:r>
      <w:r w:rsidRPr="00D51AC3">
        <w:rPr>
          <w:lang w:bidi="ar-EG"/>
        </w:rPr>
        <w:t>2020</w:t>
      </w:r>
      <w:r w:rsidRPr="00D51AC3">
        <w:rPr>
          <w:rFonts w:hint="cs"/>
          <w:rtl/>
        </w:rPr>
        <w:t xml:space="preserve">"). </w:t>
      </w:r>
      <w:r w:rsidRPr="00D51AC3">
        <w:rPr>
          <w:rFonts w:hint="cs"/>
          <w:rtl/>
        </w:rPr>
        <w:lastRenderedPageBreak/>
        <w:t>وبغية ضمان النجاح في النشر العريض النطاق لخدمات إنترنت الأشياء</w:t>
      </w:r>
      <w:r w:rsidR="00423D16">
        <w:rPr>
          <w:rFonts w:hint="cs"/>
          <w:rtl/>
        </w:rPr>
        <w:t>،</w:t>
      </w:r>
      <w:r w:rsidRPr="00D51AC3">
        <w:rPr>
          <w:rFonts w:hint="cs"/>
          <w:rtl/>
        </w:rPr>
        <w:t xml:space="preserve"> فإن على شبكات الاتصالات أن تكفل التغطية الشاملة التي تمتد إلى داخل المباني وتشمل المناطق الريفية ذات المجموعات السكانية المتناثرة، وأن تتيح التوصيل الواسع النطاق لأجهزة إنترنت الأشياء (عشرات إلى مئات الألوف) إلى خلية واحدة، وأن تضمن خفضاً بالعديد من المرات لحالات التأخير الشبكية، وأن تُبسِّط التشوير بهدف الحد من تكاليف المعدات الطرفية وتقليل استهلاك الطاقة. وعلى الجهات التنظيمية أن تهتم باستمرار بمسألة الاستخدام الكفوء للطيف المخصص بالفعل للاتصالات المتنقلة لتطبيقات إنترنت الأشياء، وإتاحة طيف إضافي بما في ذلك إدخال تعديلات على معلمات السطوح البينية الراديوية في سياق الأنظمة القصيرة المدى، والإجراءات اللازمة لتعزيز قدرة صبيب شبكات النقل التي تصل إنترنت الأشياء بشبكة الإنترنت.</w:t>
      </w:r>
    </w:p>
    <w:p w:rsidR="00D51AC3" w:rsidRPr="00D51AC3" w:rsidRDefault="00D51AC3" w:rsidP="00540178">
      <w:pPr>
        <w:rPr>
          <w:rtl/>
        </w:rPr>
      </w:pPr>
      <w:r w:rsidRPr="00D51AC3">
        <w:rPr>
          <w:rFonts w:hint="cs"/>
          <w:rtl/>
        </w:rPr>
        <w:t>على أن النمو في الطلب على النفاذ اللاسلكي والاتصالات المتنقلة عريض النطاق في المستقبل قد يحد من القدرة على توفير القدرة</w:t>
      </w:r>
      <w:r w:rsidR="00540178">
        <w:rPr>
          <w:rFonts w:hint="eastAsia"/>
          <w:rtl/>
        </w:rPr>
        <w:t> </w:t>
      </w:r>
      <w:r w:rsidRPr="00D51AC3">
        <w:rPr>
          <w:rFonts w:hint="cs"/>
          <w:rtl/>
        </w:rPr>
        <w:t>اللازمة لتطبيقات إنترنت الأشياء في الشبكات القائمة والمتطورة للاتصالات الدولية المتنقلة، وهو ما يستدعي تنفيذ تكنولوجيات جديدة وتطوير سطوح بينية راديوية جديدة لتطبيقات إنترنت الأشياء. وتتطلب السطوح البينية الراديوية الجديدة، سواء التي تستخدم الطيف المخصص بالفعل أو التي تتطلب طيفاً مخصصاً للعمليات غير المنقطعة التي لا يشوبها تداخل، توقعات أكثر دقة للاتجاهات المقبلة.</w:t>
      </w:r>
    </w:p>
    <w:p w:rsidR="00D51AC3" w:rsidRPr="00D51AC3" w:rsidRDefault="00D51AC3" w:rsidP="00423D16">
      <w:pPr>
        <w:rPr>
          <w:rtl/>
          <w:lang w:bidi="ar-EG"/>
        </w:rPr>
      </w:pPr>
      <w:r w:rsidRPr="00D51AC3">
        <w:rPr>
          <w:rFonts w:hint="cs"/>
          <w:rtl/>
        </w:rPr>
        <w:t>ويثير ذلك عدداً من الأسئلة المتعلقة باستخدام التكنولوجيات الجديدة لإنترنت الأشياء لطيف الترددات الراديوية.</w:t>
      </w:r>
    </w:p>
    <w:p w:rsidR="00D51AC3" w:rsidRPr="00D51AC3" w:rsidRDefault="00D51AC3" w:rsidP="00D51AC3">
      <w:pPr>
        <w:pStyle w:val="Heading1"/>
        <w:rPr>
          <w:rtl/>
          <w:lang w:bidi="ar-EG"/>
        </w:rPr>
      </w:pPr>
      <w:r>
        <w:rPr>
          <w:lang w:bidi="ar-EG"/>
        </w:rPr>
        <w:t>3</w:t>
      </w:r>
      <w:r w:rsidRPr="00D51AC3">
        <w:rPr>
          <w:rFonts w:hint="cs"/>
          <w:rtl/>
          <w:lang w:bidi="ar-EG"/>
        </w:rPr>
        <w:tab/>
        <w:t>المقترحات</w:t>
      </w:r>
    </w:p>
    <w:p w:rsidR="00D51AC3" w:rsidRPr="00D51AC3" w:rsidRDefault="00D51AC3" w:rsidP="00D51AC3">
      <w:pPr>
        <w:rPr>
          <w:rtl/>
        </w:rPr>
      </w:pPr>
      <w:r w:rsidRPr="00D51AC3">
        <w:rPr>
          <w:rFonts w:hint="cs"/>
          <w:rtl/>
        </w:rPr>
        <w:t xml:space="preserve">ترى إدارات </w:t>
      </w:r>
      <w:r w:rsidRPr="00D51AC3">
        <w:rPr>
          <w:rtl/>
        </w:rPr>
        <w:t>الكومنولث الإقليمي في مجال الاتصالات</w:t>
      </w:r>
      <w:r w:rsidRPr="00D51AC3">
        <w:rPr>
          <w:rFonts w:hint="cs"/>
          <w:rtl/>
        </w:rPr>
        <w:t xml:space="preserve"> أنه في ضوء العمل المبذول في قطاع تقييس الاتصالات في الاتحاد الدولي للاتصالات، واهتمام المصنِّعين المتعاظم بسرعة بتطوير إنترنت الأشياء، فسيكون من المفيد اعتماد قرار لقطاع الاتصالات الراديوية يرسم الوجهة العامة للدراسات ضمن ميدان إنترنت الأشياء في نطاق مسؤولية القطاع المذكور ويساعد على تنظيم المعرفة التي تكتسبها مختلف لجان الدراسات وأفرقة العمل في هذا المجال.</w:t>
      </w:r>
    </w:p>
    <w:p w:rsidR="008059CC" w:rsidRDefault="008059C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p w:rsidR="00D51AC3" w:rsidRPr="00D51AC3" w:rsidRDefault="00D51AC3" w:rsidP="00A35589">
      <w:pPr>
        <w:pStyle w:val="AnnexNo"/>
        <w:rPr>
          <w:rtl/>
        </w:rPr>
      </w:pPr>
      <w:r w:rsidRPr="00D51AC3">
        <w:rPr>
          <w:rFonts w:hint="cs"/>
          <w:rtl/>
        </w:rPr>
        <w:lastRenderedPageBreak/>
        <w:t>ال</w:t>
      </w:r>
      <w:r w:rsidR="00A35589">
        <w:rPr>
          <w:rFonts w:hint="cs"/>
          <w:rtl/>
        </w:rPr>
        <w:t>‍</w:t>
      </w:r>
      <w:r w:rsidRPr="00D51AC3">
        <w:rPr>
          <w:rFonts w:hint="cs"/>
          <w:rtl/>
        </w:rPr>
        <w:t xml:space="preserve">ملحق </w:t>
      </w:r>
      <w:r w:rsidRPr="00D51AC3">
        <w:t>1</w:t>
      </w:r>
    </w:p>
    <w:p w:rsidR="00D51AC3" w:rsidRPr="00D51AC3" w:rsidRDefault="00D51AC3" w:rsidP="00AC52B4">
      <w:pPr>
        <w:pStyle w:val="Proposal"/>
        <w:rPr>
          <w:rtl/>
        </w:rPr>
      </w:pPr>
      <w:r w:rsidRPr="00D51AC3">
        <w:rPr>
          <w:lang w:bidi="ar-EG"/>
        </w:rPr>
        <w:t>RCC/XA3/1</w:t>
      </w:r>
    </w:p>
    <w:p w:rsidR="00D51AC3" w:rsidRPr="00D51AC3" w:rsidRDefault="00D51AC3" w:rsidP="00A35589">
      <w:pPr>
        <w:pStyle w:val="ResNo"/>
        <w:rPr>
          <w:rtl/>
        </w:rPr>
      </w:pPr>
      <w:r w:rsidRPr="00D51AC3">
        <w:rPr>
          <w:rFonts w:hint="cs"/>
          <w:rtl/>
        </w:rPr>
        <w:t>مشروع القرار ال</w:t>
      </w:r>
      <w:r w:rsidR="00A35589">
        <w:rPr>
          <w:rFonts w:hint="cs"/>
          <w:rtl/>
        </w:rPr>
        <w:t>‍</w:t>
      </w:r>
      <w:r w:rsidRPr="00D51AC3">
        <w:rPr>
          <w:rFonts w:hint="cs"/>
          <w:rtl/>
        </w:rPr>
        <w:t xml:space="preserve">جديد </w:t>
      </w:r>
      <w:r w:rsidR="00A35589">
        <w:t>ITU-R </w:t>
      </w:r>
      <w:r w:rsidRPr="00D51AC3">
        <w:t>[IOT]</w:t>
      </w:r>
    </w:p>
    <w:p w:rsidR="00D51AC3" w:rsidRPr="00D51AC3" w:rsidRDefault="00D51AC3" w:rsidP="00D2740F">
      <w:pPr>
        <w:pStyle w:val="Restitle"/>
      </w:pPr>
      <w:r w:rsidRPr="00D51AC3">
        <w:rPr>
          <w:rFonts w:hint="cs"/>
          <w:rtl/>
        </w:rPr>
        <w:t>الدراسات المتعلقة بالأنظمة والتطبيقات اللاسلكية لتطوير إنترنت الأشياء (</w:t>
      </w:r>
      <w:r w:rsidRPr="00D51AC3">
        <w:t>IoT</w:t>
      </w:r>
      <w:r w:rsidRPr="00D51AC3">
        <w:rPr>
          <w:rFonts w:hint="cs"/>
          <w:rtl/>
          <w:lang w:bidi="ar-SA"/>
        </w:rPr>
        <w:t>)</w:t>
      </w:r>
    </w:p>
    <w:p w:rsidR="001C0F0F" w:rsidRDefault="001C0F0F" w:rsidP="00A35589">
      <w:pPr>
        <w:pStyle w:val="Date"/>
        <w:rPr>
          <w:rFonts w:hint="cs"/>
          <w:rtl/>
          <w:lang w:bidi="ar-EG"/>
        </w:rPr>
      </w:pPr>
      <w:r>
        <w:t>(2015)</w:t>
      </w:r>
    </w:p>
    <w:p w:rsidR="00D51AC3" w:rsidRPr="00D51AC3" w:rsidRDefault="00D51AC3" w:rsidP="00AC52B4">
      <w:pPr>
        <w:pStyle w:val="Normalaftertitle"/>
        <w:rPr>
          <w:rtl/>
        </w:rPr>
      </w:pPr>
      <w:r w:rsidRPr="00D51AC3">
        <w:rPr>
          <w:rtl/>
        </w:rPr>
        <w:t xml:space="preserve">إن جمعية الاتصالات الراديوية </w:t>
      </w:r>
      <w:r w:rsidRPr="00D51AC3">
        <w:rPr>
          <w:rFonts w:hint="cs"/>
          <w:rtl/>
        </w:rPr>
        <w:t>ل</w:t>
      </w:r>
      <w:r w:rsidRPr="00D51AC3">
        <w:rPr>
          <w:rtl/>
        </w:rPr>
        <w:t>لاتحاد الدولي للاتصالات،</w:t>
      </w:r>
    </w:p>
    <w:p w:rsidR="00D51AC3" w:rsidRPr="00D51AC3" w:rsidRDefault="00D51AC3" w:rsidP="00AC52B4">
      <w:pPr>
        <w:pStyle w:val="Call"/>
        <w:rPr>
          <w:rtl/>
          <w:lang w:bidi="ar-EG"/>
        </w:rPr>
      </w:pPr>
      <w:r w:rsidRPr="00D51AC3">
        <w:rPr>
          <w:rFonts w:hint="cs"/>
          <w:rtl/>
          <w:lang w:bidi="ar-EG"/>
        </w:rPr>
        <w:t>إذ تضع في اعتبارها</w:t>
      </w:r>
    </w:p>
    <w:p w:rsidR="00D51AC3" w:rsidRPr="00D51AC3" w:rsidRDefault="008059CC" w:rsidP="00D51AC3">
      <w:pPr>
        <w:rPr>
          <w:rtl/>
          <w:lang w:bidi="ar-EG"/>
        </w:rPr>
      </w:pPr>
      <w:r>
        <w:rPr>
          <w:rFonts w:hint="cs"/>
          <w:i/>
          <w:iCs/>
          <w:rtl/>
          <w:lang w:bidi="ar-EG"/>
        </w:rPr>
        <w:t xml:space="preserve"> </w:t>
      </w:r>
      <w:r w:rsidR="00D51AC3" w:rsidRPr="00D51AC3">
        <w:rPr>
          <w:i/>
          <w:iCs/>
          <w:rtl/>
          <w:lang w:bidi="ar-EG"/>
        </w:rPr>
        <w:t>أ )</w:t>
      </w:r>
      <w:r w:rsidR="00D51AC3" w:rsidRPr="00D51AC3">
        <w:rPr>
          <w:rtl/>
          <w:lang w:bidi="ar-EG"/>
        </w:rPr>
        <w:tab/>
      </w:r>
      <w:r w:rsidR="00D51AC3" w:rsidRPr="00D51AC3">
        <w:rPr>
          <w:rFonts w:hint="cs"/>
          <w:rtl/>
          <w:lang w:bidi="ar-EG"/>
        </w:rPr>
        <w:t>أن "إنترنت الأشياء" الموصلة بالكامل ستُبنى على التوصيلية والوظيفية التي أتاحتها شبكات الاتصالات؛</w:t>
      </w:r>
    </w:p>
    <w:p w:rsidR="00D51AC3" w:rsidRPr="00D51AC3" w:rsidRDefault="00D51AC3" w:rsidP="00FF291E">
      <w:pPr>
        <w:rPr>
          <w:rtl/>
          <w:lang w:bidi="ar-EG"/>
        </w:rPr>
      </w:pPr>
      <w:r w:rsidRPr="00D51AC3">
        <w:rPr>
          <w:i/>
          <w:iCs/>
          <w:rtl/>
          <w:lang w:bidi="ar-EG"/>
        </w:rPr>
        <w:t>ب)</w:t>
      </w:r>
      <w:r w:rsidRPr="00D51AC3">
        <w:rPr>
          <w:rtl/>
          <w:lang w:bidi="ar-EG"/>
        </w:rPr>
        <w:tab/>
      </w:r>
      <w:r w:rsidRPr="00D51AC3">
        <w:rPr>
          <w:rFonts w:hint="cs"/>
          <w:rtl/>
          <w:lang w:bidi="ar-EG"/>
        </w:rPr>
        <w:t xml:space="preserve">وأن العالم الموصل بالكامل يتطلب أيضاً تعزيزاً كبيراً لسرعة الإرسال، وتوصيلة الأجهزة، وكفاءة الطاقة، لاستيعاب </w:t>
      </w:r>
      <w:r w:rsidR="00FF291E">
        <w:rPr>
          <w:rFonts w:hint="cs"/>
          <w:rtl/>
          <w:lang w:bidi="ar-EG"/>
        </w:rPr>
        <w:t>كميات هائلة</w:t>
      </w:r>
      <w:bookmarkStart w:id="1" w:name="_GoBack"/>
      <w:bookmarkEnd w:id="1"/>
      <w:r w:rsidRPr="00D51AC3">
        <w:rPr>
          <w:rFonts w:hint="cs"/>
          <w:rtl/>
          <w:lang w:bidi="ar-EG"/>
        </w:rPr>
        <w:t xml:space="preserve"> من البيانات في صفوف كثرة من الأجهزة؛</w:t>
      </w:r>
    </w:p>
    <w:p w:rsidR="00D51AC3" w:rsidRPr="00D51AC3" w:rsidRDefault="00D51AC3" w:rsidP="00540178">
      <w:pPr>
        <w:rPr>
          <w:rtl/>
        </w:rPr>
      </w:pPr>
      <w:r w:rsidRPr="00D51AC3">
        <w:rPr>
          <w:rFonts w:hint="cs"/>
          <w:i/>
          <w:iCs/>
          <w:rtl/>
          <w:lang w:bidi="ar-EG"/>
        </w:rPr>
        <w:t>ج</w:t>
      </w:r>
      <w:r w:rsidRPr="00D51AC3">
        <w:rPr>
          <w:i/>
          <w:iCs/>
          <w:rtl/>
          <w:lang w:bidi="ar-EG"/>
        </w:rPr>
        <w:t>)</w:t>
      </w:r>
      <w:r w:rsidRPr="00D51AC3">
        <w:rPr>
          <w:rtl/>
          <w:lang w:bidi="ar-EG"/>
        </w:rPr>
        <w:tab/>
      </w:r>
      <w:r w:rsidRPr="00D51AC3">
        <w:rPr>
          <w:rFonts w:hint="cs"/>
          <w:rtl/>
          <w:lang w:bidi="ar-EG"/>
        </w:rPr>
        <w:t xml:space="preserve">وأن لجنة الدراسات </w:t>
      </w:r>
      <w:r w:rsidRPr="00D51AC3">
        <w:rPr>
          <w:rFonts w:asciiTheme="majorBidi" w:hAnsiTheme="majorBidi" w:cstheme="majorBidi" w:hint="cs"/>
          <w:szCs w:val="22"/>
          <w:rtl/>
        </w:rPr>
        <w:t>20</w:t>
      </w:r>
      <w:r w:rsidRPr="00D51AC3">
        <w:rPr>
          <w:rFonts w:hint="cs"/>
          <w:rtl/>
          <w:lang w:bidi="ar-EG"/>
        </w:rPr>
        <w:t xml:space="preserve"> التابعة لقطاع الاتصالات الراديوية، التي تتعامل مع "إنترنت الأشياء وتطبيقاتها بما في ذلك المدن والمجتمعات الذكية</w:t>
      </w:r>
      <w:r w:rsidR="008059CC">
        <w:rPr>
          <w:rFonts w:hint="cs"/>
          <w:rtl/>
          <w:lang w:bidi="ar-EG"/>
        </w:rPr>
        <w:t xml:space="preserve"> </w:t>
      </w:r>
      <w:r w:rsidR="008059CC">
        <w:rPr>
          <w:lang w:bidi="ar-EG"/>
        </w:rPr>
        <w:t>(SC&amp;C)</w:t>
      </w:r>
      <w:r w:rsidRPr="00D51AC3">
        <w:rPr>
          <w:rFonts w:hint="cs"/>
          <w:rtl/>
        </w:rPr>
        <w:t>، تعمل على إعداد معايير دولية لتطوير تكنولوجيات إنترنت الأشياء بما في ذلك الشبكات من آلة إلى</w:t>
      </w:r>
      <w:r w:rsidR="00540178">
        <w:rPr>
          <w:rFonts w:hint="eastAsia"/>
          <w:rtl/>
        </w:rPr>
        <w:t> </w:t>
      </w:r>
      <w:r w:rsidRPr="00D51AC3">
        <w:rPr>
          <w:rFonts w:hint="cs"/>
          <w:rtl/>
        </w:rPr>
        <w:t>آلة وشبكات الاستشعار الشمولية؛</w:t>
      </w:r>
    </w:p>
    <w:p w:rsidR="00D51AC3" w:rsidRPr="00D51AC3" w:rsidRDefault="00D51AC3" w:rsidP="008059CC">
      <w:pPr>
        <w:rPr>
          <w:rtl/>
          <w:lang w:bidi="ar-EG"/>
        </w:rPr>
      </w:pPr>
      <w:r w:rsidRPr="00D51AC3">
        <w:rPr>
          <w:rFonts w:hint="cs"/>
          <w:i/>
          <w:iCs/>
          <w:rtl/>
          <w:lang w:bidi="ar-EG"/>
        </w:rPr>
        <w:t>د </w:t>
      </w:r>
      <w:r w:rsidRPr="00D51AC3">
        <w:rPr>
          <w:i/>
          <w:iCs/>
          <w:rtl/>
          <w:lang w:bidi="ar-EG"/>
        </w:rPr>
        <w:t>)</w:t>
      </w:r>
      <w:r w:rsidRPr="00D51AC3">
        <w:rPr>
          <w:rtl/>
          <w:lang w:bidi="ar-EG"/>
        </w:rPr>
        <w:tab/>
      </w:r>
      <w:r w:rsidRPr="00D51AC3">
        <w:rPr>
          <w:rFonts w:hint="cs"/>
          <w:rtl/>
          <w:lang w:bidi="ar-EG"/>
        </w:rPr>
        <w:t>وأن العديد من الإدارات، ومطوري المعدات، وهيئات التقييس، يدرس التكنولوجيات والتطبيقات اللاسلكية القصيرة المدى لاستخدام إنترنت الأشياء في نطاقات ترددات مختلفة معفاة من الترخيص بما في ذلك النطاقات المخصصة لنشر التطبيقات الصناعية، والعلمية، والطبية</w:t>
      </w:r>
      <w:r w:rsidR="008059CC">
        <w:rPr>
          <w:rFonts w:hint="cs"/>
          <w:rtl/>
          <w:lang w:bidi="ar-EG"/>
        </w:rPr>
        <w:t xml:space="preserve"> </w:t>
      </w:r>
      <w:r w:rsidR="008059CC">
        <w:rPr>
          <w:lang w:bidi="ar-EG"/>
        </w:rPr>
        <w:t>(ISM)</w:t>
      </w:r>
      <w:r w:rsidRPr="00D51AC3">
        <w:rPr>
          <w:rFonts w:hint="cs"/>
          <w:rtl/>
          <w:lang w:bidi="ar-EG"/>
        </w:rPr>
        <w:t>؛</w:t>
      </w:r>
    </w:p>
    <w:p w:rsidR="00D51AC3" w:rsidRPr="00D51AC3" w:rsidRDefault="001C0F0F" w:rsidP="00D51AC3">
      <w:pPr>
        <w:rPr>
          <w:rtl/>
          <w:lang w:bidi="ar-EG"/>
        </w:rPr>
      </w:pPr>
      <w:r>
        <w:rPr>
          <w:rFonts w:hint="cs"/>
          <w:i/>
          <w:iCs/>
          <w:rtl/>
          <w:lang w:bidi="ar-EG"/>
        </w:rPr>
        <w:t xml:space="preserve">ﻫ </w:t>
      </w:r>
      <w:r w:rsidR="00D51AC3" w:rsidRPr="00D51AC3">
        <w:rPr>
          <w:i/>
          <w:iCs/>
          <w:rtl/>
          <w:lang w:bidi="ar-EG"/>
        </w:rPr>
        <w:t>)</w:t>
      </w:r>
      <w:r w:rsidR="00D51AC3" w:rsidRPr="00D51AC3">
        <w:rPr>
          <w:rtl/>
          <w:lang w:bidi="ar-EG"/>
        </w:rPr>
        <w:tab/>
      </w:r>
      <w:r w:rsidR="00D51AC3" w:rsidRPr="00D51AC3">
        <w:rPr>
          <w:rFonts w:hint="cs"/>
          <w:rtl/>
          <w:lang w:bidi="ar-EG"/>
        </w:rPr>
        <w:t>وأن العديد من الإدارات، ومطوري المعدات، وهيئات التقييس، يدرس أيضاً التكنولوجيات والتطبيقات اللاسلكية لإنترنت الأشياء في نطاقات ترددات مختلفة مخصصة للخدمات ذات الصلة؛</w:t>
      </w:r>
    </w:p>
    <w:p w:rsidR="00D51AC3" w:rsidRPr="008059CC" w:rsidRDefault="00D51AC3" w:rsidP="008059CC">
      <w:pPr>
        <w:rPr>
          <w:rtl/>
          <w:lang w:bidi="ar-EG"/>
        </w:rPr>
      </w:pPr>
      <w:r w:rsidRPr="00D51AC3">
        <w:rPr>
          <w:rFonts w:hint="cs"/>
          <w:i/>
          <w:iCs/>
          <w:rtl/>
          <w:lang w:bidi="ar-EG"/>
        </w:rPr>
        <w:t>و</w:t>
      </w:r>
      <w:r w:rsidR="001C0F0F">
        <w:rPr>
          <w:rFonts w:hint="cs"/>
          <w:i/>
          <w:iCs/>
          <w:rtl/>
          <w:lang w:bidi="ar-EG"/>
        </w:rPr>
        <w:t xml:space="preserve"> </w:t>
      </w:r>
      <w:r w:rsidRPr="00D51AC3">
        <w:rPr>
          <w:rFonts w:hint="cs"/>
          <w:i/>
          <w:iCs/>
          <w:rtl/>
          <w:lang w:bidi="ar-EG"/>
        </w:rPr>
        <w:t>)</w:t>
      </w:r>
      <w:r w:rsidRPr="00D51AC3">
        <w:rPr>
          <w:rFonts w:hint="cs"/>
          <w:rtl/>
          <w:lang w:bidi="ar-EG"/>
        </w:rPr>
        <w:tab/>
        <w:t xml:space="preserve">التوصية </w:t>
      </w:r>
      <w:r w:rsidRPr="00D51AC3">
        <w:rPr>
          <w:rFonts w:asciiTheme="majorBidi" w:hAnsiTheme="majorBidi" w:cstheme="majorBidi"/>
          <w:szCs w:val="22"/>
        </w:rPr>
        <w:t>ITU-R M.2002</w:t>
      </w:r>
      <w:r w:rsidRPr="00D51AC3">
        <w:rPr>
          <w:rFonts w:asciiTheme="majorBidi" w:hAnsiTheme="majorBidi" w:cstheme="majorBidi" w:hint="cs"/>
          <w:szCs w:val="22"/>
          <w:rtl/>
        </w:rPr>
        <w:t xml:space="preserve"> </w:t>
      </w:r>
      <w:r w:rsidRPr="00D51AC3">
        <w:rPr>
          <w:rFonts w:hint="cs"/>
          <w:rtl/>
        </w:rPr>
        <w:t xml:space="preserve">عن </w:t>
      </w:r>
      <w:r w:rsidRPr="00D51AC3">
        <w:rPr>
          <w:rtl/>
        </w:rPr>
        <w:t>الأهداف والخصائص والمتطلبات الوظيفية لأنظمة شبكة أجهزة الاستشعار و/أو المفعلات في منطقة واسعة</w:t>
      </w:r>
      <w:r w:rsidR="008059CC">
        <w:rPr>
          <w:rFonts w:hint="cs"/>
          <w:rtl/>
        </w:rPr>
        <w:t xml:space="preserve"> </w:t>
      </w:r>
      <w:r w:rsidR="008059CC">
        <w:t>(WASN)</w:t>
      </w:r>
      <w:r w:rsidRPr="00D51AC3">
        <w:rPr>
          <w:rFonts w:hint="cs"/>
          <w:rtl/>
        </w:rPr>
        <w:t>؛</w:t>
      </w:r>
    </w:p>
    <w:p w:rsidR="00D51AC3" w:rsidRPr="00D51AC3" w:rsidRDefault="00D51AC3" w:rsidP="008059CC">
      <w:pPr>
        <w:rPr>
          <w:rtl/>
          <w:lang w:bidi="ar-EG"/>
        </w:rPr>
      </w:pPr>
      <w:r w:rsidRPr="00D51AC3">
        <w:rPr>
          <w:rFonts w:hint="cs"/>
          <w:rtl/>
          <w:lang w:bidi="ar-EG"/>
        </w:rPr>
        <w:t>ز</w:t>
      </w:r>
      <w:r w:rsidR="001C0F0F">
        <w:rPr>
          <w:rFonts w:hint="cs"/>
          <w:i/>
          <w:iCs/>
          <w:rtl/>
          <w:lang w:bidi="ar-EG"/>
        </w:rPr>
        <w:t xml:space="preserve"> </w:t>
      </w:r>
      <w:r w:rsidRPr="00D51AC3">
        <w:rPr>
          <w:rFonts w:hint="cs"/>
          <w:i/>
          <w:iCs/>
          <w:rtl/>
          <w:lang w:bidi="ar-EG"/>
        </w:rPr>
        <w:t>)</w:t>
      </w:r>
      <w:r w:rsidRPr="00D51AC3">
        <w:rPr>
          <w:rFonts w:hint="cs"/>
          <w:rtl/>
          <w:lang w:bidi="ar-EG"/>
        </w:rPr>
        <w:tab/>
        <w:t xml:space="preserve">التوصية </w:t>
      </w:r>
      <w:r w:rsidRPr="00D51AC3">
        <w:rPr>
          <w:lang w:bidi="ar-EG"/>
        </w:rPr>
        <w:t>ITU-R M.2083</w:t>
      </w:r>
      <w:r w:rsidRPr="00D51AC3">
        <w:rPr>
          <w:rFonts w:hint="cs"/>
          <w:rtl/>
        </w:rPr>
        <w:t xml:space="preserve"> عن </w:t>
      </w:r>
      <w:r w:rsidRPr="00D51AC3">
        <w:rPr>
          <w:rtl/>
        </w:rPr>
        <w:t xml:space="preserve">رؤية بشأن الاتصالات </w:t>
      </w:r>
      <w:r w:rsidRPr="00D51AC3">
        <w:rPr>
          <w:rFonts w:hint="cs"/>
          <w:rtl/>
        </w:rPr>
        <w:t>المتنقلة</w:t>
      </w:r>
      <w:r w:rsidRPr="00D51AC3">
        <w:rPr>
          <w:rtl/>
        </w:rPr>
        <w:t xml:space="preserve"> الدولية - الإطار والأهداف العامة للتطوير </w:t>
      </w:r>
      <w:r w:rsidRPr="00D51AC3">
        <w:rPr>
          <w:rFonts w:hint="cs"/>
          <w:rtl/>
        </w:rPr>
        <w:t>المستقبلي</w:t>
      </w:r>
      <w:r w:rsidRPr="00D51AC3">
        <w:rPr>
          <w:rtl/>
        </w:rPr>
        <w:t xml:space="preserve"> </w:t>
      </w:r>
      <w:r w:rsidRPr="00D51AC3">
        <w:rPr>
          <w:rFonts w:hint="cs"/>
          <w:rtl/>
        </w:rPr>
        <w:t>للاتصالات</w:t>
      </w:r>
      <w:r w:rsidRPr="00D51AC3">
        <w:rPr>
          <w:rtl/>
        </w:rPr>
        <w:t xml:space="preserve"> </w:t>
      </w:r>
      <w:r w:rsidRPr="00D51AC3">
        <w:rPr>
          <w:rFonts w:hint="cs"/>
          <w:rtl/>
        </w:rPr>
        <w:t>المتنقلة</w:t>
      </w:r>
      <w:r w:rsidRPr="00D51AC3">
        <w:rPr>
          <w:rtl/>
        </w:rPr>
        <w:t xml:space="preserve"> الدولية لعام </w:t>
      </w:r>
      <w:r w:rsidR="008059CC">
        <w:rPr>
          <w:rFonts w:asciiTheme="majorBidi" w:hAnsiTheme="majorBidi" w:cstheme="majorBidi"/>
          <w:szCs w:val="22"/>
        </w:rPr>
        <w:t>2020</w:t>
      </w:r>
      <w:r w:rsidRPr="00D51AC3">
        <w:rPr>
          <w:rtl/>
        </w:rPr>
        <w:t xml:space="preserve"> وما بعده</w:t>
      </w:r>
      <w:r w:rsidR="00E200DE">
        <w:rPr>
          <w:rFonts w:hint="cs"/>
          <w:rtl/>
        </w:rPr>
        <w:t>؛</w:t>
      </w:r>
    </w:p>
    <w:p w:rsidR="00D51AC3" w:rsidRPr="00D51AC3" w:rsidRDefault="00D51AC3" w:rsidP="00540178">
      <w:pPr>
        <w:rPr>
          <w:rtl/>
        </w:rPr>
      </w:pPr>
      <w:r w:rsidRPr="00D51AC3">
        <w:rPr>
          <w:rFonts w:hint="cs"/>
          <w:rtl/>
          <w:lang w:bidi="ar-EG"/>
        </w:rPr>
        <w:t>ح)</w:t>
      </w:r>
      <w:r w:rsidRPr="00D51AC3">
        <w:rPr>
          <w:rFonts w:hint="cs"/>
          <w:rtl/>
          <w:lang w:bidi="ar-EG"/>
        </w:rPr>
        <w:tab/>
        <w:t xml:space="preserve">المسألة </w:t>
      </w:r>
      <w:r w:rsidRPr="00D51AC3">
        <w:rPr>
          <w:bCs/>
          <w:lang w:bidi="ar-EG"/>
        </w:rPr>
        <w:t>ITU-R 250-1/5</w:t>
      </w:r>
      <w:r w:rsidRPr="00D51AC3">
        <w:rPr>
          <w:rFonts w:hint="cs"/>
          <w:bCs/>
          <w:rtl/>
        </w:rPr>
        <w:t xml:space="preserve"> </w:t>
      </w:r>
      <w:r w:rsidRPr="00D51AC3">
        <w:rPr>
          <w:rFonts w:hint="cs"/>
          <w:rtl/>
        </w:rPr>
        <w:t xml:space="preserve">عن </w:t>
      </w:r>
      <w:r w:rsidRPr="00D51AC3">
        <w:rPr>
          <w:rtl/>
        </w:rPr>
        <w:t>أنظمة النفاذ اللاسلكي المتنقل التي توفر الاتصالات لعدد كبير من أجهزة الاستشعار و/أو</w:t>
      </w:r>
      <w:r w:rsidR="00540178">
        <w:rPr>
          <w:rFonts w:hint="cs"/>
          <w:rtl/>
        </w:rPr>
        <w:t> </w:t>
      </w:r>
      <w:r w:rsidRPr="00D51AC3">
        <w:rPr>
          <w:rtl/>
        </w:rPr>
        <w:t>أجهزة التشغيل الآلي الشمولية المنتشرة عبر مناطق واسعة فضلاً عن الاتصالات بين آلة وأخرى في الخدمة المتنقلة البرية</w:t>
      </w:r>
      <w:r w:rsidR="00E200DE">
        <w:rPr>
          <w:rFonts w:hint="cs"/>
          <w:rtl/>
        </w:rPr>
        <w:t>؛</w:t>
      </w:r>
    </w:p>
    <w:p w:rsidR="00D51AC3" w:rsidRPr="00D51AC3" w:rsidRDefault="00D51AC3" w:rsidP="00D51AC3">
      <w:pPr>
        <w:rPr>
          <w:rtl/>
          <w:lang w:bidi="ar-EG"/>
        </w:rPr>
      </w:pPr>
      <w:r w:rsidRPr="00D51AC3">
        <w:rPr>
          <w:rFonts w:hint="cs"/>
          <w:rtl/>
          <w:lang w:bidi="ar-EG"/>
        </w:rPr>
        <w:t>ط)</w:t>
      </w:r>
      <w:r w:rsidRPr="00D51AC3">
        <w:rPr>
          <w:rtl/>
          <w:lang w:bidi="ar-EG"/>
        </w:rPr>
        <w:tab/>
      </w:r>
      <w:r w:rsidRPr="00D51AC3">
        <w:rPr>
          <w:rFonts w:hint="cs"/>
          <w:rtl/>
          <w:lang w:bidi="ar-EG"/>
        </w:rPr>
        <w:t xml:space="preserve">التقرير </w:t>
      </w:r>
      <w:r w:rsidRPr="00D51AC3">
        <w:rPr>
          <w:lang w:bidi="ar-EG"/>
        </w:rPr>
        <w:t>ITU-R M.2370-0</w:t>
      </w:r>
      <w:r w:rsidRPr="00D51AC3">
        <w:rPr>
          <w:rFonts w:hint="cs"/>
          <w:rtl/>
        </w:rPr>
        <w:t xml:space="preserve"> عن تقديرات حركة الاتصالات المتنقلة الدولية للسنوات بين </w:t>
      </w:r>
      <w:r>
        <w:rPr>
          <w:rFonts w:asciiTheme="majorBidi" w:hAnsiTheme="majorBidi" w:cstheme="majorBidi"/>
          <w:szCs w:val="22"/>
        </w:rPr>
        <w:t>2020</w:t>
      </w:r>
      <w:r w:rsidRPr="00D51AC3">
        <w:rPr>
          <w:rFonts w:hint="cs"/>
          <w:rtl/>
        </w:rPr>
        <w:t xml:space="preserve"> </w:t>
      </w:r>
      <w:r w:rsidRPr="00D51AC3">
        <w:rPr>
          <w:rFonts w:ascii="Traditional Arabic" w:hAnsi="Traditional Arabic"/>
          <w:sz w:val="30"/>
          <w:rtl/>
        </w:rPr>
        <w:t>و</w:t>
      </w:r>
      <w:r>
        <w:rPr>
          <w:rFonts w:asciiTheme="majorBidi" w:hAnsiTheme="majorBidi" w:cstheme="majorBidi"/>
          <w:szCs w:val="22"/>
        </w:rPr>
        <w:t>2030</w:t>
      </w:r>
      <w:r w:rsidRPr="00D51AC3">
        <w:rPr>
          <w:rFonts w:hint="cs"/>
          <w:rtl/>
        </w:rPr>
        <w:t>،</w:t>
      </w:r>
    </w:p>
    <w:p w:rsidR="00D51AC3" w:rsidRPr="00D51AC3" w:rsidRDefault="00D51AC3" w:rsidP="00AC52B4">
      <w:pPr>
        <w:pStyle w:val="Call"/>
        <w:rPr>
          <w:rtl/>
        </w:rPr>
      </w:pPr>
      <w:r w:rsidRPr="00D51AC3">
        <w:rPr>
          <w:rtl/>
        </w:rPr>
        <w:t xml:space="preserve">وإذ </w:t>
      </w:r>
      <w:r w:rsidRPr="00D51AC3">
        <w:rPr>
          <w:rFonts w:hint="cs"/>
          <w:rtl/>
        </w:rPr>
        <w:t>تدرك</w:t>
      </w:r>
    </w:p>
    <w:p w:rsidR="00D51AC3" w:rsidRPr="00D51AC3" w:rsidRDefault="00D51AC3" w:rsidP="00D51AC3">
      <w:pPr>
        <w:rPr>
          <w:rtl/>
          <w:lang w:bidi="ar-EG"/>
        </w:rPr>
      </w:pPr>
      <w:r w:rsidRPr="00D51AC3">
        <w:rPr>
          <w:i/>
          <w:iCs/>
          <w:rtl/>
          <w:lang w:bidi="ar-EG"/>
        </w:rPr>
        <w:t xml:space="preserve"> أ )</w:t>
      </w:r>
      <w:r w:rsidRPr="00D51AC3">
        <w:rPr>
          <w:rtl/>
          <w:lang w:bidi="ar-EG"/>
        </w:rPr>
        <w:tab/>
      </w:r>
      <w:r w:rsidRPr="00D51AC3">
        <w:rPr>
          <w:rtl/>
        </w:rPr>
        <w:t xml:space="preserve">القرار </w:t>
      </w:r>
      <w:r>
        <w:rPr>
          <w:rFonts w:asciiTheme="majorBidi" w:hAnsiTheme="majorBidi" w:cstheme="majorBidi"/>
          <w:szCs w:val="22"/>
        </w:rPr>
        <w:t>197</w:t>
      </w:r>
      <w:r w:rsidRPr="00D51AC3">
        <w:rPr>
          <w:rtl/>
        </w:rPr>
        <w:t xml:space="preserve"> (بوسان، </w:t>
      </w:r>
      <w:r>
        <w:rPr>
          <w:rFonts w:asciiTheme="majorBidi" w:hAnsiTheme="majorBidi" w:cstheme="majorBidi"/>
          <w:szCs w:val="22"/>
        </w:rPr>
        <w:t>2014</w:t>
      </w:r>
      <w:r w:rsidRPr="00D51AC3">
        <w:rPr>
          <w:rtl/>
        </w:rPr>
        <w:t>)</w:t>
      </w:r>
      <w:r w:rsidRPr="00D51AC3">
        <w:rPr>
          <w:rFonts w:hint="cs"/>
          <w:rtl/>
        </w:rPr>
        <w:t xml:space="preserve"> عن </w:t>
      </w:r>
      <w:r w:rsidRPr="00D51AC3">
        <w:rPr>
          <w:rtl/>
        </w:rPr>
        <w:t>تيسير إنترنت الأشياء تمهيداً لعالم موصل بالكامل</w:t>
      </w:r>
      <w:r w:rsidRPr="00D51AC3">
        <w:rPr>
          <w:rFonts w:hint="cs"/>
          <w:rtl/>
        </w:rPr>
        <w:t>؛</w:t>
      </w:r>
    </w:p>
    <w:p w:rsidR="00D51AC3" w:rsidRPr="00D51AC3" w:rsidRDefault="00D51AC3" w:rsidP="00B65BE7">
      <w:pPr>
        <w:rPr>
          <w:rtl/>
          <w:lang w:bidi="ar-EG"/>
        </w:rPr>
      </w:pPr>
      <w:r w:rsidRPr="00D51AC3">
        <w:rPr>
          <w:i/>
          <w:iCs/>
          <w:rtl/>
          <w:lang w:bidi="ar-EG"/>
        </w:rPr>
        <w:t>ب)</w:t>
      </w:r>
      <w:r w:rsidRPr="00D51AC3">
        <w:rPr>
          <w:rtl/>
          <w:lang w:bidi="ar-EG"/>
        </w:rPr>
        <w:tab/>
      </w:r>
      <w:r w:rsidRPr="00D51AC3">
        <w:rPr>
          <w:rFonts w:hint="cs"/>
          <w:rtl/>
          <w:lang w:bidi="ar-EG"/>
        </w:rPr>
        <w:t>استخدام خدمات الاتصالات الراديوية لنطاقات ترددات راديوية مختلفة يوفر العديد منها قنوات اتصالات، وبنية تحتية،</w:t>
      </w:r>
      <w:r w:rsidR="00540178">
        <w:rPr>
          <w:rFonts w:hint="eastAsia"/>
          <w:rtl/>
          <w:lang w:bidi="ar-EG"/>
        </w:rPr>
        <w:t> </w:t>
      </w:r>
      <w:r w:rsidRPr="00D51AC3">
        <w:rPr>
          <w:rFonts w:hint="cs"/>
          <w:rtl/>
          <w:lang w:bidi="ar-EG"/>
        </w:rPr>
        <w:t>وقدرة يمكن استخدامها في نشر إنترنت الأشياء بغية ضمان النشر الفع</w:t>
      </w:r>
      <w:r w:rsidR="00FF291E">
        <w:rPr>
          <w:rFonts w:hint="cs"/>
          <w:rtl/>
          <w:lang w:bidi="ar-EG"/>
        </w:rPr>
        <w:t>ّ</w:t>
      </w:r>
      <w:r w:rsidRPr="00D51AC3">
        <w:rPr>
          <w:rFonts w:hint="cs"/>
          <w:rtl/>
          <w:lang w:bidi="ar-EG"/>
        </w:rPr>
        <w:t>ال من حيث التكلفة والاستخدام الكفوء لطيف الترددات</w:t>
      </w:r>
      <w:r w:rsidR="00B65BE7">
        <w:rPr>
          <w:rFonts w:hint="eastAsia"/>
          <w:rtl/>
          <w:lang w:bidi="ar-EG"/>
        </w:rPr>
        <w:t> </w:t>
      </w:r>
      <w:r w:rsidRPr="00D51AC3">
        <w:rPr>
          <w:rFonts w:hint="cs"/>
          <w:rtl/>
          <w:lang w:bidi="ar-EG"/>
        </w:rPr>
        <w:t>الراديوية،</w:t>
      </w:r>
    </w:p>
    <w:p w:rsidR="00D51AC3" w:rsidRPr="00D51AC3" w:rsidRDefault="00D51AC3" w:rsidP="00A60FDE">
      <w:pPr>
        <w:pStyle w:val="Call"/>
        <w:rPr>
          <w:rtl/>
        </w:rPr>
      </w:pPr>
      <w:r w:rsidRPr="00D51AC3">
        <w:rPr>
          <w:rtl/>
        </w:rPr>
        <w:lastRenderedPageBreak/>
        <w:t>تق</w:t>
      </w:r>
      <w:r w:rsidRPr="00D51AC3">
        <w:rPr>
          <w:rFonts w:hint="cs"/>
          <w:rtl/>
        </w:rPr>
        <w:t>ـ</w:t>
      </w:r>
      <w:r w:rsidRPr="00D51AC3">
        <w:rPr>
          <w:rtl/>
        </w:rPr>
        <w:t>رر</w:t>
      </w:r>
      <w:r w:rsidRPr="00D51AC3">
        <w:rPr>
          <w:rFonts w:hint="cs"/>
          <w:rtl/>
        </w:rPr>
        <w:t xml:space="preserve"> أن تدعو قطاع الاتصالات الراديوية إلى</w:t>
      </w:r>
    </w:p>
    <w:p w:rsidR="00D51AC3" w:rsidRPr="00D51AC3" w:rsidRDefault="00D51AC3" w:rsidP="00D51AC3">
      <w:pPr>
        <w:rPr>
          <w:rtl/>
        </w:rPr>
      </w:pPr>
      <w:r>
        <w:rPr>
          <w:lang w:bidi="ar-EG"/>
        </w:rPr>
        <w:t>1</w:t>
      </w:r>
      <w:r w:rsidRPr="00D51AC3">
        <w:rPr>
          <w:rtl/>
          <w:lang w:bidi="ar-EG"/>
        </w:rPr>
        <w:tab/>
      </w:r>
      <w:r w:rsidRPr="00D51AC3">
        <w:rPr>
          <w:rFonts w:hint="cs"/>
          <w:rtl/>
        </w:rPr>
        <w:t>إجراء دراسات في مجال إعداد الشبكات والأنظمة الراديوية لتطوير إنترنت الأشياء؛</w:t>
      </w:r>
    </w:p>
    <w:p w:rsidR="00D51AC3" w:rsidRPr="00D51AC3" w:rsidRDefault="00D51AC3" w:rsidP="00A60FDE">
      <w:pPr>
        <w:rPr>
          <w:rtl/>
          <w:lang w:bidi="ar-EG"/>
        </w:rPr>
      </w:pPr>
      <w:r>
        <w:rPr>
          <w:lang w:bidi="ar-EG"/>
        </w:rPr>
        <w:t>2</w:t>
      </w:r>
      <w:r w:rsidRPr="00D51AC3">
        <w:rPr>
          <w:rtl/>
          <w:lang w:bidi="ar-EG"/>
        </w:rPr>
        <w:tab/>
      </w:r>
      <w:r w:rsidRPr="00D51AC3">
        <w:rPr>
          <w:rFonts w:hint="cs"/>
          <w:rtl/>
          <w:lang w:bidi="ar-EG"/>
        </w:rPr>
        <w:t>وضع التوصيات و/أو التقارير المناسبة لقطاع الاتصالات الراديوية، حسب الاقتضاء، بشأن أساس الدراسات المشار إليها</w:t>
      </w:r>
      <w:r w:rsidR="00A60FDE">
        <w:rPr>
          <w:rFonts w:hint="eastAsia"/>
          <w:rtl/>
          <w:lang w:bidi="ar-EG"/>
        </w:rPr>
        <w:t> </w:t>
      </w:r>
      <w:r w:rsidRPr="00D51AC3">
        <w:rPr>
          <w:rFonts w:hint="cs"/>
          <w:rtl/>
          <w:lang w:bidi="ar-EG"/>
        </w:rPr>
        <w:t>أعلاه؛</w:t>
      </w:r>
    </w:p>
    <w:p w:rsidR="00D51AC3" w:rsidRPr="00D51AC3" w:rsidRDefault="00D51AC3" w:rsidP="00A60FDE">
      <w:pPr>
        <w:rPr>
          <w:rtl/>
          <w:lang w:bidi="ar-EG"/>
        </w:rPr>
      </w:pPr>
      <w:r>
        <w:rPr>
          <w:lang w:bidi="ar-EG"/>
        </w:rPr>
        <w:t>3</w:t>
      </w:r>
      <w:r w:rsidRPr="00D51AC3">
        <w:rPr>
          <w:rtl/>
          <w:lang w:bidi="ar-EG"/>
        </w:rPr>
        <w:tab/>
      </w:r>
      <w:r w:rsidRPr="00D51AC3">
        <w:rPr>
          <w:rFonts w:hint="cs"/>
          <w:rtl/>
          <w:lang w:bidi="ar-EG"/>
        </w:rPr>
        <w:t xml:space="preserve">أن تقوم لجان الدراسات التي تجري الدراسات باطلاع </w:t>
      </w:r>
      <w:r w:rsidRPr="00D51AC3">
        <w:rPr>
          <w:rtl/>
          <w:lang w:bidi="ar-EG"/>
        </w:rPr>
        <w:t>الفريق الاستشاري للاتصالات الراديوية</w:t>
      </w:r>
      <w:r w:rsidRPr="00D51AC3">
        <w:rPr>
          <w:rFonts w:hint="cs"/>
          <w:rtl/>
          <w:lang w:bidi="ar-EG"/>
        </w:rPr>
        <w:t xml:space="preserve"> بانت</w:t>
      </w:r>
      <w:r w:rsidR="00E200DE">
        <w:rPr>
          <w:rFonts w:hint="cs"/>
          <w:rtl/>
          <w:lang w:bidi="ar-EG"/>
        </w:rPr>
        <w:t>ظام على نتائج تنفيذ هذا</w:t>
      </w:r>
      <w:r w:rsidR="00A60FDE">
        <w:rPr>
          <w:rFonts w:hint="eastAsia"/>
          <w:rtl/>
          <w:lang w:bidi="ar-EG"/>
        </w:rPr>
        <w:t> </w:t>
      </w:r>
      <w:r w:rsidR="00E200DE">
        <w:rPr>
          <w:rFonts w:hint="cs"/>
          <w:rtl/>
          <w:lang w:bidi="ar-EG"/>
        </w:rPr>
        <w:t>القرار،</w:t>
      </w:r>
    </w:p>
    <w:p w:rsidR="00D51AC3" w:rsidRPr="00D51AC3" w:rsidRDefault="00D51AC3" w:rsidP="00AC52B4">
      <w:pPr>
        <w:pStyle w:val="Call"/>
        <w:rPr>
          <w:rtl/>
        </w:rPr>
      </w:pPr>
      <w:r w:rsidRPr="00D51AC3">
        <w:rPr>
          <w:rFonts w:hint="cs"/>
          <w:rtl/>
        </w:rPr>
        <w:t>تقرر أيضاً</w:t>
      </w:r>
    </w:p>
    <w:p w:rsidR="00D51AC3" w:rsidRPr="00D51AC3" w:rsidRDefault="00D51AC3" w:rsidP="00D51AC3">
      <w:pPr>
        <w:rPr>
          <w:rtl/>
          <w:lang w:bidi="ar-EG"/>
        </w:rPr>
      </w:pPr>
      <w:r w:rsidRPr="00D51AC3">
        <w:rPr>
          <w:rFonts w:hint="cs"/>
          <w:rtl/>
          <w:lang w:bidi="ar-EG"/>
        </w:rPr>
        <w:t>مساندة التضافر الوثيق والتعاون بصورة منتظمة مع قطاع تقييس الاتصالات في الاتحاد الدولي للاتصالات بما يراعي نتائج العمل الجاري في ذلك القطاع وتفادياً لازدواج الجهود،</w:t>
      </w:r>
    </w:p>
    <w:p w:rsidR="00D51AC3" w:rsidRPr="00D51AC3" w:rsidRDefault="00D51AC3" w:rsidP="00AC52B4">
      <w:pPr>
        <w:pStyle w:val="Call"/>
        <w:rPr>
          <w:rtl/>
        </w:rPr>
      </w:pPr>
      <w:r w:rsidRPr="00D51AC3">
        <w:rPr>
          <w:rFonts w:hint="cs"/>
          <w:rtl/>
        </w:rPr>
        <w:t>تدعو أعضاء الاتحاد</w:t>
      </w:r>
    </w:p>
    <w:p w:rsidR="00D51AC3" w:rsidRPr="00D51AC3" w:rsidRDefault="00D51AC3" w:rsidP="00D51AC3">
      <w:pPr>
        <w:rPr>
          <w:rtl/>
        </w:rPr>
      </w:pPr>
      <w:r w:rsidRPr="00D51AC3">
        <w:rPr>
          <w:rFonts w:hint="cs"/>
          <w:rtl/>
        </w:rPr>
        <w:t xml:space="preserve">إلى المشاركة بنشاط في تنفيذ القرار وذلك مثلاً بتقديم المساهمات لينظر فيها قطاع </w:t>
      </w:r>
      <w:r w:rsidRPr="00D51AC3">
        <w:rPr>
          <w:rFonts w:hint="cs"/>
          <w:rtl/>
          <w:lang w:bidi="ar-EG"/>
        </w:rPr>
        <w:t>الاتصالات</w:t>
      </w:r>
      <w:r w:rsidRPr="00D51AC3">
        <w:rPr>
          <w:rFonts w:hint="cs"/>
          <w:rtl/>
        </w:rPr>
        <w:t xml:space="preserve"> الراديوية وتوفير المعلومات ذات الصلة من مصادر خارج القطاع المذكور.</w:t>
      </w:r>
    </w:p>
    <w:p w:rsidR="001C0F0F" w:rsidRDefault="001C0F0F" w:rsidP="001C0F0F">
      <w:pPr>
        <w:pStyle w:val="Reasons"/>
      </w:pPr>
    </w:p>
    <w:p w:rsidR="002C116F" w:rsidRPr="00706D7A" w:rsidRDefault="001C0F0F" w:rsidP="001C0F0F">
      <w:pPr>
        <w:spacing w:before="240"/>
        <w:jc w:val="center"/>
        <w:rPr>
          <w:rtl/>
          <w:lang w:bidi="ar-EG"/>
        </w:rPr>
      </w:pPr>
      <w:r>
        <w:rPr>
          <w:rFonts w:hint="cs"/>
          <w:rtl/>
          <w:lang w:bidi="ar-EG"/>
        </w:rPr>
        <w:t>__________</w:t>
      </w:r>
    </w:p>
    <w:sectPr w:rsidR="002C116F" w:rsidRPr="00706D7A"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67A" w:rsidRDefault="0047767A" w:rsidP="00F9134D">
      <w:pPr>
        <w:spacing w:before="0" w:line="240" w:lineRule="auto"/>
      </w:pPr>
      <w:r>
        <w:separator/>
      </w:r>
    </w:p>
  </w:endnote>
  <w:endnote w:type="continuationSeparator" w:id="0">
    <w:p w:rsidR="0047767A" w:rsidRDefault="0047767A"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8059CC" w:rsidRDefault="006A644C" w:rsidP="008059CC">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8059CC">
      <w:rPr>
        <w:sz w:val="16"/>
        <w:szCs w:val="16"/>
        <w:lang w:val="es-ES"/>
      </w:rPr>
      <w:instrText xml:space="preserve"> FILENAME \p \* MERGEFORMAT </w:instrText>
    </w:r>
    <w:r w:rsidRPr="00F9134D">
      <w:rPr>
        <w:sz w:val="16"/>
        <w:szCs w:val="16"/>
      </w:rPr>
      <w:fldChar w:fldCharType="separate"/>
    </w:r>
    <w:r w:rsidR="008059CC" w:rsidRPr="008059CC">
      <w:rPr>
        <w:noProof/>
        <w:sz w:val="16"/>
        <w:szCs w:val="16"/>
        <w:lang w:val="es-ES"/>
      </w:rPr>
      <w:t>P:\ARA\ITU-R\CONF-R\AR15\PLEN\000\021ADD03A.docx</w:t>
    </w:r>
    <w:r w:rsidRPr="00F9134D">
      <w:rPr>
        <w:sz w:val="16"/>
        <w:szCs w:val="16"/>
      </w:rPr>
      <w:fldChar w:fldCharType="end"/>
    </w:r>
    <w:r w:rsidRPr="008059CC">
      <w:rPr>
        <w:sz w:val="16"/>
        <w:szCs w:val="16"/>
        <w:lang w:val="es-ES"/>
      </w:rPr>
      <w:t xml:space="preserve">   (</w:t>
    </w:r>
    <w:r w:rsidR="008059CC" w:rsidRPr="008059CC">
      <w:rPr>
        <w:sz w:val="16"/>
        <w:szCs w:val="16"/>
        <w:lang w:val="es-ES"/>
      </w:rPr>
      <w:t>387954</w:t>
    </w:r>
    <w:r w:rsidRPr="008059CC">
      <w:rPr>
        <w:sz w:val="16"/>
        <w:szCs w:val="16"/>
        <w:lang w:val="es-ES"/>
      </w:rPr>
      <w:t>)</w:t>
    </w:r>
    <w:r w:rsidRPr="008059CC">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B24240">
      <w:rPr>
        <w:noProof/>
        <w:sz w:val="16"/>
        <w:szCs w:val="16"/>
      </w:rPr>
      <w:t>23.10.15</w:t>
    </w:r>
    <w:r w:rsidRPr="00F9134D">
      <w:rPr>
        <w:sz w:val="16"/>
        <w:szCs w:val="16"/>
      </w:rPr>
      <w:fldChar w:fldCharType="end"/>
    </w:r>
    <w:r w:rsidRPr="008059CC">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47767A">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8059CC" w:rsidRDefault="006A644C" w:rsidP="008059CC">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8059CC">
      <w:rPr>
        <w:sz w:val="16"/>
        <w:szCs w:val="16"/>
        <w:lang w:val="es-ES"/>
      </w:rPr>
      <w:instrText xml:space="preserve"> FILENAME \p \* MERGEFORMAT </w:instrText>
    </w:r>
    <w:r w:rsidRPr="00F9134D">
      <w:rPr>
        <w:sz w:val="16"/>
        <w:szCs w:val="16"/>
      </w:rPr>
      <w:fldChar w:fldCharType="separate"/>
    </w:r>
    <w:r w:rsidR="008059CC" w:rsidRPr="008059CC">
      <w:rPr>
        <w:noProof/>
        <w:sz w:val="16"/>
        <w:szCs w:val="16"/>
        <w:lang w:val="es-ES"/>
      </w:rPr>
      <w:t>P:\ARA\ITU-R\CONF-R\AR15\PLEN\000\021ADD03A.docx</w:t>
    </w:r>
    <w:r w:rsidRPr="00F9134D">
      <w:rPr>
        <w:sz w:val="16"/>
        <w:szCs w:val="16"/>
      </w:rPr>
      <w:fldChar w:fldCharType="end"/>
    </w:r>
    <w:r w:rsidRPr="008059CC">
      <w:rPr>
        <w:sz w:val="16"/>
        <w:szCs w:val="16"/>
        <w:lang w:val="es-ES"/>
      </w:rPr>
      <w:t xml:space="preserve">   (</w:t>
    </w:r>
    <w:r w:rsidR="008059CC" w:rsidRPr="008059CC">
      <w:rPr>
        <w:sz w:val="16"/>
        <w:szCs w:val="16"/>
        <w:lang w:val="es-ES"/>
      </w:rPr>
      <w:t>387954</w:t>
    </w:r>
    <w:r w:rsidRPr="008059CC">
      <w:rPr>
        <w:sz w:val="16"/>
        <w:szCs w:val="16"/>
        <w:lang w:val="es-ES"/>
      </w:rPr>
      <w:t>)</w:t>
    </w:r>
    <w:r w:rsidRPr="008059CC">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B24240">
      <w:rPr>
        <w:noProof/>
        <w:sz w:val="16"/>
        <w:szCs w:val="16"/>
      </w:rPr>
      <w:t>23.10.15</w:t>
    </w:r>
    <w:r w:rsidRPr="00F9134D">
      <w:rPr>
        <w:sz w:val="16"/>
        <w:szCs w:val="16"/>
      </w:rPr>
      <w:fldChar w:fldCharType="end"/>
    </w:r>
    <w:r w:rsidRPr="008059CC">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47767A">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67A" w:rsidRDefault="0047767A" w:rsidP="00F9134D">
      <w:pPr>
        <w:spacing w:before="0" w:line="240" w:lineRule="auto"/>
      </w:pPr>
      <w:r>
        <w:separator/>
      </w:r>
    </w:p>
  </w:footnote>
  <w:footnote w:type="continuationSeparator" w:id="0">
    <w:p w:rsidR="0047767A" w:rsidRDefault="0047767A"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78" w:rsidRPr="006A644C" w:rsidRDefault="006A644C" w:rsidP="00B24240">
    <w:pPr>
      <w:pStyle w:val="Header"/>
      <w:bidi w:val="0"/>
      <w:spacing w:after="240"/>
      <w:jc w:val="center"/>
      <w:rPr>
        <w:rFonts w:cs="Times New Roman"/>
        <w:sz w:val="20"/>
        <w:szCs w:val="20"/>
        <w:rtl/>
        <w:lang w:bidi="ar-EG"/>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FF291E">
      <w:rPr>
        <w:rFonts w:cs="Times New Roman"/>
        <w:noProof/>
        <w:sz w:val="20"/>
        <w:szCs w:val="20"/>
      </w:rPr>
      <w:t>4</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8059CC">
      <w:rPr>
        <w:rFonts w:cs="Times New Roman"/>
        <w:sz w:val="20"/>
        <w:szCs w:val="20"/>
      </w:rPr>
      <w:t>PLEN</w:t>
    </w:r>
    <w:r w:rsidRPr="006A644C">
      <w:rPr>
        <w:rFonts w:cs="Times New Roman"/>
        <w:sz w:val="20"/>
        <w:szCs w:val="20"/>
      </w:rPr>
      <w:t>/</w:t>
    </w:r>
    <w:r w:rsidR="008059CC">
      <w:rPr>
        <w:rFonts w:cs="Times New Roman"/>
        <w:sz w:val="20"/>
        <w:szCs w:val="20"/>
      </w:rPr>
      <w:t>21(Add.3</w:t>
    </w:r>
    <w:r w:rsidR="00AC52B4">
      <w:rPr>
        <w:rFonts w:cs="Times New Roman"/>
        <w:sz w:val="20"/>
        <w:szCs w:val="20"/>
      </w:rPr>
      <w:t>)</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7A"/>
    <w:rsid w:val="00072E84"/>
    <w:rsid w:val="00090574"/>
    <w:rsid w:val="000A7B06"/>
    <w:rsid w:val="00160530"/>
    <w:rsid w:val="00173915"/>
    <w:rsid w:val="001952E0"/>
    <w:rsid w:val="001C0F0F"/>
    <w:rsid w:val="001D17A2"/>
    <w:rsid w:val="0023283D"/>
    <w:rsid w:val="002978F4"/>
    <w:rsid w:val="002B028D"/>
    <w:rsid w:val="002C116F"/>
    <w:rsid w:val="002E625E"/>
    <w:rsid w:val="002E6541"/>
    <w:rsid w:val="00357185"/>
    <w:rsid w:val="003F678F"/>
    <w:rsid w:val="00423D16"/>
    <w:rsid w:val="0042686F"/>
    <w:rsid w:val="00443869"/>
    <w:rsid w:val="0047767A"/>
    <w:rsid w:val="004E7162"/>
    <w:rsid w:val="00501E0E"/>
    <w:rsid w:val="00540178"/>
    <w:rsid w:val="0055516A"/>
    <w:rsid w:val="00583FE7"/>
    <w:rsid w:val="0060468A"/>
    <w:rsid w:val="006A644C"/>
    <w:rsid w:val="006B5505"/>
    <w:rsid w:val="006B7027"/>
    <w:rsid w:val="006C51D4"/>
    <w:rsid w:val="006F63F7"/>
    <w:rsid w:val="00706D7A"/>
    <w:rsid w:val="007E24ED"/>
    <w:rsid w:val="00803F08"/>
    <w:rsid w:val="008059CC"/>
    <w:rsid w:val="008235CD"/>
    <w:rsid w:val="00850B5D"/>
    <w:rsid w:val="008513CB"/>
    <w:rsid w:val="009469E9"/>
    <w:rsid w:val="00951C29"/>
    <w:rsid w:val="00952D2C"/>
    <w:rsid w:val="00982B28"/>
    <w:rsid w:val="009B0327"/>
    <w:rsid w:val="009B581E"/>
    <w:rsid w:val="00A35589"/>
    <w:rsid w:val="00A60FDE"/>
    <w:rsid w:val="00A8197E"/>
    <w:rsid w:val="00A97F94"/>
    <w:rsid w:val="00AC52B4"/>
    <w:rsid w:val="00B23259"/>
    <w:rsid w:val="00B24240"/>
    <w:rsid w:val="00B507B5"/>
    <w:rsid w:val="00B60766"/>
    <w:rsid w:val="00B65BE7"/>
    <w:rsid w:val="00BF2C38"/>
    <w:rsid w:val="00C51DAD"/>
    <w:rsid w:val="00C674FE"/>
    <w:rsid w:val="00C75633"/>
    <w:rsid w:val="00CE2EE1"/>
    <w:rsid w:val="00CF3FFD"/>
    <w:rsid w:val="00D01BDF"/>
    <w:rsid w:val="00D2740F"/>
    <w:rsid w:val="00D51AC3"/>
    <w:rsid w:val="00D77D0F"/>
    <w:rsid w:val="00DA1CF0"/>
    <w:rsid w:val="00DC24B4"/>
    <w:rsid w:val="00DC4055"/>
    <w:rsid w:val="00DE7D8E"/>
    <w:rsid w:val="00DF16DC"/>
    <w:rsid w:val="00E17033"/>
    <w:rsid w:val="00E200DE"/>
    <w:rsid w:val="00E45211"/>
    <w:rsid w:val="00F401D0"/>
    <w:rsid w:val="00F84366"/>
    <w:rsid w:val="00F85089"/>
    <w:rsid w:val="00F9134D"/>
    <w:rsid w:val="00FF29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4B880B3-7B75-4D97-871E-C7A3A31E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ResNo">
    <w:name w:val="Res_No"/>
    <w:basedOn w:val="RecNo"/>
    <w:next w:val="Normal"/>
    <w:rsid w:val="00D274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0"/>
      <w:textAlignment w:val="baseline"/>
    </w:pPr>
    <w:rPr>
      <w:rFonts w:eastAsia="NSimSun"/>
      <w:sz w:val="28"/>
      <w:szCs w:val="40"/>
      <w:lang w:eastAsia="fr-FR" w:bidi="ar-EG"/>
    </w:rPr>
  </w:style>
  <w:style w:type="paragraph" w:customStyle="1" w:styleId="Restitle">
    <w:name w:val="Res_title"/>
    <w:basedOn w:val="Rectitle"/>
    <w:next w:val="Normal"/>
    <w:rsid w:val="00D274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0"/>
      <w:textAlignment w:val="baseline"/>
    </w:pPr>
    <w:rPr>
      <w:rFonts w:ascii="Times New Roman Bold" w:eastAsia="NSimSun" w:hAnsi="Times New Roman Bold"/>
      <w:lang w:eastAsia="fr-FR" w:bidi="ar-EG"/>
    </w:rPr>
  </w:style>
  <w:style w:type="paragraph" w:customStyle="1" w:styleId="Annexno0">
    <w:name w:val="Annex_no"/>
    <w:basedOn w:val="Normal"/>
    <w:rsid w:val="001C0F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247"/>
      </w:tabs>
      <w:spacing w:after="480"/>
      <w:jc w:val="center"/>
    </w:pPr>
    <w:rPr>
      <w:rFonts w:ascii="Times New Roman Bold" w:eastAsia="Times New Roman" w:hAnsi="Times New Roman Bold"/>
      <w:b/>
      <w:bCs/>
      <w:sz w:val="26"/>
      <w:szCs w:val="36"/>
      <w:lang w:eastAsia="en-US" w:bidi="ar-EG"/>
    </w:rPr>
  </w:style>
  <w:style w:type="paragraph" w:customStyle="1" w:styleId="Annextitle0">
    <w:name w:val="Annex_title"/>
    <w:basedOn w:val="Normal"/>
    <w:next w:val="Normal"/>
    <w:link w:val="AnnextitleChar"/>
    <w:rsid w:val="001C0F0F"/>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line="180" w:lineRule="auto"/>
      <w:jc w:val="center"/>
      <w:textAlignment w:val="baseline"/>
    </w:pPr>
    <w:rPr>
      <w:rFonts w:ascii="Times New Roman Bold" w:eastAsia="Times New Roman" w:hAnsi="Times New Roman Bold"/>
      <w:b/>
      <w:bCs/>
      <w:sz w:val="28"/>
      <w:szCs w:val="40"/>
      <w:lang w:eastAsia="en-US"/>
    </w:rPr>
  </w:style>
  <w:style w:type="character" w:customStyle="1" w:styleId="AnnextitleChar">
    <w:name w:val="Annex_title Char"/>
    <w:basedOn w:val="DefaultParagraphFont"/>
    <w:link w:val="Annextitle0"/>
    <w:rsid w:val="001C0F0F"/>
    <w:rPr>
      <w:rFonts w:ascii="Times New Roman Bold" w:eastAsia="Times New Roman" w:hAnsi="Times New Roman Bold" w:cs="Traditional Arabic"/>
      <w:b/>
      <w:bCs/>
      <w:sz w:val="28"/>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867B7-FB4A-45F4-B455-682C7304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PA_RA-15(New).dotm</Template>
  <TotalTime>59</TotalTime>
  <Pages>4</Pages>
  <Words>1039</Words>
  <Characters>5740</Characters>
  <Application>Microsoft Office Word</Application>
  <DocSecurity>0</DocSecurity>
  <Lines>89</Lines>
  <Paragraphs>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Eltawabti, Ibrahim</dc:creator>
  <cp:keywords/>
  <dc:description/>
  <cp:lastModifiedBy>Awad, Samy</cp:lastModifiedBy>
  <cp:revision>14</cp:revision>
  <dcterms:created xsi:type="dcterms:W3CDTF">2015-10-23T06:14:00Z</dcterms:created>
  <dcterms:modified xsi:type="dcterms:W3CDTF">2015-10-23T11:51:00Z</dcterms:modified>
</cp:coreProperties>
</file>