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E36E6" w:rsidRPr="00653253">
        <w:trPr>
          <w:cantSplit/>
        </w:trPr>
        <w:tc>
          <w:tcPr>
            <w:tcW w:w="6345" w:type="dxa"/>
          </w:tcPr>
          <w:p w:rsidR="004E36E6" w:rsidRPr="00653253" w:rsidRDefault="004E36E6" w:rsidP="000321B9">
            <w:pPr>
              <w:spacing w:before="400" w:after="48"/>
              <w:rPr>
                <w:rFonts w:ascii="Verdana" w:hAnsi="Verdana"/>
                <w:position w:val="6"/>
                <w:sz w:val="22"/>
                <w:szCs w:val="22"/>
              </w:rPr>
            </w:pPr>
            <w:r w:rsidRPr="00653253">
              <w:rPr>
                <w:rFonts w:ascii="Verdana" w:hAnsi="Verdana" w:cs="Times New Roman Bold"/>
                <w:b/>
                <w:szCs w:val="24"/>
              </w:rPr>
              <w:t>Asamblea de Radiocomunicaciones (AR-15)</w:t>
            </w:r>
            <w:r w:rsidRPr="00653253">
              <w:rPr>
                <w:rFonts w:ascii="Verdana" w:hAnsi="Verdana" w:cs="Times"/>
                <w:b/>
                <w:position w:val="6"/>
                <w:sz w:val="20"/>
              </w:rPr>
              <w:t xml:space="preserve"> </w:t>
            </w:r>
            <w:r w:rsidRPr="00653253">
              <w:rPr>
                <w:rFonts w:ascii="Verdana" w:hAnsi="Verdana" w:cs="Times"/>
                <w:b/>
                <w:position w:val="6"/>
                <w:sz w:val="20"/>
              </w:rPr>
              <w:br/>
            </w:r>
            <w:r w:rsidRPr="00653253">
              <w:rPr>
                <w:rFonts w:ascii="Verdana" w:hAnsi="Verdana" w:cs="Times New Roman Bold"/>
                <w:b/>
                <w:bCs/>
                <w:sz w:val="20"/>
              </w:rPr>
              <w:t>Ginebra, 26-30 de octubre de 2015</w:t>
            </w:r>
          </w:p>
        </w:tc>
        <w:tc>
          <w:tcPr>
            <w:tcW w:w="3686" w:type="dxa"/>
          </w:tcPr>
          <w:p w:rsidR="004E36E6" w:rsidRPr="00653253" w:rsidRDefault="004E36E6" w:rsidP="000321B9">
            <w:pPr>
              <w:jc w:val="right"/>
            </w:pPr>
            <w:r w:rsidRPr="00653253">
              <w:rPr>
                <w:noProof/>
                <w:lang w:eastAsia="zh-CN"/>
              </w:rPr>
              <w:drawing>
                <wp:inline distT="0" distB="0" distL="0" distR="0" wp14:anchorId="1BCF6ADC" wp14:editId="7F434106">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E36E6" w:rsidRPr="00653253">
        <w:trPr>
          <w:cantSplit/>
        </w:trPr>
        <w:tc>
          <w:tcPr>
            <w:tcW w:w="6345" w:type="dxa"/>
            <w:tcBorders>
              <w:bottom w:val="single" w:sz="12" w:space="0" w:color="auto"/>
            </w:tcBorders>
          </w:tcPr>
          <w:p w:rsidR="004E36E6" w:rsidRPr="00653253" w:rsidRDefault="004E36E6" w:rsidP="000321B9">
            <w:pPr>
              <w:spacing w:before="0" w:after="48"/>
              <w:rPr>
                <w:b/>
                <w:smallCaps/>
                <w:szCs w:val="24"/>
              </w:rPr>
            </w:pPr>
            <w:r w:rsidRPr="00653253">
              <w:rPr>
                <w:rFonts w:ascii="Verdana" w:hAnsi="Verdana"/>
                <w:b/>
                <w:smallCaps/>
                <w:sz w:val="20"/>
              </w:rPr>
              <w:t>UNIÓN INTERNACIONAL DE TELECOMUNICACIONES</w:t>
            </w:r>
          </w:p>
        </w:tc>
        <w:tc>
          <w:tcPr>
            <w:tcW w:w="3686" w:type="dxa"/>
            <w:tcBorders>
              <w:bottom w:val="single" w:sz="12" w:space="0" w:color="auto"/>
            </w:tcBorders>
          </w:tcPr>
          <w:p w:rsidR="004E36E6" w:rsidRPr="00653253" w:rsidRDefault="004E36E6" w:rsidP="000321B9">
            <w:pPr>
              <w:spacing w:before="0"/>
              <w:rPr>
                <w:rFonts w:ascii="Verdana" w:hAnsi="Verdana"/>
                <w:szCs w:val="24"/>
              </w:rPr>
            </w:pPr>
          </w:p>
        </w:tc>
      </w:tr>
      <w:tr w:rsidR="004E36E6" w:rsidRPr="00653253">
        <w:trPr>
          <w:cantSplit/>
        </w:trPr>
        <w:tc>
          <w:tcPr>
            <w:tcW w:w="6345" w:type="dxa"/>
            <w:tcBorders>
              <w:top w:val="single" w:sz="12" w:space="0" w:color="auto"/>
            </w:tcBorders>
          </w:tcPr>
          <w:p w:rsidR="004E36E6" w:rsidRPr="00653253" w:rsidRDefault="004E36E6" w:rsidP="000321B9">
            <w:pPr>
              <w:spacing w:before="0" w:after="48"/>
              <w:rPr>
                <w:rFonts w:ascii="Verdana" w:hAnsi="Verdana"/>
                <w:b/>
                <w:smallCaps/>
                <w:sz w:val="20"/>
              </w:rPr>
            </w:pPr>
          </w:p>
        </w:tc>
        <w:tc>
          <w:tcPr>
            <w:tcW w:w="3686" w:type="dxa"/>
            <w:tcBorders>
              <w:top w:val="single" w:sz="12" w:space="0" w:color="auto"/>
            </w:tcBorders>
          </w:tcPr>
          <w:p w:rsidR="004E36E6" w:rsidRPr="00653253" w:rsidRDefault="004E36E6" w:rsidP="000321B9">
            <w:pPr>
              <w:spacing w:before="0"/>
              <w:rPr>
                <w:rFonts w:ascii="Verdana" w:hAnsi="Verdana"/>
                <w:sz w:val="20"/>
              </w:rPr>
            </w:pPr>
          </w:p>
        </w:tc>
      </w:tr>
      <w:tr w:rsidR="004E36E6" w:rsidRPr="00653253">
        <w:trPr>
          <w:cantSplit/>
          <w:trHeight w:val="23"/>
        </w:trPr>
        <w:tc>
          <w:tcPr>
            <w:tcW w:w="6345" w:type="dxa"/>
            <w:vMerge w:val="restart"/>
          </w:tcPr>
          <w:p w:rsidR="004E36E6" w:rsidRPr="00653253" w:rsidRDefault="00DF36A2" w:rsidP="00DF36A2">
            <w:pPr>
              <w:tabs>
                <w:tab w:val="left" w:pos="851"/>
              </w:tabs>
              <w:spacing w:before="0" w:line="240" w:lineRule="atLeast"/>
              <w:rPr>
                <w:rFonts w:ascii="Verdana" w:hAnsi="Verdana"/>
                <w:b/>
                <w:bCs/>
                <w:sz w:val="20"/>
              </w:rPr>
            </w:pPr>
            <w:r w:rsidRPr="00653253">
              <w:rPr>
                <w:rFonts w:ascii="Verdana" w:hAnsi="Verdana"/>
                <w:b/>
                <w:bCs/>
                <w:sz w:val="20"/>
              </w:rPr>
              <w:t>SESIÓN PLENARIA</w:t>
            </w:r>
          </w:p>
        </w:tc>
        <w:tc>
          <w:tcPr>
            <w:tcW w:w="3686" w:type="dxa"/>
          </w:tcPr>
          <w:p w:rsidR="004E36E6" w:rsidRPr="00653253" w:rsidRDefault="004E36E6" w:rsidP="000321B9">
            <w:pPr>
              <w:tabs>
                <w:tab w:val="left" w:pos="851"/>
              </w:tabs>
              <w:spacing w:before="0"/>
              <w:rPr>
                <w:rFonts w:ascii="Verdana" w:hAnsi="Verdana"/>
                <w:sz w:val="20"/>
              </w:rPr>
            </w:pPr>
            <w:r w:rsidRPr="00653253">
              <w:rPr>
                <w:rFonts w:ascii="Verdana" w:hAnsi="Verdana"/>
                <w:b/>
                <w:sz w:val="20"/>
              </w:rPr>
              <w:t>Addéndum 1 al</w:t>
            </w:r>
            <w:r w:rsidRPr="00653253">
              <w:rPr>
                <w:rFonts w:ascii="Verdana" w:hAnsi="Verdana"/>
                <w:b/>
                <w:sz w:val="20"/>
              </w:rPr>
              <w:br/>
              <w:t>Documento RA15/PLEN/21-S</w:t>
            </w:r>
          </w:p>
        </w:tc>
      </w:tr>
      <w:tr w:rsidR="004E36E6" w:rsidRPr="00653253">
        <w:trPr>
          <w:cantSplit/>
          <w:trHeight w:val="23"/>
        </w:trPr>
        <w:tc>
          <w:tcPr>
            <w:tcW w:w="6345" w:type="dxa"/>
            <w:vMerge/>
          </w:tcPr>
          <w:p w:rsidR="004E36E6" w:rsidRPr="00653253" w:rsidRDefault="004E36E6" w:rsidP="000321B9">
            <w:pPr>
              <w:tabs>
                <w:tab w:val="left" w:pos="851"/>
              </w:tabs>
              <w:rPr>
                <w:rFonts w:ascii="Verdana" w:hAnsi="Verdana"/>
                <w:b/>
                <w:sz w:val="20"/>
              </w:rPr>
            </w:pPr>
          </w:p>
        </w:tc>
        <w:tc>
          <w:tcPr>
            <w:tcW w:w="3686" w:type="dxa"/>
          </w:tcPr>
          <w:p w:rsidR="004E36E6" w:rsidRPr="00653253" w:rsidRDefault="004E36E6" w:rsidP="000321B9">
            <w:pPr>
              <w:tabs>
                <w:tab w:val="left" w:pos="993"/>
              </w:tabs>
              <w:spacing w:before="0"/>
              <w:rPr>
                <w:rFonts w:ascii="Verdana" w:hAnsi="Verdana"/>
                <w:sz w:val="20"/>
              </w:rPr>
            </w:pPr>
            <w:r w:rsidRPr="00653253">
              <w:rPr>
                <w:rFonts w:ascii="Verdana" w:hAnsi="Verdana"/>
                <w:b/>
                <w:sz w:val="20"/>
              </w:rPr>
              <w:t>9 de octubre de 2015</w:t>
            </w:r>
          </w:p>
        </w:tc>
      </w:tr>
      <w:tr w:rsidR="004E36E6" w:rsidRPr="00653253">
        <w:trPr>
          <w:cantSplit/>
          <w:trHeight w:val="23"/>
        </w:trPr>
        <w:tc>
          <w:tcPr>
            <w:tcW w:w="6345" w:type="dxa"/>
            <w:vMerge/>
          </w:tcPr>
          <w:p w:rsidR="004E36E6" w:rsidRPr="00653253" w:rsidRDefault="004E36E6" w:rsidP="000321B9">
            <w:pPr>
              <w:tabs>
                <w:tab w:val="left" w:pos="851"/>
              </w:tabs>
              <w:rPr>
                <w:rFonts w:ascii="Verdana" w:hAnsi="Verdana"/>
                <w:b/>
                <w:sz w:val="20"/>
              </w:rPr>
            </w:pPr>
          </w:p>
        </w:tc>
        <w:tc>
          <w:tcPr>
            <w:tcW w:w="3686" w:type="dxa"/>
          </w:tcPr>
          <w:p w:rsidR="004E36E6" w:rsidRPr="00653253" w:rsidRDefault="004E36E6" w:rsidP="000321B9">
            <w:pPr>
              <w:tabs>
                <w:tab w:val="left" w:pos="993"/>
              </w:tabs>
              <w:spacing w:before="0" w:after="120"/>
              <w:rPr>
                <w:rFonts w:ascii="Verdana" w:hAnsi="Verdana"/>
                <w:sz w:val="20"/>
              </w:rPr>
            </w:pPr>
            <w:r w:rsidRPr="00653253">
              <w:rPr>
                <w:rFonts w:ascii="Verdana" w:hAnsi="Verdana"/>
                <w:b/>
                <w:sz w:val="20"/>
              </w:rPr>
              <w:t>Original: ruso</w:t>
            </w:r>
          </w:p>
        </w:tc>
      </w:tr>
      <w:tr w:rsidR="004E36E6" w:rsidRPr="00653253">
        <w:trPr>
          <w:cantSplit/>
        </w:trPr>
        <w:tc>
          <w:tcPr>
            <w:tcW w:w="10031" w:type="dxa"/>
            <w:gridSpan w:val="2"/>
          </w:tcPr>
          <w:p w:rsidR="004E36E6" w:rsidRPr="00653253" w:rsidRDefault="004E36E6" w:rsidP="000321B9">
            <w:pPr>
              <w:pStyle w:val="Source"/>
            </w:pPr>
            <w:r w:rsidRPr="00653253">
              <w:t>Propuestas comunes de la Comunidad Regional de Comunicaciones</w:t>
            </w:r>
          </w:p>
        </w:tc>
      </w:tr>
      <w:tr w:rsidR="004E36E6" w:rsidRPr="00653253">
        <w:trPr>
          <w:cantSplit/>
        </w:trPr>
        <w:tc>
          <w:tcPr>
            <w:tcW w:w="10031" w:type="dxa"/>
            <w:gridSpan w:val="2"/>
          </w:tcPr>
          <w:p w:rsidR="004E36E6" w:rsidRPr="00653253" w:rsidRDefault="004E36E6" w:rsidP="000321B9">
            <w:pPr>
              <w:pStyle w:val="Title1"/>
            </w:pPr>
            <w:r w:rsidRPr="00653253">
              <w:t>PROPUESTAS PARA LOS TRABAJOS DE LA ASAMBLEA</w:t>
            </w:r>
          </w:p>
        </w:tc>
      </w:tr>
      <w:tr w:rsidR="004E36E6" w:rsidRPr="00653253">
        <w:trPr>
          <w:cantSplit/>
        </w:trPr>
        <w:tc>
          <w:tcPr>
            <w:tcW w:w="10031" w:type="dxa"/>
            <w:gridSpan w:val="2"/>
          </w:tcPr>
          <w:p w:rsidR="004E36E6" w:rsidRPr="00653253" w:rsidRDefault="004E36E6" w:rsidP="000321B9">
            <w:pPr>
              <w:pStyle w:val="Title2"/>
            </w:pPr>
            <w:r w:rsidRPr="00653253">
              <w:t>propuestas para realizar avances con respecto al proyecto de revisión de la recomendación uit</w:t>
            </w:r>
            <w:r w:rsidRPr="00653253">
              <w:noBreakHyphen/>
              <w:t>R M.1036</w:t>
            </w:r>
            <w:r w:rsidRPr="00653253">
              <w:noBreakHyphen/>
              <w:t>4</w:t>
            </w:r>
          </w:p>
        </w:tc>
      </w:tr>
      <w:tr w:rsidR="004E36E6" w:rsidRPr="00653253">
        <w:trPr>
          <w:cantSplit/>
        </w:trPr>
        <w:tc>
          <w:tcPr>
            <w:tcW w:w="10031" w:type="dxa"/>
            <w:gridSpan w:val="2"/>
          </w:tcPr>
          <w:p w:rsidR="004E36E6" w:rsidRPr="00653253" w:rsidRDefault="004E36E6" w:rsidP="000321B9">
            <w:pPr>
              <w:pStyle w:val="Title3"/>
            </w:pPr>
            <w:bookmarkStart w:id="0" w:name="dtitle3" w:colFirst="0" w:colLast="0"/>
          </w:p>
        </w:tc>
      </w:tr>
    </w:tbl>
    <w:p w:rsidR="004E36E6" w:rsidRPr="00653253" w:rsidRDefault="004E36E6" w:rsidP="000321B9">
      <w:pPr>
        <w:pStyle w:val="Heading1"/>
      </w:pPr>
      <w:bookmarkStart w:id="1" w:name="dbreak"/>
      <w:bookmarkEnd w:id="0"/>
      <w:bookmarkEnd w:id="1"/>
      <w:r w:rsidRPr="00653253">
        <w:t>1</w:t>
      </w:r>
      <w:r w:rsidRPr="00653253">
        <w:tab/>
        <w:t>Introducción</w:t>
      </w:r>
    </w:p>
    <w:p w:rsidR="004E36E6" w:rsidRPr="00653253" w:rsidRDefault="004E36E6" w:rsidP="000321B9">
      <w:r w:rsidRPr="00653253">
        <w:t>En su décima reunión, la Comisión de Estudio 5 examinó la propuesta de revisión de la Recomendación UIT</w:t>
      </w:r>
      <w:r w:rsidR="000321B9" w:rsidRPr="00653253">
        <w:noBreakHyphen/>
        <w:t>R M.1036</w:t>
      </w:r>
      <w:r w:rsidR="000321B9" w:rsidRPr="00653253">
        <w:noBreakHyphen/>
        <w:t>4 «</w:t>
      </w:r>
      <w:r w:rsidRPr="00653253">
        <w:rPr>
          <w:lang w:eastAsia="zh-CN"/>
        </w:rPr>
        <w:t>Disposiciones de frecuencias para la implementación de la componente terrenal de las telecomunicaciones móviles internacionales (IMT) en las bandas determinadas para las IMT en el Reglamento de Radiocomunicaciones (RR)</w:t>
      </w:r>
      <w:r w:rsidR="000321B9" w:rsidRPr="00653253">
        <w:rPr>
          <w:lang w:eastAsia="zh-CN"/>
        </w:rPr>
        <w:t>»</w:t>
      </w:r>
      <w:r w:rsidRPr="00653253">
        <w:rPr>
          <w:lang w:eastAsia="zh-CN"/>
        </w:rPr>
        <w:t>, sin llegar a ningún acuerdo. Se decidió remitir el presente documento a la Asamblea de Radiocomunicaciones 2015 para su examen.</w:t>
      </w:r>
    </w:p>
    <w:p w:rsidR="004E36E6" w:rsidRPr="00653253" w:rsidRDefault="004E36E6" w:rsidP="000321B9">
      <w:pPr>
        <w:rPr>
          <w:lang w:eastAsia="zh-CN"/>
        </w:rPr>
      </w:pPr>
      <w:r w:rsidRPr="00653253">
        <w:rPr>
          <w:lang w:eastAsia="zh-CN"/>
        </w:rPr>
        <w:t>En particular, no se llegó a ningún acuerdo en lo que respecta a la inclusión de las nuevas disposiciones de frecuencias B6 y B7 y a la ampliación de las disposiciones B3 y B5 existentes. Estos cambios en las disposiciones de frecuencias de la componente terrenal de las IMT incluyen nuevas adiciones a las bandas de frecuencias 1 980-2 010 MHz y 2 170-2 200 MHz, identificadas para la componente de satélite de las IMT. Se expresaron distintas opiniones respecto de la posibilidad de introducir dichos cambios en las disposiciones de frecuencias para la componente terrenal de las IMT antes de prestar la debida atención a las cuestiones relativas al funcionamiento simultáneo de las componentes terrenal y de satélite de las IMT.</w:t>
      </w:r>
    </w:p>
    <w:p w:rsidR="004E36E6" w:rsidRPr="00653253" w:rsidRDefault="004E36E6" w:rsidP="000321B9">
      <w:pPr>
        <w:pStyle w:val="Heading1"/>
      </w:pPr>
      <w:r w:rsidRPr="00653253">
        <w:t>2</w:t>
      </w:r>
      <w:r w:rsidRPr="00653253">
        <w:tab/>
        <w:t>Discusión</w:t>
      </w:r>
    </w:p>
    <w:p w:rsidR="004E36E6" w:rsidRPr="00653253" w:rsidRDefault="004E36E6" w:rsidP="000321B9">
      <w:pPr>
        <w:rPr>
          <w:highlight w:val="yellow"/>
        </w:rPr>
      </w:pPr>
      <w:r w:rsidRPr="00653253">
        <w:t xml:space="preserve">Las bandas de frecuencia </w:t>
      </w:r>
      <w:r w:rsidRPr="00653253">
        <w:rPr>
          <w:lang w:eastAsia="zh-CN"/>
        </w:rPr>
        <w:t>1 980-2 010 MHz y 2 170-2 200 MHz son virtualmente las únicas bandas accesibles para la instalación de la componente de satélite de las IMT, de acuerdo con la Resolución 212 (Rev. CMR-07), y a ellas se alude específicamente en la Resolución 223 (Rev. CMR-12) y en la Resolución 225 (Rev. CMR-12) como bandas identificadas para la componente de satélite de las IMT.</w:t>
      </w:r>
    </w:p>
    <w:p w:rsidR="004E36E6" w:rsidRPr="00653253" w:rsidRDefault="004E36E6" w:rsidP="000321B9">
      <w:r w:rsidRPr="00653253">
        <w:rPr>
          <w:lang w:eastAsia="zh-CN"/>
        </w:rPr>
        <w:t xml:space="preserve">Los estudios preliminares de compartición y compatibilidad realizados por el GT </w:t>
      </w:r>
      <w:r w:rsidRPr="00653253">
        <w:t xml:space="preserve">4C muestran que no es posible la compatibilidad/compartición entre las componentes terrenal y de satélite de las IMT alrededor de la frecuencia de </w:t>
      </w:r>
      <w:r w:rsidRPr="00653253">
        <w:rPr>
          <w:lang w:eastAsia="zh-CN"/>
        </w:rPr>
        <w:t xml:space="preserve">2 GHz en la misma zona de cobertura. La ausencia de umbrales de </w:t>
      </w:r>
      <w:r w:rsidRPr="00653253">
        <w:rPr>
          <w:lang w:eastAsia="zh-CN"/>
        </w:rPr>
        <w:lastRenderedPageBreak/>
        <w:t>coordinación aplicables y de unas disposiciones reglamentarias adecuadas en el Reglamento de Radiocomunicaciones complica mucho la tarea de coordinar la utilización de los sistemas de IMT terrenal y de satélite en las bandas en cuestión entre distintos países. Debe señalarse que, si se aprueba la propuesta de revisión de la Recomendación UIT</w:t>
      </w:r>
      <w:r w:rsidRPr="00653253">
        <w:t>-R M.1036 antes de que se hayan resuelto los problemas anteriormente mencionados, aumentará la interferencia entre los sistemas terrenal y de satélite de las IMT, lo que creará una pesada carga de coordinación entre países que desean instalar sistemas de IMT terrenales o de satélite.</w:t>
      </w:r>
    </w:p>
    <w:p w:rsidR="004E36E6" w:rsidRPr="00653253" w:rsidRDefault="004E36E6" w:rsidP="000321B9">
      <w:r w:rsidRPr="00653253">
        <w:t>Conviene observar que en la Recomendación UIT-R M.1036 se señala que uno de los objetivos de realizar disposiciones de frecuencias es minimizar los efectos en otros sistemas y servicios en las bandas identificadas para las IMT, hecho que convierte las cuestiones anteriormente mencionadas en especialmente pertinentes para la revisión de la Recomendación UIT-R M.1036.</w:t>
      </w:r>
    </w:p>
    <w:p w:rsidR="004E36E6" w:rsidRPr="00653253" w:rsidRDefault="004E36E6" w:rsidP="000321B9">
      <w:r w:rsidRPr="00653253">
        <w:t xml:space="preserve">Además, la armonización de las disposiciones de frecuencias </w:t>
      </w:r>
      <w:r w:rsidR="00EF3B93">
        <w:t>en las bandas 1 980</w:t>
      </w:r>
      <w:r w:rsidR="00EF3B93">
        <w:noBreakHyphen/>
        <w:t>2 010 MHz y </w:t>
      </w:r>
      <w:r w:rsidRPr="00653253">
        <w:t xml:space="preserve">2 170-2 200 MHz para la componente terrenal de las IMT antes de realizar los estudios de compartición/compatibilidad y de elaborar los procedimientos de coordinación con la componente de satélite de las IMT puede poner en peligro todas las iniciativas anteriores del UIT-R de creación y elaboración de la componente de satélite de las IMT. El Director de la BR ya ha reconocido la importancia de esta cuestión e informará a la CMR-15 sobre las dificultades encontradas en el marco del punto 9.2 del orden del día; se espera que la </w:t>
      </w:r>
      <w:r w:rsidR="00294932" w:rsidRPr="00653253">
        <w:t xml:space="preserve">Conferencia </w:t>
      </w:r>
      <w:r w:rsidRPr="00653253">
        <w:t>señale algunas vías para resolver estas cuestiones.</w:t>
      </w:r>
    </w:p>
    <w:p w:rsidR="004E36E6" w:rsidRPr="00653253" w:rsidRDefault="004E36E6" w:rsidP="00EB1D33">
      <w:r w:rsidRPr="00653253">
        <w:rPr>
          <w:lang w:eastAsia="zh-CN"/>
        </w:rPr>
        <w:t xml:space="preserve">El GT 4C confirmó la existencia de estas cuestiones en una </w:t>
      </w:r>
      <w:r w:rsidR="00294932" w:rsidRPr="00653253">
        <w:rPr>
          <w:lang w:eastAsia="zh-CN"/>
        </w:rPr>
        <w:t xml:space="preserve">Declaración </w:t>
      </w:r>
      <w:r w:rsidRPr="00653253">
        <w:rPr>
          <w:lang w:eastAsia="zh-CN"/>
        </w:rPr>
        <w:t xml:space="preserve">de </w:t>
      </w:r>
      <w:r w:rsidR="00294932" w:rsidRPr="00653253">
        <w:rPr>
          <w:lang w:eastAsia="zh-CN"/>
        </w:rPr>
        <w:t xml:space="preserve">Coordinación </w:t>
      </w:r>
      <w:r w:rsidRPr="00653253">
        <w:t>(</w:t>
      </w:r>
      <w:r w:rsidR="00AE5091" w:rsidRPr="00653253">
        <w:t>Documento </w:t>
      </w:r>
      <w:hyperlink r:id="rId8" w:history="1">
        <w:r w:rsidRPr="00653253">
          <w:rPr>
            <w:rStyle w:val="Hyperlink"/>
          </w:rPr>
          <w:t>5/194</w:t>
        </w:r>
      </w:hyperlink>
      <w:r w:rsidRPr="00653253">
        <w:t xml:space="preserve">) </w:t>
      </w:r>
      <w:r w:rsidRPr="00653253">
        <w:rPr>
          <w:lang w:eastAsia="zh-CN"/>
        </w:rPr>
        <w:t xml:space="preserve">para el GT </w:t>
      </w:r>
      <w:r w:rsidRPr="00653253">
        <w:t xml:space="preserve">5D, en la que expresaba unos motivos de preocupación similares y se mostraba en desacuerdo con la inclusión de las bandas 1 980-2 010 MHz y 2 170-2 200 MHz en la versión revisada de la Recomendación UIT-R M.1036 antes de que hubieran finalizado los estudios de compatibilidad/compartición. En una </w:t>
      </w:r>
      <w:r w:rsidR="004A5701" w:rsidRPr="00653253">
        <w:t xml:space="preserve">Declaración </w:t>
      </w:r>
      <w:r w:rsidR="00DF167C" w:rsidRPr="00653253">
        <w:t xml:space="preserve">de </w:t>
      </w:r>
      <w:r w:rsidR="004A5701" w:rsidRPr="00653253">
        <w:t xml:space="preserve">Coordinación </w:t>
      </w:r>
      <w:r w:rsidR="00DF167C" w:rsidRPr="00653253">
        <w:t>a la CE 5 (Documento </w:t>
      </w:r>
      <w:hyperlink r:id="rId9" w:history="1">
        <w:r w:rsidRPr="00653253">
          <w:rPr>
            <w:rStyle w:val="Hyperlink"/>
            <w:spacing w:val="-4"/>
            <w:szCs w:val="28"/>
          </w:rPr>
          <w:t>5/212</w:t>
        </w:r>
      </w:hyperlink>
      <w:r w:rsidRPr="00653253">
        <w:t>), la CE 4 apoya esta postura</w:t>
      </w:r>
      <w:r w:rsidRPr="00653253">
        <w:rPr>
          <w:lang w:eastAsia="zh-CN"/>
        </w:rPr>
        <w:t>.</w:t>
      </w:r>
    </w:p>
    <w:p w:rsidR="004E36E6" w:rsidRPr="00653253" w:rsidRDefault="004E36E6" w:rsidP="000321B9">
      <w:pPr>
        <w:pStyle w:val="Heading1"/>
      </w:pPr>
      <w:r w:rsidRPr="00653253">
        <w:t>3</w:t>
      </w:r>
      <w:r w:rsidRPr="00653253">
        <w:tab/>
        <w:t>Conclusión</w:t>
      </w:r>
    </w:p>
    <w:p w:rsidR="004E36E6" w:rsidRPr="00653253" w:rsidRDefault="004E36E6" w:rsidP="00EA5D2B">
      <w:pPr>
        <w:rPr>
          <w:lang w:eastAsia="zh-CN"/>
        </w:rPr>
      </w:pPr>
      <w:r w:rsidRPr="00653253">
        <w:rPr>
          <w:lang w:eastAsia="zh-CN"/>
        </w:rPr>
        <w:t>Las Administraciones de</w:t>
      </w:r>
      <w:r w:rsidR="0033371F">
        <w:rPr>
          <w:lang w:eastAsia="zh-CN"/>
        </w:rPr>
        <w:t xml:space="preserve"> </w:t>
      </w:r>
      <w:r w:rsidRPr="00653253">
        <w:rPr>
          <w:lang w:eastAsia="zh-CN"/>
        </w:rPr>
        <w:t>l</w:t>
      </w:r>
      <w:r w:rsidR="0033371F">
        <w:rPr>
          <w:lang w:eastAsia="zh-CN"/>
        </w:rPr>
        <w:t>a</w:t>
      </w:r>
      <w:r w:rsidRPr="00653253">
        <w:rPr>
          <w:lang w:eastAsia="zh-CN"/>
        </w:rPr>
        <w:t xml:space="preserve"> CRC consideran prematura la inclusión en el proyecto de revisión de la Recomendación UIT</w:t>
      </w:r>
      <w:r w:rsidRPr="00653253">
        <w:noBreakHyphen/>
        <w:t>R M.1036</w:t>
      </w:r>
      <w:r w:rsidRPr="00653253">
        <w:noBreakHyphen/>
        <w:t>4 de las nuevas disposiciones de frecuencias B6 y B7 y la ampliación de las disposiciones B3 y B5 existentes. En consecuencia, las Administraciones de la CRC proponen que no se introduzcan modificaciones en la Sección 3 del proyecto de revisión de la Recomendación UIT</w:t>
      </w:r>
      <w:r w:rsidRPr="00653253">
        <w:rPr>
          <w:lang w:eastAsia="zh-CN"/>
        </w:rPr>
        <w:noBreakHyphen/>
        <w:t>R M.1036-4, tal y como se muestra en el adjunto del presente documento.</w:t>
      </w:r>
    </w:p>
    <w:p w:rsidR="004E36E6" w:rsidRPr="00653253" w:rsidRDefault="004E36E6" w:rsidP="00EA5D2B">
      <w:r w:rsidRPr="00653253">
        <w:t>Solamente será posible considerar las disposiciones de frecuencias para la componente terrenal de las IMT en las bandas de frecuencias 1 980-2 010 MHz o 2 170-2 200 MHz después de que la CMR-15 haya discutido la viabilidad del desarrollo simultáneo de las componentes terrenal y de satélite de las IMT en las bandas de frecuencias 1 980</w:t>
      </w:r>
      <w:r w:rsidRPr="00653253">
        <w:noBreakHyphen/>
        <w:t>2 010 MHz y 2 170-2 200 MHz.</w:t>
      </w:r>
    </w:p>
    <w:p w:rsidR="004E36E6" w:rsidRPr="00653253" w:rsidRDefault="004E36E6" w:rsidP="000321B9">
      <w:pPr>
        <w:tabs>
          <w:tab w:val="clear" w:pos="1134"/>
          <w:tab w:val="clear" w:pos="1871"/>
          <w:tab w:val="clear" w:pos="2268"/>
        </w:tabs>
        <w:overflowPunct/>
        <w:autoSpaceDE/>
        <w:autoSpaceDN/>
        <w:adjustRightInd/>
        <w:spacing w:before="0"/>
        <w:textAlignment w:val="auto"/>
      </w:pPr>
      <w:r w:rsidRPr="00653253">
        <w:br w:type="page"/>
      </w:r>
    </w:p>
    <w:p w:rsidR="004E36E6" w:rsidRPr="00653253" w:rsidRDefault="004E36E6" w:rsidP="000321B9">
      <w:pPr>
        <w:pStyle w:val="AnnexNo"/>
      </w:pPr>
      <w:r w:rsidRPr="00653253">
        <w:lastRenderedPageBreak/>
        <w:t>ADJUNTO</w:t>
      </w:r>
    </w:p>
    <w:p w:rsidR="004E36E6" w:rsidRPr="00653253" w:rsidRDefault="004E36E6" w:rsidP="000321B9">
      <w:pPr>
        <w:pStyle w:val="RecNo"/>
        <w:rPr>
          <w:lang w:eastAsia="zh-CN"/>
        </w:rPr>
      </w:pPr>
      <w:r w:rsidRPr="00653253">
        <w:rPr>
          <w:lang w:eastAsia="zh-CN"/>
        </w:rPr>
        <w:t>proyecto de revisión de la recomendación UIT-R M.1036-4</w:t>
      </w:r>
    </w:p>
    <w:p w:rsidR="004E36E6" w:rsidRPr="00653253" w:rsidRDefault="004E36E6" w:rsidP="00964E81">
      <w:pPr>
        <w:pStyle w:val="Rectitle"/>
        <w:rPr>
          <w:lang w:eastAsia="zh-CN"/>
        </w:rPr>
      </w:pPr>
      <w:r w:rsidRPr="00653253">
        <w:rPr>
          <w:lang w:eastAsia="zh-CN"/>
        </w:rPr>
        <w:t xml:space="preserve">Disposiciones de frecuencias para la implementación de la componente </w:t>
      </w:r>
      <w:r w:rsidR="00964E81">
        <w:rPr>
          <w:lang w:eastAsia="zh-CN"/>
        </w:rPr>
        <w:br/>
      </w:r>
      <w:r w:rsidRPr="00653253">
        <w:rPr>
          <w:lang w:eastAsia="zh-CN"/>
        </w:rPr>
        <w:t xml:space="preserve">terrenal de las telecomunicaciones móviles internacionales (IMT) </w:t>
      </w:r>
      <w:r w:rsidR="00964E81">
        <w:rPr>
          <w:lang w:eastAsia="zh-CN"/>
        </w:rPr>
        <w:br/>
      </w:r>
      <w:r w:rsidRPr="00653253">
        <w:rPr>
          <w:lang w:eastAsia="zh-CN"/>
        </w:rPr>
        <w:t xml:space="preserve">en las bandas determinadas para las IMT en el </w:t>
      </w:r>
      <w:r w:rsidR="00964E81">
        <w:rPr>
          <w:lang w:eastAsia="zh-CN"/>
        </w:rPr>
        <w:br/>
      </w:r>
      <w:r w:rsidRPr="00653253">
        <w:rPr>
          <w:lang w:eastAsia="zh-CN"/>
        </w:rPr>
        <w:t>Reglamento de Radiocomunicaciones (RR)</w:t>
      </w:r>
    </w:p>
    <w:p w:rsidR="004E36E6" w:rsidRPr="00653253" w:rsidRDefault="004E36E6" w:rsidP="000321B9">
      <w:pPr>
        <w:rPr>
          <w:i/>
          <w:iCs/>
          <w:lang w:eastAsia="ja-JP"/>
        </w:rPr>
      </w:pPr>
      <w:r w:rsidRPr="00653253">
        <w:rPr>
          <w:i/>
          <w:iCs/>
        </w:rPr>
        <w:t>[Nota del editor: se propone no introducir cambios en el texto fundamental del proyecto de revisión de la Recomendación UIT-R M.1036-4.]</w:t>
      </w:r>
    </w:p>
    <w:p w:rsidR="004E36E6" w:rsidRPr="00653253" w:rsidRDefault="004E36E6" w:rsidP="000321B9">
      <w:pPr>
        <w:rPr>
          <w:szCs w:val="24"/>
        </w:rPr>
      </w:pPr>
      <w:r w:rsidRPr="00653253">
        <w:rPr>
          <w:szCs w:val="24"/>
        </w:rPr>
        <w:t>...</w:t>
      </w:r>
    </w:p>
    <w:p w:rsidR="004E36E6" w:rsidRPr="00653253" w:rsidRDefault="004E36E6" w:rsidP="000321B9">
      <w:pPr>
        <w:pStyle w:val="AnnexNoTitle"/>
        <w:rPr>
          <w:rFonts w:eastAsia="MS Mincho"/>
          <w:lang w:val="es-ES_tradnl"/>
        </w:rPr>
      </w:pPr>
      <w:r w:rsidRPr="00653253">
        <w:rPr>
          <w:rFonts w:eastAsia="MS Mincho"/>
          <w:lang w:val="es-ES_tradnl"/>
        </w:rPr>
        <w:t>Anexo 1</w:t>
      </w:r>
    </w:p>
    <w:p w:rsidR="004E36E6" w:rsidRPr="00653253" w:rsidRDefault="004E36E6" w:rsidP="00EA5D2B">
      <w:pPr>
        <w:rPr>
          <w:i/>
          <w:iCs/>
          <w:lang w:eastAsia="ja-JP"/>
        </w:rPr>
      </w:pPr>
      <w:r w:rsidRPr="00653253">
        <w:rPr>
          <w:i/>
          <w:iCs/>
        </w:rPr>
        <w:t>[Nota del editor: las propuestas relativas al proyecto de rev</w:t>
      </w:r>
      <w:r w:rsidR="004B08C1">
        <w:rPr>
          <w:i/>
          <w:iCs/>
        </w:rPr>
        <w:t>isión de la Recomendación UIT</w:t>
      </w:r>
      <w:r w:rsidR="004B08C1">
        <w:rPr>
          <w:i/>
          <w:iCs/>
        </w:rPr>
        <w:noBreakHyphen/>
        <w:t>R </w:t>
      </w:r>
      <w:r w:rsidRPr="00653253">
        <w:rPr>
          <w:i/>
          <w:iCs/>
        </w:rPr>
        <w:t>M.1036-4 atañen únicamente a la Sección 3 del Anexo 1]</w:t>
      </w:r>
    </w:p>
    <w:p w:rsidR="004E36E6" w:rsidRPr="00653253" w:rsidRDefault="004E36E6" w:rsidP="00B050CC">
      <w:pPr>
        <w:pStyle w:val="Proposal"/>
        <w:rPr>
          <w:b/>
          <w:bCs/>
        </w:rPr>
      </w:pPr>
      <w:r w:rsidRPr="00653253">
        <w:rPr>
          <w:b/>
          <w:bCs/>
          <w:u w:val="single"/>
        </w:rPr>
        <w:t>NOC</w:t>
      </w:r>
      <w:r w:rsidRPr="00653253">
        <w:rPr>
          <w:b/>
          <w:bCs/>
        </w:rPr>
        <w:tab/>
        <w:t>RCC/XA</w:t>
      </w:r>
      <w:r w:rsidR="00B050CC">
        <w:rPr>
          <w:b/>
          <w:bCs/>
        </w:rPr>
        <w:t>1</w:t>
      </w:r>
      <w:r w:rsidRPr="00653253">
        <w:rPr>
          <w:b/>
          <w:bCs/>
        </w:rPr>
        <w:t>/1</w:t>
      </w:r>
    </w:p>
    <w:p w:rsidR="004E36E6" w:rsidRPr="00653253" w:rsidRDefault="004E36E6" w:rsidP="000321B9">
      <w:pPr>
        <w:pStyle w:val="SectionNo"/>
        <w:rPr>
          <w:b/>
          <w:bCs/>
          <w:szCs w:val="28"/>
        </w:rPr>
      </w:pPr>
      <w:r w:rsidRPr="00653253">
        <w:rPr>
          <w:b/>
          <w:bCs/>
          <w:szCs w:val="28"/>
        </w:rPr>
        <w:t>Sección 3</w:t>
      </w:r>
    </w:p>
    <w:p w:rsidR="004E36E6" w:rsidRPr="00653253" w:rsidRDefault="004E36E6" w:rsidP="000321B9">
      <w:pPr>
        <w:pStyle w:val="Sectiontitle"/>
      </w:pPr>
      <w:r w:rsidRPr="00653253">
        <w:t>Disposiciones de frecuencias en la banda 1 710-2 200 MHz</w:t>
      </w:r>
      <w:r w:rsidRPr="00653253">
        <w:rPr>
          <w:position w:val="6"/>
          <w:sz w:val="18"/>
        </w:rPr>
        <w:footnoteReference w:id="1"/>
      </w:r>
    </w:p>
    <w:p w:rsidR="004E36E6" w:rsidRPr="00653253" w:rsidRDefault="004E36E6" w:rsidP="00F47C58">
      <w:r w:rsidRPr="00653253">
        <w:t>Las disposiciones de frecuencias recomendadas para la implantación de las IMT en la banda 1 710</w:t>
      </w:r>
      <w:r w:rsidRPr="00653253">
        <w:noBreakHyphen/>
        <w:t>2 200 MHz se resumen en el Cuadro 4 y en la Fig</w:t>
      </w:r>
      <w:r w:rsidR="00F47C58">
        <w:t>ura</w:t>
      </w:r>
      <w:r w:rsidRPr="00653253">
        <w:t xml:space="preserve"> 4, considerando las dir</w:t>
      </w:r>
      <w:r w:rsidR="00676D38" w:rsidRPr="00653253">
        <w:t>ectrices del Anexo </w:t>
      </w:r>
      <w:r w:rsidRPr="00653253">
        <w:t>1.</w:t>
      </w:r>
    </w:p>
    <w:p w:rsidR="004E36E6" w:rsidRPr="00653253" w:rsidRDefault="004E36E6" w:rsidP="00BC2948">
      <w:pPr>
        <w:pStyle w:val="TableNo"/>
        <w:spacing w:before="480"/>
      </w:pPr>
      <w:r w:rsidRPr="00653253">
        <w:t>CU</w:t>
      </w:r>
      <w:bookmarkStart w:id="2" w:name="_GoBack"/>
      <w:bookmarkEnd w:id="2"/>
      <w:r w:rsidRPr="00653253">
        <w:t>ADRO 4</w:t>
      </w:r>
    </w:p>
    <w:p w:rsidR="004E36E6" w:rsidRPr="00653253" w:rsidRDefault="004E36E6" w:rsidP="000321B9">
      <w:pPr>
        <w:pStyle w:val="Tabletitle"/>
      </w:pPr>
      <w:r w:rsidRPr="00653253">
        <w:t>Disposiciones de frecuencias en la banda 1 710-2 200 MHz</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734"/>
        <w:gridCol w:w="1300"/>
        <w:gridCol w:w="1502"/>
        <w:gridCol w:w="1242"/>
        <w:gridCol w:w="1480"/>
        <w:gridCol w:w="35"/>
      </w:tblGrid>
      <w:tr w:rsidR="004E36E6" w:rsidRPr="00653253" w:rsidTr="00747A99">
        <w:trPr>
          <w:gridAfter w:val="1"/>
          <w:wAfter w:w="35" w:type="dxa"/>
          <w:jc w:val="center"/>
        </w:trPr>
        <w:tc>
          <w:tcPr>
            <w:tcW w:w="2381" w:type="dxa"/>
            <w:vMerge w:val="restart"/>
            <w:vAlign w:val="center"/>
          </w:tcPr>
          <w:p w:rsidR="004E36E6" w:rsidRPr="00653253" w:rsidRDefault="004E36E6" w:rsidP="000321B9">
            <w:pPr>
              <w:pStyle w:val="Tablehead"/>
            </w:pPr>
            <w:r w:rsidRPr="00653253">
              <w:t>Disposiciones de frecuencias</w:t>
            </w:r>
          </w:p>
        </w:tc>
        <w:tc>
          <w:tcPr>
            <w:tcW w:w="5778" w:type="dxa"/>
            <w:gridSpan w:val="4"/>
            <w:vAlign w:val="center"/>
          </w:tcPr>
          <w:p w:rsidR="004E36E6" w:rsidRPr="00653253" w:rsidRDefault="004E36E6" w:rsidP="000321B9">
            <w:pPr>
              <w:pStyle w:val="Tablehead"/>
              <w:rPr>
                <w:bCs/>
              </w:rPr>
            </w:pPr>
            <w:r w:rsidRPr="00653253">
              <w:rPr>
                <w:bCs/>
              </w:rPr>
              <w:t>Disposiciones apareadas</w:t>
            </w:r>
          </w:p>
        </w:tc>
        <w:tc>
          <w:tcPr>
            <w:tcW w:w="1480" w:type="dxa"/>
            <w:vMerge w:val="restart"/>
            <w:vAlign w:val="center"/>
          </w:tcPr>
          <w:p w:rsidR="004E36E6" w:rsidRPr="00653253" w:rsidRDefault="004E36E6" w:rsidP="000321B9">
            <w:pPr>
              <w:pStyle w:val="Tablehead"/>
            </w:pPr>
            <w:r w:rsidRPr="00653253">
              <w:t>Disposiciones no apareadas (por ejemplo para TDD)</w:t>
            </w:r>
            <w:r w:rsidRPr="00653253">
              <w:br/>
              <w:t>(MHz)</w:t>
            </w:r>
          </w:p>
        </w:tc>
      </w:tr>
      <w:tr w:rsidR="004E36E6" w:rsidRPr="00653253" w:rsidTr="00747A99">
        <w:trPr>
          <w:gridAfter w:val="1"/>
          <w:wAfter w:w="35" w:type="dxa"/>
          <w:jc w:val="center"/>
        </w:trPr>
        <w:tc>
          <w:tcPr>
            <w:tcW w:w="2381" w:type="dxa"/>
            <w:vMerge/>
            <w:vAlign w:val="center"/>
          </w:tcPr>
          <w:p w:rsidR="004E36E6" w:rsidRPr="00653253" w:rsidRDefault="004E36E6" w:rsidP="000321B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c>
          <w:tcPr>
            <w:tcW w:w="1734" w:type="dxa"/>
            <w:vAlign w:val="center"/>
          </w:tcPr>
          <w:p w:rsidR="004E36E6" w:rsidRPr="00653253" w:rsidRDefault="004E36E6" w:rsidP="000321B9">
            <w:pPr>
              <w:pStyle w:val="Tablehead"/>
              <w:rPr>
                <w:caps/>
              </w:rPr>
            </w:pPr>
            <w:r w:rsidRPr="00653253">
              <w:t xml:space="preserve">Estación móvil transmisora </w:t>
            </w:r>
            <w:r w:rsidRPr="00653253">
              <w:br/>
              <w:t>(MHz)</w:t>
            </w:r>
          </w:p>
        </w:tc>
        <w:tc>
          <w:tcPr>
            <w:tcW w:w="1300" w:type="dxa"/>
            <w:vAlign w:val="center"/>
          </w:tcPr>
          <w:p w:rsidR="004E36E6" w:rsidRPr="00653253" w:rsidRDefault="004E36E6" w:rsidP="000321B9">
            <w:pPr>
              <w:pStyle w:val="Tablehead"/>
              <w:rPr>
                <w:caps/>
              </w:rPr>
            </w:pPr>
            <w:r w:rsidRPr="00653253">
              <w:t>Separación central (MHz)</w:t>
            </w:r>
          </w:p>
        </w:tc>
        <w:tc>
          <w:tcPr>
            <w:tcW w:w="1502" w:type="dxa"/>
            <w:vAlign w:val="center"/>
          </w:tcPr>
          <w:p w:rsidR="004E36E6" w:rsidRPr="00653253" w:rsidRDefault="004E36E6" w:rsidP="000321B9">
            <w:pPr>
              <w:pStyle w:val="Tablehead"/>
              <w:rPr>
                <w:caps/>
              </w:rPr>
            </w:pPr>
            <w:r w:rsidRPr="00653253">
              <w:t>Estación de base transmisora</w:t>
            </w:r>
            <w:r w:rsidRPr="00653253">
              <w:br/>
              <w:t>(MHz)</w:t>
            </w:r>
          </w:p>
        </w:tc>
        <w:tc>
          <w:tcPr>
            <w:tcW w:w="1242" w:type="dxa"/>
            <w:vAlign w:val="center"/>
          </w:tcPr>
          <w:p w:rsidR="004E36E6" w:rsidRPr="00653253" w:rsidRDefault="004E36E6" w:rsidP="000321B9">
            <w:pPr>
              <w:pStyle w:val="Tablehead"/>
            </w:pPr>
            <w:r w:rsidRPr="00653253">
              <w:t>Separación dúplex</w:t>
            </w:r>
            <w:r w:rsidRPr="00653253">
              <w:br/>
              <w:t>(MHz)</w:t>
            </w:r>
          </w:p>
        </w:tc>
        <w:tc>
          <w:tcPr>
            <w:tcW w:w="1480" w:type="dxa"/>
            <w:vMerge/>
            <w:vAlign w:val="center"/>
          </w:tcPr>
          <w:p w:rsidR="004E36E6" w:rsidRPr="00653253" w:rsidRDefault="004E36E6" w:rsidP="000321B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r>
      <w:tr w:rsidR="004E36E6" w:rsidRPr="00653253" w:rsidTr="00747A99">
        <w:trPr>
          <w:gridAfter w:val="1"/>
          <w:wAfter w:w="35" w:type="dxa"/>
          <w:jc w:val="center"/>
        </w:trPr>
        <w:tc>
          <w:tcPr>
            <w:tcW w:w="2381" w:type="dxa"/>
          </w:tcPr>
          <w:p w:rsidR="004E36E6" w:rsidRPr="00653253" w:rsidRDefault="004E36E6" w:rsidP="000321B9">
            <w:pPr>
              <w:pStyle w:val="Tabletext"/>
              <w:jc w:val="center"/>
            </w:pPr>
            <w:r w:rsidRPr="00653253">
              <w:t>B1</w:t>
            </w:r>
          </w:p>
        </w:tc>
        <w:tc>
          <w:tcPr>
            <w:tcW w:w="1734" w:type="dxa"/>
          </w:tcPr>
          <w:p w:rsidR="004E36E6" w:rsidRPr="00653253" w:rsidRDefault="004E36E6" w:rsidP="000321B9">
            <w:pPr>
              <w:pStyle w:val="Tabletext"/>
              <w:jc w:val="center"/>
            </w:pPr>
            <w:r w:rsidRPr="00653253">
              <w:t>1 920-1 980</w:t>
            </w:r>
          </w:p>
        </w:tc>
        <w:tc>
          <w:tcPr>
            <w:tcW w:w="1300" w:type="dxa"/>
          </w:tcPr>
          <w:p w:rsidR="004E36E6" w:rsidRPr="00653253" w:rsidRDefault="004E36E6" w:rsidP="000321B9">
            <w:pPr>
              <w:pStyle w:val="Tabletext"/>
              <w:jc w:val="center"/>
            </w:pPr>
            <w:r w:rsidRPr="00653253">
              <w:t>130</w:t>
            </w:r>
          </w:p>
        </w:tc>
        <w:tc>
          <w:tcPr>
            <w:tcW w:w="1502" w:type="dxa"/>
          </w:tcPr>
          <w:p w:rsidR="004E36E6" w:rsidRPr="00653253" w:rsidRDefault="004E36E6" w:rsidP="000321B9">
            <w:pPr>
              <w:pStyle w:val="Tabletext"/>
              <w:jc w:val="center"/>
            </w:pPr>
            <w:r w:rsidRPr="00653253">
              <w:t>2 110-2 170</w:t>
            </w:r>
          </w:p>
        </w:tc>
        <w:tc>
          <w:tcPr>
            <w:tcW w:w="1242" w:type="dxa"/>
          </w:tcPr>
          <w:p w:rsidR="004E36E6" w:rsidRPr="00653253" w:rsidRDefault="004E36E6" w:rsidP="000321B9">
            <w:pPr>
              <w:pStyle w:val="Tabletext"/>
              <w:jc w:val="center"/>
            </w:pPr>
            <w:r w:rsidRPr="00653253">
              <w:t>190</w:t>
            </w:r>
          </w:p>
        </w:tc>
        <w:tc>
          <w:tcPr>
            <w:tcW w:w="1480" w:type="dxa"/>
          </w:tcPr>
          <w:p w:rsidR="004E36E6" w:rsidRPr="00653253" w:rsidRDefault="004E36E6" w:rsidP="000321B9">
            <w:pPr>
              <w:pStyle w:val="Tabletext"/>
              <w:jc w:val="center"/>
            </w:pPr>
            <w:r w:rsidRPr="00653253">
              <w:t>1 880-1 920;</w:t>
            </w:r>
            <w:r w:rsidRPr="00653253">
              <w:br/>
              <w:t>2 010-2 025</w:t>
            </w:r>
          </w:p>
        </w:tc>
      </w:tr>
      <w:tr w:rsidR="004E36E6" w:rsidRPr="00653253" w:rsidTr="00747A99">
        <w:trPr>
          <w:gridAfter w:val="1"/>
          <w:wAfter w:w="35" w:type="dxa"/>
          <w:jc w:val="center"/>
        </w:trPr>
        <w:tc>
          <w:tcPr>
            <w:tcW w:w="2381" w:type="dxa"/>
          </w:tcPr>
          <w:p w:rsidR="004E36E6" w:rsidRPr="00653253" w:rsidRDefault="004E36E6" w:rsidP="000321B9">
            <w:pPr>
              <w:pStyle w:val="Tabletext"/>
              <w:jc w:val="center"/>
            </w:pPr>
            <w:r w:rsidRPr="00653253">
              <w:t>B2</w:t>
            </w:r>
          </w:p>
        </w:tc>
        <w:tc>
          <w:tcPr>
            <w:tcW w:w="1734" w:type="dxa"/>
          </w:tcPr>
          <w:p w:rsidR="004E36E6" w:rsidRPr="00653253" w:rsidRDefault="004E36E6" w:rsidP="000321B9">
            <w:pPr>
              <w:pStyle w:val="Tabletext"/>
              <w:jc w:val="center"/>
            </w:pPr>
            <w:r w:rsidRPr="00653253">
              <w:t>1 710-1 785</w:t>
            </w:r>
          </w:p>
        </w:tc>
        <w:tc>
          <w:tcPr>
            <w:tcW w:w="1300" w:type="dxa"/>
          </w:tcPr>
          <w:p w:rsidR="004E36E6" w:rsidRPr="00653253" w:rsidRDefault="004E36E6" w:rsidP="000321B9">
            <w:pPr>
              <w:pStyle w:val="Tabletext"/>
              <w:jc w:val="center"/>
            </w:pPr>
            <w:r w:rsidRPr="00653253">
              <w:t>20</w:t>
            </w:r>
          </w:p>
        </w:tc>
        <w:tc>
          <w:tcPr>
            <w:tcW w:w="1502" w:type="dxa"/>
          </w:tcPr>
          <w:p w:rsidR="004E36E6" w:rsidRPr="00653253" w:rsidRDefault="004E36E6" w:rsidP="000321B9">
            <w:pPr>
              <w:pStyle w:val="Tabletext"/>
              <w:jc w:val="center"/>
            </w:pPr>
            <w:r w:rsidRPr="00653253">
              <w:t>1 805-1 880</w:t>
            </w:r>
          </w:p>
        </w:tc>
        <w:tc>
          <w:tcPr>
            <w:tcW w:w="1242" w:type="dxa"/>
          </w:tcPr>
          <w:p w:rsidR="004E36E6" w:rsidRPr="00653253" w:rsidRDefault="004E36E6" w:rsidP="000321B9">
            <w:pPr>
              <w:pStyle w:val="Tabletext"/>
              <w:jc w:val="center"/>
            </w:pPr>
            <w:r w:rsidRPr="00653253">
              <w:t>95</w:t>
            </w:r>
          </w:p>
        </w:tc>
        <w:tc>
          <w:tcPr>
            <w:tcW w:w="1480" w:type="dxa"/>
          </w:tcPr>
          <w:p w:rsidR="004E36E6" w:rsidRPr="00653253" w:rsidRDefault="004E36E6" w:rsidP="000321B9">
            <w:pPr>
              <w:pStyle w:val="Tabletext"/>
              <w:jc w:val="center"/>
            </w:pPr>
            <w:r w:rsidRPr="00653253">
              <w:t>Ninguna</w:t>
            </w:r>
          </w:p>
        </w:tc>
      </w:tr>
      <w:tr w:rsidR="004E36E6" w:rsidRPr="00653253" w:rsidTr="00747A99">
        <w:trPr>
          <w:gridAfter w:val="1"/>
          <w:wAfter w:w="35" w:type="dxa"/>
          <w:jc w:val="center"/>
        </w:trPr>
        <w:tc>
          <w:tcPr>
            <w:tcW w:w="2381" w:type="dxa"/>
          </w:tcPr>
          <w:p w:rsidR="004E36E6" w:rsidRPr="00653253" w:rsidRDefault="004E36E6" w:rsidP="000321B9">
            <w:pPr>
              <w:pStyle w:val="Tabletext"/>
              <w:jc w:val="center"/>
            </w:pPr>
            <w:r w:rsidRPr="00653253">
              <w:t>B3</w:t>
            </w:r>
          </w:p>
        </w:tc>
        <w:tc>
          <w:tcPr>
            <w:tcW w:w="1734" w:type="dxa"/>
          </w:tcPr>
          <w:p w:rsidR="004E36E6" w:rsidRPr="00653253" w:rsidRDefault="004E36E6" w:rsidP="000321B9">
            <w:pPr>
              <w:pStyle w:val="Tabletext"/>
              <w:jc w:val="center"/>
            </w:pPr>
            <w:r w:rsidRPr="00653253">
              <w:t>1 850-1 910</w:t>
            </w:r>
          </w:p>
        </w:tc>
        <w:tc>
          <w:tcPr>
            <w:tcW w:w="1300" w:type="dxa"/>
          </w:tcPr>
          <w:p w:rsidR="004E36E6" w:rsidRPr="00653253" w:rsidRDefault="004E36E6" w:rsidP="000321B9">
            <w:pPr>
              <w:pStyle w:val="Tabletext"/>
              <w:jc w:val="center"/>
            </w:pPr>
            <w:r w:rsidRPr="00653253">
              <w:t>20</w:t>
            </w:r>
          </w:p>
        </w:tc>
        <w:tc>
          <w:tcPr>
            <w:tcW w:w="1502" w:type="dxa"/>
          </w:tcPr>
          <w:p w:rsidR="004E36E6" w:rsidRPr="00653253" w:rsidRDefault="004E36E6" w:rsidP="000321B9">
            <w:pPr>
              <w:pStyle w:val="Tabletext"/>
              <w:jc w:val="center"/>
            </w:pPr>
            <w:r w:rsidRPr="00653253">
              <w:t>1 930-1 990</w:t>
            </w:r>
          </w:p>
        </w:tc>
        <w:tc>
          <w:tcPr>
            <w:tcW w:w="1242" w:type="dxa"/>
          </w:tcPr>
          <w:p w:rsidR="004E36E6" w:rsidRPr="00653253" w:rsidRDefault="004E36E6" w:rsidP="000321B9">
            <w:pPr>
              <w:pStyle w:val="Tabletext"/>
              <w:jc w:val="center"/>
            </w:pPr>
            <w:r w:rsidRPr="00653253">
              <w:t>80</w:t>
            </w:r>
          </w:p>
        </w:tc>
        <w:tc>
          <w:tcPr>
            <w:tcW w:w="1480" w:type="dxa"/>
          </w:tcPr>
          <w:p w:rsidR="004E36E6" w:rsidRPr="00653253" w:rsidRDefault="004E36E6" w:rsidP="000321B9">
            <w:pPr>
              <w:pStyle w:val="Tabletext"/>
              <w:jc w:val="center"/>
            </w:pPr>
            <w:r w:rsidRPr="00653253">
              <w:t>1 910-1 930</w:t>
            </w:r>
          </w:p>
        </w:tc>
      </w:tr>
      <w:tr w:rsidR="004E36E6" w:rsidRPr="00653253" w:rsidTr="00747A99">
        <w:trPr>
          <w:gridAfter w:val="1"/>
          <w:wAfter w:w="35" w:type="dxa"/>
          <w:jc w:val="center"/>
        </w:trPr>
        <w:tc>
          <w:tcPr>
            <w:tcW w:w="2381" w:type="dxa"/>
          </w:tcPr>
          <w:p w:rsidR="004E36E6" w:rsidRPr="00653253" w:rsidRDefault="004E36E6" w:rsidP="000321B9">
            <w:pPr>
              <w:pStyle w:val="Tabletext"/>
              <w:jc w:val="center"/>
              <w:rPr>
                <w:szCs w:val="22"/>
              </w:rPr>
            </w:pPr>
            <w:r w:rsidRPr="00653253">
              <w:rPr>
                <w:szCs w:val="22"/>
              </w:rPr>
              <w:t>B4 (armonizado con B1 y B2)</w:t>
            </w:r>
          </w:p>
        </w:tc>
        <w:tc>
          <w:tcPr>
            <w:tcW w:w="1734" w:type="dxa"/>
          </w:tcPr>
          <w:p w:rsidR="004E36E6" w:rsidRPr="00653253" w:rsidRDefault="004E36E6" w:rsidP="000321B9">
            <w:pPr>
              <w:pStyle w:val="Tabletext"/>
              <w:jc w:val="center"/>
            </w:pPr>
            <w:r w:rsidRPr="00653253">
              <w:t>1 710-1 785</w:t>
            </w:r>
            <w:r w:rsidRPr="00653253">
              <w:br/>
              <w:t>1 920-1 980</w:t>
            </w:r>
          </w:p>
        </w:tc>
        <w:tc>
          <w:tcPr>
            <w:tcW w:w="1300" w:type="dxa"/>
          </w:tcPr>
          <w:p w:rsidR="004E36E6" w:rsidRPr="00653253" w:rsidRDefault="004E36E6" w:rsidP="000321B9">
            <w:pPr>
              <w:pStyle w:val="Tabletext"/>
              <w:jc w:val="center"/>
            </w:pPr>
            <w:r w:rsidRPr="00653253">
              <w:t>20</w:t>
            </w:r>
            <w:r w:rsidRPr="00653253">
              <w:br/>
              <w:t>130</w:t>
            </w:r>
          </w:p>
        </w:tc>
        <w:tc>
          <w:tcPr>
            <w:tcW w:w="1502" w:type="dxa"/>
          </w:tcPr>
          <w:p w:rsidR="004E36E6" w:rsidRPr="00653253" w:rsidRDefault="004E36E6" w:rsidP="000321B9">
            <w:pPr>
              <w:pStyle w:val="Tabletext"/>
              <w:jc w:val="center"/>
            </w:pPr>
            <w:r w:rsidRPr="00653253">
              <w:t>1 805-1 880</w:t>
            </w:r>
            <w:r w:rsidRPr="00653253">
              <w:br/>
              <w:t>2 110-2 170</w:t>
            </w:r>
          </w:p>
        </w:tc>
        <w:tc>
          <w:tcPr>
            <w:tcW w:w="1242" w:type="dxa"/>
          </w:tcPr>
          <w:p w:rsidR="004E36E6" w:rsidRPr="00653253" w:rsidRDefault="004E36E6" w:rsidP="000321B9">
            <w:pPr>
              <w:pStyle w:val="Tabletext"/>
              <w:jc w:val="center"/>
            </w:pPr>
            <w:r w:rsidRPr="00653253">
              <w:t>95</w:t>
            </w:r>
            <w:r w:rsidRPr="00653253">
              <w:br/>
              <w:t>190</w:t>
            </w:r>
          </w:p>
        </w:tc>
        <w:tc>
          <w:tcPr>
            <w:tcW w:w="1480" w:type="dxa"/>
          </w:tcPr>
          <w:p w:rsidR="004E36E6" w:rsidRPr="00653253" w:rsidRDefault="004E36E6" w:rsidP="000321B9">
            <w:pPr>
              <w:pStyle w:val="Tabletext"/>
              <w:jc w:val="center"/>
            </w:pPr>
            <w:r w:rsidRPr="00653253">
              <w:t>1 880-1 920;</w:t>
            </w:r>
            <w:r w:rsidRPr="00653253">
              <w:br/>
              <w:t>2 010-2 025</w:t>
            </w:r>
          </w:p>
        </w:tc>
      </w:tr>
      <w:tr w:rsidR="004E36E6" w:rsidRPr="00653253" w:rsidTr="00747A99">
        <w:trPr>
          <w:gridAfter w:val="1"/>
          <w:wAfter w:w="35" w:type="dxa"/>
          <w:jc w:val="center"/>
        </w:trPr>
        <w:tc>
          <w:tcPr>
            <w:tcW w:w="2381" w:type="dxa"/>
          </w:tcPr>
          <w:p w:rsidR="004E36E6" w:rsidRPr="00653253" w:rsidRDefault="004E36E6" w:rsidP="000321B9">
            <w:pPr>
              <w:pStyle w:val="Tabletext"/>
              <w:jc w:val="center"/>
            </w:pPr>
            <w:r w:rsidRPr="00653253">
              <w:t>B5 (armonizado con B3 y partes de B1 y de B2)</w:t>
            </w:r>
          </w:p>
        </w:tc>
        <w:tc>
          <w:tcPr>
            <w:tcW w:w="1734" w:type="dxa"/>
          </w:tcPr>
          <w:p w:rsidR="004E36E6" w:rsidRPr="00653253" w:rsidRDefault="004E36E6" w:rsidP="000321B9">
            <w:pPr>
              <w:pStyle w:val="Tabletext"/>
              <w:jc w:val="center"/>
            </w:pPr>
            <w:r w:rsidRPr="00653253">
              <w:t>1 850-1 910</w:t>
            </w:r>
            <w:r w:rsidRPr="00653253">
              <w:br/>
              <w:t>1 710-1 770</w:t>
            </w:r>
          </w:p>
        </w:tc>
        <w:tc>
          <w:tcPr>
            <w:tcW w:w="1300" w:type="dxa"/>
          </w:tcPr>
          <w:p w:rsidR="004E36E6" w:rsidRPr="00653253" w:rsidRDefault="004E36E6" w:rsidP="000321B9">
            <w:pPr>
              <w:pStyle w:val="Tabletext"/>
              <w:jc w:val="center"/>
            </w:pPr>
            <w:r w:rsidRPr="00653253">
              <w:t>20</w:t>
            </w:r>
            <w:r w:rsidRPr="00653253">
              <w:br/>
              <w:t>340</w:t>
            </w:r>
          </w:p>
        </w:tc>
        <w:tc>
          <w:tcPr>
            <w:tcW w:w="1502" w:type="dxa"/>
          </w:tcPr>
          <w:p w:rsidR="004E36E6" w:rsidRPr="00653253" w:rsidRDefault="004E36E6" w:rsidP="000321B9">
            <w:pPr>
              <w:pStyle w:val="Tabletext"/>
              <w:jc w:val="center"/>
            </w:pPr>
            <w:r w:rsidRPr="00653253">
              <w:t>1 930-1 990</w:t>
            </w:r>
            <w:r w:rsidRPr="00653253">
              <w:br/>
              <w:t>2 110-2 170</w:t>
            </w:r>
          </w:p>
        </w:tc>
        <w:tc>
          <w:tcPr>
            <w:tcW w:w="1242" w:type="dxa"/>
          </w:tcPr>
          <w:p w:rsidR="004E36E6" w:rsidRPr="00653253" w:rsidRDefault="004E36E6" w:rsidP="000321B9">
            <w:pPr>
              <w:pStyle w:val="Tabletext"/>
              <w:jc w:val="center"/>
            </w:pPr>
            <w:r w:rsidRPr="00653253">
              <w:t>80</w:t>
            </w:r>
            <w:r w:rsidRPr="00653253">
              <w:br/>
              <w:t>400</w:t>
            </w:r>
          </w:p>
        </w:tc>
        <w:tc>
          <w:tcPr>
            <w:tcW w:w="1480" w:type="dxa"/>
          </w:tcPr>
          <w:p w:rsidR="004E36E6" w:rsidRPr="00653253" w:rsidRDefault="004E36E6" w:rsidP="000321B9">
            <w:pPr>
              <w:pStyle w:val="Tabletext"/>
              <w:jc w:val="center"/>
            </w:pPr>
            <w:r w:rsidRPr="00653253">
              <w:t>1 910-1 930</w:t>
            </w:r>
          </w:p>
        </w:tc>
      </w:tr>
      <w:tr w:rsidR="004E36E6" w:rsidRPr="00653253" w:rsidTr="00747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74" w:type="dxa"/>
            <w:gridSpan w:val="7"/>
          </w:tcPr>
          <w:p w:rsidR="004E36E6" w:rsidRPr="00653253" w:rsidRDefault="004E36E6" w:rsidP="000321B9">
            <w:pPr>
              <w:spacing w:before="80"/>
              <w:rPr>
                <w:i/>
                <w:iCs/>
                <w:szCs w:val="24"/>
              </w:rPr>
            </w:pPr>
            <w:r w:rsidRPr="00653253">
              <w:rPr>
                <w:szCs w:val="24"/>
              </w:rPr>
              <w:lastRenderedPageBreak/>
              <w:br w:type="page"/>
            </w:r>
            <w:r w:rsidRPr="00653253">
              <w:rPr>
                <w:i/>
                <w:iCs/>
              </w:rPr>
              <w:t xml:space="preserve">Notas al Cuadro </w:t>
            </w:r>
            <w:r w:rsidRPr="00653253">
              <w:rPr>
                <w:i/>
                <w:iCs/>
                <w:szCs w:val="24"/>
              </w:rPr>
              <w:t>4:</w:t>
            </w:r>
          </w:p>
          <w:p w:rsidR="004E36E6" w:rsidRPr="00653253" w:rsidRDefault="004E36E6" w:rsidP="0083251B">
            <w:pPr>
              <w:pStyle w:val="Note"/>
            </w:pPr>
            <w:r w:rsidRPr="00653253">
              <w:t xml:space="preserve">NOTA 1 – En la banda 1 710-2 025 </w:t>
            </w:r>
            <w:r w:rsidR="00C87589" w:rsidRPr="00653253">
              <w:t>MHz</w:t>
            </w:r>
            <w:r w:rsidR="00C87589" w:rsidRPr="00653253">
              <w:t xml:space="preserve"> </w:t>
            </w:r>
            <w:r w:rsidRPr="00653253">
              <w:t>y 2 110-2 200 MHz existen tres disposiciones de frecuencias básicas (B1, B2 y B3) utilizadas por sistemas móviles públicos celulares, incluido IMT. En base a estas tres disposiciones, se recomiendan varias combinaciones de disposiciones, tales como las B4 y B5. Las disposiciones B1 y B2 son totalmente complementarias, mientras que la disposición B3 se solapa con las disposiciones B1 y B2.</w:t>
            </w:r>
          </w:p>
          <w:p w:rsidR="004E36E6" w:rsidRPr="00653253" w:rsidRDefault="004E36E6" w:rsidP="0083251B">
            <w:pPr>
              <w:pStyle w:val="Note"/>
            </w:pPr>
            <w:r w:rsidRPr="00653253">
              <w:t>En países donde se haya implementado la disposición B1, B4 permite optimizar la utilización del espectro funcionando con bandas IMT</w:t>
            </w:r>
            <w:r w:rsidR="005358E6" w:rsidRPr="00653253">
              <w:t xml:space="preserve"> </w:t>
            </w:r>
            <w:r w:rsidRPr="00653253">
              <w:t>apareadas.</w:t>
            </w:r>
          </w:p>
          <w:p w:rsidR="004E36E6" w:rsidRPr="00653253" w:rsidRDefault="004E36E6" w:rsidP="0083251B">
            <w:pPr>
              <w:pStyle w:val="Note"/>
            </w:pPr>
            <w:r w:rsidRPr="00653253">
              <w:t>En países que hayan implementado la disposición B3, la disposición B1 puede combinarse con la B2. Por lo tanto, se recomienda la disposición B5 para optimizar la utilización del espectro:</w:t>
            </w:r>
          </w:p>
          <w:p w:rsidR="004E36E6" w:rsidRPr="00653253" w:rsidRDefault="004E36E6" w:rsidP="00F3389E">
            <w:pPr>
              <w:pStyle w:val="Note"/>
              <w:ind w:left="284" w:hanging="284"/>
              <w:rPr>
                <w:szCs w:val="24"/>
              </w:rPr>
            </w:pPr>
            <w:r w:rsidRPr="00653253">
              <w:rPr>
                <w:szCs w:val="24"/>
              </w:rPr>
              <w:t>–</w:t>
            </w:r>
            <w:r w:rsidRPr="00653253">
              <w:rPr>
                <w:szCs w:val="24"/>
              </w:rPr>
              <w:tab/>
            </w:r>
            <w:r w:rsidRPr="00653253">
              <w:t>B5 permite maximizar la utilización del espec</w:t>
            </w:r>
            <w:r w:rsidR="00A237B8">
              <w:t xml:space="preserve">tro para IMT </w:t>
            </w:r>
            <w:r w:rsidRPr="00653253">
              <w:t xml:space="preserve">en países en los que B3 está implementada y en los que la banda 1 770-1 850 MHz no está disponible en la fase inicial de despliegue de </w:t>
            </w:r>
            <w:r w:rsidR="005358E6" w:rsidRPr="00653253">
              <w:t xml:space="preserve">IMT </w:t>
            </w:r>
            <w:r w:rsidRPr="00653253">
              <w:t>en esta banda de frecuencias.</w:t>
            </w:r>
          </w:p>
          <w:p w:rsidR="004E36E6" w:rsidRPr="00653253" w:rsidRDefault="004E36E6" w:rsidP="0083251B">
            <w:pPr>
              <w:pStyle w:val="Note"/>
            </w:pPr>
            <w:r w:rsidRPr="00653253">
              <w:t xml:space="preserve">NOTA 2 – Un sistema TDD puede utilizarse en bandas no apareadas y, en determinadas circunstancias, en las bandas ascendentes de las disposiciones de bandas apareadas y/o en la separación central entre bandas </w:t>
            </w:r>
            <w:r w:rsidR="00665FFF">
              <w:t>a</w:t>
            </w:r>
            <w:r w:rsidRPr="00653253">
              <w:t>pareadas.</w:t>
            </w:r>
          </w:p>
          <w:p w:rsidR="004E36E6" w:rsidRPr="00653253" w:rsidRDefault="004E36E6" w:rsidP="0083251B">
            <w:pPr>
              <w:pStyle w:val="Note"/>
            </w:pPr>
            <w:r w:rsidRPr="00653253">
              <w:t>NOTA 3 – Si la tecnología dúplex seleccionable/variable se implementa en terminales como la forma más eficiente de gestionar las disposiciones de frecuencias, el hecho de que países vecinos puedan seleccionar B5 no influirá en la complejidad del terminal. Son necesarios estudios adicionales.</w:t>
            </w:r>
          </w:p>
        </w:tc>
      </w:tr>
    </w:tbl>
    <w:p w:rsidR="00797081" w:rsidRPr="00653253" w:rsidRDefault="00797081" w:rsidP="00797081">
      <w:pPr>
        <w:pStyle w:val="FigureNo"/>
      </w:pPr>
      <w:r w:rsidRPr="00653253">
        <w:t xml:space="preserve">FIGURA 4 </w:t>
      </w:r>
      <w:r w:rsidRPr="00653253">
        <w:br/>
      </w:r>
      <w:r w:rsidRPr="00653253">
        <w:rPr>
          <w:caps w:val="0"/>
        </w:rPr>
        <w:t>(Véanse las notas al Cuadro 4)</w:t>
      </w:r>
    </w:p>
    <w:p w:rsidR="004E36E6" w:rsidRPr="00653253" w:rsidRDefault="00797081" w:rsidP="00797081">
      <w:pPr>
        <w:pStyle w:val="Figure"/>
      </w:pPr>
      <w:r w:rsidRPr="00653253">
        <w:rPr>
          <w:noProof/>
          <w:lang w:eastAsia="zh-CN"/>
        </w:rPr>
        <w:object w:dxaOrig="5557" w:dyaOrig="3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2pt;height:262.5pt" o:ole="">
            <v:imagedata r:id="rId10" o:title=""/>
          </v:shape>
          <o:OLEObject Type="Embed" ProgID="CorelDRAW.Graphic.14" ShapeID="_x0000_i1028" DrawAspect="Content" ObjectID="_1506849164" r:id="rId11"/>
        </w:object>
      </w:r>
    </w:p>
    <w:p w:rsidR="004E36E6" w:rsidRPr="00653253" w:rsidRDefault="004E36E6" w:rsidP="000321B9">
      <w:pPr>
        <w:rPr>
          <w:i/>
          <w:iCs/>
          <w:lang w:eastAsia="ja-JP"/>
        </w:rPr>
      </w:pPr>
      <w:r w:rsidRPr="00653253">
        <w:rPr>
          <w:i/>
          <w:iCs/>
        </w:rPr>
        <w:t>[Nota del editor: no se propone modificación alguna en las secciones posteriores del proyecto de revisión de la Recomendación UIT-R M.1036-4</w:t>
      </w:r>
      <w:r w:rsidR="00EA5D2B" w:rsidRPr="00653253">
        <w:rPr>
          <w:i/>
          <w:iCs/>
        </w:rPr>
        <w:t>]</w:t>
      </w:r>
    </w:p>
    <w:p w:rsidR="00EA5D2B" w:rsidRPr="00653253" w:rsidRDefault="004E36E6" w:rsidP="0032202E">
      <w:pPr>
        <w:pStyle w:val="Reasons"/>
      </w:pPr>
      <w:r w:rsidRPr="00653253">
        <w:t>...</w:t>
      </w:r>
    </w:p>
    <w:p w:rsidR="001422D9" w:rsidRPr="00653253" w:rsidRDefault="001422D9">
      <w:pPr>
        <w:jc w:val="center"/>
      </w:pPr>
      <w:r w:rsidRPr="00653253">
        <w:t>______________</w:t>
      </w:r>
    </w:p>
    <w:sectPr w:rsidR="001422D9" w:rsidRPr="0065325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E6" w:rsidRDefault="004E36E6">
      <w:r>
        <w:separator/>
      </w:r>
    </w:p>
  </w:endnote>
  <w:endnote w:type="continuationSeparator" w:id="0">
    <w:p w:rsidR="004E36E6" w:rsidRDefault="004E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EF3B93">
      <w:rPr>
        <w:noProof/>
        <w:lang w:val="en-US"/>
      </w:rPr>
      <w:t>P:\ESP\ITU-R\CONF-R\AR15\PLEN\000\021ADD01S.docx</w:t>
    </w:r>
    <w:r>
      <w:fldChar w:fldCharType="end"/>
    </w:r>
    <w:r>
      <w:rPr>
        <w:lang w:val="en-US"/>
      </w:rPr>
      <w:tab/>
    </w:r>
    <w:r>
      <w:fldChar w:fldCharType="begin"/>
    </w:r>
    <w:r>
      <w:instrText xml:space="preserve"> SAVEDATE \@ DD.MM.YY </w:instrText>
    </w:r>
    <w:r>
      <w:fldChar w:fldCharType="separate"/>
    </w:r>
    <w:r w:rsidR="00EF3B93">
      <w:rPr>
        <w:noProof/>
      </w:rPr>
      <w:t>20.10.15</w:t>
    </w:r>
    <w:r>
      <w:fldChar w:fldCharType="end"/>
    </w:r>
    <w:r>
      <w:rPr>
        <w:lang w:val="en-US"/>
      </w:rPr>
      <w:tab/>
    </w:r>
    <w:r>
      <w:fldChar w:fldCharType="begin"/>
    </w:r>
    <w:r>
      <w:instrText xml:space="preserve"> PRINTDATE \@ DD.MM.YY </w:instrText>
    </w:r>
    <w:r>
      <w:fldChar w:fldCharType="separate"/>
    </w:r>
    <w:r w:rsidR="00EF3B93">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83024E" w:rsidRDefault="0083024E" w:rsidP="0083024E">
    <w:pPr>
      <w:pStyle w:val="Footer"/>
    </w:pPr>
    <w:fldSimple w:instr=" FILENAME \p  \* MERGEFORMAT ">
      <w:r w:rsidR="00EF3B93">
        <w:t>P:\ESP\ITU-R\CONF-R\AR15\PLEN\000\021ADD01S.docx</w:t>
      </w:r>
    </w:fldSimple>
    <w:r>
      <w:t xml:space="preserve"> (387943)</w:t>
    </w:r>
    <w:r>
      <w:tab/>
    </w:r>
    <w:r>
      <w:fldChar w:fldCharType="begin"/>
    </w:r>
    <w:r>
      <w:instrText xml:space="preserve"> SAVEDATE \@ DD.MM.YY </w:instrText>
    </w:r>
    <w:r>
      <w:fldChar w:fldCharType="separate"/>
    </w:r>
    <w:r w:rsidR="00EF3B93">
      <w:t>20.10.15</w:t>
    </w:r>
    <w:r>
      <w:fldChar w:fldCharType="end"/>
    </w:r>
    <w:r>
      <w:tab/>
    </w:r>
    <w:r>
      <w:fldChar w:fldCharType="begin"/>
    </w:r>
    <w:r>
      <w:instrText xml:space="preserve"> PRINTDATE \@ DD.MM.YY </w:instrText>
    </w:r>
    <w:r>
      <w:fldChar w:fldCharType="separate"/>
    </w:r>
    <w:r w:rsidR="00EF3B93">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83024E" w:rsidRDefault="00BC2948" w:rsidP="0083024E">
    <w:pPr>
      <w:pStyle w:val="Footer"/>
    </w:pPr>
    <w:r>
      <w:fldChar w:fldCharType="begin"/>
    </w:r>
    <w:r>
      <w:instrText xml:space="preserve"> FILENAME \p  \* MERGEFORMAT </w:instrText>
    </w:r>
    <w:r>
      <w:fldChar w:fldCharType="separate"/>
    </w:r>
    <w:r w:rsidR="00EF3B93">
      <w:t>P:\ESP\ITU-R\CONF-R\AR15\PLEN\000\021ADD01S.docx</w:t>
    </w:r>
    <w:r>
      <w:fldChar w:fldCharType="end"/>
    </w:r>
    <w:r w:rsidR="0083024E">
      <w:t xml:space="preserve"> (387943)</w:t>
    </w:r>
    <w:r w:rsidR="0083024E">
      <w:tab/>
    </w:r>
    <w:r w:rsidR="0083024E">
      <w:fldChar w:fldCharType="begin"/>
    </w:r>
    <w:r w:rsidR="0083024E">
      <w:instrText xml:space="preserve"> SAVEDATE \@ DD.MM.YY </w:instrText>
    </w:r>
    <w:r w:rsidR="0083024E">
      <w:fldChar w:fldCharType="separate"/>
    </w:r>
    <w:r w:rsidR="00EF3B93">
      <w:t>20.10.15</w:t>
    </w:r>
    <w:r w:rsidR="0083024E">
      <w:fldChar w:fldCharType="end"/>
    </w:r>
    <w:r w:rsidR="0083024E">
      <w:tab/>
    </w:r>
    <w:r w:rsidR="0083024E">
      <w:fldChar w:fldCharType="begin"/>
    </w:r>
    <w:r w:rsidR="0083024E">
      <w:instrText xml:space="preserve"> PRINTDATE \@ DD.MM.YY </w:instrText>
    </w:r>
    <w:r w:rsidR="0083024E">
      <w:fldChar w:fldCharType="separate"/>
    </w:r>
    <w:r w:rsidR="00EF3B93">
      <w:t>20.10.15</w:t>
    </w:r>
    <w:r w:rsidR="0083024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E6" w:rsidRDefault="004E36E6">
      <w:r>
        <w:rPr>
          <w:b/>
        </w:rPr>
        <w:t>_______________</w:t>
      </w:r>
    </w:p>
  </w:footnote>
  <w:footnote w:type="continuationSeparator" w:id="0">
    <w:p w:rsidR="004E36E6" w:rsidRDefault="004E36E6">
      <w:r>
        <w:continuationSeparator/>
      </w:r>
    </w:p>
  </w:footnote>
  <w:footnote w:id="1">
    <w:p w:rsidR="004E36E6" w:rsidRPr="00A473DF" w:rsidRDefault="004E36E6" w:rsidP="00A473DF">
      <w:pPr>
        <w:pStyle w:val="FootnoteText"/>
        <w:keepLines w:val="0"/>
      </w:pPr>
      <w:r>
        <w:rPr>
          <w:rStyle w:val="FootnoteReference"/>
        </w:rPr>
        <w:footnoteRef/>
      </w:r>
      <w:r w:rsidRPr="00A473DF">
        <w:tab/>
        <w:t>La banda 2 025-2 110 MHz no forma parte de esta disposición de frecuencias.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9D" w:rsidRDefault="00107E9D" w:rsidP="00107E9D">
    <w:pPr>
      <w:pStyle w:val="Header"/>
    </w:pPr>
    <w:r>
      <w:fldChar w:fldCharType="begin"/>
    </w:r>
    <w:r>
      <w:instrText xml:space="preserve"> PAGE  \* MERGEFORMAT </w:instrText>
    </w:r>
    <w:r>
      <w:fldChar w:fldCharType="separate"/>
    </w:r>
    <w:r w:rsidR="00BC2948">
      <w:rPr>
        <w:noProof/>
      </w:rPr>
      <w:t>3</w:t>
    </w:r>
    <w:r>
      <w:fldChar w:fldCharType="end"/>
    </w:r>
  </w:p>
  <w:p w:rsidR="004E36E6" w:rsidRPr="00107E9D" w:rsidRDefault="00107E9D" w:rsidP="00107E9D">
    <w:pPr>
      <w:pStyle w:val="Header"/>
    </w:pPr>
    <w:r>
      <w:t>RA15/PLEN/21(Add.1)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A65C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E39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D2F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0CA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DEFD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DEDF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4A2A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58B1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2A8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2C9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E6"/>
    <w:rsid w:val="00012B52"/>
    <w:rsid w:val="00016A7C"/>
    <w:rsid w:val="00020ACE"/>
    <w:rsid w:val="00030623"/>
    <w:rsid w:val="000321B9"/>
    <w:rsid w:val="000D4609"/>
    <w:rsid w:val="00107E9D"/>
    <w:rsid w:val="00114F2E"/>
    <w:rsid w:val="001422D9"/>
    <w:rsid w:val="001721DD"/>
    <w:rsid w:val="002334F2"/>
    <w:rsid w:val="00294932"/>
    <w:rsid w:val="002B6243"/>
    <w:rsid w:val="0033371F"/>
    <w:rsid w:val="00466F3C"/>
    <w:rsid w:val="004A5701"/>
    <w:rsid w:val="004B08C1"/>
    <w:rsid w:val="004B310C"/>
    <w:rsid w:val="004E36E6"/>
    <w:rsid w:val="005335D1"/>
    <w:rsid w:val="005358E6"/>
    <w:rsid w:val="005648DF"/>
    <w:rsid w:val="005C4F7E"/>
    <w:rsid w:val="006050EE"/>
    <w:rsid w:val="00653253"/>
    <w:rsid w:val="00665FFF"/>
    <w:rsid w:val="00676D38"/>
    <w:rsid w:val="00693CB4"/>
    <w:rsid w:val="00725793"/>
    <w:rsid w:val="00747A99"/>
    <w:rsid w:val="00797081"/>
    <w:rsid w:val="008246E6"/>
    <w:rsid w:val="0083024E"/>
    <w:rsid w:val="0083251B"/>
    <w:rsid w:val="008E02B6"/>
    <w:rsid w:val="009630C4"/>
    <w:rsid w:val="00964E81"/>
    <w:rsid w:val="00A237B8"/>
    <w:rsid w:val="00AE5091"/>
    <w:rsid w:val="00AF7660"/>
    <w:rsid w:val="00B050CC"/>
    <w:rsid w:val="00BC2948"/>
    <w:rsid w:val="00BF1023"/>
    <w:rsid w:val="00C278F8"/>
    <w:rsid w:val="00C5559E"/>
    <w:rsid w:val="00C87589"/>
    <w:rsid w:val="00C91368"/>
    <w:rsid w:val="00DE35E9"/>
    <w:rsid w:val="00DF167C"/>
    <w:rsid w:val="00DF36A2"/>
    <w:rsid w:val="00E01901"/>
    <w:rsid w:val="00EA5D2B"/>
    <w:rsid w:val="00EB1D33"/>
    <w:rsid w:val="00EB5C7B"/>
    <w:rsid w:val="00EF3B93"/>
    <w:rsid w:val="00F3389E"/>
    <w:rsid w:val="00F47C58"/>
    <w:rsid w:val="00FD0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A670E3-B165-4018-8694-1F70893F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link w:val="RectitleChar"/>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0"/>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ref">
    <w:name w:val="href"/>
    <w:basedOn w:val="DefaultParagraphFont"/>
    <w:rsid w:val="004E36E6"/>
  </w:style>
  <w:style w:type="paragraph" w:customStyle="1" w:styleId="Normalaftertitle0">
    <w:name w:val="Normal_after_title"/>
    <w:basedOn w:val="Normal"/>
    <w:next w:val="Normal"/>
    <w:rsid w:val="004E36E6"/>
    <w:pPr>
      <w:tabs>
        <w:tab w:val="clear" w:pos="1134"/>
        <w:tab w:val="clear" w:pos="1871"/>
        <w:tab w:val="clear" w:pos="2268"/>
        <w:tab w:val="left" w:pos="794"/>
        <w:tab w:val="left" w:pos="1191"/>
        <w:tab w:val="left" w:pos="1588"/>
        <w:tab w:val="left" w:pos="1985"/>
      </w:tabs>
      <w:spacing w:before="320"/>
      <w:jc w:val="both"/>
    </w:pPr>
    <w:rPr>
      <w:lang w:val="fr-FR"/>
    </w:rPr>
  </w:style>
  <w:style w:type="paragraph" w:customStyle="1" w:styleId="AnnexNoTitle">
    <w:name w:val="Annex_NoTitle"/>
    <w:basedOn w:val="Normal"/>
    <w:next w:val="Normalaftertitle0"/>
    <w:rsid w:val="004E36E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4E36E6"/>
    <w:pPr>
      <w:tabs>
        <w:tab w:val="clear" w:pos="1134"/>
        <w:tab w:val="clear" w:pos="1871"/>
        <w:tab w:val="clear" w:pos="2268"/>
        <w:tab w:val="left" w:pos="794"/>
        <w:tab w:val="left" w:pos="1191"/>
        <w:tab w:val="left" w:pos="1588"/>
        <w:tab w:val="left" w:pos="1985"/>
      </w:tabs>
      <w:spacing w:before="0"/>
      <w:jc w:val="both"/>
    </w:pPr>
    <w:rPr>
      <w:sz w:val="20"/>
      <w:lang w:val="en-GB"/>
    </w:rPr>
  </w:style>
  <w:style w:type="character" w:customStyle="1" w:styleId="TableNo0">
    <w:name w:val="Table_No Знак"/>
    <w:link w:val="TableNo"/>
    <w:locked/>
    <w:rsid w:val="004E36E6"/>
    <w:rPr>
      <w:rFonts w:ascii="Times New Roman" w:hAnsi="Times New Roman"/>
      <w:caps/>
      <w:lang w:val="es-ES_tradnl" w:eastAsia="en-US"/>
    </w:rPr>
  </w:style>
  <w:style w:type="character" w:customStyle="1" w:styleId="RectitleChar">
    <w:name w:val="Rec_title Char"/>
    <w:basedOn w:val="DefaultParagraphFont"/>
    <w:link w:val="Rectitle"/>
    <w:locked/>
    <w:rsid w:val="004E36E6"/>
    <w:rPr>
      <w:rFonts w:ascii="Times New Roman Bold" w:hAnsi="Times New Roman Bold"/>
      <w:b/>
      <w:sz w:val="28"/>
      <w:lang w:val="es-ES_tradnl" w:eastAsia="en-US"/>
    </w:rPr>
  </w:style>
  <w:style w:type="character" w:styleId="Hyperlink">
    <w:name w:val="Hyperlink"/>
    <w:basedOn w:val="DefaultParagraphFont"/>
    <w:unhideWhenUsed/>
    <w:rsid w:val="004E36E6"/>
    <w:rPr>
      <w:color w:val="0000FF" w:themeColor="hyperlink"/>
      <w:u w:val="single"/>
    </w:rPr>
  </w:style>
  <w:style w:type="character" w:styleId="Strong">
    <w:name w:val="Strong"/>
    <w:basedOn w:val="DefaultParagraphFont"/>
    <w:uiPriority w:val="22"/>
    <w:qFormat/>
    <w:rsid w:val="004E36E6"/>
    <w:rPr>
      <w:b/>
      <w:bCs/>
    </w:rPr>
  </w:style>
  <w:style w:type="character" w:customStyle="1" w:styleId="TableheadChar">
    <w:name w:val="Table_head Char"/>
    <w:basedOn w:val="DefaultParagraphFont"/>
    <w:link w:val="Tablehead"/>
    <w:locked/>
    <w:rsid w:val="004E36E6"/>
    <w:rPr>
      <w:rFonts w:ascii="Times New Roman" w:hAnsi="Times New Roman"/>
      <w:b/>
      <w:lang w:val="es-ES_tradnl" w:eastAsia="en-US"/>
    </w:rPr>
  </w:style>
  <w:style w:type="character" w:customStyle="1" w:styleId="TabletextChar">
    <w:name w:val="Table_text Char"/>
    <w:basedOn w:val="DefaultParagraphFont"/>
    <w:link w:val="Tabletext"/>
    <w:locked/>
    <w:rsid w:val="004E36E6"/>
    <w:rPr>
      <w:rFonts w:ascii="Times New Roman" w:hAnsi="Times New Roman"/>
      <w:lang w:val="es-ES_tradnl" w:eastAsia="en-US"/>
    </w:rPr>
  </w:style>
  <w:style w:type="paragraph" w:customStyle="1" w:styleId="TableLegendNote">
    <w:name w:val="Table_Legend_Note"/>
    <w:basedOn w:val="Tablelegend"/>
    <w:next w:val="Tablelegend"/>
    <w:rsid w:val="004E36E6"/>
    <w:pPr>
      <w:tabs>
        <w:tab w:val="clear" w:pos="1871"/>
        <w:tab w:val="left" w:pos="284"/>
      </w:tabs>
      <w:spacing w:before="80" w:after="0"/>
      <w:ind w:left="-85" w:right="-85"/>
      <w:jc w:val="both"/>
    </w:pPr>
    <w:rPr>
      <w:sz w:val="22"/>
      <w:lang w:val="en-US"/>
    </w:rPr>
  </w:style>
  <w:style w:type="character" w:styleId="FollowedHyperlink">
    <w:name w:val="FollowedHyperlink"/>
    <w:basedOn w:val="DefaultParagraphFont"/>
    <w:semiHidden/>
    <w:unhideWhenUsed/>
    <w:rsid w:val="000321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md/R12-SG05-C-0194/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itu.int/md/R12-SG05-C-0212/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39</TotalTime>
  <Pages>4</Pages>
  <Words>1403</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Miguel Callejón Berenguer</dc:creator>
  <cp:keywords/>
  <dc:description>PS_RA07.dot  Para: _x000d_Fecha del documento: _x000d_Registrado por MM-43480 a 16:09:38 el 16.10.07</dc:description>
  <cp:lastModifiedBy>Spanish</cp:lastModifiedBy>
  <cp:revision>35</cp:revision>
  <cp:lastPrinted>2015-10-20T10:08:00Z</cp:lastPrinted>
  <dcterms:created xsi:type="dcterms:W3CDTF">2015-10-20T08:49:00Z</dcterms:created>
  <dcterms:modified xsi:type="dcterms:W3CDTF">2015-10-20T10:25:00Z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