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468"/>
        <w:gridCol w:w="3563"/>
      </w:tblGrid>
      <w:tr w:rsidR="009A2D91" w:rsidRPr="00915610">
        <w:trPr>
          <w:cantSplit/>
        </w:trPr>
        <w:tc>
          <w:tcPr>
            <w:tcW w:w="6468" w:type="dxa"/>
          </w:tcPr>
          <w:p w:rsidR="009A2D91" w:rsidRPr="00915610" w:rsidRDefault="009A2D91" w:rsidP="009A2D91">
            <w:pPr>
              <w:spacing w:before="360"/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</w:pPr>
            <w:r w:rsidRPr="00915610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Ассамблея радиосвязи (АР-15)</w:t>
            </w:r>
          </w:p>
          <w:p w:rsidR="009A2D91" w:rsidRPr="00915610" w:rsidRDefault="009A2D91" w:rsidP="009A2D91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18"/>
                <w:szCs w:val="18"/>
                <w:lang w:val="ru-RU" w:eastAsia="zh-CN"/>
              </w:rPr>
            </w:pPr>
            <w:r w:rsidRPr="00915610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Женева, 26</w:t>
            </w:r>
            <w:r w:rsidRPr="00915610"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  <w:t>–</w:t>
            </w:r>
            <w:r w:rsidRPr="00915610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30 октября 2015 года</w:t>
            </w:r>
          </w:p>
        </w:tc>
        <w:tc>
          <w:tcPr>
            <w:tcW w:w="3563" w:type="dxa"/>
          </w:tcPr>
          <w:p w:rsidR="009A2D91" w:rsidRPr="00915610" w:rsidRDefault="009A2D91" w:rsidP="009A2D91">
            <w:pPr>
              <w:spacing w:line="240" w:lineRule="atLeast"/>
              <w:jc w:val="right"/>
              <w:rPr>
                <w:lang w:val="ru-RU" w:eastAsia="zh-CN"/>
              </w:rPr>
            </w:pPr>
            <w:bookmarkStart w:id="0" w:name="ditulogo"/>
            <w:bookmarkStart w:id="1" w:name="dtemplate"/>
            <w:bookmarkEnd w:id="0"/>
            <w:bookmarkEnd w:id="1"/>
            <w:r w:rsidRPr="00915610">
              <w:rPr>
                <w:noProof/>
                <w:lang w:eastAsia="zh-CN"/>
              </w:rPr>
              <w:drawing>
                <wp:inline distT="0" distB="0" distL="0" distR="0" wp14:anchorId="017FECC6" wp14:editId="23AB1A2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EBD" w:rsidRPr="00915610">
        <w:trPr>
          <w:cantSplit/>
        </w:trPr>
        <w:tc>
          <w:tcPr>
            <w:tcW w:w="6468" w:type="dxa"/>
            <w:tcBorders>
              <w:bottom w:val="single" w:sz="12" w:space="0" w:color="auto"/>
            </w:tcBorders>
          </w:tcPr>
          <w:p w:rsidR="00943EBD" w:rsidRPr="00915610" w:rsidRDefault="0007259F" w:rsidP="00943EBD">
            <w:pPr>
              <w:spacing w:before="0" w:after="48" w:line="240" w:lineRule="atLeast"/>
              <w:rPr>
                <w:b/>
                <w:smallCaps/>
                <w:szCs w:val="24"/>
                <w:lang w:val="ru-RU" w:eastAsia="zh-CN"/>
              </w:rPr>
            </w:pPr>
            <w:bookmarkStart w:id="2" w:name="dhead"/>
            <w:r w:rsidRPr="00915610">
              <w:rPr>
                <w:rFonts w:ascii="Verdana" w:hAnsi="Verdana"/>
                <w:b/>
                <w:smallCaps/>
                <w:sz w:val="18"/>
                <w:szCs w:val="18"/>
                <w:lang w:val="ru-RU"/>
              </w:rPr>
              <w:t>МЕЖДУНАРОДНЫЙ СОЮЗ ЭЛЕКТРОСВЯЗИ</w:t>
            </w:r>
          </w:p>
        </w:tc>
        <w:tc>
          <w:tcPr>
            <w:tcW w:w="3563" w:type="dxa"/>
            <w:tcBorders>
              <w:bottom w:val="single" w:sz="12" w:space="0" w:color="auto"/>
            </w:tcBorders>
          </w:tcPr>
          <w:p w:rsidR="00943EBD" w:rsidRPr="00915610" w:rsidRDefault="00943EBD" w:rsidP="00943EBD">
            <w:pPr>
              <w:spacing w:before="0" w:line="240" w:lineRule="atLeast"/>
              <w:rPr>
                <w:rFonts w:ascii="Verdana" w:hAnsi="Verdana"/>
                <w:szCs w:val="24"/>
                <w:lang w:val="ru-RU" w:eastAsia="zh-CN"/>
              </w:rPr>
            </w:pPr>
          </w:p>
        </w:tc>
      </w:tr>
      <w:tr w:rsidR="00943EBD" w:rsidRPr="00915610">
        <w:trPr>
          <w:cantSplit/>
        </w:trPr>
        <w:tc>
          <w:tcPr>
            <w:tcW w:w="6468" w:type="dxa"/>
            <w:tcBorders>
              <w:top w:val="single" w:sz="12" w:space="0" w:color="auto"/>
            </w:tcBorders>
          </w:tcPr>
          <w:p w:rsidR="00943EBD" w:rsidRPr="00915610" w:rsidRDefault="00943EBD" w:rsidP="00943EB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ru-RU" w:eastAsia="zh-CN"/>
              </w:rPr>
            </w:pPr>
          </w:p>
        </w:tc>
        <w:tc>
          <w:tcPr>
            <w:tcW w:w="3563" w:type="dxa"/>
            <w:tcBorders>
              <w:top w:val="single" w:sz="12" w:space="0" w:color="auto"/>
            </w:tcBorders>
          </w:tcPr>
          <w:p w:rsidR="00943EBD" w:rsidRPr="00915610" w:rsidRDefault="00943EBD" w:rsidP="00943EBD">
            <w:pPr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</w:p>
        </w:tc>
      </w:tr>
      <w:tr w:rsidR="00943EBD" w:rsidRPr="00915610">
        <w:trPr>
          <w:cantSplit/>
          <w:trHeight w:val="23"/>
        </w:trPr>
        <w:tc>
          <w:tcPr>
            <w:tcW w:w="6468" w:type="dxa"/>
            <w:vMerge w:val="restart"/>
          </w:tcPr>
          <w:p w:rsidR="00943EBD" w:rsidRPr="00915610" w:rsidRDefault="004C3010" w:rsidP="00943EB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915610"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  <w:t>ПЛЕНАРНОЕ ЗАСЕДАНИЕ</w:t>
            </w:r>
          </w:p>
        </w:tc>
        <w:tc>
          <w:tcPr>
            <w:tcW w:w="3563" w:type="dxa"/>
          </w:tcPr>
          <w:p w:rsidR="00943EBD" w:rsidRPr="00915610" w:rsidRDefault="00652021" w:rsidP="00F105EB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  <w:r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Дополнительный документ 1</w:t>
            </w:r>
            <w:r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br/>
            </w:r>
            <w:r w:rsidR="00B6521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к </w:t>
            </w:r>
            <w:r w:rsidR="00AD4505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Документ</w:t>
            </w:r>
            <w:r w:rsidR="00B6521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у</w:t>
            </w:r>
            <w:r w:rsidR="00AD4505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105EB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RA/PLEN/21</w:t>
            </w:r>
            <w:r w:rsidR="00AD4505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-R</w:t>
            </w:r>
          </w:p>
        </w:tc>
      </w:tr>
      <w:tr w:rsidR="00943EBD" w:rsidRPr="00915610">
        <w:trPr>
          <w:cantSplit/>
          <w:trHeight w:val="23"/>
        </w:trPr>
        <w:tc>
          <w:tcPr>
            <w:tcW w:w="6468" w:type="dxa"/>
            <w:vMerge/>
          </w:tcPr>
          <w:p w:rsidR="00943EBD" w:rsidRPr="00915610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563" w:type="dxa"/>
          </w:tcPr>
          <w:p w:rsidR="00943EBD" w:rsidRPr="00915610" w:rsidRDefault="00F105EB" w:rsidP="009A2D9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  <w:r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9 октября </w:t>
            </w:r>
            <w:r w:rsidR="00AD4505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20</w:t>
            </w:r>
            <w:r w:rsidR="00F36624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</w:t>
            </w:r>
            <w:r w:rsidR="00F80DF5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5</w:t>
            </w:r>
            <w:r w:rsidR="00AD4505" w:rsidRPr="00915610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года</w:t>
            </w:r>
          </w:p>
        </w:tc>
      </w:tr>
      <w:tr w:rsidR="00943EBD" w:rsidRPr="00915610">
        <w:trPr>
          <w:cantSplit/>
          <w:trHeight w:val="23"/>
        </w:trPr>
        <w:tc>
          <w:tcPr>
            <w:tcW w:w="6468" w:type="dxa"/>
            <w:vMerge/>
          </w:tcPr>
          <w:p w:rsidR="00943EBD" w:rsidRPr="00915610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563" w:type="dxa"/>
          </w:tcPr>
          <w:p w:rsidR="00943EBD" w:rsidRPr="00915610" w:rsidRDefault="00AD4505" w:rsidP="0048405B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val="ru-RU" w:eastAsia="zh-CN"/>
              </w:rPr>
            </w:pPr>
            <w:r w:rsidRPr="00915610"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  <w:t xml:space="preserve">Оригинал: </w:t>
            </w:r>
            <w:r w:rsidR="0048405B" w:rsidRPr="00915610"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  <w:t>русский</w:t>
            </w:r>
          </w:p>
        </w:tc>
      </w:tr>
      <w:tr w:rsidR="00943EBD" w:rsidRPr="00915610">
        <w:trPr>
          <w:cantSplit/>
        </w:trPr>
        <w:tc>
          <w:tcPr>
            <w:tcW w:w="10031" w:type="dxa"/>
            <w:gridSpan w:val="2"/>
          </w:tcPr>
          <w:p w:rsidR="00943EBD" w:rsidRPr="00915610" w:rsidRDefault="00652021" w:rsidP="00F36624">
            <w:pPr>
              <w:pStyle w:val="Source"/>
              <w:rPr>
                <w:lang w:val="ru-RU" w:eastAsia="zh-CN"/>
              </w:rPr>
            </w:pPr>
            <w:bookmarkStart w:id="7" w:name="dsource" w:colFirst="0" w:colLast="0"/>
            <w:bookmarkEnd w:id="6"/>
            <w:r w:rsidRPr="00915610">
              <w:rPr>
                <w:lang w:val="ru-RU"/>
              </w:rPr>
              <w:t>Общие предложения Регионального содружества в области связи</w:t>
            </w:r>
          </w:p>
        </w:tc>
      </w:tr>
      <w:tr w:rsidR="00943EBD" w:rsidRPr="00915610">
        <w:trPr>
          <w:cantSplit/>
        </w:trPr>
        <w:tc>
          <w:tcPr>
            <w:tcW w:w="10031" w:type="dxa"/>
            <w:gridSpan w:val="2"/>
          </w:tcPr>
          <w:p w:rsidR="00943EBD" w:rsidRPr="00915610" w:rsidRDefault="00652021" w:rsidP="00652021">
            <w:pPr>
              <w:pStyle w:val="Title1"/>
              <w:rPr>
                <w:lang w:val="ru-RU" w:eastAsia="zh-CN"/>
              </w:rPr>
            </w:pPr>
            <w:bookmarkStart w:id="8" w:name="dtitle1" w:colFirst="0" w:colLast="0"/>
            <w:bookmarkEnd w:id="7"/>
            <w:r w:rsidRPr="00915610">
              <w:rPr>
                <w:lang w:val="ru-RU"/>
              </w:rPr>
              <w:t>ПРЕДЛОЖЕНИЯ ДЛЯ РАБОТЫ ассамблеи</w:t>
            </w:r>
          </w:p>
        </w:tc>
      </w:tr>
      <w:tr w:rsidR="00943EBD" w:rsidRPr="00915610">
        <w:trPr>
          <w:cantSplit/>
        </w:trPr>
        <w:tc>
          <w:tcPr>
            <w:tcW w:w="10031" w:type="dxa"/>
            <w:gridSpan w:val="2"/>
          </w:tcPr>
          <w:p w:rsidR="00943EBD" w:rsidRPr="00915610" w:rsidRDefault="00B21C11" w:rsidP="00334192">
            <w:pPr>
              <w:pStyle w:val="Title2"/>
              <w:rPr>
                <w:lang w:val="ru-RU"/>
              </w:rPr>
            </w:pPr>
            <w:bookmarkStart w:id="9" w:name="dtitle2" w:colFirst="0" w:colLast="0"/>
            <w:bookmarkEnd w:id="8"/>
            <w:r w:rsidRPr="00915610">
              <w:rPr>
                <w:rFonts w:eastAsia="Malgun Gothic"/>
                <w:lang w:val="ru-RU"/>
              </w:rPr>
              <w:t>предлагаемые пути достижения прогресса в отношении проекта</w:t>
            </w:r>
            <w:r w:rsidR="00334192">
              <w:rPr>
                <w:rFonts w:eastAsia="Malgun Gothic"/>
                <w:lang w:val="ru-RU"/>
              </w:rPr>
              <w:t> </w:t>
            </w:r>
            <w:r w:rsidRPr="00915610">
              <w:rPr>
                <w:rFonts w:eastAsia="Malgun Gothic"/>
                <w:lang w:val="ru-RU"/>
              </w:rPr>
              <w:t>пересмотра рекомендации МСЭ-R M.1036-4</w:t>
            </w:r>
          </w:p>
        </w:tc>
      </w:tr>
      <w:tr w:rsidR="00943EBD" w:rsidRPr="00915610">
        <w:trPr>
          <w:cantSplit/>
        </w:trPr>
        <w:tc>
          <w:tcPr>
            <w:tcW w:w="10031" w:type="dxa"/>
            <w:gridSpan w:val="2"/>
          </w:tcPr>
          <w:p w:rsidR="00943EBD" w:rsidRPr="00915610" w:rsidRDefault="00943EBD" w:rsidP="00F36624">
            <w:pPr>
              <w:pStyle w:val="Title3"/>
              <w:rPr>
                <w:lang w:val="ru-RU" w:eastAsia="zh-CN"/>
              </w:rPr>
            </w:pPr>
            <w:bookmarkStart w:id="10" w:name="dtitle3" w:colFirst="0" w:colLast="0"/>
            <w:bookmarkEnd w:id="9"/>
          </w:p>
        </w:tc>
      </w:tr>
    </w:tbl>
    <w:bookmarkEnd w:id="10"/>
    <w:p w:rsidR="00B21C11" w:rsidRPr="00915610" w:rsidRDefault="00B21C11" w:rsidP="00B21C11">
      <w:pPr>
        <w:pStyle w:val="Heading1"/>
        <w:rPr>
          <w:lang w:val="ru-RU"/>
        </w:rPr>
      </w:pPr>
      <w:r w:rsidRPr="00915610">
        <w:rPr>
          <w:lang w:val="ru-RU"/>
        </w:rPr>
        <w:t>1</w:t>
      </w:r>
      <w:r w:rsidRPr="00915610">
        <w:rPr>
          <w:lang w:val="ru-RU"/>
        </w:rPr>
        <w:tab/>
        <w:t>Введение</w:t>
      </w:r>
    </w:p>
    <w:p w:rsidR="00B21C11" w:rsidRPr="00915610" w:rsidRDefault="00334192" w:rsidP="009A2D91">
      <w:pPr>
        <w:rPr>
          <w:lang w:val="ru-RU"/>
        </w:rPr>
      </w:pPr>
      <w:r>
        <w:rPr>
          <w:szCs w:val="24"/>
          <w:lang w:val="ru-RU" w:eastAsia="zh-CN"/>
        </w:rPr>
        <w:t>ИК</w:t>
      </w:r>
      <w:r w:rsidR="00B21C11" w:rsidRPr="00915610">
        <w:rPr>
          <w:szCs w:val="24"/>
          <w:lang w:val="ru-RU" w:eastAsia="zh-CN"/>
        </w:rPr>
        <w:t xml:space="preserve">5 на своем десятом собрании рассмотрела проект пересмотра Рекомендации МСЭ-R M.1036-4 </w:t>
      </w:r>
      <w:r w:rsidR="009A2D91" w:rsidRPr="00915610">
        <w:rPr>
          <w:szCs w:val="24"/>
          <w:lang w:val="ru-RU" w:eastAsia="zh-CN"/>
        </w:rPr>
        <w:t>"</w:t>
      </w:r>
      <w:r w:rsidR="00B21C11" w:rsidRPr="00915610">
        <w:rPr>
          <w:lang w:val="ru-RU"/>
        </w:rPr>
        <w:t xml:space="preserve">Планы размещения частот для внедрения наземного сегмента Международной подвижной электросвязи (IМТ) </w:t>
      </w:r>
      <w:r w:rsidR="00B21C11" w:rsidRPr="00915610">
        <w:rPr>
          <w:lang w:val="ru-RU" w:eastAsia="zh-CN"/>
        </w:rPr>
        <w:t>в полосах частот, определенных для IMT в Регламенте радиосвязи (РР)</w:t>
      </w:r>
      <w:r w:rsidR="009A2D91" w:rsidRPr="00915610">
        <w:rPr>
          <w:lang w:val="ru-RU" w:eastAsia="zh-CN"/>
        </w:rPr>
        <w:t>"</w:t>
      </w:r>
      <w:r w:rsidR="00B21C11" w:rsidRPr="00915610">
        <w:rPr>
          <w:szCs w:val="24"/>
          <w:lang w:val="ru-RU" w:eastAsia="zh-CN"/>
        </w:rPr>
        <w:t>, однако согласия по нему не достигла. Было принято решение передать рассмотрение этого документа Ассамблее радиосвязи 2015 года.</w:t>
      </w:r>
    </w:p>
    <w:p w:rsidR="00B21C11" w:rsidRPr="00915610" w:rsidRDefault="00B21C11" w:rsidP="00334192">
      <w:pPr>
        <w:rPr>
          <w:lang w:val="ru-RU"/>
        </w:rPr>
      </w:pPr>
      <w:r w:rsidRPr="00915610">
        <w:rPr>
          <w:lang w:val="ru-RU"/>
        </w:rPr>
        <w:t>В частности, не было достигнуто соглашени</w:t>
      </w:r>
      <w:r w:rsidR="00334192">
        <w:rPr>
          <w:lang w:val="ru-RU"/>
        </w:rPr>
        <w:t>я</w:t>
      </w:r>
      <w:r w:rsidRPr="00915610">
        <w:rPr>
          <w:lang w:val="ru-RU"/>
        </w:rPr>
        <w:t xml:space="preserve"> по включению новых частотных планов B6 и B</w:t>
      </w:r>
      <w:r w:rsidR="00334192">
        <w:rPr>
          <w:lang w:val="ru-RU"/>
        </w:rPr>
        <w:t>7, а </w:t>
      </w:r>
      <w:r w:rsidRPr="00915610">
        <w:rPr>
          <w:lang w:val="ru-RU"/>
        </w:rPr>
        <w:t>также расширению существующих планов B3 и B5. Эти изменения в частотные планы для наземного сегмента IMT включают новые добавления в полосы частот 1980</w:t>
      </w:r>
      <w:r w:rsidR="009A2D91" w:rsidRPr="00915610">
        <w:rPr>
          <w:lang w:val="ru-RU"/>
        </w:rPr>
        <w:t>−</w:t>
      </w:r>
      <w:r w:rsidRPr="00915610">
        <w:rPr>
          <w:lang w:val="ru-RU"/>
        </w:rPr>
        <w:t>2010 МГц и 2170</w:t>
      </w:r>
      <w:r w:rsidR="009A2D91" w:rsidRPr="00915610">
        <w:rPr>
          <w:lang w:val="ru-RU"/>
        </w:rPr>
        <w:t>−</w:t>
      </w:r>
      <w:r w:rsidRPr="00915610">
        <w:rPr>
          <w:lang w:val="ru-RU"/>
        </w:rPr>
        <w:t>2</w:t>
      </w:r>
      <w:r w:rsidR="00334192">
        <w:rPr>
          <w:lang w:val="ru-RU"/>
        </w:rPr>
        <w:t>200 </w:t>
      </w:r>
      <w:r w:rsidRPr="00915610">
        <w:rPr>
          <w:lang w:val="ru-RU"/>
        </w:rPr>
        <w:t>МГц, определенные для реализации спутникового сегмента IMT. Выражались различные мнения в отношении возможности внесения таких изменений в частотные планы для наземного сегмента IMT до того, как надлежащим образом будут рассмотрены вопросы, касающиеся одновременной работы спутникового и наземного сегментов IMT.</w:t>
      </w:r>
    </w:p>
    <w:p w:rsidR="00B21C11" w:rsidRPr="00915610" w:rsidRDefault="00B21C11" w:rsidP="00B21C11">
      <w:pPr>
        <w:pStyle w:val="Heading1"/>
        <w:rPr>
          <w:lang w:val="ru-RU"/>
        </w:rPr>
      </w:pPr>
      <w:r w:rsidRPr="00915610">
        <w:rPr>
          <w:lang w:val="ru-RU"/>
        </w:rPr>
        <w:t>2</w:t>
      </w:r>
      <w:r w:rsidRPr="00915610">
        <w:rPr>
          <w:lang w:val="ru-RU"/>
        </w:rPr>
        <w:tab/>
        <w:t>Обсуждение</w:t>
      </w:r>
    </w:p>
    <w:p w:rsidR="00B21C11" w:rsidRPr="00915610" w:rsidRDefault="00B21C11" w:rsidP="009A2D91">
      <w:pPr>
        <w:rPr>
          <w:lang w:val="ru-RU"/>
        </w:rPr>
      </w:pPr>
      <w:r w:rsidRPr="00915610">
        <w:rPr>
          <w:lang w:val="ru-RU"/>
        </w:rPr>
        <w:t>Полосы 1980</w:t>
      </w:r>
      <w:r w:rsidR="009A2D91" w:rsidRPr="00915610">
        <w:rPr>
          <w:lang w:val="ru-RU"/>
        </w:rPr>
        <w:t>−</w:t>
      </w:r>
      <w:r w:rsidRPr="00915610">
        <w:rPr>
          <w:lang w:val="ru-RU"/>
        </w:rPr>
        <w:t>2010 МГц и 2170</w:t>
      </w:r>
      <w:r w:rsidR="009A2D91" w:rsidRPr="00915610">
        <w:rPr>
          <w:lang w:val="ru-RU"/>
        </w:rPr>
        <w:t>−</w:t>
      </w:r>
      <w:r w:rsidRPr="00915610">
        <w:rPr>
          <w:lang w:val="ru-RU"/>
        </w:rPr>
        <w:t xml:space="preserve">2200 МГц являются практически единственными полосами, доступными для внедрения спутникового сегмента IMT в соответствии с Резолюцией </w:t>
      </w:r>
      <w:r w:rsidRPr="00915610">
        <w:rPr>
          <w:rFonts w:eastAsia="Malgun Gothic" w:cs="Angsana New"/>
          <w:kern w:val="2"/>
          <w:lang w:val="ru-RU" w:eastAsia="ko-KR"/>
        </w:rPr>
        <w:t xml:space="preserve">212 (Пересм. ВКР-07) и которые </w:t>
      </w:r>
      <w:r w:rsidRPr="00915610">
        <w:rPr>
          <w:lang w:val="ru-RU"/>
        </w:rPr>
        <w:t xml:space="preserve">специально упомянуты как полосы, определенные для спутникового сегмента IMT в Резолюции </w:t>
      </w:r>
      <w:r w:rsidRPr="00915610">
        <w:rPr>
          <w:rFonts w:eastAsia="Malgun Gothic" w:cs="Angsana New"/>
          <w:kern w:val="2"/>
          <w:lang w:val="ru-RU" w:eastAsia="ko-KR"/>
        </w:rPr>
        <w:t xml:space="preserve">223 (Пересм. ВКР-12) и </w:t>
      </w:r>
      <w:r w:rsidRPr="00915610">
        <w:rPr>
          <w:lang w:val="ru-RU"/>
        </w:rPr>
        <w:t xml:space="preserve">Резолюции </w:t>
      </w:r>
      <w:r w:rsidRPr="00915610">
        <w:rPr>
          <w:rFonts w:eastAsia="Malgun Gothic" w:cs="Angsana New"/>
          <w:kern w:val="2"/>
          <w:lang w:val="ru-RU" w:eastAsia="ko-KR"/>
        </w:rPr>
        <w:t>225 (Пересм. ВКР-12).</w:t>
      </w:r>
    </w:p>
    <w:p w:rsidR="00B21C11" w:rsidRPr="00915610" w:rsidRDefault="00B21C11" w:rsidP="00334192">
      <w:pPr>
        <w:rPr>
          <w:szCs w:val="24"/>
          <w:lang w:val="ru-RU" w:eastAsia="zh-CN"/>
        </w:rPr>
      </w:pPr>
      <w:r w:rsidRPr="00915610">
        <w:rPr>
          <w:szCs w:val="24"/>
          <w:lang w:val="ru-RU" w:eastAsia="zh-CN"/>
        </w:rPr>
        <w:t xml:space="preserve">Предварительные исследования по совместному использованию частот и совместимости, проведенные в РГ 4C, показывают нереализуемость совместимости/совместного использования спектра около частоты 2 ГГц между наземным и спутниковым сегментами IMT в одной и той же зоне покрытия и на одних и тех же частотах. Из-за отсутствия применимых пороговых значений для координации и соответствующих регламентирующих положений в Регламенте радиосвязи между некоторыми странами очень трудно выполнить координацию использования спутниковых и наземных систем IMT в указанных выше полосах. Следует отметить, что если одобрить предложенный пересмотр Рекомендации МСЭ-R M.1036 до того, как будут решены отмеченные выше проблемы сосуществования систем, между наземными и спутниковыми системами IMT будет </w:t>
      </w:r>
      <w:r w:rsidRPr="00915610">
        <w:rPr>
          <w:szCs w:val="24"/>
          <w:lang w:val="ru-RU" w:eastAsia="zh-CN"/>
        </w:rPr>
        <w:lastRenderedPageBreak/>
        <w:t>возникать все больше и больше помех, что приведет к увеличению бремени координации между странами, желающими развертывать наземные или спутниковые системы IMT.</w:t>
      </w:r>
    </w:p>
    <w:p w:rsidR="00B21C11" w:rsidRPr="00915610" w:rsidRDefault="00B21C11" w:rsidP="00B21C11">
      <w:pPr>
        <w:rPr>
          <w:rFonts w:cs="Arial"/>
          <w:szCs w:val="22"/>
          <w:lang w:val="ru-RU" w:eastAsia="zh-CN"/>
        </w:rPr>
      </w:pPr>
      <w:r w:rsidRPr="00915610">
        <w:rPr>
          <w:lang w:val="ru-RU"/>
        </w:rPr>
        <w:t>Следует отметить, что в Рекомендации</w:t>
      </w:r>
      <w:r w:rsidRPr="00915610">
        <w:rPr>
          <w:rFonts w:cs="Arial"/>
          <w:szCs w:val="22"/>
          <w:lang w:val="ru-RU" w:eastAsia="zh-CN"/>
        </w:rPr>
        <w:t xml:space="preserve"> МСЭ-R M.1036 отмечается, что одной из целей создания частотных планов является минимизация воздействия наземных систем IMT на другие системы и службы в пределах полос, определенных для IMT, что придает важность упомянутым выше вопросам с точки зрения пересмотра </w:t>
      </w:r>
      <w:r w:rsidRPr="00915610">
        <w:rPr>
          <w:lang w:val="ru-RU"/>
        </w:rPr>
        <w:t>Рекомендации</w:t>
      </w:r>
      <w:r w:rsidRPr="00915610">
        <w:rPr>
          <w:rFonts w:cs="Arial"/>
          <w:szCs w:val="22"/>
          <w:lang w:val="ru-RU" w:eastAsia="zh-CN"/>
        </w:rPr>
        <w:t xml:space="preserve"> МСЭ-R M.1036. </w:t>
      </w:r>
    </w:p>
    <w:p w:rsidR="00B21C11" w:rsidRPr="00915610" w:rsidRDefault="00B21C11" w:rsidP="00DA68CB">
      <w:pPr>
        <w:rPr>
          <w:lang w:val="ru-RU"/>
        </w:rPr>
      </w:pPr>
      <w:r w:rsidRPr="00915610">
        <w:rPr>
          <w:lang w:val="ru-RU"/>
        </w:rPr>
        <w:t>Более того, согласование частотных планов в пределах полос частот 1980</w:t>
      </w:r>
      <w:r w:rsidR="009A2D91" w:rsidRPr="00915610">
        <w:rPr>
          <w:lang w:val="ru-RU"/>
        </w:rPr>
        <w:t>−</w:t>
      </w:r>
      <w:r w:rsidRPr="00915610">
        <w:rPr>
          <w:lang w:val="ru-RU"/>
        </w:rPr>
        <w:t>2010 МГц и 2170</w:t>
      </w:r>
      <w:r w:rsidR="009A2D91" w:rsidRPr="00915610">
        <w:rPr>
          <w:lang w:val="ru-RU"/>
        </w:rPr>
        <w:t>−2200 </w:t>
      </w:r>
      <w:r w:rsidRPr="00915610">
        <w:rPr>
          <w:lang w:val="ru-RU"/>
        </w:rPr>
        <w:t>МГц для наземного сегмента IMT до проведения исследований совместного использования/совместимости и разработки координационных процедур со спутниковым сегментом IMT</w:t>
      </w:r>
      <w:r w:rsidR="00DA68CB">
        <w:rPr>
          <w:lang w:val="ru-RU"/>
        </w:rPr>
        <w:t xml:space="preserve"> может</w:t>
      </w:r>
      <w:r w:rsidRPr="00915610">
        <w:rPr>
          <w:lang w:val="ru-RU"/>
        </w:rPr>
        <w:t xml:space="preserve"> поставить под вопрос все предшествующие усилия сектора МСЭ-R по созданию и развитию спутникового сегмента IMT. Важность данной проблемы уже отмечена </w:t>
      </w:r>
      <w:r w:rsidR="00DA68CB" w:rsidRPr="00915610">
        <w:rPr>
          <w:lang w:val="ru-RU"/>
        </w:rPr>
        <w:t xml:space="preserve">Директором </w:t>
      </w:r>
      <w:r w:rsidRPr="00915610">
        <w:rPr>
          <w:lang w:val="ru-RU"/>
        </w:rPr>
        <w:t xml:space="preserve">Бюро </w:t>
      </w:r>
      <w:r w:rsidR="00DA68CB" w:rsidRPr="00915610">
        <w:rPr>
          <w:lang w:val="ru-RU"/>
        </w:rPr>
        <w:t>радиосвязи</w:t>
      </w:r>
      <w:r w:rsidRPr="00915610">
        <w:rPr>
          <w:lang w:val="ru-RU"/>
        </w:rPr>
        <w:t>, и встретившиеся трудности будут им доведены до сведения ВКР-15 в рамках п.</w:t>
      </w:r>
      <w:r w:rsidR="00DA68CB">
        <w:rPr>
          <w:lang w:val="ru-RU"/>
        </w:rPr>
        <w:t> </w:t>
      </w:r>
      <w:r w:rsidRPr="00915610">
        <w:rPr>
          <w:lang w:val="ru-RU"/>
        </w:rPr>
        <w:t>9.2 повестки дня, которая, как ожидается, покажет пути решения данной проблемы.</w:t>
      </w:r>
    </w:p>
    <w:p w:rsidR="00B21C11" w:rsidRPr="00915610" w:rsidRDefault="00B21C11" w:rsidP="00DA68CB">
      <w:pPr>
        <w:rPr>
          <w:lang w:val="ru-RU" w:eastAsia="zh-CN"/>
        </w:rPr>
      </w:pPr>
      <w:r w:rsidRPr="00915610">
        <w:rPr>
          <w:lang w:val="ru-RU" w:eastAsia="zh-CN"/>
        </w:rPr>
        <w:t xml:space="preserve">РГ 4С подтвердила наличие этих проблем в заявлении о взаимодействии для РГ 5D (5/194), которая выразила такую же озабоченность и несогласие с включением этих полос </w:t>
      </w:r>
      <w:r w:rsidRPr="00915610">
        <w:rPr>
          <w:lang w:val="ru-RU"/>
        </w:rPr>
        <w:t>1980</w:t>
      </w:r>
      <w:r w:rsidR="009A2D91" w:rsidRPr="00915610">
        <w:rPr>
          <w:lang w:val="ru-RU"/>
        </w:rPr>
        <w:t>−</w:t>
      </w:r>
      <w:r w:rsidRPr="00915610">
        <w:rPr>
          <w:lang w:val="ru-RU"/>
        </w:rPr>
        <w:t>2010 МГц и 2170</w:t>
      </w:r>
      <w:r w:rsidR="009A2D91" w:rsidRPr="00915610">
        <w:rPr>
          <w:lang w:val="ru-RU"/>
        </w:rPr>
        <w:t>−</w:t>
      </w:r>
      <w:r w:rsidRPr="00915610">
        <w:rPr>
          <w:lang w:val="ru-RU"/>
        </w:rPr>
        <w:t xml:space="preserve">2200 МГц в пересмотренную версию Рекомендации </w:t>
      </w:r>
      <w:r w:rsidRPr="00915610">
        <w:rPr>
          <w:szCs w:val="24"/>
          <w:lang w:val="ru-RU" w:eastAsia="zh-CN"/>
        </w:rPr>
        <w:t xml:space="preserve">МСЭ-R M.1036 до завершения исследований совместимости/совместного использования. ИК4 также поддержала это мнение в заявлении о взаимодействии для </w:t>
      </w:r>
      <w:r w:rsidR="009A2D91" w:rsidRPr="00915610">
        <w:rPr>
          <w:lang w:val="ru-RU" w:eastAsia="zh-CN"/>
        </w:rPr>
        <w:t>ИК</w:t>
      </w:r>
      <w:r w:rsidRPr="00915610">
        <w:rPr>
          <w:lang w:val="ru-RU" w:eastAsia="zh-CN"/>
        </w:rPr>
        <w:t>5 (5/212).</w:t>
      </w:r>
    </w:p>
    <w:p w:rsidR="00B21C11" w:rsidRPr="00915610" w:rsidRDefault="00B21C11" w:rsidP="00B21C11">
      <w:pPr>
        <w:pStyle w:val="Heading1"/>
        <w:rPr>
          <w:lang w:val="ru-RU"/>
        </w:rPr>
      </w:pPr>
      <w:r w:rsidRPr="00915610">
        <w:rPr>
          <w:lang w:val="ru-RU"/>
        </w:rPr>
        <w:t>3</w:t>
      </w:r>
      <w:r w:rsidRPr="00915610">
        <w:rPr>
          <w:lang w:val="ru-RU"/>
        </w:rPr>
        <w:tab/>
        <w:t>Предложение</w:t>
      </w:r>
    </w:p>
    <w:p w:rsidR="00B21C11" w:rsidRPr="00915610" w:rsidRDefault="00B21C11" w:rsidP="00DA68CB">
      <w:pPr>
        <w:rPr>
          <w:lang w:val="ru-RU"/>
        </w:rPr>
      </w:pPr>
      <w:r w:rsidRPr="00915610">
        <w:rPr>
          <w:lang w:val="ru-RU"/>
        </w:rPr>
        <w:t xml:space="preserve">По мнению </w:t>
      </w:r>
      <w:r w:rsidR="00DA68CB" w:rsidRPr="00915610">
        <w:rPr>
          <w:lang w:val="ru-RU"/>
        </w:rPr>
        <w:t xml:space="preserve">администраций </w:t>
      </w:r>
      <w:r w:rsidRPr="00915610">
        <w:rPr>
          <w:lang w:val="ru-RU"/>
        </w:rPr>
        <w:t>связи РСС</w:t>
      </w:r>
      <w:r w:rsidR="00DA68CB">
        <w:rPr>
          <w:lang w:val="ru-RU"/>
        </w:rPr>
        <w:t>,</w:t>
      </w:r>
      <w:r w:rsidRPr="00915610">
        <w:rPr>
          <w:lang w:val="ru-RU"/>
        </w:rPr>
        <w:t xml:space="preserve"> включение в проект пересмотра Рекомендации МСЭ-R M.1036-4 новых частотных планов B6 и B7, а также расширение существующих планов B3 и B5 преждевременно. По этой причине </w:t>
      </w:r>
      <w:r w:rsidR="00DA68CB" w:rsidRPr="00915610">
        <w:rPr>
          <w:lang w:val="ru-RU"/>
        </w:rPr>
        <w:t xml:space="preserve">администрации </w:t>
      </w:r>
      <w:r w:rsidRPr="00915610">
        <w:rPr>
          <w:lang w:val="ru-RU"/>
        </w:rPr>
        <w:t xml:space="preserve">связи РСС предлагают </w:t>
      </w:r>
      <w:r w:rsidR="00DA68CB" w:rsidRPr="00915610">
        <w:rPr>
          <w:lang w:val="ru-RU"/>
        </w:rPr>
        <w:t>сохранить</w:t>
      </w:r>
      <w:r w:rsidR="009C39C7" w:rsidRPr="00915610">
        <w:rPr>
          <w:lang w:val="ru-RU"/>
        </w:rPr>
        <w:t xml:space="preserve"> без изменений Раздел 3</w:t>
      </w:r>
      <w:r w:rsidRPr="00915610">
        <w:rPr>
          <w:lang w:val="ru-RU"/>
        </w:rPr>
        <w:t xml:space="preserve"> проект</w:t>
      </w:r>
      <w:r w:rsidR="009C39C7" w:rsidRPr="00915610">
        <w:rPr>
          <w:lang w:val="ru-RU"/>
        </w:rPr>
        <w:t>а</w:t>
      </w:r>
      <w:r w:rsidRPr="00915610">
        <w:rPr>
          <w:lang w:val="ru-RU"/>
        </w:rPr>
        <w:t xml:space="preserve"> пересмотра Рекомендации МСЭ-R M.1036-4</w:t>
      </w:r>
      <w:r w:rsidR="00DA68CB">
        <w:rPr>
          <w:lang w:val="ru-RU"/>
        </w:rPr>
        <w:t>,</w:t>
      </w:r>
      <w:r w:rsidRPr="00915610">
        <w:rPr>
          <w:lang w:val="ru-RU"/>
        </w:rPr>
        <w:t xml:space="preserve"> как это показано в Приложении к настоящему документу.</w:t>
      </w:r>
    </w:p>
    <w:p w:rsidR="00B21C11" w:rsidRPr="00915610" w:rsidRDefault="00B21C11" w:rsidP="00DA68CB">
      <w:pPr>
        <w:rPr>
          <w:color w:val="000000"/>
          <w:lang w:val="ru-RU" w:eastAsia="zh-CN"/>
        </w:rPr>
      </w:pPr>
      <w:r w:rsidRPr="00915610">
        <w:rPr>
          <w:color w:val="000000"/>
          <w:lang w:val="ru-RU" w:eastAsia="zh-CN"/>
        </w:rPr>
        <w:t>Рассмотрение частотных планов для наземного сегмента IMT в полосах частот 1980</w:t>
      </w:r>
      <w:r w:rsidR="009A2D91" w:rsidRPr="00915610">
        <w:rPr>
          <w:color w:val="000000"/>
          <w:lang w:val="ru-RU" w:eastAsia="zh-CN"/>
        </w:rPr>
        <w:t>−</w:t>
      </w:r>
      <w:r w:rsidRPr="00915610">
        <w:rPr>
          <w:color w:val="000000"/>
          <w:lang w:val="ru-RU" w:eastAsia="zh-CN"/>
        </w:rPr>
        <w:t>2010 МГц и 2170</w:t>
      </w:r>
      <w:r w:rsidR="009A2D91" w:rsidRPr="00915610">
        <w:rPr>
          <w:color w:val="000000"/>
          <w:lang w:val="ru-RU" w:eastAsia="zh-CN"/>
        </w:rPr>
        <w:t>−</w:t>
      </w:r>
      <w:r w:rsidRPr="00915610">
        <w:rPr>
          <w:color w:val="000000"/>
          <w:lang w:val="ru-RU" w:eastAsia="zh-CN"/>
        </w:rPr>
        <w:t>2200 МГц возможно только после рассмотрения вопроса возможности одновременного развития спутникового и наземного сегментов системы IMT в полосах радиочастот 1980</w:t>
      </w:r>
      <w:r w:rsidR="009A2D91" w:rsidRPr="00915610">
        <w:rPr>
          <w:color w:val="000000"/>
          <w:lang w:val="ru-RU" w:eastAsia="zh-CN"/>
        </w:rPr>
        <w:t>−</w:t>
      </w:r>
      <w:r w:rsidRPr="00915610">
        <w:rPr>
          <w:color w:val="000000"/>
          <w:lang w:val="ru-RU" w:eastAsia="zh-CN"/>
        </w:rPr>
        <w:t>2010 МГц и 2170</w:t>
      </w:r>
      <w:r w:rsidR="009A2D91" w:rsidRPr="00915610">
        <w:rPr>
          <w:color w:val="000000"/>
          <w:lang w:val="ru-RU" w:eastAsia="zh-CN"/>
        </w:rPr>
        <w:t>−</w:t>
      </w:r>
      <w:r w:rsidRPr="00915610">
        <w:rPr>
          <w:color w:val="000000"/>
          <w:lang w:val="ru-RU" w:eastAsia="zh-CN"/>
        </w:rPr>
        <w:t>2200 МГц в рамках ВКР-15.</w:t>
      </w:r>
    </w:p>
    <w:p w:rsidR="00703FFC" w:rsidRPr="00915610" w:rsidRDefault="00EE146A" w:rsidP="00703FFC">
      <w:pPr>
        <w:rPr>
          <w:lang w:val="ru-RU" w:eastAsia="zh-CN"/>
        </w:rPr>
      </w:pPr>
      <w:r w:rsidRPr="00915610">
        <w:rPr>
          <w:lang w:val="ru-RU" w:eastAsia="zh-CN"/>
        </w:rPr>
        <w:br w:type="page"/>
      </w:r>
    </w:p>
    <w:p w:rsidR="00B21C11" w:rsidRPr="00915610" w:rsidRDefault="00B21C11" w:rsidP="009A2D91">
      <w:pPr>
        <w:pStyle w:val="AnnexNo"/>
        <w:rPr>
          <w:lang w:val="ru-RU"/>
        </w:rPr>
      </w:pPr>
      <w:r w:rsidRPr="00915610">
        <w:rPr>
          <w:lang w:val="ru-RU"/>
        </w:rPr>
        <w:lastRenderedPageBreak/>
        <w:t xml:space="preserve">ПРИЛОЖЕНИЕ </w:t>
      </w:r>
    </w:p>
    <w:p w:rsidR="00B21C11" w:rsidRPr="00915610" w:rsidRDefault="00B21C11" w:rsidP="009A2D91">
      <w:pPr>
        <w:pStyle w:val="RecNo"/>
        <w:rPr>
          <w:lang w:val="ru-RU"/>
        </w:rPr>
      </w:pPr>
      <w:r w:rsidRPr="00915610">
        <w:rPr>
          <w:lang w:val="ru-RU"/>
        </w:rPr>
        <w:t xml:space="preserve">ПРОЕКТ ПЕРЕСМОТРА РЕКОМЕНДАЦИи  </w:t>
      </w:r>
      <w:r w:rsidRPr="00915610">
        <w:rPr>
          <w:rStyle w:val="href"/>
          <w:lang w:val="ru-RU"/>
        </w:rPr>
        <w:t>МСЭ-R  M.1036-4</w:t>
      </w:r>
    </w:p>
    <w:p w:rsidR="00B21C11" w:rsidRPr="00915610" w:rsidRDefault="00B21C11" w:rsidP="009A2D91">
      <w:pPr>
        <w:pStyle w:val="Rectitle"/>
        <w:rPr>
          <w:lang w:val="ru-RU"/>
        </w:rPr>
      </w:pPr>
      <w:r w:rsidRPr="00915610">
        <w:rPr>
          <w:lang w:val="ru-RU"/>
        </w:rPr>
        <w:t xml:space="preserve">Планы размещения частот для внедрения наземного сегмента </w:t>
      </w:r>
      <w:r w:rsidRPr="00915610">
        <w:rPr>
          <w:lang w:val="ru-RU"/>
        </w:rPr>
        <w:br/>
        <w:t xml:space="preserve">Международной подвижной электросвязи (IМТ) </w:t>
      </w:r>
      <w:r w:rsidRPr="00915610">
        <w:rPr>
          <w:lang w:val="ru-RU" w:eastAsia="zh-CN"/>
        </w:rPr>
        <w:t xml:space="preserve">в полосах частот, </w:t>
      </w:r>
      <w:r w:rsidRPr="00915610">
        <w:rPr>
          <w:lang w:val="ru-RU" w:eastAsia="zh-CN"/>
        </w:rPr>
        <w:br/>
        <w:t>определенных для IMT в Регламенте радиосвязи (РР)</w:t>
      </w:r>
    </w:p>
    <w:p w:rsidR="00B21C11" w:rsidRPr="00915610" w:rsidRDefault="00B21C11" w:rsidP="009A2D91">
      <w:pPr>
        <w:pStyle w:val="Normalaftertitle"/>
        <w:rPr>
          <w:bCs/>
          <w:szCs w:val="24"/>
          <w:lang w:val="ru-RU"/>
        </w:rPr>
      </w:pPr>
      <w:r w:rsidRPr="00915610">
        <w:rPr>
          <w:lang w:val="ru-RU"/>
        </w:rPr>
        <w:t>[</w:t>
      </w:r>
      <w:r w:rsidRPr="00915610">
        <w:rPr>
          <w:i/>
          <w:iCs/>
          <w:lang w:val="ru-RU"/>
        </w:rPr>
        <w:t>Примечание редактора</w:t>
      </w:r>
      <w:r w:rsidR="009A2D91" w:rsidRPr="00915610">
        <w:rPr>
          <w:i/>
          <w:iCs/>
          <w:lang w:val="ru-RU"/>
        </w:rPr>
        <w:t>. −</w:t>
      </w:r>
      <w:r w:rsidRPr="00915610">
        <w:rPr>
          <w:i/>
          <w:iCs/>
          <w:lang w:val="ru-RU"/>
        </w:rPr>
        <w:t xml:space="preserve"> Изменение основ</w:t>
      </w:r>
      <w:r w:rsidR="00227AC9" w:rsidRPr="00915610">
        <w:rPr>
          <w:i/>
          <w:iCs/>
          <w:lang w:val="ru-RU"/>
        </w:rPr>
        <w:t>н</w:t>
      </w:r>
      <w:r w:rsidRPr="00915610">
        <w:rPr>
          <w:i/>
          <w:iCs/>
          <w:lang w:val="ru-RU"/>
        </w:rPr>
        <w:t>ого текст</w:t>
      </w:r>
      <w:r w:rsidR="00227AC9" w:rsidRPr="00915610">
        <w:rPr>
          <w:i/>
          <w:iCs/>
          <w:lang w:val="ru-RU"/>
        </w:rPr>
        <w:t>а</w:t>
      </w:r>
      <w:r w:rsidRPr="00915610">
        <w:rPr>
          <w:i/>
          <w:iCs/>
          <w:lang w:val="ru-RU"/>
        </w:rPr>
        <w:t xml:space="preserve"> проекта пересмотра Рекомендации МСЭ-R M.1036-4 не предлагается</w:t>
      </w:r>
      <w:r w:rsidRPr="00915610">
        <w:rPr>
          <w:bCs/>
          <w:i/>
          <w:iCs/>
          <w:szCs w:val="24"/>
          <w:lang w:val="ru-RU"/>
        </w:rPr>
        <w:t>.</w:t>
      </w:r>
      <w:r w:rsidRPr="00915610">
        <w:rPr>
          <w:bCs/>
          <w:szCs w:val="24"/>
          <w:lang w:val="ru-RU"/>
        </w:rPr>
        <w:t>]</w:t>
      </w:r>
    </w:p>
    <w:p w:rsidR="00B21C11" w:rsidRPr="00915610" w:rsidRDefault="00B21C11" w:rsidP="009A2D91">
      <w:pPr>
        <w:rPr>
          <w:rStyle w:val="LineNumber"/>
          <w:lang w:val="ru-RU"/>
        </w:rPr>
      </w:pPr>
      <w:r w:rsidRPr="00915610">
        <w:rPr>
          <w:rStyle w:val="LineNumber"/>
          <w:lang w:val="ru-RU"/>
        </w:rPr>
        <w:t>…</w:t>
      </w:r>
    </w:p>
    <w:p w:rsidR="00B21C11" w:rsidRPr="00915610" w:rsidRDefault="00B21C11" w:rsidP="00915610">
      <w:pPr>
        <w:pStyle w:val="AnnexNo"/>
        <w:rPr>
          <w:bCs/>
          <w:szCs w:val="24"/>
          <w:lang w:val="ru-RU"/>
        </w:rPr>
      </w:pPr>
      <w:r w:rsidRPr="00915610">
        <w:rPr>
          <w:rFonts w:eastAsia="MS Mincho"/>
          <w:lang w:val="ru-RU"/>
        </w:rPr>
        <w:t>Приложение 1</w:t>
      </w:r>
    </w:p>
    <w:p w:rsidR="00B21C11" w:rsidRPr="00915610" w:rsidRDefault="00B21C11" w:rsidP="00915610">
      <w:pPr>
        <w:pStyle w:val="Normalaftertitle"/>
        <w:rPr>
          <w:bCs/>
          <w:szCs w:val="24"/>
          <w:lang w:val="ru-RU"/>
        </w:rPr>
      </w:pPr>
      <w:r w:rsidRPr="00915610">
        <w:rPr>
          <w:lang w:val="ru-RU"/>
        </w:rPr>
        <w:t>[</w:t>
      </w:r>
      <w:r w:rsidRPr="00915610">
        <w:rPr>
          <w:i/>
          <w:iCs/>
          <w:lang w:val="ru-RU"/>
        </w:rPr>
        <w:t>Примечание</w:t>
      </w:r>
      <w:r w:rsidRPr="00915610">
        <w:rPr>
          <w:i/>
          <w:lang w:val="ru-RU"/>
        </w:rPr>
        <w:t xml:space="preserve"> редактора</w:t>
      </w:r>
      <w:r w:rsidR="00915610" w:rsidRPr="00915610">
        <w:rPr>
          <w:i/>
          <w:lang w:val="ru-RU"/>
        </w:rPr>
        <w:t>. −</w:t>
      </w:r>
      <w:r w:rsidRPr="00915610">
        <w:rPr>
          <w:i/>
          <w:lang w:val="ru-RU"/>
        </w:rPr>
        <w:t xml:space="preserve"> Предложения по проект</w:t>
      </w:r>
      <w:r w:rsidR="009C39C7" w:rsidRPr="00915610">
        <w:rPr>
          <w:i/>
          <w:lang w:val="ru-RU"/>
        </w:rPr>
        <w:t>у</w:t>
      </w:r>
      <w:r w:rsidRPr="00915610">
        <w:rPr>
          <w:i/>
          <w:lang w:val="ru-RU"/>
        </w:rPr>
        <w:t xml:space="preserve"> пересмотра Рекомендации МСЭ-R M.1036-4 представлены только для Раздела 3 Приложения 1</w:t>
      </w:r>
      <w:r w:rsidRPr="00915610">
        <w:rPr>
          <w:bCs/>
          <w:i/>
          <w:szCs w:val="24"/>
          <w:lang w:val="ru-RU"/>
        </w:rPr>
        <w:t>.</w:t>
      </w:r>
      <w:r w:rsidRPr="00915610">
        <w:rPr>
          <w:bCs/>
          <w:szCs w:val="24"/>
          <w:lang w:val="ru-RU"/>
        </w:rPr>
        <w:t>]</w:t>
      </w:r>
    </w:p>
    <w:p w:rsidR="00B21C11" w:rsidRPr="00915610" w:rsidRDefault="00B21C11" w:rsidP="00915610">
      <w:pPr>
        <w:rPr>
          <w:rStyle w:val="LineNumber"/>
          <w:lang w:val="ru-RU"/>
        </w:rPr>
      </w:pPr>
      <w:r w:rsidRPr="00915610">
        <w:rPr>
          <w:rStyle w:val="LineNumber"/>
          <w:lang w:val="ru-RU"/>
        </w:rPr>
        <w:t>…</w:t>
      </w:r>
    </w:p>
    <w:p w:rsidR="00B21C11" w:rsidRPr="00915610" w:rsidRDefault="00E22F65" w:rsidP="00915610">
      <w:pPr>
        <w:pStyle w:val="Proposal"/>
        <w:rPr>
          <w:lang w:val="ru-RU"/>
        </w:rPr>
      </w:pPr>
      <w:r w:rsidRPr="00915610">
        <w:rPr>
          <w:u w:val="single"/>
          <w:lang w:val="ru-RU"/>
        </w:rPr>
        <w:t>NOC</w:t>
      </w:r>
      <w:r w:rsidR="00FF3AB1" w:rsidRPr="00915610">
        <w:rPr>
          <w:lang w:val="ru-RU"/>
        </w:rPr>
        <w:tab/>
        <w:t>RCC/XA1/1</w:t>
      </w:r>
    </w:p>
    <w:p w:rsidR="00227AC9" w:rsidRPr="00915610" w:rsidRDefault="00227AC9" w:rsidP="00227AC9">
      <w:pPr>
        <w:pStyle w:val="Sectiontitle"/>
        <w:rPr>
          <w:lang w:val="ru-RU"/>
        </w:rPr>
      </w:pPr>
      <w:r w:rsidRPr="00915610">
        <w:rPr>
          <w:lang w:val="ru-RU"/>
        </w:rPr>
        <w:t>Раздел 3</w:t>
      </w:r>
      <w:r w:rsidRPr="00915610">
        <w:rPr>
          <w:lang w:val="ru-RU"/>
        </w:rPr>
        <w:br/>
      </w:r>
      <w:r w:rsidRPr="00915610">
        <w:rPr>
          <w:lang w:val="ru-RU"/>
        </w:rPr>
        <w:br/>
      </w:r>
      <w:r w:rsidRPr="00915610">
        <w:rPr>
          <w:rFonts w:eastAsia="MS Mincho"/>
          <w:lang w:val="ru-RU"/>
        </w:rPr>
        <w:t xml:space="preserve">Планы размещения частот в полосе </w:t>
      </w:r>
      <w:r w:rsidRPr="00915610">
        <w:rPr>
          <w:lang w:val="ru-RU"/>
        </w:rPr>
        <w:t>1710−2200 МГц</w:t>
      </w:r>
      <w:r w:rsidRPr="00915610">
        <w:rPr>
          <w:b w:val="0"/>
          <w:bCs/>
          <w:position w:val="6"/>
          <w:sz w:val="18"/>
          <w:lang w:val="ru-RU"/>
        </w:rPr>
        <w:footnoteReference w:id="1"/>
      </w:r>
    </w:p>
    <w:p w:rsidR="00227AC9" w:rsidRPr="00915610" w:rsidRDefault="00227AC9" w:rsidP="00915610">
      <w:pPr>
        <w:pStyle w:val="Normalaftertitle"/>
        <w:rPr>
          <w:lang w:val="ru-RU"/>
        </w:rPr>
      </w:pPr>
      <w:r w:rsidRPr="00915610">
        <w:rPr>
          <w:lang w:val="ru-RU"/>
        </w:rPr>
        <w:t xml:space="preserve">Рекомендованные планы размещения частот для внедрения IMT в полосе 1710−2200 МГц кратко изложены в таблице 4 и на рисунке 4, и в них учтены руководящие указания, приведенные в Приложении 1, выше. </w:t>
      </w:r>
    </w:p>
    <w:p w:rsidR="00227AC9" w:rsidRPr="00915610" w:rsidRDefault="00227AC9" w:rsidP="00915610">
      <w:pPr>
        <w:pStyle w:val="TableNo"/>
        <w:spacing w:before="240"/>
        <w:rPr>
          <w:lang w:val="ru-RU"/>
        </w:rPr>
      </w:pPr>
      <w:r w:rsidRPr="00915610">
        <w:rPr>
          <w:lang w:val="ru-RU"/>
        </w:rPr>
        <w:t>ТАБЛИЦА 4</w:t>
      </w:r>
    </w:p>
    <w:p w:rsidR="00227AC9" w:rsidRPr="00915610" w:rsidRDefault="00227AC9" w:rsidP="00227AC9">
      <w:pPr>
        <w:pStyle w:val="Tabletitle"/>
        <w:rPr>
          <w:lang w:val="ru-RU"/>
        </w:rPr>
      </w:pPr>
      <w:r w:rsidRPr="00915610">
        <w:rPr>
          <w:lang w:val="ru-RU"/>
        </w:rPr>
        <w:t>Планы размещения частот в полосе 1710−2200 МГц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275"/>
        <w:gridCol w:w="1560"/>
        <w:gridCol w:w="1134"/>
        <w:gridCol w:w="1842"/>
      </w:tblGrid>
      <w:tr w:rsidR="00227AC9" w:rsidRPr="00915610" w:rsidTr="00915610">
        <w:trPr>
          <w:jc w:val="center"/>
        </w:trPr>
        <w:tc>
          <w:tcPr>
            <w:tcW w:w="1985" w:type="dxa"/>
            <w:vMerge w:val="restart"/>
            <w:vAlign w:val="center"/>
          </w:tcPr>
          <w:p w:rsidR="00227AC9" w:rsidRPr="00915610" w:rsidRDefault="00227AC9" w:rsidP="002177AA">
            <w:pPr>
              <w:pStyle w:val="Tablehead"/>
              <w:ind w:left="-57" w:right="-57"/>
              <w:rPr>
                <w:lang w:val="ru-RU"/>
              </w:rPr>
            </w:pPr>
            <w:r w:rsidRPr="00915610">
              <w:rPr>
                <w:lang w:val="ru-RU"/>
              </w:rPr>
              <w:t>Планы размещения частот</w:t>
            </w:r>
          </w:p>
        </w:tc>
        <w:tc>
          <w:tcPr>
            <w:tcW w:w="5812" w:type="dxa"/>
            <w:gridSpan w:val="4"/>
            <w:vAlign w:val="center"/>
          </w:tcPr>
          <w:p w:rsidR="00227AC9" w:rsidRPr="00915610" w:rsidRDefault="00227AC9" w:rsidP="002177AA">
            <w:pPr>
              <w:pStyle w:val="Tablehead"/>
              <w:ind w:left="-57" w:right="-57"/>
              <w:rPr>
                <w:lang w:val="ru-RU"/>
              </w:rPr>
            </w:pPr>
            <w:r w:rsidRPr="00915610">
              <w:rPr>
                <w:bCs/>
                <w:lang w:val="ru-RU"/>
              </w:rPr>
              <w:t>Парные планы размещения частот</w:t>
            </w:r>
          </w:p>
        </w:tc>
        <w:tc>
          <w:tcPr>
            <w:tcW w:w="1842" w:type="dxa"/>
            <w:vMerge w:val="restart"/>
            <w:vAlign w:val="center"/>
          </w:tcPr>
          <w:p w:rsidR="00227AC9" w:rsidRPr="00915610" w:rsidRDefault="00227AC9" w:rsidP="002177AA">
            <w:pPr>
              <w:pStyle w:val="Tablehead"/>
              <w:ind w:left="-57" w:right="-57"/>
              <w:rPr>
                <w:lang w:val="ru-RU"/>
              </w:rPr>
            </w:pPr>
            <w:r w:rsidRPr="00915610">
              <w:rPr>
                <w:bCs/>
                <w:lang w:val="ru-RU"/>
              </w:rPr>
              <w:t xml:space="preserve">Непарные планы размещения частот </w:t>
            </w:r>
            <w:r w:rsidRPr="00915610">
              <w:rPr>
                <w:lang w:val="ru-RU"/>
              </w:rPr>
              <w:br/>
              <w:t>(например, для TDD)</w:t>
            </w:r>
            <w:r w:rsidRPr="00915610">
              <w:rPr>
                <w:lang w:val="ru-RU"/>
              </w:rPr>
              <w:br/>
              <w:t>(МГц)</w:t>
            </w:r>
          </w:p>
        </w:tc>
      </w:tr>
      <w:tr w:rsidR="00227AC9" w:rsidRPr="00915610" w:rsidTr="00915610">
        <w:trPr>
          <w:jc w:val="center"/>
        </w:trPr>
        <w:tc>
          <w:tcPr>
            <w:tcW w:w="1985" w:type="dxa"/>
            <w:vMerge/>
            <w:vAlign w:val="center"/>
          </w:tcPr>
          <w:p w:rsidR="00227AC9" w:rsidRPr="00915610" w:rsidRDefault="00227AC9" w:rsidP="002177AA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rFonts w:ascii="Times New Roman Bold" w:hAnsi="Times New Roman Bold"/>
                <w:b/>
                <w:sz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227AC9" w:rsidRPr="00915610" w:rsidRDefault="00227AC9" w:rsidP="002177AA">
            <w:pPr>
              <w:pStyle w:val="Tablehead"/>
              <w:spacing w:before="60" w:after="60"/>
              <w:ind w:left="-57" w:right="-57"/>
              <w:rPr>
                <w:lang w:val="ru-RU"/>
              </w:rPr>
            </w:pPr>
            <w:r w:rsidRPr="00915610">
              <w:rPr>
                <w:lang w:val="ru-RU"/>
              </w:rPr>
              <w:t>Передатчик подвижной станции</w:t>
            </w:r>
            <w:r w:rsidRPr="00915610">
              <w:rPr>
                <w:lang w:val="ru-RU"/>
              </w:rPr>
              <w:br/>
              <w:t>(МГц)</w:t>
            </w:r>
          </w:p>
        </w:tc>
        <w:tc>
          <w:tcPr>
            <w:tcW w:w="1275" w:type="dxa"/>
            <w:vAlign w:val="center"/>
          </w:tcPr>
          <w:p w:rsidR="00227AC9" w:rsidRPr="00915610" w:rsidRDefault="00227AC9" w:rsidP="002177AA">
            <w:pPr>
              <w:pStyle w:val="Tablehead"/>
              <w:spacing w:before="60" w:after="60"/>
              <w:ind w:left="-57" w:right="-57"/>
              <w:rPr>
                <w:lang w:val="ru-RU"/>
              </w:rPr>
            </w:pPr>
            <w:r w:rsidRPr="00915610">
              <w:rPr>
                <w:lang w:val="ru-RU"/>
              </w:rPr>
              <w:t xml:space="preserve">Центральный просвет </w:t>
            </w:r>
            <w:r w:rsidRPr="00915610">
              <w:rPr>
                <w:lang w:val="ru-RU"/>
              </w:rPr>
              <w:br/>
              <w:t>(МГц)</w:t>
            </w:r>
          </w:p>
        </w:tc>
        <w:tc>
          <w:tcPr>
            <w:tcW w:w="1560" w:type="dxa"/>
            <w:vAlign w:val="center"/>
          </w:tcPr>
          <w:p w:rsidR="00227AC9" w:rsidRPr="00915610" w:rsidRDefault="00227AC9" w:rsidP="002177AA">
            <w:pPr>
              <w:pStyle w:val="Tablehead"/>
              <w:spacing w:before="60" w:after="60"/>
              <w:ind w:left="-57" w:right="-57"/>
              <w:rPr>
                <w:lang w:val="ru-RU"/>
              </w:rPr>
            </w:pPr>
            <w:r w:rsidRPr="00915610">
              <w:rPr>
                <w:lang w:val="ru-RU"/>
              </w:rPr>
              <w:t>Передатчик базовой станции</w:t>
            </w:r>
            <w:r w:rsidRPr="00915610" w:rsidDel="000431B8">
              <w:rPr>
                <w:lang w:val="ru-RU"/>
              </w:rPr>
              <w:t xml:space="preserve"> </w:t>
            </w:r>
            <w:r w:rsidRPr="00915610">
              <w:rPr>
                <w:lang w:val="ru-RU"/>
              </w:rPr>
              <w:br/>
              <w:t>(МГц)</w:t>
            </w:r>
          </w:p>
        </w:tc>
        <w:tc>
          <w:tcPr>
            <w:tcW w:w="1134" w:type="dxa"/>
            <w:vAlign w:val="center"/>
          </w:tcPr>
          <w:p w:rsidR="00227AC9" w:rsidRPr="00915610" w:rsidRDefault="00227AC9" w:rsidP="002177AA">
            <w:pPr>
              <w:pStyle w:val="Tablehead"/>
              <w:spacing w:before="60" w:after="60"/>
              <w:ind w:left="-57" w:right="-57"/>
              <w:rPr>
                <w:lang w:val="ru-RU"/>
              </w:rPr>
            </w:pPr>
            <w:r w:rsidRPr="00915610">
              <w:rPr>
                <w:lang w:val="ru-RU"/>
              </w:rPr>
              <w:t>Дуплексный разнос</w:t>
            </w:r>
            <w:r w:rsidRPr="00915610">
              <w:rPr>
                <w:lang w:val="ru-RU"/>
              </w:rPr>
              <w:br/>
              <w:t>(МГц)</w:t>
            </w:r>
          </w:p>
        </w:tc>
        <w:tc>
          <w:tcPr>
            <w:tcW w:w="1842" w:type="dxa"/>
            <w:vMerge/>
            <w:vAlign w:val="center"/>
          </w:tcPr>
          <w:p w:rsidR="00227AC9" w:rsidRPr="00915610" w:rsidRDefault="00227AC9" w:rsidP="002177AA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rFonts w:ascii="Times New Roman Bold" w:hAnsi="Times New Roman Bold"/>
                <w:b/>
                <w:sz w:val="20"/>
                <w:lang w:val="ru-RU"/>
              </w:rPr>
            </w:pPr>
          </w:p>
        </w:tc>
      </w:tr>
      <w:tr w:rsidR="00227AC9" w:rsidRPr="00915610" w:rsidTr="00915610">
        <w:trPr>
          <w:jc w:val="center"/>
        </w:trPr>
        <w:tc>
          <w:tcPr>
            <w:tcW w:w="198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B1</w:t>
            </w:r>
          </w:p>
        </w:tc>
        <w:tc>
          <w:tcPr>
            <w:tcW w:w="1843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1 920−1 980</w:t>
            </w:r>
          </w:p>
        </w:tc>
        <w:tc>
          <w:tcPr>
            <w:tcW w:w="127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130</w:t>
            </w:r>
          </w:p>
        </w:tc>
        <w:tc>
          <w:tcPr>
            <w:tcW w:w="1560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2 110−2 170</w:t>
            </w:r>
          </w:p>
        </w:tc>
        <w:tc>
          <w:tcPr>
            <w:tcW w:w="1134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190</w:t>
            </w:r>
          </w:p>
        </w:tc>
        <w:tc>
          <w:tcPr>
            <w:tcW w:w="1842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1 880−1 920;</w:t>
            </w:r>
            <w:r w:rsidRPr="00915610">
              <w:rPr>
                <w:lang w:val="ru-RU"/>
              </w:rPr>
              <w:br/>
              <w:t>2 010−2 025</w:t>
            </w:r>
          </w:p>
        </w:tc>
      </w:tr>
      <w:tr w:rsidR="00227AC9" w:rsidRPr="00915610" w:rsidTr="00915610">
        <w:trPr>
          <w:jc w:val="center"/>
        </w:trPr>
        <w:tc>
          <w:tcPr>
            <w:tcW w:w="198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B2</w:t>
            </w:r>
          </w:p>
        </w:tc>
        <w:tc>
          <w:tcPr>
            <w:tcW w:w="1843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1 710−1 785</w:t>
            </w:r>
          </w:p>
        </w:tc>
        <w:tc>
          <w:tcPr>
            <w:tcW w:w="127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20</w:t>
            </w:r>
          </w:p>
        </w:tc>
        <w:tc>
          <w:tcPr>
            <w:tcW w:w="1560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1 805−1 880</w:t>
            </w:r>
          </w:p>
        </w:tc>
        <w:tc>
          <w:tcPr>
            <w:tcW w:w="1134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95</w:t>
            </w:r>
          </w:p>
        </w:tc>
        <w:tc>
          <w:tcPr>
            <w:tcW w:w="1842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 xml:space="preserve">Не имеется </w:t>
            </w:r>
          </w:p>
        </w:tc>
      </w:tr>
      <w:tr w:rsidR="00227AC9" w:rsidRPr="00915610" w:rsidTr="00915610">
        <w:trPr>
          <w:jc w:val="center"/>
        </w:trPr>
        <w:tc>
          <w:tcPr>
            <w:tcW w:w="198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B3</w:t>
            </w:r>
          </w:p>
        </w:tc>
        <w:tc>
          <w:tcPr>
            <w:tcW w:w="1843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1 850−1 910</w:t>
            </w:r>
          </w:p>
        </w:tc>
        <w:tc>
          <w:tcPr>
            <w:tcW w:w="127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20</w:t>
            </w:r>
          </w:p>
        </w:tc>
        <w:tc>
          <w:tcPr>
            <w:tcW w:w="1560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1 930−1 990</w:t>
            </w:r>
          </w:p>
        </w:tc>
        <w:tc>
          <w:tcPr>
            <w:tcW w:w="1134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80</w:t>
            </w:r>
          </w:p>
        </w:tc>
        <w:tc>
          <w:tcPr>
            <w:tcW w:w="1842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1 910−1 930</w:t>
            </w:r>
          </w:p>
        </w:tc>
      </w:tr>
      <w:tr w:rsidR="00227AC9" w:rsidRPr="00915610" w:rsidTr="00915610">
        <w:trPr>
          <w:jc w:val="center"/>
        </w:trPr>
        <w:tc>
          <w:tcPr>
            <w:tcW w:w="198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B4 (согласованный с B1 и B2)</w:t>
            </w:r>
          </w:p>
        </w:tc>
        <w:tc>
          <w:tcPr>
            <w:tcW w:w="1843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1 710−1 785</w:t>
            </w:r>
            <w:r w:rsidRPr="00915610">
              <w:rPr>
                <w:lang w:val="ru-RU"/>
              </w:rPr>
              <w:br/>
              <w:t>1 920−1 980</w:t>
            </w:r>
          </w:p>
        </w:tc>
        <w:tc>
          <w:tcPr>
            <w:tcW w:w="127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20</w:t>
            </w:r>
            <w:r w:rsidRPr="00915610">
              <w:rPr>
                <w:lang w:val="ru-RU"/>
              </w:rPr>
              <w:br/>
              <w:t>130</w:t>
            </w:r>
          </w:p>
        </w:tc>
        <w:tc>
          <w:tcPr>
            <w:tcW w:w="1560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1 805−1 880</w:t>
            </w:r>
            <w:r w:rsidRPr="00915610">
              <w:rPr>
                <w:lang w:val="ru-RU"/>
              </w:rPr>
              <w:br/>
              <w:t>2 110−2 170</w:t>
            </w:r>
          </w:p>
        </w:tc>
        <w:tc>
          <w:tcPr>
            <w:tcW w:w="1134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95</w:t>
            </w:r>
            <w:r w:rsidRPr="00915610">
              <w:rPr>
                <w:lang w:val="ru-RU"/>
              </w:rPr>
              <w:br/>
              <w:t>190</w:t>
            </w:r>
          </w:p>
        </w:tc>
        <w:tc>
          <w:tcPr>
            <w:tcW w:w="1842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1 880−1 920;</w:t>
            </w:r>
            <w:r w:rsidRPr="00915610">
              <w:rPr>
                <w:lang w:val="ru-RU"/>
              </w:rPr>
              <w:br/>
              <w:t>2 010−2 025</w:t>
            </w:r>
          </w:p>
        </w:tc>
      </w:tr>
      <w:tr w:rsidR="00227AC9" w:rsidRPr="00915610" w:rsidTr="00915610">
        <w:trPr>
          <w:jc w:val="center"/>
        </w:trPr>
        <w:tc>
          <w:tcPr>
            <w:tcW w:w="198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B5 (согласованный с B3 и частями B1 и B2)</w:t>
            </w:r>
          </w:p>
        </w:tc>
        <w:tc>
          <w:tcPr>
            <w:tcW w:w="1843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1 850−1 910</w:t>
            </w:r>
            <w:r w:rsidRPr="00915610">
              <w:rPr>
                <w:lang w:val="ru-RU"/>
              </w:rPr>
              <w:br/>
              <w:t>1 710−1 770</w:t>
            </w:r>
          </w:p>
        </w:tc>
        <w:tc>
          <w:tcPr>
            <w:tcW w:w="1275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20</w:t>
            </w:r>
            <w:r w:rsidRPr="00915610">
              <w:rPr>
                <w:lang w:val="ru-RU"/>
              </w:rPr>
              <w:br/>
              <w:t>340</w:t>
            </w:r>
          </w:p>
        </w:tc>
        <w:tc>
          <w:tcPr>
            <w:tcW w:w="1560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1 930−1 990</w:t>
            </w:r>
            <w:r w:rsidRPr="00915610">
              <w:rPr>
                <w:lang w:val="ru-RU"/>
              </w:rPr>
              <w:br/>
              <w:t>2 110−2 170</w:t>
            </w:r>
          </w:p>
        </w:tc>
        <w:tc>
          <w:tcPr>
            <w:tcW w:w="1134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80</w:t>
            </w:r>
            <w:r w:rsidRPr="00915610">
              <w:rPr>
                <w:lang w:val="ru-RU"/>
              </w:rPr>
              <w:br/>
              <w:t>400</w:t>
            </w:r>
          </w:p>
        </w:tc>
        <w:tc>
          <w:tcPr>
            <w:tcW w:w="1842" w:type="dxa"/>
          </w:tcPr>
          <w:p w:rsidR="00227AC9" w:rsidRPr="00915610" w:rsidRDefault="00227AC9" w:rsidP="002177AA">
            <w:pPr>
              <w:pStyle w:val="Tabletext"/>
              <w:jc w:val="center"/>
              <w:rPr>
                <w:lang w:val="ru-RU"/>
              </w:rPr>
            </w:pPr>
            <w:r w:rsidRPr="00915610">
              <w:rPr>
                <w:lang w:val="ru-RU"/>
              </w:rPr>
              <w:t>1 910−1 930</w:t>
            </w:r>
          </w:p>
        </w:tc>
      </w:tr>
    </w:tbl>
    <w:p w:rsidR="00227AC9" w:rsidRPr="00915610" w:rsidRDefault="00227AC9" w:rsidP="00915610">
      <w:pPr>
        <w:pStyle w:val="Tablelegend"/>
        <w:rPr>
          <w:lang w:val="ru-RU"/>
        </w:rPr>
      </w:pPr>
      <w:r w:rsidRPr="00915610">
        <w:rPr>
          <w:i/>
          <w:iCs/>
          <w:lang w:val="ru-RU"/>
        </w:rPr>
        <w:t>Примечания к таблице 4</w:t>
      </w:r>
      <w:r w:rsidRPr="00915610">
        <w:rPr>
          <w:lang w:val="ru-RU"/>
        </w:rPr>
        <w:t>:</w:t>
      </w:r>
    </w:p>
    <w:p w:rsidR="00227AC9" w:rsidRPr="00915610" w:rsidRDefault="00227AC9" w:rsidP="00915610">
      <w:pPr>
        <w:pStyle w:val="Tablelegend"/>
        <w:rPr>
          <w:lang w:val="ru-RU"/>
        </w:rPr>
      </w:pPr>
      <w:r w:rsidRPr="00915610">
        <w:rPr>
          <w:lang w:val="ru-RU"/>
        </w:rPr>
        <w:t xml:space="preserve">ПРИМЕЧАНИЕ 1. – В полосах частот 1710−2025 МГц и 2110−2200 МГц три базовых плана размещения частот (B1, B2 и B3) уже используются в сотовых системах подвижной связи общего пользования, включая IMT. На основании этих трех </w:t>
      </w:r>
      <w:r w:rsidRPr="00915610">
        <w:rPr>
          <w:lang w:val="ru-RU"/>
        </w:rPr>
        <w:lastRenderedPageBreak/>
        <w:t xml:space="preserve">планов размещения частот рекомендуются различные их комбинации, описанные в B4 и B5. План B1 и план B2 являются полностью взаимодополняющими, тогда как план B3 частично пересекается с планами B1 и B2. </w:t>
      </w:r>
    </w:p>
    <w:p w:rsidR="00227AC9" w:rsidRPr="00915610" w:rsidRDefault="00227AC9" w:rsidP="00915610">
      <w:pPr>
        <w:pStyle w:val="Tablelegend"/>
        <w:rPr>
          <w:lang w:val="ru-RU"/>
        </w:rPr>
      </w:pPr>
      <w:r w:rsidRPr="00915610">
        <w:rPr>
          <w:lang w:val="ru-RU"/>
        </w:rPr>
        <w:t>Для администраций, внедривших план B1, план B4 обеспечивает возможность оптимизации использования спектра для работы в парных полосах IMT.</w:t>
      </w:r>
    </w:p>
    <w:p w:rsidR="00227AC9" w:rsidRPr="00915610" w:rsidRDefault="00227AC9" w:rsidP="00915610">
      <w:pPr>
        <w:pStyle w:val="Tablelegend"/>
        <w:rPr>
          <w:lang w:val="ru-RU"/>
        </w:rPr>
      </w:pPr>
      <w:r w:rsidRPr="00915610">
        <w:rPr>
          <w:lang w:val="ru-RU"/>
        </w:rPr>
        <w:t>Для администраций, внедривших план B3, план B1 может быть объединен с планом B2. Следовательно, для оптимизации использования спектра рекомендуется использовать план В5:</w:t>
      </w:r>
    </w:p>
    <w:p w:rsidR="00227AC9" w:rsidRPr="00915610" w:rsidRDefault="00227AC9" w:rsidP="00915610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</w:tabs>
        <w:ind w:left="567" w:hanging="567"/>
        <w:rPr>
          <w:lang w:val="ru-RU"/>
        </w:rPr>
      </w:pPr>
      <w:r w:rsidRPr="00915610">
        <w:rPr>
          <w:lang w:val="ru-RU"/>
        </w:rPr>
        <w:t>–</w:t>
      </w:r>
      <w:r w:rsidRPr="00915610">
        <w:rPr>
          <w:lang w:val="ru-RU"/>
        </w:rPr>
        <w:tab/>
        <w:t>План B5 позволяет добиться максимального использования спектра для IMT в тех администрациях, где внедрен план B3 и где полоса 1770–1850 МГц не доступна на первоначальном этапе развертывания IMT в этой полосе частот.</w:t>
      </w:r>
    </w:p>
    <w:p w:rsidR="00227AC9" w:rsidRPr="00915610" w:rsidRDefault="00227AC9" w:rsidP="00915610">
      <w:pPr>
        <w:pStyle w:val="Tablelegend"/>
        <w:rPr>
          <w:lang w:val="ru-RU"/>
        </w:rPr>
      </w:pPr>
      <w:r w:rsidRPr="00915610">
        <w:rPr>
          <w:lang w:val="ru-RU"/>
        </w:rPr>
        <w:t>ПРИМЕЧАНИЕ 2. – TDD может использоваться в непарных полосах, а также, при определенных условиях, в полосах линии вверх парных планов размещения частот и/или в центральном просвете между парными полосами.</w:t>
      </w:r>
    </w:p>
    <w:p w:rsidR="00227AC9" w:rsidRPr="00915610" w:rsidRDefault="00227AC9" w:rsidP="00915610">
      <w:pPr>
        <w:pStyle w:val="Tablelegend"/>
        <w:rPr>
          <w:lang w:val="ru-RU"/>
        </w:rPr>
      </w:pPr>
      <w:r w:rsidRPr="00915610">
        <w:rPr>
          <w:lang w:val="ru-RU"/>
        </w:rPr>
        <w:t xml:space="preserve">ПРИМЕЧАНИЕ 3. – Если в терминалах используется технология, позволяющая иметь возможность выбора/смены технологии дуплексного разноса в качестве наиболее эффективного способа управления использованием различных планов размещения частот, тот факт, что соседние администрации могут выбрать план B5, никак не скажется на сложности терминала. Требуются дальнейшие исследования. </w:t>
      </w:r>
    </w:p>
    <w:p w:rsidR="00242DAD" w:rsidRPr="00915610" w:rsidRDefault="00242DAD" w:rsidP="00242DAD">
      <w:pPr>
        <w:pStyle w:val="FigureNo"/>
        <w:rPr>
          <w:caps w:val="0"/>
          <w:lang w:val="ru-RU"/>
        </w:rPr>
      </w:pPr>
      <w:r w:rsidRPr="00915610">
        <w:rPr>
          <w:lang w:val="ru-RU"/>
        </w:rPr>
        <w:t xml:space="preserve">РИСУНОК 4 </w:t>
      </w:r>
      <w:r w:rsidRPr="00915610">
        <w:rPr>
          <w:lang w:val="ru-RU"/>
        </w:rPr>
        <w:br/>
      </w:r>
      <w:r w:rsidRPr="00915610">
        <w:rPr>
          <w:caps w:val="0"/>
          <w:lang w:val="ru-RU"/>
        </w:rPr>
        <w:t>(См. Примечания к таблице 4)</w:t>
      </w:r>
    </w:p>
    <w:p w:rsidR="00242DAD" w:rsidRPr="00915610" w:rsidRDefault="00242DAD" w:rsidP="00915610">
      <w:pPr>
        <w:jc w:val="center"/>
        <w:rPr>
          <w:lang w:val="ru-RU"/>
        </w:rPr>
      </w:pPr>
      <w:r w:rsidRPr="00915610">
        <w:rPr>
          <w:lang w:val="ru-RU"/>
        </w:rPr>
        <w:object w:dxaOrig="6946" w:dyaOrig="4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272.5pt" o:ole="">
            <v:imagedata r:id="rId11" o:title=""/>
          </v:shape>
          <o:OLEObject Type="Embed" ProgID="CorelDRAW.Graphic.14" ShapeID="_x0000_i1025" DrawAspect="Content" ObjectID="_1506169928" r:id="rId12"/>
        </w:object>
      </w:r>
    </w:p>
    <w:p w:rsidR="00E22F65" w:rsidRPr="00915610" w:rsidRDefault="00E22F65" w:rsidP="00915610">
      <w:pPr>
        <w:pStyle w:val="Normalaftertitle"/>
        <w:rPr>
          <w:bCs/>
          <w:szCs w:val="24"/>
          <w:lang w:val="ru-RU"/>
        </w:rPr>
      </w:pPr>
      <w:r w:rsidRPr="00915610">
        <w:rPr>
          <w:lang w:val="ru-RU"/>
        </w:rPr>
        <w:t>[</w:t>
      </w:r>
      <w:r w:rsidRPr="00915610">
        <w:rPr>
          <w:i/>
          <w:lang w:val="ru-RU"/>
        </w:rPr>
        <w:t>Примечание редактора</w:t>
      </w:r>
      <w:r w:rsidR="00915610" w:rsidRPr="00915610">
        <w:rPr>
          <w:i/>
          <w:lang w:val="ru-RU"/>
        </w:rPr>
        <w:t>. −</w:t>
      </w:r>
      <w:r w:rsidRPr="00915610">
        <w:rPr>
          <w:i/>
          <w:lang w:val="ru-RU"/>
        </w:rPr>
        <w:t xml:space="preserve"> Изменение последующих разделов проекта пересмотра Рекомендации МСЭ-R M.1036-4 не </w:t>
      </w:r>
      <w:r w:rsidRPr="00915610">
        <w:rPr>
          <w:i/>
          <w:iCs/>
          <w:lang w:val="ru-RU"/>
        </w:rPr>
        <w:t>предлагается</w:t>
      </w:r>
      <w:r w:rsidRPr="00915610">
        <w:rPr>
          <w:i/>
          <w:lang w:val="ru-RU"/>
        </w:rPr>
        <w:t>.</w:t>
      </w:r>
      <w:r w:rsidRPr="00915610">
        <w:rPr>
          <w:bCs/>
          <w:szCs w:val="24"/>
          <w:lang w:val="ru-RU"/>
        </w:rPr>
        <w:t>]</w:t>
      </w:r>
    </w:p>
    <w:p w:rsidR="00E22F65" w:rsidRDefault="00E22F65" w:rsidP="00915610">
      <w:pPr>
        <w:rPr>
          <w:lang w:val="ru-RU"/>
        </w:rPr>
      </w:pPr>
      <w:r w:rsidRPr="00915610">
        <w:rPr>
          <w:lang w:val="ru-RU"/>
        </w:rPr>
        <w:t>…</w:t>
      </w:r>
    </w:p>
    <w:p w:rsidR="00E33C55" w:rsidRPr="00915610" w:rsidRDefault="00E33C55" w:rsidP="00E33C55">
      <w:pPr>
        <w:pStyle w:val="Reasons"/>
        <w:rPr>
          <w:lang w:val="ru-RU"/>
        </w:rPr>
      </w:pPr>
    </w:p>
    <w:p w:rsidR="00F105EB" w:rsidRPr="00915610" w:rsidRDefault="00F105EB" w:rsidP="00915610">
      <w:pPr>
        <w:spacing w:before="480"/>
        <w:jc w:val="center"/>
        <w:rPr>
          <w:bCs/>
          <w:szCs w:val="24"/>
          <w:lang w:val="ru-RU"/>
        </w:rPr>
      </w:pPr>
      <w:bookmarkStart w:id="11" w:name="_GoBack"/>
      <w:bookmarkEnd w:id="11"/>
      <w:r w:rsidRPr="00915610">
        <w:rPr>
          <w:lang w:val="ru-RU"/>
        </w:rPr>
        <w:t>______________</w:t>
      </w:r>
    </w:p>
    <w:sectPr w:rsidR="00F105EB" w:rsidRPr="00915610" w:rsidSect="009447A3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35" w:rsidRDefault="00037635">
      <w:r>
        <w:separator/>
      </w:r>
    </w:p>
  </w:endnote>
  <w:endnote w:type="continuationSeparator" w:id="0">
    <w:p w:rsidR="00037635" w:rsidRDefault="0003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D94A78">
      <w:rPr>
        <w:noProof/>
        <w:lang w:val="fr-FR"/>
      </w:rPr>
      <w:t>P:\RUS\ITU-R\CONF-R\AR15\PLEN\000\021ADD01R.docx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4A78">
      <w:rPr>
        <w:noProof/>
      </w:rPr>
      <w:t>12.10.15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94A78">
      <w:rPr>
        <w:noProof/>
      </w:rPr>
      <w:t>12.10.15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EE146A" w:rsidRDefault="00F52FFE" w:rsidP="00F36624">
    <w:pPr>
      <w:pStyle w:val="Footer"/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D94A78">
      <w:rPr>
        <w:lang w:val="fr-FR"/>
      </w:rPr>
      <w:t>P:\RUS\ITU-R\CONF-R\AR15\PLEN\000\021ADD01R.docx</w:t>
    </w:r>
    <w:r>
      <w:fldChar w:fldCharType="end"/>
    </w:r>
    <w:r w:rsidR="009A2D91">
      <w:rPr>
        <w:lang w:val="ru-RU"/>
      </w:rPr>
      <w:t xml:space="preserve"> (387943)</w:t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4A78">
      <w:t>12.10.15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94A78">
      <w:t>12.10.15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6A" w:rsidRPr="009A2D91" w:rsidRDefault="009A2D91" w:rsidP="009A2D91">
    <w:pPr>
      <w:pStyle w:val="Footer"/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D94A78">
      <w:rPr>
        <w:lang w:val="fr-FR"/>
      </w:rPr>
      <w:t>P:\RUS\ITU-R\CONF-R\AR15\PLEN\000\021ADD01R.docx</w:t>
    </w:r>
    <w:r>
      <w:fldChar w:fldCharType="end"/>
    </w:r>
    <w:r>
      <w:rPr>
        <w:lang w:val="ru-RU"/>
      </w:rPr>
      <w:t xml:space="preserve"> (387943)</w:t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4A78">
      <w:t>12.10.15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94A78">
      <w:t>12.10.15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35" w:rsidRDefault="00037635">
      <w:r>
        <w:rPr>
          <w:b/>
        </w:rPr>
        <w:t>_______________</w:t>
      </w:r>
    </w:p>
  </w:footnote>
  <w:footnote w:type="continuationSeparator" w:id="0">
    <w:p w:rsidR="00037635" w:rsidRDefault="00037635">
      <w:r>
        <w:continuationSeparator/>
      </w:r>
    </w:p>
  </w:footnote>
  <w:footnote w:id="1">
    <w:p w:rsidR="00227AC9" w:rsidRPr="00EA2ED4" w:rsidRDefault="00227AC9" w:rsidP="00915610">
      <w:pPr>
        <w:pStyle w:val="FootnoteText"/>
        <w:rPr>
          <w:lang w:val="ru-RU"/>
        </w:rPr>
      </w:pPr>
      <w:r w:rsidRPr="001232DF">
        <w:rPr>
          <w:rStyle w:val="FootnoteReference"/>
        </w:rPr>
        <w:footnoteRef/>
      </w:r>
      <w:r w:rsidRPr="00EA2ED4">
        <w:rPr>
          <w:lang w:val="ru-RU"/>
        </w:rPr>
        <w:tab/>
      </w:r>
      <w:r w:rsidRPr="00DA68CB">
        <w:rPr>
          <w:lang w:val="ru-RU"/>
        </w:rPr>
        <w:t>Полоса</w:t>
      </w:r>
      <w:r w:rsidRPr="00EA2ED4">
        <w:rPr>
          <w:lang w:val="ru-RU"/>
        </w:rPr>
        <w:t xml:space="preserve"> 2025−2110</w:t>
      </w:r>
      <w:r w:rsidRPr="00691669">
        <w:rPr>
          <w:lang w:val="en-US"/>
        </w:rPr>
        <w:t> </w:t>
      </w:r>
      <w:r>
        <w:rPr>
          <w:lang w:val="ru-RU"/>
        </w:rPr>
        <w:t>МГц</w:t>
      </w:r>
      <w:r w:rsidRPr="00EA2ED4">
        <w:rPr>
          <w:lang w:val="ru-RU"/>
        </w:rPr>
        <w:t xml:space="preserve"> </w:t>
      </w:r>
      <w:r w:rsidRPr="00CF78F8">
        <w:rPr>
          <w:lang w:val="ru-RU"/>
        </w:rPr>
        <w:t>не</w:t>
      </w:r>
      <w:r>
        <w:rPr>
          <w:lang w:val="ru-RU"/>
        </w:rPr>
        <w:t xml:space="preserve"> является частью этого плана размещения частот.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D94A78">
      <w:rPr>
        <w:noProof/>
        <w:lang w:val="en-US"/>
      </w:rPr>
      <w:t>2</w:t>
    </w:r>
    <w:r>
      <w:rPr>
        <w:lang w:val="en-US"/>
      </w:rPr>
      <w:fldChar w:fldCharType="end"/>
    </w:r>
  </w:p>
  <w:p w:rsidR="00F52FFE" w:rsidRPr="009447A3" w:rsidRDefault="00EE146A" w:rsidP="00F105EB">
    <w:pPr>
      <w:pStyle w:val="Header"/>
      <w:rPr>
        <w:lang w:val="en-US"/>
      </w:rPr>
    </w:pPr>
    <w:r>
      <w:rPr>
        <w:lang w:val="en-US"/>
      </w:rPr>
      <w:t>RA</w:t>
    </w:r>
    <w:r w:rsidR="00F36624">
      <w:rPr>
        <w:lang w:val="en-US"/>
      </w:rPr>
      <w:t>1</w:t>
    </w:r>
    <w:r w:rsidR="00F80DF5">
      <w:rPr>
        <w:lang w:val="en-US"/>
      </w:rPr>
      <w:t>5</w:t>
    </w:r>
    <w:r>
      <w:rPr>
        <w:lang w:val="en-US"/>
      </w:rPr>
      <w:t>/</w:t>
    </w:r>
    <w:r w:rsidR="00F105EB">
      <w:rPr>
        <w:lang w:val="en-US"/>
      </w:rPr>
      <w:t>PLEN/21(Add.1)</w:t>
    </w:r>
    <w:r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intFractionalCharacterWidth/>
  <w:hideGrammatical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8C"/>
    <w:rsid w:val="00037635"/>
    <w:rsid w:val="0007259F"/>
    <w:rsid w:val="001355A1"/>
    <w:rsid w:val="00150CF5"/>
    <w:rsid w:val="001B225D"/>
    <w:rsid w:val="00213F8F"/>
    <w:rsid w:val="00227AC9"/>
    <w:rsid w:val="00242DAD"/>
    <w:rsid w:val="00334192"/>
    <w:rsid w:val="0048405B"/>
    <w:rsid w:val="004844C1"/>
    <w:rsid w:val="004C3010"/>
    <w:rsid w:val="00541AC7"/>
    <w:rsid w:val="00564B8C"/>
    <w:rsid w:val="006240AC"/>
    <w:rsid w:val="00645B0F"/>
    <w:rsid w:val="00652021"/>
    <w:rsid w:val="00700190"/>
    <w:rsid w:val="00703FFC"/>
    <w:rsid w:val="0071246B"/>
    <w:rsid w:val="00713989"/>
    <w:rsid w:val="00756B1C"/>
    <w:rsid w:val="00845350"/>
    <w:rsid w:val="008B1239"/>
    <w:rsid w:val="00915610"/>
    <w:rsid w:val="00943EBD"/>
    <w:rsid w:val="009447A3"/>
    <w:rsid w:val="009A2D91"/>
    <w:rsid w:val="009A48D8"/>
    <w:rsid w:val="009C39C7"/>
    <w:rsid w:val="00A05CE9"/>
    <w:rsid w:val="00A61924"/>
    <w:rsid w:val="00AD4505"/>
    <w:rsid w:val="00B21C11"/>
    <w:rsid w:val="00B6521C"/>
    <w:rsid w:val="00BE5003"/>
    <w:rsid w:val="00C52226"/>
    <w:rsid w:val="00D35AF0"/>
    <w:rsid w:val="00D471A9"/>
    <w:rsid w:val="00D94A78"/>
    <w:rsid w:val="00DA68CB"/>
    <w:rsid w:val="00E22F65"/>
    <w:rsid w:val="00E33C55"/>
    <w:rsid w:val="00EE146A"/>
    <w:rsid w:val="00EE7B72"/>
    <w:rsid w:val="00F105EB"/>
    <w:rsid w:val="00F36624"/>
    <w:rsid w:val="00F451F5"/>
    <w:rsid w:val="00F52FFE"/>
    <w:rsid w:val="00F80DF5"/>
    <w:rsid w:val="00F9578C"/>
    <w:rsid w:val="00FB4E6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29BE0D2F-6ED9-4506-BE45-4127854D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D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9A2D91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9A2D91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9A2D91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9A2D91"/>
    <w:pPr>
      <w:outlineLvl w:val="3"/>
    </w:pPr>
  </w:style>
  <w:style w:type="paragraph" w:styleId="Heading5">
    <w:name w:val="heading 5"/>
    <w:basedOn w:val="Heading4"/>
    <w:next w:val="Normal"/>
    <w:qFormat/>
    <w:rsid w:val="009A2D91"/>
    <w:pPr>
      <w:outlineLvl w:val="4"/>
    </w:pPr>
  </w:style>
  <w:style w:type="paragraph" w:styleId="Heading6">
    <w:name w:val="heading 6"/>
    <w:basedOn w:val="Heading4"/>
    <w:next w:val="Normal"/>
    <w:qFormat/>
    <w:rsid w:val="009A2D91"/>
    <w:pPr>
      <w:outlineLvl w:val="5"/>
    </w:pPr>
  </w:style>
  <w:style w:type="paragraph" w:styleId="Heading7">
    <w:name w:val="heading 7"/>
    <w:basedOn w:val="Heading6"/>
    <w:next w:val="Normal"/>
    <w:qFormat/>
    <w:rsid w:val="009A2D91"/>
    <w:pPr>
      <w:outlineLvl w:val="6"/>
    </w:pPr>
  </w:style>
  <w:style w:type="paragraph" w:styleId="Heading8">
    <w:name w:val="heading 8"/>
    <w:basedOn w:val="Heading6"/>
    <w:next w:val="Normal"/>
    <w:qFormat/>
    <w:rsid w:val="009A2D91"/>
    <w:pPr>
      <w:outlineLvl w:val="7"/>
    </w:pPr>
  </w:style>
  <w:style w:type="paragraph" w:styleId="Heading9">
    <w:name w:val="heading 9"/>
    <w:basedOn w:val="Heading6"/>
    <w:next w:val="Normal"/>
    <w:qFormat/>
    <w:rsid w:val="009A2D9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A2D91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9A2D91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A2D91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A2D9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A2D91"/>
  </w:style>
  <w:style w:type="paragraph" w:customStyle="1" w:styleId="AppendixNo">
    <w:name w:val="Appendix_No"/>
    <w:basedOn w:val="AnnexNo"/>
    <w:next w:val="Annexref"/>
    <w:rsid w:val="009A2D91"/>
  </w:style>
  <w:style w:type="paragraph" w:customStyle="1" w:styleId="Appendixref">
    <w:name w:val="Appendix_ref"/>
    <w:basedOn w:val="Annexref"/>
    <w:next w:val="Annextitle"/>
    <w:rsid w:val="009A2D91"/>
  </w:style>
  <w:style w:type="paragraph" w:customStyle="1" w:styleId="Appendixtitle">
    <w:name w:val="Appendix_title"/>
    <w:basedOn w:val="Annextitle"/>
    <w:next w:val="Normal"/>
    <w:rsid w:val="009A2D91"/>
  </w:style>
  <w:style w:type="character" w:customStyle="1" w:styleId="Artdef">
    <w:name w:val="Art_def"/>
    <w:basedOn w:val="DefaultParagraphFont"/>
    <w:rsid w:val="009A2D91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A2D91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9A2D91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9A2D91"/>
  </w:style>
  <w:style w:type="paragraph" w:customStyle="1" w:styleId="Arttitle">
    <w:name w:val="Art_title"/>
    <w:basedOn w:val="Normal"/>
    <w:next w:val="Normal"/>
    <w:rsid w:val="009A2D91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9A2D9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9A2D9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D91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9A2D91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9A2D91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9A2D9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9A2D9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A2D9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A2D91"/>
    <w:rPr>
      <w:b/>
    </w:rPr>
  </w:style>
  <w:style w:type="paragraph" w:customStyle="1" w:styleId="Chaptitle">
    <w:name w:val="Chap_title"/>
    <w:basedOn w:val="Arttitle"/>
    <w:next w:val="Normal"/>
    <w:rsid w:val="009A2D91"/>
  </w:style>
  <w:style w:type="character" w:styleId="EndnoteReference">
    <w:name w:val="endnote reference"/>
    <w:basedOn w:val="DefaultParagraphFont"/>
    <w:rsid w:val="009A2D91"/>
    <w:rPr>
      <w:vertAlign w:val="superscript"/>
    </w:rPr>
  </w:style>
  <w:style w:type="paragraph" w:customStyle="1" w:styleId="enumlev1">
    <w:name w:val="enumlev1"/>
    <w:basedOn w:val="Normal"/>
    <w:rsid w:val="009A2D9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A2D91"/>
    <w:pPr>
      <w:ind w:left="1871" w:hanging="737"/>
    </w:pPr>
  </w:style>
  <w:style w:type="paragraph" w:customStyle="1" w:styleId="enumlev3">
    <w:name w:val="enumlev3"/>
    <w:basedOn w:val="enumlev2"/>
    <w:rsid w:val="009A2D91"/>
    <w:pPr>
      <w:ind w:left="2268" w:hanging="397"/>
    </w:pPr>
  </w:style>
  <w:style w:type="paragraph" w:customStyle="1" w:styleId="Equation">
    <w:name w:val="Equation"/>
    <w:basedOn w:val="Normal"/>
    <w:rsid w:val="009A2D9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A2D91"/>
    <w:pPr>
      <w:ind w:left="1134"/>
    </w:pPr>
  </w:style>
  <w:style w:type="paragraph" w:customStyle="1" w:styleId="Equationlegend">
    <w:name w:val="Equation_legend"/>
    <w:basedOn w:val="NormalIndent"/>
    <w:rsid w:val="009A2D9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A2D91"/>
    <w:pPr>
      <w:keepNext/>
      <w:keepLines/>
      <w:jc w:val="center"/>
    </w:pPr>
  </w:style>
  <w:style w:type="paragraph" w:customStyle="1" w:styleId="Figurelegend">
    <w:name w:val="Figure_legend"/>
    <w:basedOn w:val="Normal"/>
    <w:rsid w:val="009A2D9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A2D91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9A2D91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9A2D91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A2D91"/>
    <w:pPr>
      <w:keepNext w:val="0"/>
    </w:pPr>
  </w:style>
  <w:style w:type="paragraph" w:styleId="Footer">
    <w:name w:val="footer"/>
    <w:basedOn w:val="Normal"/>
    <w:link w:val="FooterChar"/>
    <w:rsid w:val="009A2D9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A2D91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A2D9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basedOn w:val="DefaultParagraphFont"/>
    <w:rsid w:val="009A2D91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9A2D91"/>
    <w:pPr>
      <w:keepLines/>
      <w:tabs>
        <w:tab w:val="left" w:pos="284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9A2D91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9A2D91"/>
    <w:rPr>
      <w:b w:val="0"/>
    </w:rPr>
  </w:style>
  <w:style w:type="paragraph" w:styleId="Header">
    <w:name w:val="header"/>
    <w:basedOn w:val="Normal"/>
    <w:link w:val="HeaderChar"/>
    <w:rsid w:val="009A2D9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A2D91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9A2D9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A2D91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A2D91"/>
  </w:style>
  <w:style w:type="paragraph" w:styleId="Index2">
    <w:name w:val="index 2"/>
    <w:basedOn w:val="Normal"/>
    <w:next w:val="Normal"/>
    <w:rsid w:val="009A2D91"/>
    <w:pPr>
      <w:ind w:left="283"/>
    </w:pPr>
  </w:style>
  <w:style w:type="paragraph" w:styleId="Index3">
    <w:name w:val="index 3"/>
    <w:basedOn w:val="Normal"/>
    <w:next w:val="Normal"/>
    <w:rsid w:val="009A2D91"/>
    <w:pPr>
      <w:ind w:left="566"/>
    </w:pPr>
  </w:style>
  <w:style w:type="paragraph" w:styleId="Index4">
    <w:name w:val="index 4"/>
    <w:basedOn w:val="Normal"/>
    <w:next w:val="Normal"/>
    <w:rsid w:val="009A2D91"/>
    <w:pPr>
      <w:ind w:left="849"/>
    </w:pPr>
  </w:style>
  <w:style w:type="paragraph" w:styleId="Index5">
    <w:name w:val="index 5"/>
    <w:basedOn w:val="Normal"/>
    <w:next w:val="Normal"/>
    <w:rsid w:val="009A2D91"/>
    <w:pPr>
      <w:ind w:left="1132"/>
    </w:pPr>
  </w:style>
  <w:style w:type="paragraph" w:styleId="Index6">
    <w:name w:val="index 6"/>
    <w:basedOn w:val="Normal"/>
    <w:next w:val="Normal"/>
    <w:rsid w:val="009A2D91"/>
    <w:pPr>
      <w:ind w:left="1415"/>
    </w:pPr>
  </w:style>
  <w:style w:type="paragraph" w:styleId="Index7">
    <w:name w:val="index 7"/>
    <w:basedOn w:val="Normal"/>
    <w:next w:val="Normal"/>
    <w:rsid w:val="009A2D91"/>
    <w:pPr>
      <w:ind w:left="1698"/>
    </w:pPr>
  </w:style>
  <w:style w:type="paragraph" w:styleId="IndexHeading">
    <w:name w:val="index heading"/>
    <w:basedOn w:val="Normal"/>
    <w:next w:val="Index1"/>
    <w:rsid w:val="009A2D91"/>
  </w:style>
  <w:style w:type="character" w:styleId="LineNumber">
    <w:name w:val="line number"/>
    <w:basedOn w:val="DefaultParagraphFont"/>
    <w:rsid w:val="009A2D91"/>
  </w:style>
  <w:style w:type="paragraph" w:customStyle="1" w:styleId="Normalaftertitle">
    <w:name w:val="Normal after title"/>
    <w:basedOn w:val="Normal"/>
    <w:next w:val="Normal"/>
    <w:rsid w:val="009A2D91"/>
    <w:pPr>
      <w:spacing w:before="280"/>
    </w:pPr>
  </w:style>
  <w:style w:type="paragraph" w:customStyle="1" w:styleId="Normalaftertitle0">
    <w:name w:val="Normal_after_title"/>
    <w:basedOn w:val="Normal"/>
    <w:next w:val="Normal"/>
    <w:rsid w:val="009A2D91"/>
    <w:pPr>
      <w:spacing w:before="360"/>
    </w:pPr>
  </w:style>
  <w:style w:type="paragraph" w:customStyle="1" w:styleId="Note">
    <w:name w:val="Note"/>
    <w:basedOn w:val="Normal"/>
    <w:link w:val="NoteChar"/>
    <w:rsid w:val="009A2D91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A2D91"/>
  </w:style>
  <w:style w:type="paragraph" w:customStyle="1" w:styleId="PartNo">
    <w:name w:val="Part_No"/>
    <w:basedOn w:val="AnnexNo"/>
    <w:next w:val="Normal"/>
    <w:rsid w:val="009A2D91"/>
  </w:style>
  <w:style w:type="paragraph" w:styleId="TOC4">
    <w:name w:val="toc 4"/>
    <w:basedOn w:val="TOC3"/>
    <w:rsid w:val="009A2D91"/>
  </w:style>
  <w:style w:type="paragraph" w:styleId="TOC5">
    <w:name w:val="toc 5"/>
    <w:basedOn w:val="TOC4"/>
    <w:rsid w:val="009A2D91"/>
  </w:style>
  <w:style w:type="paragraph" w:styleId="TOC6">
    <w:name w:val="toc 6"/>
    <w:basedOn w:val="TOC4"/>
    <w:rsid w:val="009A2D91"/>
  </w:style>
  <w:style w:type="paragraph" w:styleId="TOC7">
    <w:name w:val="toc 7"/>
    <w:basedOn w:val="TOC4"/>
    <w:semiHidden/>
    <w:rsid w:val="009A2D91"/>
  </w:style>
  <w:style w:type="paragraph" w:styleId="TOC8">
    <w:name w:val="toc 8"/>
    <w:basedOn w:val="TOC4"/>
    <w:semiHidden/>
    <w:rsid w:val="009A2D91"/>
  </w:style>
  <w:style w:type="paragraph" w:customStyle="1" w:styleId="Partref">
    <w:name w:val="Part_ref"/>
    <w:basedOn w:val="Annexref"/>
    <w:next w:val="Normal"/>
    <w:rsid w:val="009A2D91"/>
  </w:style>
  <w:style w:type="paragraph" w:customStyle="1" w:styleId="Parttitle">
    <w:name w:val="Part_title"/>
    <w:basedOn w:val="Annextitle"/>
    <w:next w:val="Normalaftertitle"/>
    <w:rsid w:val="009A2D91"/>
  </w:style>
  <w:style w:type="paragraph" w:customStyle="1" w:styleId="Proposal">
    <w:name w:val="Proposal"/>
    <w:basedOn w:val="Normal"/>
    <w:next w:val="Normal"/>
    <w:rsid w:val="009A2D91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9A2D91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9A2D9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9A2D91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9A2D9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A2D91"/>
  </w:style>
  <w:style w:type="paragraph" w:customStyle="1" w:styleId="QuestionNo">
    <w:name w:val="Question_No"/>
    <w:basedOn w:val="RecNo"/>
    <w:next w:val="Normal"/>
    <w:rsid w:val="009A2D91"/>
  </w:style>
  <w:style w:type="paragraph" w:customStyle="1" w:styleId="Questionref">
    <w:name w:val="Question_ref"/>
    <w:basedOn w:val="Recref"/>
    <w:next w:val="Questiondate"/>
    <w:rsid w:val="009A2D91"/>
  </w:style>
  <w:style w:type="paragraph" w:customStyle="1" w:styleId="Questiontitle">
    <w:name w:val="Question_title"/>
    <w:basedOn w:val="Rectitle"/>
    <w:next w:val="Questionref"/>
    <w:rsid w:val="009A2D91"/>
  </w:style>
  <w:style w:type="paragraph" w:customStyle="1" w:styleId="Reasons">
    <w:name w:val="Reasons"/>
    <w:basedOn w:val="Normal"/>
    <w:rsid w:val="009A2D91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A2D91"/>
    <w:rPr>
      <w:b/>
    </w:rPr>
  </w:style>
  <w:style w:type="paragraph" w:customStyle="1" w:styleId="Reftext">
    <w:name w:val="Ref_text"/>
    <w:basedOn w:val="Normal"/>
    <w:rsid w:val="009A2D91"/>
    <w:pPr>
      <w:ind w:left="1134" w:hanging="1134"/>
    </w:pPr>
  </w:style>
  <w:style w:type="paragraph" w:customStyle="1" w:styleId="Reftitle">
    <w:name w:val="Ref_title"/>
    <w:basedOn w:val="Normal"/>
    <w:next w:val="Reftext"/>
    <w:rsid w:val="009A2D91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A2D91"/>
  </w:style>
  <w:style w:type="paragraph" w:customStyle="1" w:styleId="RepNo">
    <w:name w:val="Rep_No"/>
    <w:basedOn w:val="RecNo"/>
    <w:next w:val="Normal"/>
    <w:rsid w:val="009A2D91"/>
  </w:style>
  <w:style w:type="paragraph" w:customStyle="1" w:styleId="Repref">
    <w:name w:val="Rep_ref"/>
    <w:basedOn w:val="Recref"/>
    <w:next w:val="Repdate"/>
    <w:rsid w:val="009A2D91"/>
  </w:style>
  <w:style w:type="paragraph" w:customStyle="1" w:styleId="Reptitle">
    <w:name w:val="Rep_title"/>
    <w:basedOn w:val="Rectitle"/>
    <w:next w:val="Repref"/>
    <w:rsid w:val="009A2D91"/>
  </w:style>
  <w:style w:type="paragraph" w:customStyle="1" w:styleId="Resdate">
    <w:name w:val="Res_date"/>
    <w:basedOn w:val="Recdate"/>
    <w:next w:val="Normalaftertitle"/>
    <w:rsid w:val="009A2D91"/>
  </w:style>
  <w:style w:type="character" w:customStyle="1" w:styleId="Resdef">
    <w:name w:val="Res_def"/>
    <w:basedOn w:val="DefaultParagraphFont"/>
    <w:rsid w:val="009A2D91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A2D91"/>
  </w:style>
  <w:style w:type="paragraph" w:customStyle="1" w:styleId="Resref">
    <w:name w:val="Res_ref"/>
    <w:basedOn w:val="Recref"/>
    <w:next w:val="Resdate"/>
    <w:rsid w:val="009A2D91"/>
  </w:style>
  <w:style w:type="paragraph" w:customStyle="1" w:styleId="Restitle">
    <w:name w:val="Res_title"/>
    <w:basedOn w:val="Rectitle"/>
    <w:next w:val="Resref"/>
    <w:rsid w:val="009A2D91"/>
  </w:style>
  <w:style w:type="paragraph" w:customStyle="1" w:styleId="Section1">
    <w:name w:val="Section_1"/>
    <w:basedOn w:val="Normal"/>
    <w:rsid w:val="009A2D9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A2D91"/>
    <w:rPr>
      <w:b w:val="0"/>
      <w:i/>
    </w:rPr>
  </w:style>
  <w:style w:type="paragraph" w:customStyle="1" w:styleId="Section3">
    <w:name w:val="Section_3"/>
    <w:basedOn w:val="Section1"/>
    <w:rsid w:val="009A2D91"/>
    <w:rPr>
      <w:b w:val="0"/>
    </w:rPr>
  </w:style>
  <w:style w:type="paragraph" w:customStyle="1" w:styleId="SectionNo">
    <w:name w:val="Section_No"/>
    <w:basedOn w:val="AnnexNo"/>
    <w:next w:val="Normal"/>
    <w:rsid w:val="009A2D91"/>
  </w:style>
  <w:style w:type="paragraph" w:customStyle="1" w:styleId="Sectiontitle">
    <w:name w:val="Section_title"/>
    <w:basedOn w:val="Annextitle"/>
    <w:next w:val="Normalaftertitle"/>
    <w:rsid w:val="009A2D91"/>
  </w:style>
  <w:style w:type="paragraph" w:customStyle="1" w:styleId="Source">
    <w:name w:val="Source"/>
    <w:basedOn w:val="Normal"/>
    <w:next w:val="Normal"/>
    <w:rsid w:val="009A2D91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A2D9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9A2D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9A2D91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9A2D91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A2D91"/>
    <w:pPr>
      <w:spacing w:before="120"/>
    </w:pPr>
  </w:style>
  <w:style w:type="paragraph" w:customStyle="1" w:styleId="TableNo">
    <w:name w:val="Table_No"/>
    <w:basedOn w:val="Normal"/>
    <w:next w:val="Tabletitle"/>
    <w:link w:val="TableNo0"/>
    <w:rsid w:val="009A2D91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9A2D91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A2D9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9A2D91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9A2D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A2D9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A2D9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A2D91"/>
    <w:rPr>
      <w:b/>
    </w:rPr>
  </w:style>
  <w:style w:type="paragraph" w:customStyle="1" w:styleId="toc0">
    <w:name w:val="toc 0"/>
    <w:basedOn w:val="Normal"/>
    <w:next w:val="TOC1"/>
    <w:rsid w:val="009A2D9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A2D9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A2D91"/>
    <w:pPr>
      <w:spacing w:before="120"/>
    </w:pPr>
  </w:style>
  <w:style w:type="paragraph" w:styleId="TOC3">
    <w:name w:val="toc 3"/>
    <w:basedOn w:val="TOC2"/>
    <w:rsid w:val="009A2D91"/>
  </w:style>
  <w:style w:type="character" w:customStyle="1" w:styleId="href">
    <w:name w:val="href"/>
    <w:basedOn w:val="DefaultParagraphFont"/>
    <w:rsid w:val="00B21C11"/>
  </w:style>
  <w:style w:type="character" w:customStyle="1" w:styleId="RectitleChar">
    <w:name w:val="Rec_title Char"/>
    <w:basedOn w:val="DefaultParagraphFont"/>
    <w:link w:val="Rectitle"/>
    <w:locked/>
    <w:rsid w:val="00B21C11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TableNo0">
    <w:name w:val="Table_No Знак"/>
    <w:link w:val="TableNo"/>
    <w:locked/>
    <w:rsid w:val="00227AC9"/>
    <w:rPr>
      <w:rFonts w:ascii="Times New Roman" w:eastAsia="Times New Roman" w:hAnsi="Times New Roman"/>
      <w:caps/>
      <w:sz w:val="18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227AC9"/>
    <w:rPr>
      <w:rFonts w:ascii="Times New Roman" w:eastAsia="Times New Roman" w:hAnsi="Times New Roman"/>
      <w:sz w:val="22"/>
      <w:lang w:val="en-GB" w:eastAsia="en-US"/>
    </w:rPr>
  </w:style>
  <w:style w:type="character" w:customStyle="1" w:styleId="FigureNoChar">
    <w:name w:val="Figure_No Char"/>
    <w:basedOn w:val="DefaultParagraphFont"/>
    <w:link w:val="FigureNo"/>
    <w:locked/>
    <w:rsid w:val="00242DAD"/>
    <w:rPr>
      <w:rFonts w:ascii="Times New Roman" w:eastAsia="Times New Roman" w:hAnsi="Times New Roman"/>
      <w:caps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D47F78E4E10458D4E29250978E387" ma:contentTypeVersion="1" ma:contentTypeDescription="Create a new document." ma:contentTypeScope="" ma:versionID="96183b80447e636cc9fd3b82cab875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0f628a522287dae6cffdf536492cf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66702-1199-4CAE-86EE-6C8BAC3D9763}">
  <ds:schemaRefs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48A09D-DDDD-4666-A24E-25839729E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0EE60-7366-468A-A87F-C4283B4D8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PR_RA15.dotx</Template>
  <TotalTime>30</TotalTime>
  <Pages>4</Pages>
  <Words>1097</Words>
  <Characters>6794</Characters>
  <Application>Microsoft Office Word</Application>
  <DocSecurity>0</DocSecurity>
  <Lines>188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7795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Radiocommunication Assembly - 2012</dc:subject>
  <dc:creator>Admin</dc:creator>
  <dc:description>Document /1004-E  For: _x000d_Document date: 30 March 2007_x000d_Saved by PCW43981 at 15:42:54 on 05.04.2007</dc:description>
  <cp:lastModifiedBy>Antipina, Nadezda</cp:lastModifiedBy>
  <cp:revision>9</cp:revision>
  <cp:lastPrinted>2015-10-12T13:44:00Z</cp:lastPrinted>
  <dcterms:created xsi:type="dcterms:W3CDTF">2015-10-09T08:16:00Z</dcterms:created>
  <dcterms:modified xsi:type="dcterms:W3CDTF">2015-10-12T13:44:00Z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  <property fmtid="{D5CDD505-2E9C-101B-9397-08002B2CF9AE}" pid="9" name="ContentTypeId">
    <vt:lpwstr>0x01010033ED47F78E4E10458D4E29250978E387</vt:lpwstr>
  </property>
</Properties>
</file>