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B2C33" w:rsidRPr="000A0561">
        <w:trPr>
          <w:cantSplit/>
        </w:trPr>
        <w:tc>
          <w:tcPr>
            <w:tcW w:w="6629" w:type="dxa"/>
          </w:tcPr>
          <w:p w:rsidR="001B2C33" w:rsidRPr="000A0561" w:rsidRDefault="001B2C33" w:rsidP="00BC2C83">
            <w:pPr>
              <w:spacing w:before="400" w:after="48" w:line="240" w:lineRule="atLeast"/>
              <w:rPr>
                <w:rFonts w:ascii="Verdana" w:hAnsi="Verdana" w:cs="Times"/>
                <w:b/>
                <w:position w:val="6"/>
                <w:sz w:val="20"/>
                <w:vertAlign w:val="subscript"/>
                <w:lang w:val="fr-CH"/>
              </w:rPr>
            </w:pPr>
            <w:r w:rsidRPr="000A0561">
              <w:rPr>
                <w:rFonts w:ascii="Verdana" w:hAnsi="Verdana" w:cs="Times New Roman Bold"/>
                <w:b/>
                <w:szCs w:val="24"/>
                <w:lang w:val="fr-CH"/>
              </w:rPr>
              <w:t xml:space="preserve">Assemblée des </w:t>
            </w:r>
            <w:r w:rsidR="00BC2C83">
              <w:rPr>
                <w:rFonts w:ascii="Verdana" w:hAnsi="Verdana" w:cs="Times New Roman Bold"/>
                <w:b/>
                <w:szCs w:val="24"/>
                <w:lang w:val="fr-CH"/>
              </w:rPr>
              <w:t>R</w:t>
            </w:r>
            <w:r w:rsidRPr="000A0561">
              <w:rPr>
                <w:rFonts w:ascii="Verdana" w:hAnsi="Verdana" w:cs="Times New Roman Bold"/>
                <w:b/>
                <w:szCs w:val="24"/>
                <w:lang w:val="fr-CH"/>
              </w:rPr>
              <w:t>adiocommunications (AR-15)</w:t>
            </w:r>
            <w:r w:rsidRPr="000A0561">
              <w:rPr>
                <w:rFonts w:ascii="Verdana" w:hAnsi="Verdana" w:cs="Times New Roman Bold"/>
                <w:b/>
                <w:position w:val="6"/>
                <w:sz w:val="26"/>
                <w:szCs w:val="26"/>
                <w:lang w:val="fr-CH"/>
              </w:rPr>
              <w:br/>
            </w:r>
            <w:r w:rsidRPr="000A0561">
              <w:rPr>
                <w:rFonts w:ascii="Verdana" w:hAnsi="Verdana" w:cs="Times"/>
                <w:b/>
                <w:sz w:val="20"/>
                <w:lang w:val="fr-CH"/>
              </w:rPr>
              <w:t>Genève, 26-30 octobre 2015</w:t>
            </w:r>
          </w:p>
        </w:tc>
        <w:tc>
          <w:tcPr>
            <w:tcW w:w="3402" w:type="dxa"/>
          </w:tcPr>
          <w:p w:rsidR="001B2C33" w:rsidRPr="000A0561" w:rsidRDefault="001B2C33" w:rsidP="00223DF9">
            <w:pPr>
              <w:spacing w:line="240" w:lineRule="atLeast"/>
              <w:jc w:val="right"/>
              <w:rPr>
                <w:lang w:val="fr-CH"/>
              </w:rPr>
            </w:pPr>
            <w:bookmarkStart w:id="0" w:name="ditulogo"/>
            <w:bookmarkEnd w:id="0"/>
            <w:r w:rsidRPr="000A0561">
              <w:rPr>
                <w:noProof/>
                <w:lang w:val="en-US" w:eastAsia="zh-CN"/>
              </w:rPr>
              <w:drawing>
                <wp:inline distT="0" distB="0" distL="0" distR="0" wp14:anchorId="1BCF6ADC" wp14:editId="7F4341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1B2C33" w:rsidRPr="000A0561">
        <w:trPr>
          <w:cantSplit/>
        </w:trPr>
        <w:tc>
          <w:tcPr>
            <w:tcW w:w="6629" w:type="dxa"/>
            <w:tcBorders>
              <w:bottom w:val="single" w:sz="12" w:space="0" w:color="auto"/>
            </w:tcBorders>
          </w:tcPr>
          <w:p w:rsidR="001B2C33" w:rsidRPr="000A0561" w:rsidRDefault="001B2C33" w:rsidP="001B2C33">
            <w:pPr>
              <w:spacing w:before="0" w:after="48" w:line="240" w:lineRule="atLeast"/>
              <w:rPr>
                <w:b/>
                <w:smallCaps/>
                <w:szCs w:val="24"/>
                <w:lang w:val="fr-CH"/>
              </w:rPr>
            </w:pPr>
            <w:bookmarkStart w:id="1" w:name="dhead"/>
            <w:r w:rsidRPr="000A0561">
              <w:rPr>
                <w:rFonts w:ascii="Verdana" w:hAnsi="Verdana"/>
                <w:b/>
                <w:bCs/>
                <w:sz w:val="20"/>
                <w:lang w:val="fr-CH"/>
              </w:rPr>
              <w:t>UNION INTERNATIONALE DES TÉLÉCOMMUNICATIONS</w:t>
            </w:r>
          </w:p>
        </w:tc>
        <w:tc>
          <w:tcPr>
            <w:tcW w:w="3402" w:type="dxa"/>
            <w:tcBorders>
              <w:bottom w:val="single" w:sz="12" w:space="0" w:color="auto"/>
            </w:tcBorders>
          </w:tcPr>
          <w:p w:rsidR="001B2C33" w:rsidRPr="000A0561" w:rsidRDefault="001B2C33" w:rsidP="001B2C33">
            <w:pPr>
              <w:spacing w:before="0" w:line="240" w:lineRule="atLeast"/>
              <w:rPr>
                <w:rFonts w:ascii="Verdana" w:hAnsi="Verdana"/>
                <w:szCs w:val="24"/>
                <w:lang w:val="fr-CH"/>
              </w:rPr>
            </w:pPr>
          </w:p>
        </w:tc>
      </w:tr>
      <w:tr w:rsidR="001B2C33" w:rsidRPr="000A0561">
        <w:trPr>
          <w:cantSplit/>
        </w:trPr>
        <w:tc>
          <w:tcPr>
            <w:tcW w:w="6629" w:type="dxa"/>
            <w:tcBorders>
              <w:top w:val="single" w:sz="12" w:space="0" w:color="auto"/>
            </w:tcBorders>
          </w:tcPr>
          <w:p w:rsidR="001B2C33" w:rsidRPr="000A0561" w:rsidRDefault="001B2C33" w:rsidP="001B2C33">
            <w:pPr>
              <w:spacing w:before="0" w:after="48" w:line="240" w:lineRule="atLeast"/>
              <w:rPr>
                <w:rFonts w:ascii="Verdana" w:hAnsi="Verdana"/>
                <w:b/>
                <w:smallCaps/>
                <w:sz w:val="20"/>
                <w:lang w:val="fr-CH"/>
              </w:rPr>
            </w:pPr>
          </w:p>
        </w:tc>
        <w:tc>
          <w:tcPr>
            <w:tcW w:w="3402" w:type="dxa"/>
            <w:tcBorders>
              <w:top w:val="single" w:sz="12" w:space="0" w:color="auto"/>
            </w:tcBorders>
          </w:tcPr>
          <w:p w:rsidR="001B2C33" w:rsidRPr="000A0561" w:rsidRDefault="001B2C33" w:rsidP="001B2C33">
            <w:pPr>
              <w:spacing w:before="0" w:line="240" w:lineRule="atLeast"/>
              <w:rPr>
                <w:rFonts w:ascii="Verdana" w:hAnsi="Verdana"/>
                <w:sz w:val="20"/>
                <w:lang w:val="fr-CH"/>
              </w:rPr>
            </w:pPr>
          </w:p>
        </w:tc>
      </w:tr>
      <w:tr w:rsidR="001B2C33" w:rsidRPr="000A0561">
        <w:trPr>
          <w:cantSplit/>
          <w:trHeight w:val="23"/>
        </w:trPr>
        <w:tc>
          <w:tcPr>
            <w:tcW w:w="6629" w:type="dxa"/>
            <w:vMerge w:val="restart"/>
          </w:tcPr>
          <w:p w:rsidR="001B2C33" w:rsidRPr="000A0561" w:rsidRDefault="000E4E31" w:rsidP="001B2C33">
            <w:pPr>
              <w:tabs>
                <w:tab w:val="left" w:pos="851"/>
              </w:tabs>
              <w:spacing w:before="0" w:line="240" w:lineRule="atLeast"/>
              <w:rPr>
                <w:rFonts w:ascii="Verdana" w:hAnsi="Verdana"/>
                <w:b/>
                <w:bCs/>
                <w:sz w:val="20"/>
                <w:lang w:val="fr-CH"/>
              </w:rPr>
            </w:pPr>
            <w:bookmarkStart w:id="2" w:name="dnum" w:colFirst="1" w:colLast="1"/>
            <w:bookmarkStart w:id="3" w:name="dmeeting" w:colFirst="0" w:colLast="0"/>
            <w:bookmarkStart w:id="4" w:name="dbluepink" w:colFirst="0" w:colLast="0"/>
            <w:bookmarkEnd w:id="1"/>
            <w:r w:rsidRPr="000A0561">
              <w:rPr>
                <w:rFonts w:ascii="Verdana" w:hAnsi="Verdana"/>
                <w:b/>
                <w:bCs/>
                <w:sz w:val="20"/>
                <w:lang w:val="fr-CH"/>
              </w:rPr>
              <w:t>SÉANCE PLÉNIÈRE</w:t>
            </w:r>
          </w:p>
        </w:tc>
        <w:tc>
          <w:tcPr>
            <w:tcW w:w="3402" w:type="dxa"/>
          </w:tcPr>
          <w:p w:rsidR="001B2C33" w:rsidRPr="000A0561" w:rsidRDefault="00826D95" w:rsidP="00C876BF">
            <w:pPr>
              <w:tabs>
                <w:tab w:val="left" w:pos="851"/>
              </w:tabs>
              <w:spacing w:before="0" w:line="240" w:lineRule="atLeast"/>
              <w:rPr>
                <w:rFonts w:ascii="Verdana" w:hAnsi="Verdana"/>
                <w:sz w:val="20"/>
                <w:lang w:val="fr-CH"/>
              </w:rPr>
            </w:pPr>
            <w:r>
              <w:rPr>
                <w:rFonts w:ascii="Verdana" w:hAnsi="Verdana"/>
                <w:b/>
                <w:sz w:val="20"/>
                <w:lang w:val="fr-CH"/>
              </w:rPr>
              <w:t>Addendum 1</w:t>
            </w:r>
            <w:r w:rsidR="00332E2B">
              <w:rPr>
                <w:rFonts w:ascii="Verdana" w:hAnsi="Verdana"/>
                <w:b/>
                <w:sz w:val="20"/>
                <w:lang w:val="fr-CH"/>
              </w:rPr>
              <w:t xml:space="preserve"> au</w:t>
            </w:r>
            <w:r>
              <w:rPr>
                <w:rFonts w:ascii="Verdana" w:hAnsi="Verdana"/>
                <w:b/>
                <w:sz w:val="20"/>
                <w:lang w:val="fr-CH"/>
              </w:rPr>
              <w:br/>
            </w:r>
            <w:r w:rsidR="001B2C33" w:rsidRPr="000A0561">
              <w:rPr>
                <w:rFonts w:ascii="Verdana" w:hAnsi="Verdana"/>
                <w:b/>
                <w:sz w:val="20"/>
                <w:lang w:val="fr-CH"/>
              </w:rPr>
              <w:t>Document RA15/</w:t>
            </w:r>
            <w:r w:rsidR="000E4E31" w:rsidRPr="000A0561">
              <w:rPr>
                <w:rFonts w:ascii="Verdana" w:hAnsi="Verdana"/>
                <w:b/>
                <w:sz w:val="20"/>
                <w:lang w:val="fr-CH"/>
              </w:rPr>
              <w:t>PLEN/2</w:t>
            </w:r>
            <w:r w:rsidR="00C876BF">
              <w:rPr>
                <w:rFonts w:ascii="Verdana" w:hAnsi="Verdana"/>
                <w:b/>
                <w:sz w:val="20"/>
                <w:lang w:val="fr-CH"/>
              </w:rPr>
              <w:t>1</w:t>
            </w:r>
            <w:r w:rsidR="001B2C33" w:rsidRPr="000A0561">
              <w:rPr>
                <w:rFonts w:ascii="Verdana" w:hAnsi="Verdana"/>
                <w:b/>
                <w:sz w:val="20"/>
                <w:lang w:val="fr-CH"/>
              </w:rPr>
              <w:t>-F</w:t>
            </w:r>
          </w:p>
        </w:tc>
      </w:tr>
      <w:tr w:rsidR="001B2C33" w:rsidRPr="000A0561">
        <w:trPr>
          <w:cantSplit/>
          <w:trHeight w:val="23"/>
        </w:trPr>
        <w:tc>
          <w:tcPr>
            <w:tcW w:w="6629" w:type="dxa"/>
            <w:vMerge/>
          </w:tcPr>
          <w:p w:rsidR="001B2C33" w:rsidRPr="000A0561" w:rsidRDefault="001B2C33">
            <w:pPr>
              <w:tabs>
                <w:tab w:val="left" w:pos="851"/>
              </w:tabs>
              <w:spacing w:line="240" w:lineRule="atLeast"/>
              <w:rPr>
                <w:rFonts w:ascii="Verdana" w:hAnsi="Verdana"/>
                <w:b/>
                <w:sz w:val="20"/>
                <w:lang w:val="fr-CH"/>
              </w:rPr>
            </w:pPr>
            <w:bookmarkStart w:id="5" w:name="ddate" w:colFirst="1" w:colLast="1"/>
            <w:bookmarkEnd w:id="2"/>
            <w:bookmarkEnd w:id="3"/>
          </w:p>
        </w:tc>
        <w:tc>
          <w:tcPr>
            <w:tcW w:w="3402" w:type="dxa"/>
          </w:tcPr>
          <w:p w:rsidR="001B2C33" w:rsidRPr="000A0561" w:rsidRDefault="00C876BF" w:rsidP="000E4E31">
            <w:pPr>
              <w:tabs>
                <w:tab w:val="left" w:pos="993"/>
              </w:tabs>
              <w:spacing w:before="0"/>
              <w:rPr>
                <w:rFonts w:ascii="Verdana" w:hAnsi="Verdana"/>
                <w:sz w:val="20"/>
                <w:lang w:val="fr-CH"/>
              </w:rPr>
            </w:pPr>
            <w:r>
              <w:rPr>
                <w:rFonts w:ascii="Verdana" w:hAnsi="Verdana"/>
                <w:b/>
                <w:sz w:val="20"/>
                <w:lang w:val="fr-CH"/>
              </w:rPr>
              <w:t xml:space="preserve">9 </w:t>
            </w:r>
            <w:r w:rsidR="001B2C33" w:rsidRPr="000A0561">
              <w:rPr>
                <w:rFonts w:ascii="Verdana" w:hAnsi="Verdana"/>
                <w:b/>
                <w:sz w:val="20"/>
                <w:lang w:val="fr-CH"/>
              </w:rPr>
              <w:t>octobre 2015</w:t>
            </w:r>
          </w:p>
        </w:tc>
      </w:tr>
      <w:tr w:rsidR="001B2C33" w:rsidRPr="000A0561">
        <w:trPr>
          <w:cantSplit/>
          <w:trHeight w:val="23"/>
        </w:trPr>
        <w:tc>
          <w:tcPr>
            <w:tcW w:w="6629" w:type="dxa"/>
            <w:vMerge/>
          </w:tcPr>
          <w:p w:rsidR="001B2C33" w:rsidRPr="000A0561" w:rsidRDefault="001B2C33">
            <w:pPr>
              <w:tabs>
                <w:tab w:val="left" w:pos="851"/>
              </w:tabs>
              <w:spacing w:line="240" w:lineRule="atLeast"/>
              <w:rPr>
                <w:rFonts w:ascii="Verdana" w:hAnsi="Verdana"/>
                <w:b/>
                <w:sz w:val="20"/>
                <w:lang w:val="fr-CH"/>
              </w:rPr>
            </w:pPr>
            <w:bookmarkStart w:id="6" w:name="dorlang" w:colFirst="1" w:colLast="1"/>
            <w:bookmarkEnd w:id="5"/>
          </w:p>
        </w:tc>
        <w:tc>
          <w:tcPr>
            <w:tcW w:w="3402" w:type="dxa"/>
          </w:tcPr>
          <w:p w:rsidR="001B2C33" w:rsidRPr="000A0561" w:rsidRDefault="001B2C33" w:rsidP="004C6705">
            <w:pPr>
              <w:tabs>
                <w:tab w:val="left" w:pos="993"/>
              </w:tabs>
              <w:spacing w:before="0" w:after="120"/>
              <w:rPr>
                <w:rFonts w:ascii="Verdana" w:hAnsi="Verdana"/>
                <w:sz w:val="20"/>
                <w:lang w:val="fr-CH"/>
              </w:rPr>
            </w:pPr>
            <w:r w:rsidRPr="000A0561">
              <w:rPr>
                <w:rFonts w:ascii="Verdana" w:hAnsi="Verdana"/>
                <w:b/>
                <w:sz w:val="20"/>
                <w:lang w:val="fr-CH"/>
              </w:rPr>
              <w:t xml:space="preserve">Original: </w:t>
            </w:r>
            <w:r w:rsidR="004C6705">
              <w:rPr>
                <w:rFonts w:ascii="Verdana" w:hAnsi="Verdana"/>
                <w:b/>
                <w:sz w:val="20"/>
                <w:lang w:val="fr-CH"/>
              </w:rPr>
              <w:t>russe</w:t>
            </w:r>
          </w:p>
        </w:tc>
      </w:tr>
    </w:tbl>
    <w:tbl>
      <w:tblPr>
        <w:tblW w:w="10031" w:type="dxa"/>
        <w:tblLayout w:type="fixed"/>
        <w:tblLook w:val="0000" w:firstRow="0" w:lastRow="0" w:firstColumn="0" w:lastColumn="0" w:noHBand="0" w:noVBand="0"/>
      </w:tblPr>
      <w:tblGrid>
        <w:gridCol w:w="10031"/>
      </w:tblGrid>
      <w:tr w:rsidR="001B2C33" w:rsidRPr="000A0561">
        <w:trPr>
          <w:cantSplit/>
        </w:trPr>
        <w:tc>
          <w:tcPr>
            <w:tcW w:w="10031" w:type="dxa"/>
          </w:tcPr>
          <w:p w:rsidR="001B2C33" w:rsidRPr="000A0561" w:rsidRDefault="00C876BF">
            <w:pPr>
              <w:pStyle w:val="Source"/>
              <w:rPr>
                <w:lang w:val="fr-CH"/>
              </w:rPr>
            </w:pPr>
            <w:bookmarkStart w:id="7" w:name="dsource" w:colFirst="0" w:colLast="0"/>
            <w:bookmarkEnd w:id="4"/>
            <w:bookmarkEnd w:id="6"/>
            <w:r>
              <w:rPr>
                <w:lang w:val="fr-CH"/>
              </w:rPr>
              <w:t xml:space="preserve">Propositions communes </w:t>
            </w:r>
            <w:r w:rsidRPr="00C876BF">
              <w:rPr>
                <w:lang w:val="fr-CH"/>
              </w:rPr>
              <w:t>de la Communauté régionale des communications</w:t>
            </w:r>
          </w:p>
        </w:tc>
      </w:tr>
      <w:tr w:rsidR="001B2C33" w:rsidRPr="000A0561">
        <w:trPr>
          <w:cantSplit/>
        </w:trPr>
        <w:tc>
          <w:tcPr>
            <w:tcW w:w="10031" w:type="dxa"/>
          </w:tcPr>
          <w:p w:rsidR="001B2C33" w:rsidRPr="000A0561" w:rsidRDefault="00C876BF" w:rsidP="00BC2C83">
            <w:pPr>
              <w:pStyle w:val="Title1"/>
              <w:rPr>
                <w:lang w:val="fr-CH"/>
              </w:rPr>
            </w:pPr>
            <w:bookmarkStart w:id="8" w:name="dtitle1" w:colFirst="0" w:colLast="0"/>
            <w:bookmarkEnd w:id="7"/>
            <w:r>
              <w:rPr>
                <w:lang w:val="fr-CH" w:eastAsia="zh-CN"/>
              </w:rPr>
              <w:t>proposition</w:t>
            </w:r>
            <w:r w:rsidR="00BC2C83">
              <w:rPr>
                <w:lang w:val="fr-CH" w:eastAsia="zh-CN"/>
              </w:rPr>
              <w:t>s pour les travaux de l'ASSEMBLée</w:t>
            </w:r>
          </w:p>
        </w:tc>
      </w:tr>
      <w:tr w:rsidR="001B2C33" w:rsidRPr="000A0561">
        <w:trPr>
          <w:cantSplit/>
        </w:trPr>
        <w:tc>
          <w:tcPr>
            <w:tcW w:w="10031" w:type="dxa"/>
          </w:tcPr>
          <w:p w:rsidR="001B2C33" w:rsidRDefault="00BC2C83" w:rsidP="00332E2B">
            <w:pPr>
              <w:pStyle w:val="Title2"/>
              <w:ind w:left="1134" w:hanging="1134"/>
              <w:rPr>
                <w:lang w:val="fr-CH"/>
              </w:rPr>
            </w:pPr>
            <w:bookmarkStart w:id="9" w:name="dtitle2" w:colFirst="0" w:colLast="0"/>
            <w:bookmarkEnd w:id="8"/>
            <w:r>
              <w:rPr>
                <w:lang w:val="fr-CH"/>
              </w:rPr>
              <w:t xml:space="preserve">proposition de suite </w:t>
            </w:r>
            <w:r w:rsidR="00332E2B">
              <w:rPr>
                <w:lang w:val="fr-CH"/>
              </w:rPr>
              <w:t>à</w:t>
            </w:r>
            <w:r>
              <w:rPr>
                <w:lang w:val="fr-CH"/>
              </w:rPr>
              <w:t xml:space="preserve"> donner au projet de révisioN</w:t>
            </w:r>
            <w:r>
              <w:rPr>
                <w:lang w:val="fr-CH"/>
              </w:rPr>
              <w:br/>
            </w:r>
            <w:r w:rsidR="00826D95">
              <w:rPr>
                <w:lang w:val="fr-CH"/>
              </w:rPr>
              <w:t>de la Recommandation UIT-R M.1036-4</w:t>
            </w:r>
          </w:p>
          <w:p w:rsidR="00CA5E22" w:rsidRPr="00CA5E22" w:rsidRDefault="00CA5E22" w:rsidP="00CA5E22">
            <w:pPr>
              <w:rPr>
                <w:lang w:val="fr-CH"/>
              </w:rPr>
            </w:pPr>
          </w:p>
        </w:tc>
      </w:tr>
    </w:tbl>
    <w:bookmarkEnd w:id="9"/>
    <w:p w:rsidR="00312771" w:rsidRDefault="008E25A4" w:rsidP="005B5FBB">
      <w:pPr>
        <w:pStyle w:val="Heading1"/>
        <w:rPr>
          <w:lang w:val="fr-CH"/>
        </w:rPr>
      </w:pPr>
      <w:r>
        <w:rPr>
          <w:lang w:val="fr-CH"/>
        </w:rPr>
        <w:t>1</w:t>
      </w:r>
      <w:r>
        <w:rPr>
          <w:lang w:val="fr-CH"/>
        </w:rPr>
        <w:tab/>
      </w:r>
      <w:r w:rsidR="001B2C33" w:rsidRPr="000A0561">
        <w:rPr>
          <w:lang w:val="fr-CH"/>
        </w:rPr>
        <w:t>Introduction</w:t>
      </w:r>
    </w:p>
    <w:p w:rsidR="00C26C5F" w:rsidRDefault="001B1587" w:rsidP="0054026F">
      <w:r>
        <w:rPr>
          <w:lang w:val="fr-CH"/>
        </w:rPr>
        <w:t>A</w:t>
      </w:r>
      <w:r w:rsidR="00C26C5F">
        <w:rPr>
          <w:lang w:val="fr-CH"/>
        </w:rPr>
        <w:t xml:space="preserve"> sa 10</w:t>
      </w:r>
      <w:r>
        <w:rPr>
          <w:lang w:val="fr-CH"/>
        </w:rPr>
        <w:t>ème</w:t>
      </w:r>
      <w:r w:rsidR="00C26C5F">
        <w:rPr>
          <w:lang w:val="fr-CH"/>
        </w:rPr>
        <w:t xml:space="preserve"> réunion, la Commission d</w:t>
      </w:r>
      <w:r w:rsidR="0060467D">
        <w:rPr>
          <w:lang w:val="fr-CH"/>
        </w:rPr>
        <w:t>'</w:t>
      </w:r>
      <w:r w:rsidR="00C26C5F">
        <w:rPr>
          <w:lang w:val="fr-CH"/>
        </w:rPr>
        <w:t>études 5 a examiné le projet de révision de la Recommandation UIT-R M.1036-4</w:t>
      </w:r>
      <w:r w:rsidR="00332E2B">
        <w:rPr>
          <w:lang w:val="fr-CH"/>
        </w:rPr>
        <w:t>,</w:t>
      </w:r>
      <w:r w:rsidR="00C26C5F">
        <w:rPr>
          <w:lang w:val="fr-CH"/>
        </w:rPr>
        <w:t xml:space="preserve"> </w:t>
      </w:r>
      <w:r w:rsidR="0054026F">
        <w:rPr>
          <w:lang w:val="fr-CH"/>
        </w:rPr>
        <w:t>«</w:t>
      </w:r>
      <w:r w:rsidR="00C26C5F" w:rsidRPr="00C26C5F">
        <w:t>Dispositions de fréquences applicables à la mise en œuvre de la composante de Terre des Télécommunications mobiles internationales (IMT) dans les bandes identifiées pour les IMT dans le Règlement des radiocommunications (RR)</w:t>
      </w:r>
      <w:r w:rsidR="00C26C5F">
        <w:t>», mais n</w:t>
      </w:r>
      <w:r w:rsidR="0060467D">
        <w:t>'</w:t>
      </w:r>
      <w:r w:rsidR="00C26C5F">
        <w:t>a pas pu parvenir à un accord. Il a été décidé de transmettre ce document</w:t>
      </w:r>
      <w:r>
        <w:t xml:space="preserve"> pour examen</w:t>
      </w:r>
      <w:r w:rsidR="00C26C5F">
        <w:t xml:space="preserve"> à l</w:t>
      </w:r>
      <w:r w:rsidR="0060467D">
        <w:t>'</w:t>
      </w:r>
      <w:r w:rsidR="00C26C5F">
        <w:t>Assemblée des radiocommunications de 2015.</w:t>
      </w:r>
    </w:p>
    <w:p w:rsidR="008E25A4" w:rsidRDefault="00C26C5F" w:rsidP="00332E2B">
      <w:r>
        <w:t>En particulier, aucun accord n</w:t>
      </w:r>
      <w:r w:rsidR="0060467D">
        <w:t>'</w:t>
      </w:r>
      <w:r>
        <w:t>a été trouvé concernant l</w:t>
      </w:r>
      <w:r w:rsidR="0060467D">
        <w:t>'</w:t>
      </w:r>
      <w:r>
        <w:t>inclusion des nouvelles dispositions de fréquences B6 et B7</w:t>
      </w:r>
      <w:r w:rsidR="008E25A4">
        <w:t xml:space="preserve"> et</w:t>
      </w:r>
      <w:r>
        <w:t xml:space="preserve"> l</w:t>
      </w:r>
      <w:r w:rsidR="0060467D">
        <w:t>'</w:t>
      </w:r>
      <w:r>
        <w:t xml:space="preserve">extension des dispositions de fréquences existantes </w:t>
      </w:r>
      <w:r w:rsidRPr="00C26C5F">
        <w:t>B3 et B5</w:t>
      </w:r>
      <w:r>
        <w:t>.</w:t>
      </w:r>
      <w:r w:rsidR="008E25A4">
        <w:t xml:space="preserve"> Les modifications apportées aux dispositions de fréquences pour la composante de Terre des IMT prévoient l</w:t>
      </w:r>
      <w:r w:rsidR="0060467D">
        <w:t>'</w:t>
      </w:r>
      <w:r w:rsidR="008E25A4">
        <w:t>ajout de nouvelles dispositions dans les bandes de fréquences 1 980</w:t>
      </w:r>
      <w:r w:rsidR="00332E2B">
        <w:t>-</w:t>
      </w:r>
      <w:r w:rsidR="008E25A4">
        <w:t>2 010 MHz et 2 170</w:t>
      </w:r>
      <w:r w:rsidR="00332E2B">
        <w:t>-</w:t>
      </w:r>
      <w:r w:rsidR="008E25A4">
        <w:t>2 200 MHz, identifiées pour la composante satellite des IMT. Différentes opinions ont été exprimées concernant la possibilité d</w:t>
      </w:r>
      <w:r w:rsidR="0060467D">
        <w:t>'</w:t>
      </w:r>
      <w:r w:rsidR="008E25A4">
        <w:t>apporter de telles modifications aux dispositions de fréquences pour la composante de Terre des IMT avant que les questions liées à l</w:t>
      </w:r>
      <w:r w:rsidR="0060467D">
        <w:t>'</w:t>
      </w:r>
      <w:r w:rsidR="008E25A4">
        <w:t>exploitation simultanée des composantes satellite et de Terre des IMT soient dûment examinées.</w:t>
      </w:r>
    </w:p>
    <w:p w:rsidR="008E25A4" w:rsidRDefault="008E25A4" w:rsidP="005B5FBB">
      <w:pPr>
        <w:pStyle w:val="Heading1"/>
        <w:rPr>
          <w:lang w:val="fr-CH"/>
        </w:rPr>
      </w:pPr>
      <w:r>
        <w:rPr>
          <w:lang w:val="fr-CH"/>
        </w:rPr>
        <w:t>2</w:t>
      </w:r>
      <w:r>
        <w:rPr>
          <w:lang w:val="fr-CH"/>
        </w:rPr>
        <w:tab/>
        <w:t>Discussion</w:t>
      </w:r>
    </w:p>
    <w:p w:rsidR="00826D95" w:rsidRDefault="00ED17D8" w:rsidP="00332E2B">
      <w:pPr>
        <w:rPr>
          <w:lang w:val="fr-CH"/>
        </w:rPr>
      </w:pPr>
      <w:r>
        <w:rPr>
          <w:lang w:val="fr-CH"/>
        </w:rPr>
        <w:t>Les bandes 1</w:t>
      </w:r>
      <w:r w:rsidR="001B1587">
        <w:rPr>
          <w:lang w:val="fr-CH"/>
        </w:rPr>
        <w:t xml:space="preserve"> </w:t>
      </w:r>
      <w:r>
        <w:rPr>
          <w:lang w:val="fr-CH"/>
        </w:rPr>
        <w:t>980</w:t>
      </w:r>
      <w:r w:rsidR="00332E2B">
        <w:rPr>
          <w:lang w:val="fr-CH"/>
        </w:rPr>
        <w:t>-</w:t>
      </w:r>
      <w:r>
        <w:rPr>
          <w:lang w:val="fr-CH"/>
        </w:rPr>
        <w:t>2</w:t>
      </w:r>
      <w:r w:rsidR="001B1587">
        <w:rPr>
          <w:lang w:val="fr-CH"/>
        </w:rPr>
        <w:t xml:space="preserve"> </w:t>
      </w:r>
      <w:r>
        <w:rPr>
          <w:lang w:val="fr-CH"/>
        </w:rPr>
        <w:t>010 MHz et 2</w:t>
      </w:r>
      <w:r w:rsidR="001B1587">
        <w:rPr>
          <w:lang w:val="fr-CH"/>
        </w:rPr>
        <w:t xml:space="preserve"> </w:t>
      </w:r>
      <w:r>
        <w:rPr>
          <w:lang w:val="fr-CH"/>
        </w:rPr>
        <w:t>170-2</w:t>
      </w:r>
      <w:r w:rsidR="001B1587">
        <w:rPr>
          <w:lang w:val="fr-CH"/>
        </w:rPr>
        <w:t xml:space="preserve"> </w:t>
      </w:r>
      <w:r>
        <w:rPr>
          <w:lang w:val="fr-CH"/>
        </w:rPr>
        <w:t xml:space="preserve">200 MHz sont pour ainsi dire les seules bandes accessibles pour le déploiement de la composante satellite des IMT conformément à la Résolution 212 (Rév.CMR-07) et sont expressément </w:t>
      </w:r>
      <w:r w:rsidR="008D72FA">
        <w:rPr>
          <w:lang w:val="fr-CH"/>
        </w:rPr>
        <w:t>mentionnées</w:t>
      </w:r>
      <w:r>
        <w:rPr>
          <w:lang w:val="fr-CH"/>
        </w:rPr>
        <w:t xml:space="preserve"> dans la Résolution 223 (Rév.CMR-12) et dans la Résolution 225 (Rév.CMR-12</w:t>
      </w:r>
      <w:r w:rsidR="001B1587">
        <w:rPr>
          <w:lang w:val="fr-CH"/>
        </w:rPr>
        <w:t>)</w:t>
      </w:r>
      <w:r>
        <w:rPr>
          <w:lang w:val="fr-CH"/>
        </w:rPr>
        <w:t>, comme étant identifiées pour la composante satellite des IMT.</w:t>
      </w:r>
    </w:p>
    <w:p w:rsidR="00AF39C7" w:rsidRDefault="00AF39C7" w:rsidP="001B1587">
      <w:r w:rsidRPr="00AF39C7">
        <w:t xml:space="preserve">Les études de partage et de compatibilité préliminaires menées dans le cadre du GT 4C montrent que la compatibilité et le partage </w:t>
      </w:r>
      <w:r>
        <w:t>entre les composantes de Terre et satellite des IMT au voisinage de 2 GHz dans la même zone de couverture</w:t>
      </w:r>
      <w:r w:rsidR="001B1587">
        <w:t xml:space="preserve"> ne sont pas possibles</w:t>
      </w:r>
      <w:r w:rsidRPr="00AF39C7">
        <w:t xml:space="preserve">. En l'absence de seuil de coordination applicable et de dispositions réglementaires appropriées dans le Règlement des radiocommunications, il est très difficile de coordonner l'utilisation des systèmes IMT à satellites et </w:t>
      </w:r>
      <w:r w:rsidRPr="00AF39C7">
        <w:lastRenderedPageBreak/>
        <w:t xml:space="preserve">des systèmes IMT de Terre entre </w:t>
      </w:r>
      <w:r>
        <w:t>plusieurs pays</w:t>
      </w:r>
      <w:r w:rsidRPr="00AF39C7">
        <w:t xml:space="preserve"> dans </w:t>
      </w:r>
      <w:r w:rsidR="001B1587">
        <w:t>l</w:t>
      </w:r>
      <w:r>
        <w:t>es bandes</w:t>
      </w:r>
      <w:r w:rsidR="001B1587">
        <w:t xml:space="preserve"> en question</w:t>
      </w:r>
      <w:r>
        <w:t>.</w:t>
      </w:r>
      <w:r w:rsidR="000E3CC9">
        <w:t xml:space="preserve"> </w:t>
      </w:r>
      <w:r w:rsidR="000E3CC9" w:rsidRPr="000E3CC9">
        <w:t>Il convient de noter que si la proposition de révision d</w:t>
      </w:r>
      <w:r w:rsidR="001B1587">
        <w:t xml:space="preserve">e </w:t>
      </w:r>
      <w:r w:rsidR="00332E2B">
        <w:t>la Recommandation UIT-R M.1036</w:t>
      </w:r>
      <w:r w:rsidR="000E3CC9" w:rsidRPr="000E3CC9">
        <w:t xml:space="preserve"> est approuvée avant que les problèmes </w:t>
      </w:r>
      <w:r w:rsidR="001B1587">
        <w:t>susmentionnés</w:t>
      </w:r>
      <w:r w:rsidR="000E3CC9" w:rsidRPr="000E3CC9">
        <w:t xml:space="preserve"> aient été résolus, il y aura de plus en plus de brouillages entre les systèmes IMT de Terre et les systèmes IMT à satellites, ce qui entraînera de fortes contraintes sur le plan de la coordination entre les </w:t>
      </w:r>
      <w:r w:rsidR="001B1587">
        <w:t>pays</w:t>
      </w:r>
      <w:r w:rsidR="000E3CC9" w:rsidRPr="000E3CC9">
        <w:t xml:space="preserve"> qui souhaitent déployer des systèmes IMT de Terre ou des systèmes IMT à satellites.</w:t>
      </w:r>
    </w:p>
    <w:p w:rsidR="00AF39C7" w:rsidRDefault="00AF39C7" w:rsidP="00EC038E">
      <w:r>
        <w:t>I</w:t>
      </w:r>
      <w:r w:rsidRPr="00AF39C7">
        <w:t xml:space="preserve">l est </w:t>
      </w:r>
      <w:r w:rsidR="001B1587">
        <w:t>à</w:t>
      </w:r>
      <w:r w:rsidRPr="00AF39C7">
        <w:t xml:space="preserve"> noter que </w:t>
      </w:r>
      <w:r w:rsidR="001B1587">
        <w:t>l</w:t>
      </w:r>
      <w:r w:rsidRPr="00AF39C7">
        <w:t>a Recom</w:t>
      </w:r>
      <w:r w:rsidR="001B1587">
        <w:t>mandation UIT-RM.1036 indique</w:t>
      </w:r>
      <w:r w:rsidRPr="00AF39C7">
        <w:t xml:space="preserve"> que l'un des objectifs des dispositions de fréquences est de réduire au minimum les effets sur d'autres systèmes et services exploités dans les bandes identifiées pour les IMT, d'où il suit que les problèmes susmentionnés sont pertinents dans l'optique de la révision de la Recommandation</w:t>
      </w:r>
      <w:r>
        <w:t>.</w:t>
      </w:r>
    </w:p>
    <w:p w:rsidR="00AF39C7" w:rsidRDefault="00AF39C7" w:rsidP="00CA5E22">
      <w:r w:rsidRPr="00AF39C7">
        <w:t>Par ailleurs, le fait d'harmoniser les dispositions de fréquences dans les bandes 1 980</w:t>
      </w:r>
      <w:r w:rsidRPr="00AF39C7">
        <w:noBreakHyphen/>
        <w:t xml:space="preserve">2 010 MHz et 2 170-2 200 MHz pour la composante de Terre des IMT avant </w:t>
      </w:r>
      <w:r w:rsidR="001B1587">
        <w:t xml:space="preserve">d'entreprendre des </w:t>
      </w:r>
      <w:r w:rsidRPr="00AF39C7">
        <w:t xml:space="preserve">études de partage et de compatibilité et </w:t>
      </w:r>
      <w:r w:rsidR="001B1587">
        <w:t>d'élaborer</w:t>
      </w:r>
      <w:r w:rsidRPr="00AF39C7">
        <w:t xml:space="preserve"> de</w:t>
      </w:r>
      <w:r w:rsidR="001B1587">
        <w:t>s</w:t>
      </w:r>
      <w:r w:rsidRPr="00AF39C7">
        <w:t xml:space="preserve"> procédures de coordination avec la composante satellite des IMT risque de remettre en cause</w:t>
      </w:r>
      <w:r>
        <w:t xml:space="preserve"> tous</w:t>
      </w:r>
      <w:r w:rsidRPr="00AF39C7">
        <w:t xml:space="preserve"> les efforts déjà accomplis par l'UIT-R pour créer et développer la composante satellite des IMT. Le Directeur du BR a déjà noté l'importance de cette question et rendra compte</w:t>
      </w:r>
      <w:r>
        <w:t>, au titre de l</w:t>
      </w:r>
      <w:r w:rsidR="0060467D">
        <w:t>'</w:t>
      </w:r>
      <w:r>
        <w:t>examen du point 9.2 de l</w:t>
      </w:r>
      <w:r w:rsidR="0060467D">
        <w:t>'</w:t>
      </w:r>
      <w:r>
        <w:t>ordre du jour,</w:t>
      </w:r>
      <w:r w:rsidRPr="00AF39C7">
        <w:t xml:space="preserve"> des difficultés rencontrées à la CMR</w:t>
      </w:r>
      <w:r w:rsidRPr="00AF39C7">
        <w:noBreakHyphen/>
        <w:t>15</w:t>
      </w:r>
      <w:r>
        <w:t>. Il est à espérer que la Conférence donnera des indications sur la manière de procéder pour traiter ces questions.</w:t>
      </w:r>
    </w:p>
    <w:p w:rsidR="00AF39C7" w:rsidRDefault="00F2593C" w:rsidP="00EC038E">
      <w:r>
        <w:rPr>
          <w:lang w:val="fr-CH"/>
        </w:rPr>
        <w:t>Le GT 4C a confirmé l</w:t>
      </w:r>
      <w:r w:rsidR="0060467D">
        <w:rPr>
          <w:lang w:val="fr-CH"/>
        </w:rPr>
        <w:t>'</w:t>
      </w:r>
      <w:r>
        <w:rPr>
          <w:lang w:val="fr-CH"/>
        </w:rPr>
        <w:t xml:space="preserve">existence de ces problèmes dans une note de liaison adressée au GT 5D (Document </w:t>
      </w:r>
      <w:r w:rsidRPr="0054026F">
        <w:rPr>
          <w:rStyle w:val="Hyperlink"/>
        </w:rPr>
        <w:t>5/194</w:t>
      </w:r>
      <w:r>
        <w:rPr>
          <w:lang w:val="fr-CH"/>
        </w:rPr>
        <w:t xml:space="preserve">), dans laquelle il a </w:t>
      </w:r>
      <w:r w:rsidRPr="00F2593C">
        <w:t>exprimé des préoccupations similaires et fait part de son désaccord concernant l'inclusion des bandes 1 980-2 010 MHz et 2 170-2 200 MHz dans la version révisée de la Recommandation UIT-RM.1036 avant que les études de compatibilité et de partage aient été menées à bien.</w:t>
      </w:r>
      <w:r w:rsidR="004D4D4D" w:rsidRPr="004D4D4D">
        <w:t xml:space="preserve"> </w:t>
      </w:r>
      <w:r w:rsidR="004D4D4D" w:rsidRPr="00BB1A07">
        <w:t>La CE 4 a elle aussi défendu ce point de vue dans une note de liaison à la CE 5 (Doc</w:t>
      </w:r>
      <w:r w:rsidR="001B1587">
        <w:t>ument</w:t>
      </w:r>
      <w:r w:rsidR="004D4D4D" w:rsidRPr="00BB1A07">
        <w:t xml:space="preserve"> </w:t>
      </w:r>
      <w:hyperlink r:id="rId8" w:history="1">
        <w:r w:rsidR="004D4D4D" w:rsidRPr="00BB1A07">
          <w:rPr>
            <w:rStyle w:val="Hyperlink"/>
          </w:rPr>
          <w:t>5/212</w:t>
        </w:r>
      </w:hyperlink>
      <w:r w:rsidR="004D4D4D" w:rsidRPr="00BB1A07">
        <w:t>)</w:t>
      </w:r>
      <w:r w:rsidR="004D4D4D">
        <w:t>.</w:t>
      </w:r>
    </w:p>
    <w:p w:rsidR="0084175A" w:rsidRDefault="0084175A" w:rsidP="005B5FBB">
      <w:pPr>
        <w:pStyle w:val="Heading1"/>
        <w:rPr>
          <w:lang w:val="fr-CH"/>
        </w:rPr>
      </w:pPr>
      <w:r>
        <w:rPr>
          <w:lang w:val="fr-CH"/>
        </w:rPr>
        <w:t>3</w:t>
      </w:r>
      <w:r>
        <w:rPr>
          <w:lang w:val="fr-CH"/>
        </w:rPr>
        <w:tab/>
        <w:t>Conclusion</w:t>
      </w:r>
    </w:p>
    <w:p w:rsidR="0084175A" w:rsidRDefault="008A0ECF" w:rsidP="00CA5E22">
      <w:r>
        <w:rPr>
          <w:lang w:val="fr-CH"/>
        </w:rPr>
        <w:t>Les administrations de la RCC considèrent que l</w:t>
      </w:r>
      <w:r w:rsidR="0060467D">
        <w:rPr>
          <w:lang w:val="fr-CH"/>
        </w:rPr>
        <w:t>'</w:t>
      </w:r>
      <w:r>
        <w:rPr>
          <w:lang w:val="fr-CH"/>
        </w:rPr>
        <w:t xml:space="preserve">inclusion </w:t>
      </w:r>
      <w:r w:rsidRPr="008A0ECF">
        <w:t>des nouvelles dispositions de fréquences B6 et B7 et l'extension des dispositions de fréquences existantes B3 et B5 dans le projet de révision de la Recommandation UIT-R M.1036-4 sont prématurées</w:t>
      </w:r>
      <w:r>
        <w:t xml:space="preserve">. Par conséquent, elles proposent </w:t>
      </w:r>
      <w:r w:rsidR="001B1587">
        <w:t>que</w:t>
      </w:r>
      <w:r w:rsidR="0060467D">
        <w:t>,</w:t>
      </w:r>
      <w:r w:rsidR="001B1587">
        <w:t xml:space="preserve"> dans le</w:t>
      </w:r>
      <w:r>
        <w:t xml:space="preserve"> projet de révision de la Recommandation UIT-R M.1036-4</w:t>
      </w:r>
      <w:r w:rsidR="0060467D">
        <w:t xml:space="preserve">, la </w:t>
      </w:r>
      <w:r w:rsidR="00CA5E22">
        <w:t>S</w:t>
      </w:r>
      <w:r w:rsidR="0060467D">
        <w:t>ection 3 ne soit pas modifiée et reste</w:t>
      </w:r>
      <w:r>
        <w:t xml:space="preserve"> telle qu</w:t>
      </w:r>
      <w:r w:rsidR="0060467D">
        <w:t>'</w:t>
      </w:r>
      <w:r>
        <w:t xml:space="preserve">elle figure dans la </w:t>
      </w:r>
      <w:r w:rsidR="00CA5E22">
        <w:t>P</w:t>
      </w:r>
      <w:r>
        <w:t>ièce jointe au présent Document.</w:t>
      </w:r>
    </w:p>
    <w:p w:rsidR="00786E96" w:rsidRDefault="008A0ECF" w:rsidP="0060467D">
      <w:pPr>
        <w:rPr>
          <w:lang w:val="fr-CH"/>
        </w:rPr>
      </w:pPr>
      <w:r>
        <w:rPr>
          <w:lang w:val="fr-CH"/>
        </w:rPr>
        <w:t>Il ne sera possible d</w:t>
      </w:r>
      <w:r w:rsidR="0060467D">
        <w:rPr>
          <w:lang w:val="fr-CH"/>
        </w:rPr>
        <w:t>'</w:t>
      </w:r>
      <w:r>
        <w:rPr>
          <w:lang w:val="fr-CH"/>
        </w:rPr>
        <w:t>examiner les dispositions de fréquences pour la composante de Terre des IMT dans les bandes de fréquences 1</w:t>
      </w:r>
      <w:r w:rsidR="00FD7B05">
        <w:rPr>
          <w:lang w:val="fr-CH"/>
        </w:rPr>
        <w:t> </w:t>
      </w:r>
      <w:r>
        <w:rPr>
          <w:lang w:val="fr-CH"/>
        </w:rPr>
        <w:t>980-2</w:t>
      </w:r>
      <w:r w:rsidR="00FD7B05">
        <w:rPr>
          <w:lang w:val="fr-CH"/>
        </w:rPr>
        <w:t> </w:t>
      </w:r>
      <w:r>
        <w:rPr>
          <w:lang w:val="fr-CH"/>
        </w:rPr>
        <w:t>100 MHz et 2</w:t>
      </w:r>
      <w:r w:rsidR="00FD7B05">
        <w:rPr>
          <w:lang w:val="fr-CH"/>
        </w:rPr>
        <w:t> </w:t>
      </w:r>
      <w:r>
        <w:rPr>
          <w:lang w:val="fr-CH"/>
        </w:rPr>
        <w:t>170-2</w:t>
      </w:r>
      <w:r w:rsidR="00FD7B05">
        <w:rPr>
          <w:lang w:val="fr-CH"/>
        </w:rPr>
        <w:t> </w:t>
      </w:r>
      <w:r>
        <w:rPr>
          <w:lang w:val="fr-CH"/>
        </w:rPr>
        <w:t xml:space="preserve">200 MHz </w:t>
      </w:r>
      <w:r w:rsidR="0060467D">
        <w:rPr>
          <w:lang w:val="fr-CH"/>
        </w:rPr>
        <w:t>qu'</w:t>
      </w:r>
      <w:r>
        <w:rPr>
          <w:lang w:val="fr-CH"/>
        </w:rPr>
        <w:t xml:space="preserve">une fois que la CMR-15 aura </w:t>
      </w:r>
      <w:r w:rsidR="0060467D">
        <w:rPr>
          <w:lang w:val="fr-CH"/>
        </w:rPr>
        <w:t>examiné la faisabilité de la mise</w:t>
      </w:r>
      <w:r>
        <w:rPr>
          <w:lang w:val="fr-CH"/>
        </w:rPr>
        <w:t xml:space="preserve"> en place simultané</w:t>
      </w:r>
      <w:r w:rsidR="0060467D">
        <w:rPr>
          <w:lang w:val="fr-CH"/>
        </w:rPr>
        <w:t>e d</w:t>
      </w:r>
      <w:r>
        <w:rPr>
          <w:lang w:val="fr-CH"/>
        </w:rPr>
        <w:t>es composantes satellite et de Terre des IMT dans les bandes de fréquences 1</w:t>
      </w:r>
      <w:r w:rsidR="00FD7B05">
        <w:rPr>
          <w:lang w:val="fr-CH"/>
        </w:rPr>
        <w:t> </w:t>
      </w:r>
      <w:r>
        <w:rPr>
          <w:lang w:val="fr-CH"/>
        </w:rPr>
        <w:t>980-2</w:t>
      </w:r>
      <w:r w:rsidR="00FD7B05">
        <w:rPr>
          <w:lang w:val="fr-CH"/>
        </w:rPr>
        <w:t> </w:t>
      </w:r>
      <w:r>
        <w:rPr>
          <w:lang w:val="fr-CH"/>
        </w:rPr>
        <w:t>010 MHz et 2</w:t>
      </w:r>
      <w:r w:rsidR="00FD7B05">
        <w:rPr>
          <w:lang w:val="fr-CH"/>
        </w:rPr>
        <w:t> </w:t>
      </w:r>
      <w:r>
        <w:rPr>
          <w:lang w:val="fr-CH"/>
        </w:rPr>
        <w:t>170-2</w:t>
      </w:r>
      <w:r w:rsidR="00FD7B05">
        <w:rPr>
          <w:lang w:val="fr-CH"/>
        </w:rPr>
        <w:t> </w:t>
      </w:r>
      <w:r>
        <w:rPr>
          <w:lang w:val="fr-CH"/>
        </w:rPr>
        <w:t>200 MHz.</w:t>
      </w:r>
    </w:p>
    <w:p w:rsidR="00786E96" w:rsidRDefault="00786E96" w:rsidP="005B5FBB">
      <w:pPr>
        <w:tabs>
          <w:tab w:val="clear" w:pos="1134"/>
          <w:tab w:val="clear" w:pos="1871"/>
          <w:tab w:val="clear" w:pos="2268"/>
        </w:tabs>
        <w:overflowPunct/>
        <w:autoSpaceDE/>
        <w:autoSpaceDN/>
        <w:adjustRightInd/>
        <w:spacing w:before="0"/>
        <w:textAlignment w:val="auto"/>
        <w:rPr>
          <w:lang w:val="fr-CH"/>
        </w:rPr>
      </w:pPr>
      <w:r>
        <w:rPr>
          <w:lang w:val="fr-CH"/>
        </w:rPr>
        <w:br w:type="page"/>
      </w:r>
    </w:p>
    <w:p w:rsidR="008A0ECF" w:rsidRDefault="00786E96" w:rsidP="00CA5E22">
      <w:pPr>
        <w:pStyle w:val="AnnexNo"/>
        <w:rPr>
          <w:lang w:val="fr-CH"/>
        </w:rPr>
      </w:pPr>
      <w:r>
        <w:rPr>
          <w:lang w:val="fr-CH"/>
        </w:rPr>
        <w:lastRenderedPageBreak/>
        <w:t>PI</w:t>
      </w:r>
      <w:r w:rsidR="00CA5E22">
        <w:rPr>
          <w:lang w:val="fr-CH"/>
        </w:rPr>
        <w:t>è</w:t>
      </w:r>
      <w:r>
        <w:rPr>
          <w:lang w:val="fr-CH"/>
        </w:rPr>
        <w:t>CE JOINTE</w:t>
      </w:r>
    </w:p>
    <w:p w:rsidR="00786E96" w:rsidRDefault="00786E96" w:rsidP="00AA7CFA">
      <w:pPr>
        <w:pStyle w:val="RecNo"/>
        <w:rPr>
          <w:lang w:val="fr-CH"/>
        </w:rPr>
      </w:pPr>
      <w:r>
        <w:rPr>
          <w:lang w:val="fr-CH"/>
        </w:rPr>
        <w:t>PROJET DE R</w:t>
      </w:r>
      <w:r w:rsidR="00AA7CFA">
        <w:rPr>
          <w:lang w:val="fr-CH"/>
        </w:rPr>
        <w:t>é</w:t>
      </w:r>
      <w:r>
        <w:rPr>
          <w:lang w:val="fr-CH"/>
        </w:rPr>
        <w:t>VISION DE LA RECOMMANDATION UIT-R M.1036-4</w:t>
      </w:r>
    </w:p>
    <w:p w:rsidR="00E90AFF" w:rsidRPr="00BB1A07" w:rsidRDefault="00E90AFF" w:rsidP="005B5FBB">
      <w:pPr>
        <w:pStyle w:val="Rectitle"/>
      </w:pPr>
      <w:r w:rsidRPr="00BB1A07">
        <w:t xml:space="preserve">Dispositions de fréquences applicables à la mise en œuvre de la composante de Terre des Télécommunications mobiles internationales (IMT) </w:t>
      </w:r>
      <w:r w:rsidRPr="00BB1A07">
        <w:br/>
        <w:t xml:space="preserve">dans les bandes identifiées pour les IMT dans le Règlement </w:t>
      </w:r>
      <w:r w:rsidRPr="00BB1A07">
        <w:br/>
        <w:t>des radiocommunications (RR)</w:t>
      </w:r>
    </w:p>
    <w:p w:rsidR="00E90AFF" w:rsidRDefault="00E90AFF" w:rsidP="0060467D">
      <w:pPr>
        <w:rPr>
          <w:i/>
          <w:iCs/>
          <w:lang w:val="fr-CH"/>
        </w:rPr>
      </w:pPr>
      <w:r>
        <w:rPr>
          <w:i/>
          <w:iCs/>
          <w:lang w:val="fr-CH"/>
        </w:rPr>
        <w:t>[</w:t>
      </w:r>
      <w:r w:rsidRPr="00E90AFF">
        <w:rPr>
          <w:i/>
          <w:iCs/>
          <w:lang w:val="fr-CH"/>
        </w:rPr>
        <w:t xml:space="preserve">Note </w:t>
      </w:r>
      <w:r w:rsidR="0060467D">
        <w:rPr>
          <w:i/>
          <w:iCs/>
          <w:lang w:val="fr-CH"/>
        </w:rPr>
        <w:t>rédactionnelle</w:t>
      </w:r>
      <w:r>
        <w:rPr>
          <w:i/>
          <w:iCs/>
          <w:lang w:val="fr-CH"/>
        </w:rPr>
        <w:t>: Aucune modification n</w:t>
      </w:r>
      <w:r w:rsidR="0060467D">
        <w:rPr>
          <w:i/>
          <w:iCs/>
          <w:lang w:val="fr-CH"/>
        </w:rPr>
        <w:t>'</w:t>
      </w:r>
      <w:r>
        <w:rPr>
          <w:i/>
          <w:iCs/>
          <w:lang w:val="fr-CH"/>
        </w:rPr>
        <w:t>est proposée pour le texte de base du projet de révision de la Recommandation UIT-R M.1036-4.]</w:t>
      </w:r>
    </w:p>
    <w:p w:rsidR="00786E96" w:rsidRDefault="00E90AFF" w:rsidP="005B5FBB">
      <w:pPr>
        <w:rPr>
          <w:i/>
          <w:iCs/>
          <w:lang w:val="fr-CH"/>
        </w:rPr>
      </w:pPr>
      <w:r>
        <w:rPr>
          <w:i/>
          <w:iCs/>
          <w:lang w:val="fr-CH"/>
        </w:rPr>
        <w:t>…</w:t>
      </w:r>
    </w:p>
    <w:p w:rsidR="00E90AFF" w:rsidRDefault="00E90AFF" w:rsidP="005B5FBB">
      <w:pPr>
        <w:pStyle w:val="AnnexNoTitle"/>
      </w:pPr>
      <w:r w:rsidRPr="00E90AFF">
        <w:t>Annexe 1</w:t>
      </w:r>
    </w:p>
    <w:p w:rsidR="00E90AFF" w:rsidRDefault="00E90AFF" w:rsidP="0060467D">
      <w:pPr>
        <w:rPr>
          <w:i/>
          <w:iCs/>
          <w:lang w:val="fr-CH"/>
        </w:rPr>
      </w:pPr>
      <w:r>
        <w:rPr>
          <w:i/>
          <w:iCs/>
          <w:lang w:val="fr-CH"/>
        </w:rPr>
        <w:t>[</w:t>
      </w:r>
      <w:r w:rsidRPr="00E90AFF">
        <w:rPr>
          <w:i/>
          <w:iCs/>
          <w:lang w:val="fr-CH"/>
        </w:rPr>
        <w:t xml:space="preserve">Note </w:t>
      </w:r>
      <w:r w:rsidR="0060467D">
        <w:rPr>
          <w:i/>
          <w:iCs/>
          <w:lang w:val="fr-CH"/>
        </w:rPr>
        <w:t>rédactionnelle</w:t>
      </w:r>
      <w:r>
        <w:rPr>
          <w:i/>
          <w:iCs/>
          <w:lang w:val="fr-CH"/>
        </w:rPr>
        <w:t xml:space="preserve">: </w:t>
      </w:r>
      <w:r w:rsidR="0060467D">
        <w:rPr>
          <w:i/>
          <w:iCs/>
          <w:lang w:val="fr-CH"/>
        </w:rPr>
        <w:t>C</w:t>
      </w:r>
      <w:r>
        <w:rPr>
          <w:i/>
          <w:iCs/>
          <w:lang w:val="fr-CH"/>
        </w:rPr>
        <w:t>oncernant le projet de révision de la Recommandation UIT-R M.1036-4</w:t>
      </w:r>
      <w:r w:rsidR="0060467D">
        <w:rPr>
          <w:i/>
          <w:iCs/>
          <w:lang w:val="fr-CH"/>
        </w:rPr>
        <w:t>, il est proposé de modifier</w:t>
      </w:r>
      <w:r>
        <w:rPr>
          <w:i/>
          <w:iCs/>
          <w:lang w:val="fr-CH"/>
        </w:rPr>
        <w:t xml:space="preserve"> uniquement la Section 3 de l</w:t>
      </w:r>
      <w:r w:rsidR="0060467D">
        <w:rPr>
          <w:i/>
          <w:iCs/>
          <w:lang w:val="fr-CH"/>
        </w:rPr>
        <w:t>'</w:t>
      </w:r>
      <w:r>
        <w:rPr>
          <w:i/>
          <w:iCs/>
          <w:lang w:val="fr-CH"/>
        </w:rPr>
        <w:t>Annexe 1.]</w:t>
      </w:r>
    </w:p>
    <w:p w:rsidR="00E90AFF" w:rsidRPr="00701606" w:rsidRDefault="00E90AFF" w:rsidP="00AA7CFA">
      <w:pPr>
        <w:pStyle w:val="Proposal"/>
        <w:rPr>
          <w:b/>
          <w:bCs/>
          <w:lang w:val="fr-CH"/>
        </w:rPr>
      </w:pPr>
      <w:r w:rsidRPr="00701606">
        <w:rPr>
          <w:b/>
          <w:bCs/>
          <w:u w:val="single"/>
          <w:lang w:val="fr-CH"/>
        </w:rPr>
        <w:t>NOC</w:t>
      </w:r>
      <w:r w:rsidRPr="00701606">
        <w:rPr>
          <w:b/>
          <w:bCs/>
          <w:lang w:val="fr-CH"/>
        </w:rPr>
        <w:tab/>
        <w:t>RCC/XA</w:t>
      </w:r>
      <w:r w:rsidR="00AA7CFA" w:rsidRPr="00701606">
        <w:rPr>
          <w:b/>
          <w:bCs/>
          <w:lang w:val="fr-CH"/>
        </w:rPr>
        <w:t>1</w:t>
      </w:r>
      <w:r w:rsidRPr="00701606">
        <w:rPr>
          <w:b/>
          <w:bCs/>
          <w:lang w:val="fr-CH"/>
        </w:rPr>
        <w:t>/1</w:t>
      </w:r>
    </w:p>
    <w:p w:rsidR="00E90AFF" w:rsidRPr="0051088B" w:rsidRDefault="00E90AFF" w:rsidP="005B5FBB">
      <w:pPr>
        <w:pStyle w:val="Sectiontitle"/>
        <w:rPr>
          <w:lang w:val="fr-CH"/>
        </w:rPr>
      </w:pPr>
      <w:r w:rsidRPr="000C3E8D">
        <w:rPr>
          <w:lang w:val="fr-CH"/>
        </w:rPr>
        <w:t>Section 3</w:t>
      </w:r>
      <w:r>
        <w:rPr>
          <w:lang w:val="fr-CH"/>
        </w:rPr>
        <w:br/>
      </w:r>
      <w:r>
        <w:rPr>
          <w:lang w:val="fr-CH"/>
        </w:rPr>
        <w:br/>
      </w:r>
      <w:r w:rsidRPr="00804CD0">
        <w:t>Dispositions de fréquences dans la bande 1 710</w:t>
      </w:r>
      <w:r w:rsidRPr="00804CD0">
        <w:noBreakHyphen/>
        <w:t>2 200 MHz</w:t>
      </w:r>
      <w:r w:rsidRPr="00804CD0">
        <w:rPr>
          <w:position w:val="6"/>
          <w:sz w:val="18"/>
        </w:rPr>
        <w:footnoteReference w:id="1"/>
      </w:r>
    </w:p>
    <w:p w:rsidR="00E90AFF" w:rsidRPr="00804CD0" w:rsidRDefault="00E90AFF" w:rsidP="00CA5E22">
      <w:r w:rsidRPr="00804CD0">
        <w:t>Les dispositions de fréquences recommandées pour la mise en oeuvre des IMT dans la bande 1 710</w:t>
      </w:r>
      <w:r w:rsidR="00A824D3">
        <w:noBreakHyphen/>
      </w:r>
      <w:r w:rsidRPr="00804CD0">
        <w:t>2 200 MHz sont récapitulées au Tableau 4 et à la Fig</w:t>
      </w:r>
      <w:r w:rsidR="00CA5E22">
        <w:t>.</w:t>
      </w:r>
      <w:r w:rsidRPr="00804CD0">
        <w:t xml:space="preserve"> 4, en tenant compte des lignes directrices figurant à l'Annexe 1 ci-dessus.</w:t>
      </w:r>
    </w:p>
    <w:p w:rsidR="00E90AFF" w:rsidRPr="00804CD0" w:rsidRDefault="00E90AFF" w:rsidP="005B5FBB">
      <w:pPr>
        <w:pStyle w:val="TableNo"/>
      </w:pPr>
      <w:r w:rsidRPr="00804CD0">
        <w:t>TABLEAU 4</w:t>
      </w:r>
    </w:p>
    <w:p w:rsidR="00E90AFF" w:rsidRPr="00804CD0" w:rsidRDefault="00E90AFF" w:rsidP="005B5FBB">
      <w:pPr>
        <w:pStyle w:val="Tabletitle"/>
      </w:pPr>
      <w:r w:rsidRPr="00804CD0">
        <w:t>Dispositions de fréquences dans la bande 1 710-2 200 MHz</w:t>
      </w:r>
    </w:p>
    <w:tbl>
      <w:tblPr>
        <w:tblW w:w="96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1701"/>
        <w:gridCol w:w="1276"/>
        <w:gridCol w:w="1559"/>
        <w:gridCol w:w="1360"/>
        <w:gridCol w:w="1480"/>
        <w:gridCol w:w="26"/>
      </w:tblGrid>
      <w:tr w:rsidR="00E90AFF" w:rsidRPr="00804CD0" w:rsidTr="003C05D0">
        <w:trPr>
          <w:gridAfter w:val="1"/>
          <w:wAfter w:w="21" w:type="dxa"/>
          <w:jc w:val="center"/>
        </w:trPr>
        <w:tc>
          <w:tcPr>
            <w:tcW w:w="2263" w:type="dxa"/>
            <w:vMerge w:val="restart"/>
            <w:vAlign w:val="center"/>
          </w:tcPr>
          <w:p w:rsidR="00E90AFF" w:rsidRPr="00804CD0" w:rsidRDefault="00E90AFF" w:rsidP="005B5FBB">
            <w:pPr>
              <w:pStyle w:val="Tablehead"/>
            </w:pPr>
            <w:r w:rsidRPr="00804CD0">
              <w:t>Dispositions de</w:t>
            </w:r>
            <w:r w:rsidRPr="00804CD0">
              <w:br/>
              <w:t>fréquences</w:t>
            </w:r>
          </w:p>
        </w:tc>
        <w:tc>
          <w:tcPr>
            <w:tcW w:w="5896" w:type="dxa"/>
            <w:gridSpan w:val="4"/>
            <w:vAlign w:val="center"/>
          </w:tcPr>
          <w:p w:rsidR="00E90AFF" w:rsidRPr="00804CD0" w:rsidRDefault="00E90AFF" w:rsidP="005B5FBB">
            <w:pPr>
              <w:pStyle w:val="Tablehead"/>
            </w:pPr>
            <w:r w:rsidRPr="00804CD0">
              <w:t>Dispositions appariées</w:t>
            </w:r>
          </w:p>
        </w:tc>
        <w:tc>
          <w:tcPr>
            <w:tcW w:w="1480" w:type="dxa"/>
            <w:vMerge w:val="restart"/>
            <w:vAlign w:val="center"/>
          </w:tcPr>
          <w:p w:rsidR="00E90AFF" w:rsidRPr="00804CD0" w:rsidRDefault="00E90AFF" w:rsidP="005B5FBB">
            <w:pPr>
              <w:pStyle w:val="Tablehead"/>
              <w:rPr>
                <w:lang w:val="fr-CH"/>
              </w:rPr>
            </w:pPr>
            <w:r w:rsidRPr="00804CD0">
              <w:rPr>
                <w:lang w:val="fr-CH"/>
              </w:rPr>
              <w:t xml:space="preserve">Spectre non apparié </w:t>
            </w:r>
            <w:r w:rsidRPr="00804CD0">
              <w:rPr>
                <w:lang w:val="fr-CH"/>
              </w:rPr>
              <w:br/>
              <w:t>(exemple pour le DRT)</w:t>
            </w:r>
            <w:r w:rsidRPr="00804CD0">
              <w:rPr>
                <w:lang w:val="fr-CH"/>
              </w:rPr>
              <w:br/>
              <w:t>(MHz)</w:t>
            </w:r>
          </w:p>
        </w:tc>
      </w:tr>
      <w:tr w:rsidR="00E90AFF" w:rsidRPr="00804CD0" w:rsidTr="003C05D0">
        <w:trPr>
          <w:gridAfter w:val="1"/>
          <w:wAfter w:w="21" w:type="dxa"/>
          <w:jc w:val="center"/>
        </w:trPr>
        <w:tc>
          <w:tcPr>
            <w:tcW w:w="2263" w:type="dxa"/>
            <w:vMerge/>
            <w:vAlign w:val="center"/>
          </w:tcPr>
          <w:p w:rsidR="00E90AFF" w:rsidRPr="00804CD0" w:rsidRDefault="00E90AFF" w:rsidP="005B5FBB">
            <w:pPr>
              <w:pStyle w:val="Tablehead"/>
              <w:rPr>
                <w:rFonts w:ascii="Times New Roman Bold" w:hAnsi="Times New Roman Bold"/>
                <w:lang w:val="fr-CH"/>
              </w:rPr>
            </w:pPr>
          </w:p>
        </w:tc>
        <w:tc>
          <w:tcPr>
            <w:tcW w:w="1701" w:type="dxa"/>
            <w:vAlign w:val="center"/>
          </w:tcPr>
          <w:p w:rsidR="00E90AFF" w:rsidRPr="00804CD0" w:rsidRDefault="00E90AFF" w:rsidP="005B5FBB">
            <w:pPr>
              <w:pStyle w:val="Tablehead"/>
            </w:pPr>
            <w:r w:rsidRPr="00804CD0">
              <w:t>Emetteur de la station mobile</w:t>
            </w:r>
            <w:r w:rsidRPr="00804CD0">
              <w:br/>
              <w:t>(MHz)</w:t>
            </w:r>
          </w:p>
        </w:tc>
        <w:tc>
          <w:tcPr>
            <w:tcW w:w="1276" w:type="dxa"/>
            <w:vAlign w:val="center"/>
          </w:tcPr>
          <w:p w:rsidR="00E90AFF" w:rsidRPr="00804CD0" w:rsidRDefault="00E90AFF" w:rsidP="005B5FBB">
            <w:pPr>
              <w:pStyle w:val="Tablehead"/>
            </w:pPr>
            <w:r w:rsidRPr="00804CD0">
              <w:t>Intervalle</w:t>
            </w:r>
            <w:r w:rsidRPr="00804CD0">
              <w:br/>
              <w:t>central</w:t>
            </w:r>
            <w:r w:rsidRPr="00804CD0">
              <w:br/>
              <w:t>(MHz)</w:t>
            </w:r>
          </w:p>
        </w:tc>
        <w:tc>
          <w:tcPr>
            <w:tcW w:w="1559" w:type="dxa"/>
            <w:vAlign w:val="center"/>
          </w:tcPr>
          <w:p w:rsidR="00E90AFF" w:rsidRPr="00804CD0" w:rsidRDefault="00E90AFF" w:rsidP="005B5FBB">
            <w:pPr>
              <w:pStyle w:val="Tablehead"/>
            </w:pPr>
            <w:r w:rsidRPr="00804CD0">
              <w:t>Emetteur de la station de base</w:t>
            </w:r>
            <w:r w:rsidRPr="00804CD0">
              <w:br/>
              <w:t>(MHz)</w:t>
            </w:r>
          </w:p>
        </w:tc>
        <w:tc>
          <w:tcPr>
            <w:tcW w:w="1360" w:type="dxa"/>
            <w:vAlign w:val="center"/>
          </w:tcPr>
          <w:p w:rsidR="00E90AFF" w:rsidRPr="00804CD0" w:rsidRDefault="00E90AFF" w:rsidP="005B5FBB">
            <w:pPr>
              <w:pStyle w:val="Tablehead"/>
            </w:pPr>
            <w:r w:rsidRPr="00804CD0">
              <w:t xml:space="preserve">Espacement duplex </w:t>
            </w:r>
            <w:r w:rsidRPr="00804CD0">
              <w:br/>
              <w:t>(MHz)</w:t>
            </w:r>
          </w:p>
        </w:tc>
        <w:tc>
          <w:tcPr>
            <w:tcW w:w="1480" w:type="dxa"/>
            <w:vMerge/>
            <w:vAlign w:val="center"/>
          </w:tcPr>
          <w:p w:rsidR="00E90AFF" w:rsidRPr="00804CD0" w:rsidRDefault="00E90AFF" w:rsidP="005B5FBB">
            <w:pPr>
              <w:pStyle w:val="Tablehead"/>
              <w:rPr>
                <w:rFonts w:ascii="Times New Roman Bold" w:hAnsi="Times New Roman Bold"/>
              </w:rPr>
            </w:pPr>
          </w:p>
        </w:tc>
      </w:tr>
      <w:tr w:rsidR="00E90AFF" w:rsidRPr="00804CD0" w:rsidTr="003C05D0">
        <w:trPr>
          <w:gridAfter w:val="1"/>
          <w:wAfter w:w="21" w:type="dxa"/>
          <w:jc w:val="center"/>
        </w:trPr>
        <w:tc>
          <w:tcPr>
            <w:tcW w:w="2263" w:type="dxa"/>
          </w:tcPr>
          <w:p w:rsidR="00E90AFF" w:rsidRPr="00804CD0" w:rsidRDefault="00E90AFF" w:rsidP="005B5FBB">
            <w:pPr>
              <w:pStyle w:val="Tabletext"/>
              <w:jc w:val="center"/>
            </w:pPr>
            <w:r w:rsidRPr="00804CD0">
              <w:t>B1</w:t>
            </w:r>
          </w:p>
        </w:tc>
        <w:tc>
          <w:tcPr>
            <w:tcW w:w="1701" w:type="dxa"/>
          </w:tcPr>
          <w:p w:rsidR="00E90AFF" w:rsidRPr="00804CD0" w:rsidRDefault="00E90AFF" w:rsidP="005B5FBB">
            <w:pPr>
              <w:pStyle w:val="Tabletext"/>
              <w:jc w:val="center"/>
            </w:pPr>
            <w:r w:rsidRPr="00804CD0">
              <w:t>1 920-1 980</w:t>
            </w:r>
          </w:p>
        </w:tc>
        <w:tc>
          <w:tcPr>
            <w:tcW w:w="1276" w:type="dxa"/>
          </w:tcPr>
          <w:p w:rsidR="00E90AFF" w:rsidRPr="00804CD0" w:rsidRDefault="00E90AFF" w:rsidP="005B5FBB">
            <w:pPr>
              <w:pStyle w:val="Tabletext"/>
              <w:jc w:val="center"/>
            </w:pPr>
            <w:r w:rsidRPr="00804CD0">
              <w:t>130</w:t>
            </w:r>
          </w:p>
        </w:tc>
        <w:tc>
          <w:tcPr>
            <w:tcW w:w="1559" w:type="dxa"/>
          </w:tcPr>
          <w:p w:rsidR="00E90AFF" w:rsidRPr="00804CD0" w:rsidRDefault="00E90AFF" w:rsidP="005B5FBB">
            <w:pPr>
              <w:pStyle w:val="Tabletext"/>
              <w:jc w:val="center"/>
            </w:pPr>
            <w:r w:rsidRPr="00804CD0">
              <w:t>2 110-2 170</w:t>
            </w:r>
          </w:p>
        </w:tc>
        <w:tc>
          <w:tcPr>
            <w:tcW w:w="1360" w:type="dxa"/>
          </w:tcPr>
          <w:p w:rsidR="00E90AFF" w:rsidRPr="00804CD0" w:rsidRDefault="00E90AFF" w:rsidP="005B5FBB">
            <w:pPr>
              <w:pStyle w:val="Tabletext"/>
              <w:jc w:val="center"/>
            </w:pPr>
            <w:r w:rsidRPr="00804CD0">
              <w:t>190</w:t>
            </w:r>
          </w:p>
        </w:tc>
        <w:tc>
          <w:tcPr>
            <w:tcW w:w="1480" w:type="dxa"/>
          </w:tcPr>
          <w:p w:rsidR="00E90AFF" w:rsidRPr="00804CD0" w:rsidRDefault="00E90AFF" w:rsidP="005B5FBB">
            <w:pPr>
              <w:pStyle w:val="Tabletext"/>
              <w:jc w:val="center"/>
            </w:pPr>
            <w:r w:rsidRPr="00804CD0">
              <w:t>1 880-1 920;</w:t>
            </w:r>
            <w:r w:rsidRPr="00804CD0">
              <w:br/>
              <w:t>2 010-2 025</w:t>
            </w:r>
          </w:p>
        </w:tc>
      </w:tr>
      <w:tr w:rsidR="00E90AFF" w:rsidRPr="00804CD0" w:rsidTr="003C05D0">
        <w:trPr>
          <w:gridAfter w:val="1"/>
          <w:wAfter w:w="21" w:type="dxa"/>
          <w:jc w:val="center"/>
        </w:trPr>
        <w:tc>
          <w:tcPr>
            <w:tcW w:w="2263" w:type="dxa"/>
          </w:tcPr>
          <w:p w:rsidR="00E90AFF" w:rsidRPr="00804CD0" w:rsidRDefault="00E90AFF" w:rsidP="005B5FBB">
            <w:pPr>
              <w:pStyle w:val="Tabletext"/>
              <w:jc w:val="center"/>
            </w:pPr>
            <w:r w:rsidRPr="00804CD0">
              <w:t>B2</w:t>
            </w:r>
          </w:p>
        </w:tc>
        <w:tc>
          <w:tcPr>
            <w:tcW w:w="1701" w:type="dxa"/>
          </w:tcPr>
          <w:p w:rsidR="00E90AFF" w:rsidRPr="00804CD0" w:rsidRDefault="00E90AFF" w:rsidP="005B5FBB">
            <w:pPr>
              <w:pStyle w:val="Tabletext"/>
              <w:jc w:val="center"/>
            </w:pPr>
            <w:r w:rsidRPr="00804CD0">
              <w:t>1 710-1 785</w:t>
            </w:r>
          </w:p>
        </w:tc>
        <w:tc>
          <w:tcPr>
            <w:tcW w:w="1276" w:type="dxa"/>
          </w:tcPr>
          <w:p w:rsidR="00E90AFF" w:rsidRPr="00804CD0" w:rsidRDefault="00E90AFF" w:rsidP="005B5FBB">
            <w:pPr>
              <w:pStyle w:val="Tabletext"/>
              <w:jc w:val="center"/>
            </w:pPr>
            <w:r w:rsidRPr="00804CD0">
              <w:t>20</w:t>
            </w:r>
          </w:p>
        </w:tc>
        <w:tc>
          <w:tcPr>
            <w:tcW w:w="1559" w:type="dxa"/>
          </w:tcPr>
          <w:p w:rsidR="00E90AFF" w:rsidRPr="00804CD0" w:rsidRDefault="00E90AFF" w:rsidP="005B5FBB">
            <w:pPr>
              <w:pStyle w:val="Tabletext"/>
              <w:jc w:val="center"/>
            </w:pPr>
            <w:r w:rsidRPr="00804CD0">
              <w:t>1 805-1 880</w:t>
            </w:r>
          </w:p>
        </w:tc>
        <w:tc>
          <w:tcPr>
            <w:tcW w:w="1360" w:type="dxa"/>
          </w:tcPr>
          <w:p w:rsidR="00E90AFF" w:rsidRPr="00804CD0" w:rsidRDefault="00E90AFF" w:rsidP="005B5FBB">
            <w:pPr>
              <w:pStyle w:val="Tabletext"/>
              <w:jc w:val="center"/>
            </w:pPr>
            <w:r w:rsidRPr="00804CD0">
              <w:t>95</w:t>
            </w:r>
          </w:p>
        </w:tc>
        <w:tc>
          <w:tcPr>
            <w:tcW w:w="1480" w:type="dxa"/>
          </w:tcPr>
          <w:p w:rsidR="00E90AFF" w:rsidRPr="00804CD0" w:rsidRDefault="00E90AFF" w:rsidP="005B5FBB">
            <w:pPr>
              <w:pStyle w:val="Tabletext"/>
              <w:jc w:val="center"/>
            </w:pPr>
            <w:r w:rsidRPr="00804CD0">
              <w:t>Néant</w:t>
            </w:r>
          </w:p>
        </w:tc>
      </w:tr>
      <w:tr w:rsidR="00E90AFF" w:rsidRPr="00804CD0" w:rsidTr="003C05D0">
        <w:trPr>
          <w:gridAfter w:val="1"/>
          <w:wAfter w:w="21" w:type="dxa"/>
          <w:jc w:val="center"/>
        </w:trPr>
        <w:tc>
          <w:tcPr>
            <w:tcW w:w="2263" w:type="dxa"/>
          </w:tcPr>
          <w:p w:rsidR="00E90AFF" w:rsidRPr="00804CD0" w:rsidRDefault="00E90AFF" w:rsidP="005B5FBB">
            <w:pPr>
              <w:pStyle w:val="Tabletext"/>
              <w:jc w:val="center"/>
            </w:pPr>
            <w:r w:rsidRPr="00804CD0">
              <w:t>B3</w:t>
            </w:r>
          </w:p>
        </w:tc>
        <w:tc>
          <w:tcPr>
            <w:tcW w:w="1701" w:type="dxa"/>
          </w:tcPr>
          <w:p w:rsidR="00E90AFF" w:rsidRPr="00804CD0" w:rsidRDefault="00E90AFF" w:rsidP="005B5FBB">
            <w:pPr>
              <w:pStyle w:val="Tabletext"/>
              <w:jc w:val="center"/>
            </w:pPr>
            <w:r w:rsidRPr="00804CD0">
              <w:t>1 850-1 910</w:t>
            </w:r>
          </w:p>
        </w:tc>
        <w:tc>
          <w:tcPr>
            <w:tcW w:w="1276" w:type="dxa"/>
          </w:tcPr>
          <w:p w:rsidR="00E90AFF" w:rsidRPr="00804CD0" w:rsidRDefault="00E90AFF" w:rsidP="005B5FBB">
            <w:pPr>
              <w:pStyle w:val="Tabletext"/>
              <w:jc w:val="center"/>
            </w:pPr>
            <w:r w:rsidRPr="00804CD0">
              <w:t>20</w:t>
            </w:r>
          </w:p>
        </w:tc>
        <w:tc>
          <w:tcPr>
            <w:tcW w:w="1559" w:type="dxa"/>
          </w:tcPr>
          <w:p w:rsidR="00E90AFF" w:rsidRPr="00804CD0" w:rsidRDefault="00E90AFF" w:rsidP="005B5FBB">
            <w:pPr>
              <w:pStyle w:val="Tabletext"/>
              <w:jc w:val="center"/>
            </w:pPr>
            <w:r w:rsidRPr="00804CD0">
              <w:t>1 930-1 990</w:t>
            </w:r>
          </w:p>
        </w:tc>
        <w:tc>
          <w:tcPr>
            <w:tcW w:w="1360" w:type="dxa"/>
          </w:tcPr>
          <w:p w:rsidR="00E90AFF" w:rsidRPr="00804CD0" w:rsidRDefault="00E90AFF" w:rsidP="005B5FBB">
            <w:pPr>
              <w:pStyle w:val="Tabletext"/>
              <w:jc w:val="center"/>
            </w:pPr>
            <w:r w:rsidRPr="00804CD0">
              <w:t>80</w:t>
            </w:r>
          </w:p>
        </w:tc>
        <w:tc>
          <w:tcPr>
            <w:tcW w:w="1480" w:type="dxa"/>
          </w:tcPr>
          <w:p w:rsidR="00E90AFF" w:rsidRPr="00804CD0" w:rsidRDefault="00E90AFF" w:rsidP="005B5FBB">
            <w:pPr>
              <w:pStyle w:val="Tabletext"/>
              <w:jc w:val="center"/>
            </w:pPr>
            <w:r w:rsidRPr="00804CD0">
              <w:t>1 910-1 930</w:t>
            </w:r>
          </w:p>
        </w:tc>
      </w:tr>
      <w:tr w:rsidR="00E90AFF" w:rsidRPr="00804CD0" w:rsidTr="003C05D0">
        <w:trPr>
          <w:gridAfter w:val="1"/>
          <w:wAfter w:w="21" w:type="dxa"/>
          <w:jc w:val="center"/>
        </w:trPr>
        <w:tc>
          <w:tcPr>
            <w:tcW w:w="2263" w:type="dxa"/>
          </w:tcPr>
          <w:p w:rsidR="00E90AFF" w:rsidRPr="00804CD0" w:rsidRDefault="00E90AFF" w:rsidP="005B5FBB">
            <w:pPr>
              <w:pStyle w:val="Tabletext"/>
              <w:jc w:val="center"/>
              <w:rPr>
                <w:lang w:val="fr-CH"/>
              </w:rPr>
            </w:pPr>
            <w:r w:rsidRPr="00804CD0">
              <w:rPr>
                <w:lang w:val="fr-CH"/>
              </w:rPr>
              <w:t>B4 (harmonisée avec</w:t>
            </w:r>
            <w:r w:rsidRPr="00804CD0">
              <w:rPr>
                <w:lang w:val="fr-CH"/>
              </w:rPr>
              <w:br/>
              <w:t>B1 et B2)</w:t>
            </w:r>
          </w:p>
        </w:tc>
        <w:tc>
          <w:tcPr>
            <w:tcW w:w="1701" w:type="dxa"/>
          </w:tcPr>
          <w:p w:rsidR="00E90AFF" w:rsidRPr="00804CD0" w:rsidRDefault="00E90AFF" w:rsidP="005B5FBB">
            <w:pPr>
              <w:pStyle w:val="Tabletext"/>
              <w:jc w:val="center"/>
            </w:pPr>
            <w:r w:rsidRPr="00804CD0">
              <w:t>1 710-1 785</w:t>
            </w:r>
            <w:r w:rsidRPr="00804CD0">
              <w:br/>
              <w:t>1 920-1 980</w:t>
            </w:r>
          </w:p>
        </w:tc>
        <w:tc>
          <w:tcPr>
            <w:tcW w:w="1276" w:type="dxa"/>
          </w:tcPr>
          <w:p w:rsidR="00E90AFF" w:rsidRPr="00804CD0" w:rsidRDefault="00E90AFF" w:rsidP="005B5FBB">
            <w:pPr>
              <w:pStyle w:val="Tabletext"/>
              <w:jc w:val="center"/>
            </w:pPr>
            <w:r w:rsidRPr="00804CD0">
              <w:t>20</w:t>
            </w:r>
            <w:r w:rsidRPr="00804CD0">
              <w:br/>
              <w:t>130</w:t>
            </w:r>
          </w:p>
        </w:tc>
        <w:tc>
          <w:tcPr>
            <w:tcW w:w="1559" w:type="dxa"/>
          </w:tcPr>
          <w:p w:rsidR="00E90AFF" w:rsidRPr="00804CD0" w:rsidRDefault="00E90AFF" w:rsidP="005B5FBB">
            <w:pPr>
              <w:pStyle w:val="Tabletext"/>
              <w:jc w:val="center"/>
            </w:pPr>
            <w:r w:rsidRPr="00804CD0">
              <w:t>1 805-1 880</w:t>
            </w:r>
            <w:r w:rsidRPr="00804CD0">
              <w:br/>
              <w:t>2 110-2 170</w:t>
            </w:r>
          </w:p>
        </w:tc>
        <w:tc>
          <w:tcPr>
            <w:tcW w:w="1360" w:type="dxa"/>
          </w:tcPr>
          <w:p w:rsidR="00E90AFF" w:rsidRPr="00804CD0" w:rsidRDefault="00E90AFF" w:rsidP="005B5FBB">
            <w:pPr>
              <w:pStyle w:val="Tabletext"/>
              <w:jc w:val="center"/>
            </w:pPr>
            <w:r w:rsidRPr="00804CD0">
              <w:t>95</w:t>
            </w:r>
            <w:r w:rsidRPr="00804CD0">
              <w:br/>
              <w:t>190</w:t>
            </w:r>
          </w:p>
        </w:tc>
        <w:tc>
          <w:tcPr>
            <w:tcW w:w="1480" w:type="dxa"/>
          </w:tcPr>
          <w:p w:rsidR="00E90AFF" w:rsidRPr="00804CD0" w:rsidRDefault="00E90AFF" w:rsidP="005B5FBB">
            <w:pPr>
              <w:pStyle w:val="Tabletext"/>
              <w:jc w:val="center"/>
            </w:pPr>
            <w:r w:rsidRPr="00804CD0">
              <w:t>1 880-1 920;</w:t>
            </w:r>
            <w:r w:rsidRPr="00804CD0">
              <w:br/>
              <w:t>2 010-2 025</w:t>
            </w:r>
          </w:p>
        </w:tc>
      </w:tr>
      <w:tr w:rsidR="00E90AFF" w:rsidRPr="00804CD0" w:rsidTr="003C05D0">
        <w:trPr>
          <w:gridAfter w:val="1"/>
          <w:wAfter w:w="21" w:type="dxa"/>
          <w:jc w:val="center"/>
        </w:trPr>
        <w:tc>
          <w:tcPr>
            <w:tcW w:w="2263" w:type="dxa"/>
          </w:tcPr>
          <w:p w:rsidR="00E90AFF" w:rsidRPr="00804CD0" w:rsidRDefault="00E90AFF" w:rsidP="005B5FBB">
            <w:pPr>
              <w:pStyle w:val="Tabletext"/>
              <w:jc w:val="center"/>
              <w:rPr>
                <w:lang w:val="fr-CH"/>
              </w:rPr>
            </w:pPr>
            <w:r w:rsidRPr="00804CD0">
              <w:rPr>
                <w:lang w:val="fr-CH"/>
              </w:rPr>
              <w:t xml:space="preserve">B5 (harmonisée avec B3 et des parties de B1 </w:t>
            </w:r>
            <w:r w:rsidRPr="00804CD0">
              <w:rPr>
                <w:lang w:val="fr-CH"/>
              </w:rPr>
              <w:br/>
              <w:t>et B2)</w:t>
            </w:r>
          </w:p>
        </w:tc>
        <w:tc>
          <w:tcPr>
            <w:tcW w:w="1701" w:type="dxa"/>
          </w:tcPr>
          <w:p w:rsidR="00E90AFF" w:rsidRPr="00804CD0" w:rsidRDefault="00E90AFF" w:rsidP="005B5FBB">
            <w:pPr>
              <w:pStyle w:val="Tabletext"/>
              <w:jc w:val="center"/>
            </w:pPr>
            <w:r w:rsidRPr="00804CD0">
              <w:t>1 850-1 910</w:t>
            </w:r>
            <w:r w:rsidRPr="00804CD0">
              <w:br/>
              <w:t>1 710-1 770</w:t>
            </w:r>
          </w:p>
        </w:tc>
        <w:tc>
          <w:tcPr>
            <w:tcW w:w="1276" w:type="dxa"/>
          </w:tcPr>
          <w:p w:rsidR="00E90AFF" w:rsidRPr="00804CD0" w:rsidRDefault="00E90AFF" w:rsidP="005B5FBB">
            <w:pPr>
              <w:pStyle w:val="Tabletext"/>
              <w:jc w:val="center"/>
            </w:pPr>
            <w:r w:rsidRPr="00804CD0">
              <w:t>20</w:t>
            </w:r>
            <w:r w:rsidRPr="00804CD0">
              <w:br/>
              <w:t>340</w:t>
            </w:r>
          </w:p>
        </w:tc>
        <w:tc>
          <w:tcPr>
            <w:tcW w:w="1559" w:type="dxa"/>
          </w:tcPr>
          <w:p w:rsidR="00E90AFF" w:rsidRPr="00804CD0" w:rsidRDefault="00E90AFF" w:rsidP="005B5FBB">
            <w:pPr>
              <w:pStyle w:val="Tabletext"/>
              <w:jc w:val="center"/>
            </w:pPr>
            <w:r w:rsidRPr="00804CD0">
              <w:t>1 930-1 990</w:t>
            </w:r>
            <w:r w:rsidRPr="00804CD0">
              <w:br/>
              <w:t>2 110-2 170</w:t>
            </w:r>
          </w:p>
        </w:tc>
        <w:tc>
          <w:tcPr>
            <w:tcW w:w="1360" w:type="dxa"/>
          </w:tcPr>
          <w:p w:rsidR="00E90AFF" w:rsidRPr="00804CD0" w:rsidRDefault="00E90AFF" w:rsidP="005B5FBB">
            <w:pPr>
              <w:pStyle w:val="Tabletext"/>
              <w:jc w:val="center"/>
            </w:pPr>
            <w:r w:rsidRPr="00804CD0">
              <w:t>80</w:t>
            </w:r>
            <w:r w:rsidRPr="00804CD0">
              <w:br/>
              <w:t>400</w:t>
            </w:r>
          </w:p>
        </w:tc>
        <w:tc>
          <w:tcPr>
            <w:tcW w:w="1480" w:type="dxa"/>
          </w:tcPr>
          <w:p w:rsidR="00E90AFF" w:rsidRPr="00804CD0" w:rsidRDefault="00E90AFF" w:rsidP="005B5FBB">
            <w:pPr>
              <w:pStyle w:val="Tabletext"/>
              <w:jc w:val="center"/>
            </w:pPr>
            <w:r w:rsidRPr="00804CD0">
              <w:t>1 910-1 930</w:t>
            </w:r>
          </w:p>
        </w:tc>
      </w:tr>
      <w:tr w:rsidR="00E90AFF" w:rsidRPr="00804CD0" w:rsidTr="003C05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jc w:val="center"/>
        </w:trPr>
        <w:tc>
          <w:tcPr>
            <w:tcW w:w="9665" w:type="dxa"/>
            <w:gridSpan w:val="7"/>
            <w:tcMar>
              <w:top w:w="0" w:type="dxa"/>
              <w:left w:w="108" w:type="dxa"/>
              <w:bottom w:w="0" w:type="dxa"/>
              <w:right w:w="108" w:type="dxa"/>
            </w:tcMar>
          </w:tcPr>
          <w:p w:rsidR="00B92F12" w:rsidRPr="00DA52D1" w:rsidRDefault="00B92F12" w:rsidP="00B92F12">
            <w:pPr>
              <w:rPr>
                <w:i/>
                <w:iCs/>
                <w:sz w:val="22"/>
                <w:szCs w:val="22"/>
                <w:lang w:val="fr-CH"/>
              </w:rPr>
            </w:pPr>
            <w:r w:rsidRPr="00DA52D1">
              <w:rPr>
                <w:i/>
                <w:iCs/>
                <w:sz w:val="22"/>
                <w:szCs w:val="22"/>
              </w:rPr>
              <w:t>Notes concernant le Tableau 4:</w:t>
            </w:r>
          </w:p>
          <w:p w:rsidR="00E90AFF" w:rsidRPr="00DA52D1" w:rsidRDefault="00E90AFF" w:rsidP="00B92F12">
            <w:pPr>
              <w:pStyle w:val="Note"/>
              <w:rPr>
                <w:sz w:val="22"/>
                <w:szCs w:val="22"/>
                <w:lang w:val="fr-CH"/>
              </w:rPr>
            </w:pPr>
            <w:r w:rsidRPr="00DA52D1">
              <w:rPr>
                <w:sz w:val="22"/>
                <w:szCs w:val="22"/>
                <w:lang w:val="fr-CH"/>
              </w:rPr>
              <w:t>NOTE 1 – Dans les bandes 1</w:t>
            </w:r>
            <w:r w:rsidRPr="00DA52D1">
              <w:rPr>
                <w:rFonts w:ascii="Tms Rmn" w:hAnsi="Tms Rmn"/>
                <w:sz w:val="22"/>
                <w:szCs w:val="22"/>
                <w:lang w:val="fr-CH"/>
              </w:rPr>
              <w:t> </w:t>
            </w:r>
            <w:r w:rsidRPr="00DA52D1">
              <w:rPr>
                <w:sz w:val="22"/>
                <w:szCs w:val="22"/>
                <w:lang w:val="fr-CH"/>
              </w:rPr>
              <w:t>710-2</w:t>
            </w:r>
            <w:r w:rsidRPr="00DA52D1">
              <w:rPr>
                <w:rFonts w:ascii="Tms Rmn" w:hAnsi="Tms Rmn"/>
                <w:sz w:val="22"/>
                <w:szCs w:val="22"/>
                <w:lang w:val="fr-CH"/>
              </w:rPr>
              <w:t> </w:t>
            </w:r>
            <w:r w:rsidRPr="00DA52D1">
              <w:rPr>
                <w:sz w:val="22"/>
                <w:szCs w:val="22"/>
                <w:lang w:val="fr-CH"/>
              </w:rPr>
              <w:t>025 et 2</w:t>
            </w:r>
            <w:r w:rsidRPr="00DA52D1">
              <w:rPr>
                <w:rFonts w:ascii="Tms Rmn" w:hAnsi="Tms Rmn"/>
                <w:sz w:val="22"/>
                <w:szCs w:val="22"/>
                <w:lang w:val="fr-CH"/>
              </w:rPr>
              <w:t> </w:t>
            </w:r>
            <w:r w:rsidRPr="00DA52D1">
              <w:rPr>
                <w:sz w:val="22"/>
                <w:szCs w:val="22"/>
                <w:lang w:val="fr-CH"/>
              </w:rPr>
              <w:t>110-2</w:t>
            </w:r>
            <w:r w:rsidRPr="00DA52D1">
              <w:rPr>
                <w:rFonts w:ascii="Tms Rmn" w:hAnsi="Tms Rmn"/>
                <w:sz w:val="22"/>
                <w:szCs w:val="22"/>
                <w:lang w:val="fr-CH"/>
              </w:rPr>
              <w:t> </w:t>
            </w:r>
            <w:r w:rsidRPr="00DA52D1">
              <w:rPr>
                <w:sz w:val="22"/>
                <w:szCs w:val="22"/>
                <w:lang w:val="fr-CH"/>
              </w:rPr>
              <w:t>200 MHz, trois dispositions de fréquences de base (B1, B2 et B3) sont déjà utilisées dans les systèmes mobiles cellulaires publics, y compris les IMT. Sur la base de ces trois dispositions, différentes combinaisons de dispositions sont recommandées (voir B4 et B5).</w:t>
            </w:r>
            <w:r w:rsidR="00B92F12" w:rsidRPr="00DA52D1">
              <w:rPr>
                <w:sz w:val="22"/>
                <w:szCs w:val="22"/>
                <w:lang w:val="fr-CH"/>
              </w:rPr>
              <w:t xml:space="preserve"> </w:t>
            </w:r>
            <w:r w:rsidRPr="00DA52D1">
              <w:rPr>
                <w:sz w:val="22"/>
                <w:szCs w:val="22"/>
                <w:lang w:val="fr-CH"/>
              </w:rPr>
              <w:t>Les dispositions B1 et B2 sont parfaitement complémentaires, tandis que la disposition B3 recoupe en partie les dispositions B1 et B2.</w:t>
            </w:r>
          </w:p>
          <w:p w:rsidR="00E90AFF" w:rsidRPr="00DA52D1" w:rsidRDefault="00E90AFF" w:rsidP="008558AC">
            <w:pPr>
              <w:pStyle w:val="Note"/>
              <w:rPr>
                <w:sz w:val="22"/>
                <w:szCs w:val="22"/>
                <w:lang w:val="fr-CH"/>
              </w:rPr>
            </w:pPr>
            <w:r w:rsidRPr="00DA52D1">
              <w:rPr>
                <w:sz w:val="22"/>
                <w:szCs w:val="22"/>
                <w:lang w:val="fr-CH"/>
              </w:rPr>
              <w:t>Pour les pays ayant mis en œuvre la disposition B1, la disposition B4 permet d'optimiser l'utilisation du spectre dans le cas d'un fonctionnement en bandes appariées des IMT.</w:t>
            </w:r>
          </w:p>
          <w:p w:rsidR="00E90AFF" w:rsidRPr="00DA52D1" w:rsidRDefault="00E90AFF" w:rsidP="008558AC">
            <w:pPr>
              <w:pStyle w:val="Note"/>
              <w:rPr>
                <w:sz w:val="22"/>
                <w:szCs w:val="22"/>
                <w:lang w:val="fr-CH"/>
              </w:rPr>
            </w:pPr>
            <w:r w:rsidRPr="00DA52D1">
              <w:rPr>
                <w:sz w:val="22"/>
                <w:szCs w:val="22"/>
                <w:lang w:val="fr-CH"/>
              </w:rPr>
              <w:t>Pour les pays ayant mis en œuvre la disposition B3, la disposition B1 peut être combinée avec la disposition B2. La disposition B5 est par conséquent recommandée afin d'optimiser l'utilisation du spectre:</w:t>
            </w:r>
          </w:p>
          <w:p w:rsidR="00E90AFF" w:rsidRPr="00DA52D1" w:rsidRDefault="00E90AFF" w:rsidP="00DA52D1">
            <w:pPr>
              <w:pStyle w:val="Tabletext"/>
              <w:ind w:left="284" w:hanging="284"/>
              <w:rPr>
                <w:sz w:val="22"/>
                <w:szCs w:val="22"/>
                <w:lang w:val="fr-CH"/>
              </w:rPr>
            </w:pPr>
            <w:r w:rsidRPr="00DA52D1">
              <w:rPr>
                <w:sz w:val="22"/>
                <w:szCs w:val="22"/>
                <w:lang w:val="fr-CH"/>
              </w:rPr>
              <w:t>–</w:t>
            </w:r>
            <w:r w:rsidRPr="00DA52D1">
              <w:rPr>
                <w:sz w:val="22"/>
                <w:szCs w:val="22"/>
                <w:lang w:val="fr-CH"/>
              </w:rPr>
              <w:tab/>
              <w:t>la disposition B5 permet d'optimiser l'utilisation du spectre pour les IMT dans les pays ayant mis en œuvre la disposition B3 et où la bande 1</w:t>
            </w:r>
            <w:r w:rsidRPr="00DA52D1">
              <w:rPr>
                <w:rFonts w:ascii="Tms Rmn" w:hAnsi="Tms Rmn"/>
                <w:sz w:val="22"/>
                <w:szCs w:val="22"/>
                <w:lang w:val="fr-CH"/>
              </w:rPr>
              <w:t> </w:t>
            </w:r>
            <w:r w:rsidRPr="00DA52D1">
              <w:rPr>
                <w:sz w:val="22"/>
                <w:szCs w:val="22"/>
                <w:lang w:val="fr-CH"/>
              </w:rPr>
              <w:t>770-1</w:t>
            </w:r>
            <w:r w:rsidRPr="00DA52D1">
              <w:rPr>
                <w:rFonts w:ascii="Tms Rmn" w:hAnsi="Tms Rmn"/>
                <w:sz w:val="22"/>
                <w:szCs w:val="22"/>
                <w:lang w:val="fr-CH"/>
              </w:rPr>
              <w:t> </w:t>
            </w:r>
            <w:r w:rsidRPr="00DA52D1">
              <w:rPr>
                <w:sz w:val="22"/>
                <w:szCs w:val="22"/>
                <w:lang w:val="fr-CH"/>
              </w:rPr>
              <w:t>850 MHz n'est pas disponible pendant la phase initiale de mise en œuvre des IMT dans cette bande de fréquences.</w:t>
            </w:r>
          </w:p>
          <w:p w:rsidR="00E90AFF" w:rsidRPr="00DA52D1" w:rsidRDefault="00E90AFF" w:rsidP="008558AC">
            <w:pPr>
              <w:pStyle w:val="Note"/>
              <w:rPr>
                <w:sz w:val="22"/>
                <w:szCs w:val="22"/>
                <w:lang w:val="fr-CH"/>
              </w:rPr>
            </w:pPr>
            <w:r w:rsidRPr="00DA52D1">
              <w:rPr>
                <w:sz w:val="22"/>
                <w:szCs w:val="22"/>
                <w:lang w:val="fr-CH"/>
              </w:rPr>
              <w:t>NOTE 2 – Le duplexage DRT peut être mis en place dans les bandes non appariées et également, sous certaines conditions, dans les bandes attribuées aux liaisons montantes pour les dispositions de fréquences appariées et/ou dans l'intervalle central entre bandes appariées.</w:t>
            </w:r>
          </w:p>
          <w:p w:rsidR="00E90AFF" w:rsidRPr="00804CD0" w:rsidRDefault="00E90AFF" w:rsidP="008558AC">
            <w:pPr>
              <w:pStyle w:val="Note"/>
              <w:rPr>
                <w:lang w:val="fr-CH"/>
              </w:rPr>
            </w:pPr>
            <w:r w:rsidRPr="00DA52D1">
              <w:rPr>
                <w:sz w:val="22"/>
                <w:szCs w:val="22"/>
                <w:lang w:val="fr-CH"/>
              </w:rPr>
              <w:t>NOTE 3 – Lorsque la technologie duplex sélectionnable/variable est mise en œuvre à l'intérieur des terminaux et qu'elle est considérée comme la façon la plus efficace de gérer différentes dispositions de fréquences, le fait que les pays voisins puissent choisir la disposition B5 n'aura pas d'effet sur la complexité du terminal. Un complément d'étude est nécessaire.</w:t>
            </w:r>
          </w:p>
        </w:tc>
      </w:tr>
    </w:tbl>
    <w:p w:rsidR="00E90AFF" w:rsidRPr="0051088B" w:rsidRDefault="00E90AFF" w:rsidP="005B5FBB">
      <w:pPr>
        <w:pStyle w:val="FigureNo"/>
      </w:pPr>
      <w:r w:rsidRPr="00804CD0">
        <w:rPr>
          <w:lang w:val="fr-CH"/>
        </w:rPr>
        <w:t xml:space="preserve">FIGURE 4 </w:t>
      </w:r>
      <w:r w:rsidRPr="00804CD0">
        <w:rPr>
          <w:lang w:val="fr-CH"/>
        </w:rPr>
        <w:br/>
      </w:r>
      <w:r w:rsidRPr="0051088B">
        <w:t>(</w:t>
      </w:r>
      <w:r w:rsidRPr="0051088B">
        <w:rPr>
          <w:caps w:val="0"/>
        </w:rPr>
        <w:t>Voir les notes concernant le Tableau 4</w:t>
      </w:r>
      <w:r w:rsidRPr="0051088B">
        <w:t>)</w:t>
      </w:r>
    </w:p>
    <w:p w:rsidR="00E90AFF" w:rsidRPr="00804CD0" w:rsidRDefault="00E90AFF" w:rsidP="005B5FBB">
      <w:pPr>
        <w:pStyle w:val="Figure"/>
      </w:pPr>
      <w:r w:rsidRPr="00804CD0">
        <w:rPr>
          <w:noProof/>
          <w:lang w:val="en-US" w:eastAsia="zh-CN"/>
        </w:rPr>
        <w:object w:dxaOrig="6948" w:dyaOrig="4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pt;height:255.2pt" o:ole="">
            <v:imagedata r:id="rId9" o:title=""/>
          </v:shape>
          <o:OLEObject Type="Embed" ProgID="CorelDRAW.Graphic.14" ShapeID="_x0000_i1025" DrawAspect="Content" ObjectID="_1506793845" r:id="rId10"/>
        </w:object>
      </w:r>
    </w:p>
    <w:p w:rsidR="00E90AFF" w:rsidRDefault="003934D2" w:rsidP="00EC038E">
      <w:pPr>
        <w:rPr>
          <w:i/>
          <w:iCs/>
          <w:lang w:val="fr-CH"/>
        </w:rPr>
      </w:pPr>
      <w:r>
        <w:rPr>
          <w:i/>
          <w:iCs/>
          <w:lang w:val="fr-CH"/>
        </w:rPr>
        <w:t xml:space="preserve">[Note </w:t>
      </w:r>
      <w:r w:rsidR="000B101E">
        <w:rPr>
          <w:i/>
          <w:iCs/>
          <w:lang w:val="fr-CH"/>
        </w:rPr>
        <w:t>rédactionnelle</w:t>
      </w:r>
      <w:r>
        <w:rPr>
          <w:i/>
          <w:iCs/>
          <w:lang w:val="fr-CH"/>
        </w:rPr>
        <w:t>: Aucune modification n</w:t>
      </w:r>
      <w:r w:rsidR="0060467D">
        <w:rPr>
          <w:i/>
          <w:iCs/>
          <w:lang w:val="fr-CH"/>
        </w:rPr>
        <w:t>'</w:t>
      </w:r>
      <w:r>
        <w:rPr>
          <w:i/>
          <w:iCs/>
          <w:lang w:val="fr-CH"/>
        </w:rPr>
        <w:t>est proposée pour les sections suivantes du projet de révision de la Recommandation UIT-R M.1036</w:t>
      </w:r>
      <w:r w:rsidR="00EC038E">
        <w:rPr>
          <w:i/>
          <w:iCs/>
          <w:lang w:val="fr-CH"/>
        </w:rPr>
        <w:t>.</w:t>
      </w:r>
      <w:r>
        <w:rPr>
          <w:i/>
          <w:iCs/>
          <w:lang w:val="fr-CH"/>
        </w:rPr>
        <w:t>]</w:t>
      </w:r>
    </w:p>
    <w:p w:rsidR="00CA5E22" w:rsidRDefault="00765FB1" w:rsidP="0032202E">
      <w:pPr>
        <w:pStyle w:val="Reasons"/>
        <w:rPr>
          <w:lang w:val="fr-CH"/>
        </w:rPr>
      </w:pPr>
      <w:r>
        <w:rPr>
          <w:lang w:val="fr-CH"/>
        </w:rPr>
        <w:t>...</w:t>
      </w:r>
    </w:p>
    <w:p w:rsidR="00DA52D1" w:rsidRDefault="00DA52D1" w:rsidP="00DA52D1">
      <w:pPr>
        <w:pStyle w:val="Reasons"/>
        <w:spacing w:before="40"/>
      </w:pPr>
      <w:bookmarkStart w:id="10" w:name="_GoBack"/>
      <w:bookmarkEnd w:id="10"/>
    </w:p>
    <w:p w:rsidR="00765FB1" w:rsidRDefault="00CA5E22" w:rsidP="00DA52D1">
      <w:pPr>
        <w:jc w:val="center"/>
        <w:rPr>
          <w:lang w:val="fr-CH"/>
        </w:rPr>
      </w:pPr>
      <w:r>
        <w:t>______________</w:t>
      </w:r>
    </w:p>
    <w:sectPr w:rsidR="00765FB1" w:rsidSect="00826D95">
      <w:headerReference w:type="default" r:id="rId11"/>
      <w:footerReference w:type="even" r:id="rId12"/>
      <w:footerReference w:type="default" r:id="rId13"/>
      <w:footerReference w:type="first" r:id="rId14"/>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C33" w:rsidRDefault="001B2C33">
      <w:r>
        <w:separator/>
      </w:r>
    </w:p>
  </w:endnote>
  <w:endnote w:type="continuationSeparator" w:id="0">
    <w:p w:rsidR="001B2C33" w:rsidRDefault="001B2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BC2C83" w:rsidRDefault="00EC0EB4">
    <w:pPr>
      <w:rPr>
        <w:lang w:val="es-ES"/>
      </w:rPr>
    </w:pPr>
    <w:r>
      <w:fldChar w:fldCharType="begin"/>
    </w:r>
    <w:r w:rsidRPr="00BC2C83">
      <w:rPr>
        <w:lang w:val="es-ES"/>
      </w:rPr>
      <w:instrText xml:space="preserve"> FILENAME \p  \* MERGEFORMAT </w:instrText>
    </w:r>
    <w:r>
      <w:fldChar w:fldCharType="separate"/>
    </w:r>
    <w:r w:rsidR="00AA7CFA">
      <w:rPr>
        <w:noProof/>
        <w:lang w:val="es-ES"/>
      </w:rPr>
      <w:t>P:\FRA\ITU-R\CONF-R\AR15\PLEN\000\021ADD01F.docx</w:t>
    </w:r>
    <w:r>
      <w:fldChar w:fldCharType="end"/>
    </w:r>
    <w:r w:rsidRPr="00BC2C83">
      <w:rPr>
        <w:lang w:val="es-ES"/>
      </w:rPr>
      <w:tab/>
    </w:r>
    <w:r>
      <w:fldChar w:fldCharType="begin"/>
    </w:r>
    <w:r>
      <w:instrText xml:space="preserve"> SAVEDATE \@ DD.MM.YY </w:instrText>
    </w:r>
    <w:r>
      <w:fldChar w:fldCharType="separate"/>
    </w:r>
    <w:r w:rsidR="00DA52D1">
      <w:rPr>
        <w:noProof/>
      </w:rPr>
      <w:t>19.10.15</w:t>
    </w:r>
    <w:r>
      <w:fldChar w:fldCharType="end"/>
    </w:r>
    <w:r w:rsidRPr="00BC2C83">
      <w:rPr>
        <w:lang w:val="es-ES"/>
      </w:rPr>
      <w:tab/>
    </w:r>
    <w:r>
      <w:fldChar w:fldCharType="begin"/>
    </w:r>
    <w:r>
      <w:instrText xml:space="preserve"> PRINTDATE \@ DD.MM.YY </w:instrText>
    </w:r>
    <w:r>
      <w:fldChar w:fldCharType="separate"/>
    </w:r>
    <w:r w:rsidR="00AA7CFA">
      <w:rPr>
        <w:noProof/>
      </w:rPr>
      <w:t>19.10.15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8F00D1" w:rsidRDefault="00EC0EB4" w:rsidP="00A12DDA">
    <w:pPr>
      <w:pStyle w:val="Footer"/>
      <w:rPr>
        <w:lang w:val="es-ES_tradnl"/>
      </w:rPr>
    </w:pPr>
    <w:r>
      <w:fldChar w:fldCharType="begin"/>
    </w:r>
    <w:r w:rsidRPr="008F00D1">
      <w:rPr>
        <w:lang w:val="es-ES_tradnl"/>
      </w:rPr>
      <w:instrText xml:space="preserve"> FILENAME \p  \* MERGEFORMAT </w:instrText>
    </w:r>
    <w:r>
      <w:fldChar w:fldCharType="separate"/>
    </w:r>
    <w:r w:rsidR="00AA7CFA">
      <w:rPr>
        <w:lang w:val="es-ES_tradnl"/>
      </w:rPr>
      <w:t>P:\FRA\ITU-R\CONF-R\AR15\PLEN\000\021ADD01F.docx</w:t>
    </w:r>
    <w:r>
      <w:fldChar w:fldCharType="end"/>
    </w:r>
    <w:r w:rsidR="0027117C" w:rsidRPr="008F00D1">
      <w:rPr>
        <w:lang w:val="es-ES_tradnl"/>
      </w:rPr>
      <w:t xml:space="preserve"> (38</w:t>
    </w:r>
    <w:r w:rsidR="00A12DDA">
      <w:rPr>
        <w:lang w:val="es-ES_tradnl"/>
      </w:rPr>
      <w:t>7943</w:t>
    </w:r>
    <w:r w:rsidR="0027117C" w:rsidRPr="008F00D1">
      <w:rPr>
        <w:lang w:val="es-ES_tradnl"/>
      </w:rPr>
      <w:t>)</w:t>
    </w:r>
    <w:r w:rsidRPr="008F00D1">
      <w:rPr>
        <w:lang w:val="es-ES_tradnl"/>
      </w:rPr>
      <w:tab/>
    </w:r>
    <w:r>
      <w:fldChar w:fldCharType="begin"/>
    </w:r>
    <w:r>
      <w:instrText xml:space="preserve"> SAVEDATE \@ DD.MM.YY </w:instrText>
    </w:r>
    <w:r>
      <w:fldChar w:fldCharType="separate"/>
    </w:r>
    <w:r w:rsidR="00DA52D1">
      <w:t>19.10.15</w:t>
    </w:r>
    <w:r>
      <w:fldChar w:fldCharType="end"/>
    </w:r>
    <w:r w:rsidRPr="008F00D1">
      <w:rPr>
        <w:lang w:val="es-ES_tradnl"/>
      </w:rPr>
      <w:tab/>
    </w:r>
    <w:r>
      <w:fldChar w:fldCharType="begin"/>
    </w:r>
    <w:r>
      <w:instrText xml:space="preserve"> PRINTDATE \@ DD.MM.YY </w:instrText>
    </w:r>
    <w:r>
      <w:fldChar w:fldCharType="separate"/>
    </w:r>
    <w:r w:rsidR="00AA7CFA">
      <w:t>19.10.15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EB4" w:rsidRPr="008F00D1" w:rsidRDefault="00EC0EB4" w:rsidP="00A12DDA">
    <w:pPr>
      <w:pStyle w:val="Footer"/>
      <w:rPr>
        <w:lang w:val="es-ES_tradnl"/>
      </w:rPr>
    </w:pPr>
    <w:r>
      <w:fldChar w:fldCharType="begin"/>
    </w:r>
    <w:r w:rsidRPr="008F00D1">
      <w:rPr>
        <w:lang w:val="es-ES_tradnl"/>
      </w:rPr>
      <w:instrText xml:space="preserve"> FILENAME \p  \* MERGEFORMAT </w:instrText>
    </w:r>
    <w:r>
      <w:fldChar w:fldCharType="separate"/>
    </w:r>
    <w:r w:rsidR="00AA7CFA">
      <w:rPr>
        <w:lang w:val="es-ES_tradnl"/>
      </w:rPr>
      <w:t>P:\FRA\ITU-R\CONF-R\AR15\PLEN\000\021ADD01F.docx</w:t>
    </w:r>
    <w:r>
      <w:fldChar w:fldCharType="end"/>
    </w:r>
    <w:r w:rsidR="0027117C" w:rsidRPr="008F00D1">
      <w:rPr>
        <w:lang w:val="es-ES_tradnl"/>
      </w:rPr>
      <w:t xml:space="preserve"> (38</w:t>
    </w:r>
    <w:r w:rsidR="009F760E" w:rsidRPr="008F00D1">
      <w:rPr>
        <w:lang w:val="es-ES_tradnl"/>
      </w:rPr>
      <w:t>79</w:t>
    </w:r>
    <w:r w:rsidR="00A12DDA">
      <w:rPr>
        <w:lang w:val="es-ES_tradnl"/>
      </w:rPr>
      <w:t>43</w:t>
    </w:r>
    <w:r w:rsidR="0027117C" w:rsidRPr="008F00D1">
      <w:rPr>
        <w:lang w:val="es-ES_tradnl"/>
      </w:rPr>
      <w:t>)</w:t>
    </w:r>
    <w:r w:rsidRPr="008F00D1">
      <w:rPr>
        <w:lang w:val="es-ES_tradnl"/>
      </w:rPr>
      <w:tab/>
    </w:r>
    <w:r>
      <w:fldChar w:fldCharType="begin"/>
    </w:r>
    <w:r>
      <w:instrText xml:space="preserve"> SAVEDATE \@ DD.MM.YY </w:instrText>
    </w:r>
    <w:r>
      <w:fldChar w:fldCharType="separate"/>
    </w:r>
    <w:r w:rsidR="00DA52D1">
      <w:t>19.10.15</w:t>
    </w:r>
    <w:r>
      <w:fldChar w:fldCharType="end"/>
    </w:r>
    <w:r w:rsidRPr="008F00D1">
      <w:rPr>
        <w:lang w:val="es-ES_tradnl"/>
      </w:rPr>
      <w:tab/>
    </w:r>
    <w:r>
      <w:fldChar w:fldCharType="begin"/>
    </w:r>
    <w:r>
      <w:instrText xml:space="preserve"> PRINTDATE \@ DD.MM.YY </w:instrText>
    </w:r>
    <w:r>
      <w:fldChar w:fldCharType="separate"/>
    </w:r>
    <w:r w:rsidR="00AA7CFA">
      <w:t>19.10.15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C33" w:rsidRDefault="001B2C33">
      <w:r>
        <w:rPr>
          <w:b/>
        </w:rPr>
        <w:t>_______________</w:t>
      </w:r>
    </w:p>
  </w:footnote>
  <w:footnote w:type="continuationSeparator" w:id="0">
    <w:p w:rsidR="001B2C33" w:rsidRDefault="001B2C33">
      <w:r>
        <w:continuationSeparator/>
      </w:r>
    </w:p>
  </w:footnote>
  <w:footnote w:id="1">
    <w:p w:rsidR="00E90AFF" w:rsidRPr="00712AE9" w:rsidRDefault="00E90AFF" w:rsidP="00E90AFF">
      <w:pPr>
        <w:pStyle w:val="FootnoteText"/>
        <w:keepLines w:val="0"/>
        <w:rPr>
          <w:lang w:val="fr-CH"/>
        </w:rPr>
      </w:pPr>
      <w:r>
        <w:rPr>
          <w:rStyle w:val="FootnoteReference"/>
        </w:rPr>
        <w:footnoteRef/>
      </w:r>
      <w:r w:rsidRPr="00712AE9">
        <w:rPr>
          <w:lang w:val="fr-CH"/>
        </w:rPr>
        <w:tab/>
        <w:t>La bande 2 025-2 110 MHz ne fait pas partie de cette disposition de fréquence</w:t>
      </w:r>
      <w:r>
        <w:rPr>
          <w:lang w:val="fr-CH"/>
        </w:rPr>
        <w:t>s</w:t>
      </w:r>
      <w:r w:rsidRPr="00712AE9">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C33" w:rsidRDefault="001B2C33">
    <w:pPr>
      <w:pStyle w:val="Header"/>
    </w:pPr>
    <w:r>
      <w:fldChar w:fldCharType="begin"/>
    </w:r>
    <w:r>
      <w:instrText xml:space="preserve"> PAGE  \* MERGEFORMAT </w:instrText>
    </w:r>
    <w:r>
      <w:fldChar w:fldCharType="separate"/>
    </w:r>
    <w:r w:rsidR="00DA52D1">
      <w:rPr>
        <w:noProof/>
      </w:rPr>
      <w:t>4</w:t>
    </w:r>
    <w:r>
      <w:fldChar w:fldCharType="end"/>
    </w:r>
  </w:p>
  <w:p w:rsidR="00707158" w:rsidRDefault="00EC038E" w:rsidP="00DA52D1">
    <w:pPr>
      <w:pStyle w:val="Header"/>
    </w:pPr>
    <w:r>
      <w:t>RA15/</w:t>
    </w:r>
    <w:r w:rsidR="00A12DDA">
      <w:t>PLEN</w:t>
    </w:r>
    <w:r w:rsidR="001B2C33">
      <w:t>/</w:t>
    </w:r>
    <w:r w:rsidR="00A12DDA">
      <w:t>21</w:t>
    </w:r>
    <w:r>
      <w:t>(Add</w:t>
    </w:r>
    <w:r w:rsidR="00DA52D1">
      <w:t>.</w:t>
    </w:r>
    <w:r>
      <w:t>1)</w:t>
    </w:r>
    <w:r w:rsidR="001B2C3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4E666EA3"/>
    <w:multiLevelType w:val="hybridMultilevel"/>
    <w:tmpl w:val="47A265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embedSystemFonts/>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C33"/>
    <w:rsid w:val="00002CBB"/>
    <w:rsid w:val="00006711"/>
    <w:rsid w:val="00043C60"/>
    <w:rsid w:val="000A0561"/>
    <w:rsid w:val="000B101E"/>
    <w:rsid w:val="000B1F11"/>
    <w:rsid w:val="000E3CC9"/>
    <w:rsid w:val="000E4E31"/>
    <w:rsid w:val="0013523C"/>
    <w:rsid w:val="00160694"/>
    <w:rsid w:val="001655B6"/>
    <w:rsid w:val="001958E5"/>
    <w:rsid w:val="001B1587"/>
    <w:rsid w:val="001B2C33"/>
    <w:rsid w:val="0020685A"/>
    <w:rsid w:val="00223DF9"/>
    <w:rsid w:val="0027117C"/>
    <w:rsid w:val="002C7ABC"/>
    <w:rsid w:val="00312771"/>
    <w:rsid w:val="00332E2B"/>
    <w:rsid w:val="00356E27"/>
    <w:rsid w:val="003644F8"/>
    <w:rsid w:val="00377FD7"/>
    <w:rsid w:val="003934D2"/>
    <w:rsid w:val="003D55EF"/>
    <w:rsid w:val="004C6705"/>
    <w:rsid w:val="004D4D4D"/>
    <w:rsid w:val="00530E6D"/>
    <w:rsid w:val="0054026F"/>
    <w:rsid w:val="005A46FB"/>
    <w:rsid w:val="005B5FBB"/>
    <w:rsid w:val="0060467D"/>
    <w:rsid w:val="006B7103"/>
    <w:rsid w:val="006F73A7"/>
    <w:rsid w:val="00701606"/>
    <w:rsid w:val="00707158"/>
    <w:rsid w:val="00765FB1"/>
    <w:rsid w:val="007860B6"/>
    <w:rsid w:val="00786E96"/>
    <w:rsid w:val="007D6DE6"/>
    <w:rsid w:val="00826D95"/>
    <w:rsid w:val="00840A51"/>
    <w:rsid w:val="0084175A"/>
    <w:rsid w:val="00852305"/>
    <w:rsid w:val="008558AC"/>
    <w:rsid w:val="008962EE"/>
    <w:rsid w:val="008A0ECF"/>
    <w:rsid w:val="008C5FD1"/>
    <w:rsid w:val="008D72FA"/>
    <w:rsid w:val="008E25A4"/>
    <w:rsid w:val="008F00D1"/>
    <w:rsid w:val="009C06BF"/>
    <w:rsid w:val="009F760E"/>
    <w:rsid w:val="00A12DDA"/>
    <w:rsid w:val="00A42FA0"/>
    <w:rsid w:val="00A769F2"/>
    <w:rsid w:val="00A824D3"/>
    <w:rsid w:val="00AA7CFA"/>
    <w:rsid w:val="00AB14FB"/>
    <w:rsid w:val="00AD26C8"/>
    <w:rsid w:val="00AD6C63"/>
    <w:rsid w:val="00AF39C7"/>
    <w:rsid w:val="00B82926"/>
    <w:rsid w:val="00B92F12"/>
    <w:rsid w:val="00BC2C83"/>
    <w:rsid w:val="00C221CD"/>
    <w:rsid w:val="00C26C5F"/>
    <w:rsid w:val="00C876BF"/>
    <w:rsid w:val="00CA5E22"/>
    <w:rsid w:val="00D278A9"/>
    <w:rsid w:val="00D32DD4"/>
    <w:rsid w:val="00D54910"/>
    <w:rsid w:val="00DA52D1"/>
    <w:rsid w:val="00DC0061"/>
    <w:rsid w:val="00DC4CBD"/>
    <w:rsid w:val="00DD2A4A"/>
    <w:rsid w:val="00E90AFF"/>
    <w:rsid w:val="00EC038E"/>
    <w:rsid w:val="00EC0EB4"/>
    <w:rsid w:val="00ED17D8"/>
    <w:rsid w:val="00F2593C"/>
    <w:rsid w:val="00F41C56"/>
    <w:rsid w:val="00FB596A"/>
    <w:rsid w:val="00FD7B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53E8B7A4-875B-4542-B113-572CBB8C2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2EE"/>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962EE"/>
    <w:pPr>
      <w:keepNext/>
      <w:keepLines/>
      <w:spacing w:before="280"/>
      <w:ind w:left="1134" w:hanging="1134"/>
      <w:outlineLvl w:val="0"/>
    </w:pPr>
    <w:rPr>
      <w:b/>
      <w:sz w:val="28"/>
    </w:rPr>
  </w:style>
  <w:style w:type="paragraph" w:styleId="Heading2">
    <w:name w:val="heading 2"/>
    <w:basedOn w:val="Heading1"/>
    <w:next w:val="Normal"/>
    <w:qFormat/>
    <w:rsid w:val="008962EE"/>
    <w:pPr>
      <w:spacing w:before="200"/>
      <w:outlineLvl w:val="1"/>
    </w:pPr>
    <w:rPr>
      <w:sz w:val="24"/>
    </w:rPr>
  </w:style>
  <w:style w:type="paragraph" w:styleId="Heading3">
    <w:name w:val="heading 3"/>
    <w:basedOn w:val="Heading1"/>
    <w:next w:val="Normal"/>
    <w:qFormat/>
    <w:rsid w:val="008962EE"/>
    <w:pPr>
      <w:tabs>
        <w:tab w:val="clear" w:pos="1134"/>
      </w:tabs>
      <w:spacing w:before="200"/>
      <w:outlineLvl w:val="2"/>
    </w:pPr>
    <w:rPr>
      <w:sz w:val="24"/>
    </w:rPr>
  </w:style>
  <w:style w:type="paragraph" w:styleId="Heading4">
    <w:name w:val="heading 4"/>
    <w:basedOn w:val="Heading3"/>
    <w:next w:val="Normal"/>
    <w:qFormat/>
    <w:rsid w:val="008962EE"/>
    <w:pPr>
      <w:outlineLvl w:val="3"/>
    </w:pPr>
  </w:style>
  <w:style w:type="paragraph" w:styleId="Heading5">
    <w:name w:val="heading 5"/>
    <w:basedOn w:val="Heading4"/>
    <w:next w:val="Normal"/>
    <w:qFormat/>
    <w:rsid w:val="008962EE"/>
    <w:pPr>
      <w:outlineLvl w:val="4"/>
    </w:pPr>
  </w:style>
  <w:style w:type="paragraph" w:styleId="Heading6">
    <w:name w:val="heading 6"/>
    <w:basedOn w:val="Heading4"/>
    <w:next w:val="Normal"/>
    <w:qFormat/>
    <w:rsid w:val="008962EE"/>
    <w:pPr>
      <w:outlineLvl w:val="5"/>
    </w:pPr>
  </w:style>
  <w:style w:type="paragraph" w:styleId="Heading7">
    <w:name w:val="heading 7"/>
    <w:basedOn w:val="Heading6"/>
    <w:next w:val="Normal"/>
    <w:qFormat/>
    <w:rsid w:val="008962EE"/>
    <w:pPr>
      <w:outlineLvl w:val="6"/>
    </w:pPr>
  </w:style>
  <w:style w:type="paragraph" w:styleId="Heading8">
    <w:name w:val="heading 8"/>
    <w:basedOn w:val="Heading6"/>
    <w:next w:val="Normal"/>
    <w:qFormat/>
    <w:rsid w:val="008962EE"/>
    <w:pPr>
      <w:outlineLvl w:val="7"/>
    </w:pPr>
  </w:style>
  <w:style w:type="paragraph" w:styleId="Heading9">
    <w:name w:val="heading 9"/>
    <w:basedOn w:val="Heading6"/>
    <w:next w:val="Normal"/>
    <w:qFormat/>
    <w:rsid w:val="008962E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8962EE"/>
    <w:pPr>
      <w:keepNext/>
      <w:keepLines/>
      <w:spacing w:before="480" w:after="80"/>
      <w:jc w:val="center"/>
    </w:pPr>
    <w:rPr>
      <w:caps/>
      <w:sz w:val="28"/>
    </w:rPr>
  </w:style>
  <w:style w:type="paragraph" w:customStyle="1" w:styleId="Annexref">
    <w:name w:val="Annex_ref"/>
    <w:basedOn w:val="Normal"/>
    <w:next w:val="Normal"/>
    <w:rsid w:val="008962EE"/>
    <w:pPr>
      <w:keepNext/>
      <w:keepLines/>
      <w:spacing w:after="280"/>
      <w:jc w:val="center"/>
    </w:pPr>
  </w:style>
  <w:style w:type="paragraph" w:customStyle="1" w:styleId="Annextitle">
    <w:name w:val="Annex_title"/>
    <w:basedOn w:val="Normal"/>
    <w:next w:val="Normal"/>
    <w:rsid w:val="008962EE"/>
    <w:pPr>
      <w:keepNext/>
      <w:keepLines/>
      <w:spacing w:before="240" w:after="280"/>
      <w:jc w:val="center"/>
    </w:pPr>
    <w:rPr>
      <w:rFonts w:ascii="Times New Roman Bold" w:hAnsi="Times New Roman Bold"/>
      <w:b/>
      <w:sz w:val="28"/>
    </w:rPr>
  </w:style>
  <w:style w:type="character" w:customStyle="1" w:styleId="Appdef">
    <w:name w:val="App_def"/>
    <w:rsid w:val="008962EE"/>
    <w:rPr>
      <w:rFonts w:ascii="Times New Roman" w:hAnsi="Times New Roman"/>
      <w:b/>
    </w:rPr>
  </w:style>
  <w:style w:type="character" w:customStyle="1" w:styleId="Appref">
    <w:name w:val="App_ref"/>
    <w:basedOn w:val="DefaultParagraphFont"/>
    <w:rsid w:val="008962EE"/>
  </w:style>
  <w:style w:type="paragraph" w:customStyle="1" w:styleId="AppendixNo">
    <w:name w:val="Appendix_No"/>
    <w:basedOn w:val="AnnexNo"/>
    <w:next w:val="Annexref"/>
    <w:rsid w:val="008962EE"/>
  </w:style>
  <w:style w:type="paragraph" w:customStyle="1" w:styleId="Appendixref">
    <w:name w:val="Appendix_ref"/>
    <w:basedOn w:val="Annexref"/>
    <w:next w:val="Annextitle"/>
    <w:rsid w:val="008962EE"/>
  </w:style>
  <w:style w:type="paragraph" w:customStyle="1" w:styleId="Appendixtitle">
    <w:name w:val="Appendix_title"/>
    <w:basedOn w:val="Annextitle"/>
    <w:next w:val="Normal"/>
    <w:rsid w:val="008962EE"/>
  </w:style>
  <w:style w:type="character" w:customStyle="1" w:styleId="Artdef">
    <w:name w:val="Art_def"/>
    <w:rsid w:val="008962EE"/>
    <w:rPr>
      <w:rFonts w:ascii="Times New Roman" w:hAnsi="Times New Roman"/>
      <w:b/>
    </w:rPr>
  </w:style>
  <w:style w:type="paragraph" w:customStyle="1" w:styleId="Artheading">
    <w:name w:val="Art_heading"/>
    <w:basedOn w:val="Normal"/>
    <w:next w:val="Normal"/>
    <w:rsid w:val="008962EE"/>
    <w:pPr>
      <w:spacing w:before="480"/>
      <w:jc w:val="center"/>
    </w:pPr>
    <w:rPr>
      <w:rFonts w:ascii="Times New Roman Bold" w:hAnsi="Times New Roman Bold"/>
      <w:b/>
      <w:sz w:val="28"/>
    </w:rPr>
  </w:style>
  <w:style w:type="paragraph" w:customStyle="1" w:styleId="ArtNo">
    <w:name w:val="Art_No"/>
    <w:basedOn w:val="Normal"/>
    <w:next w:val="Normal"/>
    <w:rsid w:val="008962EE"/>
    <w:pPr>
      <w:keepNext/>
      <w:keepLines/>
      <w:spacing w:before="480"/>
      <w:jc w:val="center"/>
    </w:pPr>
    <w:rPr>
      <w:caps/>
      <w:sz w:val="28"/>
    </w:rPr>
  </w:style>
  <w:style w:type="character" w:customStyle="1" w:styleId="Artref">
    <w:name w:val="Art_ref"/>
    <w:basedOn w:val="DefaultParagraphFont"/>
    <w:rsid w:val="008962EE"/>
  </w:style>
  <w:style w:type="paragraph" w:customStyle="1" w:styleId="Arttitle">
    <w:name w:val="Art_title"/>
    <w:basedOn w:val="Normal"/>
    <w:next w:val="Normal"/>
    <w:rsid w:val="008962EE"/>
    <w:pPr>
      <w:keepNext/>
      <w:keepLines/>
      <w:spacing w:before="240"/>
      <w:jc w:val="center"/>
    </w:pPr>
    <w:rPr>
      <w:b/>
      <w:sz w:val="28"/>
    </w:rPr>
  </w:style>
  <w:style w:type="paragraph" w:customStyle="1" w:styleId="ASN1">
    <w:name w:val="ASN.1"/>
    <w:basedOn w:val="Normal"/>
    <w:rsid w:val="008962EE"/>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Tabletext">
    <w:name w:val="Table_text"/>
    <w:basedOn w:val="Normal"/>
    <w:rsid w:val="008962EE"/>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8962EE"/>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8962EE"/>
    <w:pPr>
      <w:keepNext/>
      <w:keepLines/>
      <w:spacing w:before="160"/>
      <w:ind w:left="1134"/>
    </w:pPr>
    <w:rPr>
      <w:i/>
    </w:rPr>
  </w:style>
  <w:style w:type="paragraph" w:customStyle="1" w:styleId="ChapNo">
    <w:name w:val="Chap_No"/>
    <w:basedOn w:val="ArtNo"/>
    <w:next w:val="Normal"/>
    <w:rsid w:val="008962EE"/>
    <w:rPr>
      <w:rFonts w:ascii="Times New Roman Bold" w:hAnsi="Times New Roman Bold"/>
      <w:b/>
    </w:rPr>
  </w:style>
  <w:style w:type="paragraph" w:customStyle="1" w:styleId="Chaptitle">
    <w:name w:val="Chap_title"/>
    <w:basedOn w:val="Arttitle"/>
    <w:next w:val="Normal"/>
    <w:rsid w:val="008962EE"/>
  </w:style>
  <w:style w:type="paragraph" w:customStyle="1" w:styleId="ddate">
    <w:name w:val="ddate"/>
    <w:basedOn w:val="Normal"/>
    <w:rsid w:val="008962EE"/>
    <w:pPr>
      <w:framePr w:hSpace="181" w:wrap="around" w:vAnchor="page" w:hAnchor="margin" w:y="852"/>
      <w:shd w:val="solid" w:color="FFFFFF" w:fill="FFFFFF"/>
      <w:spacing w:before="0"/>
    </w:pPr>
    <w:rPr>
      <w:b/>
      <w:bCs/>
    </w:rPr>
  </w:style>
  <w:style w:type="paragraph" w:customStyle="1" w:styleId="dnum">
    <w:name w:val="dnum"/>
    <w:basedOn w:val="Normal"/>
    <w:rsid w:val="008962EE"/>
    <w:pPr>
      <w:framePr w:hSpace="181" w:wrap="around" w:vAnchor="page" w:hAnchor="margin" w:y="852"/>
      <w:shd w:val="solid" w:color="FFFFFF" w:fill="FFFFFF"/>
    </w:pPr>
    <w:rPr>
      <w:b/>
      <w:bCs/>
    </w:rPr>
  </w:style>
  <w:style w:type="paragraph" w:customStyle="1" w:styleId="dorlang">
    <w:name w:val="dorlang"/>
    <w:basedOn w:val="Normal"/>
    <w:rsid w:val="008962EE"/>
    <w:pPr>
      <w:framePr w:hSpace="181" w:wrap="around" w:vAnchor="page" w:hAnchor="margin" w:y="852"/>
      <w:shd w:val="solid" w:color="FFFFFF" w:fill="FFFFFF"/>
      <w:spacing w:before="0"/>
    </w:pPr>
    <w:rPr>
      <w:b/>
      <w:bCs/>
    </w:rPr>
  </w:style>
  <w:style w:type="character" w:styleId="EndnoteReference">
    <w:name w:val="endnote reference"/>
    <w:rsid w:val="008962EE"/>
    <w:rPr>
      <w:vertAlign w:val="superscript"/>
    </w:rPr>
  </w:style>
  <w:style w:type="paragraph" w:customStyle="1" w:styleId="enumlev1">
    <w:name w:val="enumlev1"/>
    <w:basedOn w:val="Normal"/>
    <w:rsid w:val="008962EE"/>
    <w:pPr>
      <w:tabs>
        <w:tab w:val="clear" w:pos="2268"/>
        <w:tab w:val="left" w:pos="2608"/>
        <w:tab w:val="left" w:pos="3345"/>
      </w:tabs>
      <w:spacing w:before="80"/>
      <w:ind w:left="1134" w:hanging="1134"/>
    </w:pPr>
  </w:style>
  <w:style w:type="paragraph" w:customStyle="1" w:styleId="enumlev2">
    <w:name w:val="enumlev2"/>
    <w:basedOn w:val="enumlev1"/>
    <w:rsid w:val="008962EE"/>
    <w:pPr>
      <w:ind w:left="1871" w:hanging="737"/>
    </w:pPr>
  </w:style>
  <w:style w:type="paragraph" w:customStyle="1" w:styleId="enumlev3">
    <w:name w:val="enumlev3"/>
    <w:basedOn w:val="enumlev2"/>
    <w:rsid w:val="008962EE"/>
    <w:pPr>
      <w:ind w:left="2268" w:hanging="397"/>
    </w:pPr>
  </w:style>
  <w:style w:type="paragraph" w:customStyle="1" w:styleId="Equation">
    <w:name w:val="Equation"/>
    <w:basedOn w:val="Normal"/>
    <w:rsid w:val="008962EE"/>
    <w:pPr>
      <w:tabs>
        <w:tab w:val="clear" w:pos="1871"/>
        <w:tab w:val="clear" w:pos="2268"/>
        <w:tab w:val="center" w:pos="4820"/>
        <w:tab w:val="right" w:pos="9639"/>
      </w:tabs>
    </w:pPr>
  </w:style>
  <w:style w:type="paragraph" w:styleId="NormalIndent">
    <w:name w:val="Normal Indent"/>
    <w:basedOn w:val="Normal"/>
    <w:rsid w:val="008962EE"/>
    <w:pPr>
      <w:ind w:left="1134"/>
    </w:pPr>
  </w:style>
  <w:style w:type="paragraph" w:customStyle="1" w:styleId="Equationlegend">
    <w:name w:val="Equation_legend"/>
    <w:basedOn w:val="NormalIndent"/>
    <w:rsid w:val="008962EE"/>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8962EE"/>
    <w:pPr>
      <w:keepNext/>
      <w:keepLines/>
      <w:jc w:val="center"/>
    </w:pPr>
  </w:style>
  <w:style w:type="paragraph" w:customStyle="1" w:styleId="Figurelegend">
    <w:name w:val="Figure_legend"/>
    <w:basedOn w:val="Normal"/>
    <w:rsid w:val="008962EE"/>
    <w:pPr>
      <w:keepNext/>
      <w:keepLines/>
      <w:spacing w:before="20" w:after="20"/>
    </w:pPr>
    <w:rPr>
      <w:sz w:val="18"/>
    </w:rPr>
  </w:style>
  <w:style w:type="paragraph" w:customStyle="1" w:styleId="FigureNo">
    <w:name w:val="Figure_No"/>
    <w:basedOn w:val="Normal"/>
    <w:next w:val="Normal"/>
    <w:rsid w:val="008962EE"/>
    <w:pPr>
      <w:keepNext/>
      <w:keepLines/>
      <w:spacing w:before="480" w:after="120"/>
      <w:jc w:val="center"/>
    </w:pPr>
    <w:rPr>
      <w:caps/>
      <w:sz w:val="20"/>
    </w:rPr>
  </w:style>
  <w:style w:type="paragraph" w:customStyle="1" w:styleId="Tabletitle">
    <w:name w:val="Table_title"/>
    <w:basedOn w:val="Normal"/>
    <w:next w:val="Tabletext"/>
    <w:rsid w:val="008962EE"/>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8962EE"/>
    <w:pPr>
      <w:spacing w:after="480"/>
    </w:pPr>
  </w:style>
  <w:style w:type="paragraph" w:customStyle="1" w:styleId="Figurewithouttitle">
    <w:name w:val="Figure_without_title"/>
    <w:basedOn w:val="FigureNo"/>
    <w:next w:val="Normal"/>
    <w:rsid w:val="008962EE"/>
    <w:pPr>
      <w:keepNext w:val="0"/>
    </w:pPr>
  </w:style>
  <w:style w:type="paragraph" w:styleId="Footer">
    <w:name w:val="footer"/>
    <w:basedOn w:val="Normal"/>
    <w:link w:val="FooterChar"/>
    <w:rsid w:val="008962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8962EE"/>
    <w:rPr>
      <w:rFonts w:ascii="Times New Roman" w:hAnsi="Times New Roman"/>
      <w:caps/>
      <w:noProof/>
      <w:sz w:val="16"/>
      <w:lang w:val="fr-FR" w:eastAsia="en-US"/>
    </w:rPr>
  </w:style>
  <w:style w:type="paragraph" w:customStyle="1" w:styleId="FirstFooter">
    <w:name w:val="FirstFooter"/>
    <w:basedOn w:val="Footer"/>
    <w:rsid w:val="008962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8962EE"/>
    <w:rPr>
      <w:position w:val="6"/>
      <w:sz w:val="18"/>
    </w:rPr>
  </w:style>
  <w:style w:type="paragraph" w:styleId="FootnoteText">
    <w:name w:val="footnote text"/>
    <w:basedOn w:val="Normal"/>
    <w:link w:val="FootnoteTextChar"/>
    <w:rsid w:val="008962EE"/>
    <w:pPr>
      <w:keepLines/>
      <w:tabs>
        <w:tab w:val="left" w:pos="255"/>
      </w:tabs>
    </w:pPr>
  </w:style>
  <w:style w:type="character" w:customStyle="1" w:styleId="FootnoteTextChar">
    <w:name w:val="Footnote Text Char"/>
    <w:basedOn w:val="DefaultParagraphFont"/>
    <w:link w:val="FootnoteText"/>
    <w:rsid w:val="008962EE"/>
    <w:rPr>
      <w:rFonts w:ascii="Times New Roman" w:hAnsi="Times New Roman"/>
      <w:sz w:val="24"/>
      <w:lang w:val="fr-FR" w:eastAsia="en-US"/>
    </w:rPr>
  </w:style>
  <w:style w:type="paragraph" w:styleId="Header">
    <w:name w:val="header"/>
    <w:basedOn w:val="Normal"/>
    <w:link w:val="HeaderChar"/>
    <w:uiPriority w:val="99"/>
    <w:rsid w:val="008962EE"/>
    <w:pPr>
      <w:spacing w:before="0"/>
      <w:jc w:val="center"/>
    </w:pPr>
    <w:rPr>
      <w:sz w:val="18"/>
    </w:rPr>
  </w:style>
  <w:style w:type="character" w:customStyle="1" w:styleId="HeaderChar">
    <w:name w:val="Header Char"/>
    <w:basedOn w:val="DefaultParagraphFont"/>
    <w:link w:val="Header"/>
    <w:uiPriority w:val="99"/>
    <w:rsid w:val="008962EE"/>
    <w:rPr>
      <w:rFonts w:ascii="Times New Roman" w:hAnsi="Times New Roman"/>
      <w:sz w:val="18"/>
      <w:lang w:val="fr-FR" w:eastAsia="en-US"/>
    </w:rPr>
  </w:style>
  <w:style w:type="paragraph" w:customStyle="1" w:styleId="Headingb">
    <w:name w:val="Heading_b"/>
    <w:basedOn w:val="Normal"/>
    <w:next w:val="Normal"/>
    <w:rsid w:val="008962EE"/>
    <w:pPr>
      <w:keepNext/>
      <w:spacing w:before="160"/>
    </w:pPr>
    <w:rPr>
      <w:rFonts w:ascii="Times" w:hAnsi="Times"/>
      <w:b/>
    </w:rPr>
  </w:style>
  <w:style w:type="paragraph" w:customStyle="1" w:styleId="Headingi">
    <w:name w:val="Heading_i"/>
    <w:basedOn w:val="Normal"/>
    <w:next w:val="Normal"/>
    <w:rsid w:val="008962EE"/>
    <w:pPr>
      <w:keepNext/>
      <w:spacing w:before="160"/>
    </w:pPr>
    <w:rPr>
      <w:rFonts w:ascii="Times" w:hAnsi="Times"/>
      <w:i/>
    </w:rPr>
  </w:style>
  <w:style w:type="paragraph" w:styleId="Index1">
    <w:name w:val="index 1"/>
    <w:basedOn w:val="Normal"/>
    <w:next w:val="Normal"/>
    <w:rsid w:val="008962EE"/>
  </w:style>
  <w:style w:type="paragraph" w:styleId="Index2">
    <w:name w:val="index 2"/>
    <w:basedOn w:val="Normal"/>
    <w:next w:val="Normal"/>
    <w:rsid w:val="008962EE"/>
    <w:pPr>
      <w:ind w:left="283"/>
    </w:pPr>
  </w:style>
  <w:style w:type="paragraph" w:styleId="Index3">
    <w:name w:val="index 3"/>
    <w:basedOn w:val="Normal"/>
    <w:next w:val="Normal"/>
    <w:rsid w:val="008962EE"/>
    <w:pPr>
      <w:ind w:left="566"/>
    </w:pPr>
  </w:style>
  <w:style w:type="paragraph" w:styleId="Index4">
    <w:name w:val="index 4"/>
    <w:basedOn w:val="Normal"/>
    <w:next w:val="Normal"/>
    <w:rsid w:val="008962EE"/>
    <w:pPr>
      <w:ind w:left="849"/>
    </w:pPr>
  </w:style>
  <w:style w:type="paragraph" w:styleId="Index5">
    <w:name w:val="index 5"/>
    <w:basedOn w:val="Normal"/>
    <w:next w:val="Normal"/>
    <w:rsid w:val="008962EE"/>
    <w:pPr>
      <w:ind w:left="1132"/>
    </w:pPr>
  </w:style>
  <w:style w:type="paragraph" w:styleId="Index6">
    <w:name w:val="index 6"/>
    <w:basedOn w:val="Normal"/>
    <w:next w:val="Normal"/>
    <w:rsid w:val="008962EE"/>
    <w:pPr>
      <w:ind w:left="1415"/>
    </w:pPr>
  </w:style>
  <w:style w:type="paragraph" w:styleId="Index7">
    <w:name w:val="index 7"/>
    <w:basedOn w:val="Normal"/>
    <w:next w:val="Normal"/>
    <w:rsid w:val="008962EE"/>
    <w:pPr>
      <w:ind w:left="1698"/>
    </w:pPr>
  </w:style>
  <w:style w:type="paragraph" w:styleId="IndexHeading">
    <w:name w:val="index heading"/>
    <w:basedOn w:val="Normal"/>
    <w:next w:val="Index1"/>
    <w:rsid w:val="008962EE"/>
  </w:style>
  <w:style w:type="character" w:styleId="LineNumber">
    <w:name w:val="line number"/>
    <w:basedOn w:val="DefaultParagraphFont"/>
    <w:rsid w:val="008962EE"/>
  </w:style>
  <w:style w:type="paragraph" w:customStyle="1" w:styleId="Normalaftertitle">
    <w:name w:val="Normal after title"/>
    <w:basedOn w:val="Normal"/>
    <w:next w:val="Normal"/>
    <w:rsid w:val="008962EE"/>
    <w:pPr>
      <w:spacing w:before="280"/>
    </w:pPr>
  </w:style>
  <w:style w:type="paragraph" w:customStyle="1" w:styleId="Note">
    <w:name w:val="Note"/>
    <w:basedOn w:val="Normal"/>
    <w:rsid w:val="008962EE"/>
    <w:pPr>
      <w:tabs>
        <w:tab w:val="left" w:pos="284"/>
      </w:tabs>
      <w:spacing w:before="80"/>
    </w:pPr>
  </w:style>
  <w:style w:type="character" w:styleId="PageNumber">
    <w:name w:val="page number"/>
    <w:basedOn w:val="DefaultParagraphFont"/>
    <w:rsid w:val="008962EE"/>
  </w:style>
  <w:style w:type="paragraph" w:customStyle="1" w:styleId="PartNo">
    <w:name w:val="Part_No"/>
    <w:basedOn w:val="AnnexNo"/>
    <w:next w:val="Normal"/>
    <w:rsid w:val="008962EE"/>
  </w:style>
  <w:style w:type="paragraph" w:customStyle="1" w:styleId="Partref">
    <w:name w:val="Part_ref"/>
    <w:basedOn w:val="Annexref"/>
    <w:next w:val="Normal"/>
    <w:rsid w:val="008962EE"/>
  </w:style>
  <w:style w:type="paragraph" w:customStyle="1" w:styleId="Parttitle">
    <w:name w:val="Part_title"/>
    <w:basedOn w:val="Annextitle"/>
    <w:next w:val="Normalaftertitle"/>
    <w:rsid w:val="008962EE"/>
  </w:style>
  <w:style w:type="paragraph" w:customStyle="1" w:styleId="Proposal">
    <w:name w:val="Proposal"/>
    <w:basedOn w:val="Normal"/>
    <w:next w:val="Normal"/>
    <w:rsid w:val="008962EE"/>
    <w:pPr>
      <w:keepNext/>
      <w:spacing w:before="240"/>
    </w:pPr>
    <w:rPr>
      <w:rFonts w:hAnsi="Times New Roman Bold"/>
    </w:rPr>
  </w:style>
  <w:style w:type="paragraph" w:customStyle="1" w:styleId="RecNo">
    <w:name w:val="Rec_No"/>
    <w:basedOn w:val="Normal"/>
    <w:next w:val="Normal"/>
    <w:rsid w:val="008962EE"/>
    <w:pPr>
      <w:keepNext/>
      <w:keepLines/>
      <w:spacing w:before="480"/>
      <w:jc w:val="center"/>
    </w:pPr>
    <w:rPr>
      <w:caps/>
      <w:sz w:val="28"/>
    </w:rPr>
  </w:style>
  <w:style w:type="paragraph" w:customStyle="1" w:styleId="Rectitle">
    <w:name w:val="Rec_title"/>
    <w:basedOn w:val="RecNo"/>
    <w:next w:val="Normal"/>
    <w:rsid w:val="008962EE"/>
    <w:pPr>
      <w:spacing w:before="240"/>
    </w:pPr>
    <w:rPr>
      <w:rFonts w:ascii="Times New Roman Bold" w:hAnsi="Times New Roman Bold"/>
      <w:b/>
      <w:caps w:val="0"/>
    </w:rPr>
  </w:style>
  <w:style w:type="paragraph" w:customStyle="1" w:styleId="Recref">
    <w:name w:val="Rec_ref"/>
    <w:basedOn w:val="Rectitle"/>
    <w:next w:val="Normal"/>
    <w:rsid w:val="008962EE"/>
    <w:pPr>
      <w:spacing w:before="120"/>
    </w:pPr>
    <w:rPr>
      <w:rFonts w:ascii="Times New Roman" w:hAnsi="Times New Roman"/>
      <w:b w:val="0"/>
      <w:sz w:val="24"/>
    </w:rPr>
  </w:style>
  <w:style w:type="paragraph" w:customStyle="1" w:styleId="Recdate">
    <w:name w:val="Rec_date"/>
    <w:basedOn w:val="Recref"/>
    <w:next w:val="Normalaftertitle"/>
    <w:rsid w:val="008962EE"/>
    <w:pPr>
      <w:jc w:val="right"/>
    </w:pPr>
    <w:rPr>
      <w:sz w:val="22"/>
    </w:rPr>
  </w:style>
  <w:style w:type="paragraph" w:customStyle="1" w:styleId="Questiondate">
    <w:name w:val="Question_date"/>
    <w:basedOn w:val="Recdate"/>
    <w:next w:val="Normalaftertitle"/>
    <w:rsid w:val="008962EE"/>
  </w:style>
  <w:style w:type="paragraph" w:customStyle="1" w:styleId="QuestionNo">
    <w:name w:val="Question_No"/>
    <w:basedOn w:val="RecNo"/>
    <w:next w:val="Normal"/>
    <w:rsid w:val="008962EE"/>
  </w:style>
  <w:style w:type="paragraph" w:customStyle="1" w:styleId="Questionref">
    <w:name w:val="Question_ref"/>
    <w:basedOn w:val="Recref"/>
    <w:next w:val="Questiondate"/>
    <w:rsid w:val="008962EE"/>
  </w:style>
  <w:style w:type="paragraph" w:customStyle="1" w:styleId="Questiontitle">
    <w:name w:val="Question_title"/>
    <w:basedOn w:val="Rectitle"/>
    <w:next w:val="Questionref"/>
    <w:rsid w:val="008962EE"/>
  </w:style>
  <w:style w:type="paragraph" w:customStyle="1" w:styleId="Reasons">
    <w:name w:val="Reasons"/>
    <w:basedOn w:val="Normal"/>
    <w:qFormat/>
    <w:rsid w:val="008962EE"/>
    <w:pPr>
      <w:tabs>
        <w:tab w:val="clear" w:pos="1871"/>
        <w:tab w:val="clear" w:pos="2268"/>
        <w:tab w:val="left" w:pos="1588"/>
        <w:tab w:val="left" w:pos="1985"/>
      </w:tabs>
    </w:pPr>
  </w:style>
  <w:style w:type="character" w:customStyle="1" w:styleId="Recdef">
    <w:name w:val="Rec_def"/>
    <w:rsid w:val="008962EE"/>
    <w:rPr>
      <w:b/>
    </w:rPr>
  </w:style>
  <w:style w:type="paragraph" w:customStyle="1" w:styleId="Reftext">
    <w:name w:val="Ref_text"/>
    <w:basedOn w:val="Normal"/>
    <w:rsid w:val="008962EE"/>
    <w:pPr>
      <w:ind w:left="1134" w:hanging="1134"/>
    </w:pPr>
  </w:style>
  <w:style w:type="paragraph" w:customStyle="1" w:styleId="Reftitle">
    <w:name w:val="Ref_title"/>
    <w:basedOn w:val="Normal"/>
    <w:next w:val="Reftext"/>
    <w:rsid w:val="008962EE"/>
    <w:pPr>
      <w:spacing w:before="480"/>
      <w:jc w:val="center"/>
    </w:pPr>
    <w:rPr>
      <w:caps/>
    </w:rPr>
  </w:style>
  <w:style w:type="paragraph" w:customStyle="1" w:styleId="Repdate">
    <w:name w:val="Rep_date"/>
    <w:basedOn w:val="Recdate"/>
    <w:next w:val="Normalaftertitle"/>
    <w:rsid w:val="008962EE"/>
  </w:style>
  <w:style w:type="paragraph" w:customStyle="1" w:styleId="RepNo">
    <w:name w:val="Rep_No"/>
    <w:basedOn w:val="RecNo"/>
    <w:next w:val="Normal"/>
    <w:rsid w:val="008962EE"/>
  </w:style>
  <w:style w:type="paragraph" w:customStyle="1" w:styleId="Repref">
    <w:name w:val="Rep_ref"/>
    <w:basedOn w:val="Recref"/>
    <w:next w:val="Repdate"/>
    <w:rsid w:val="008962EE"/>
  </w:style>
  <w:style w:type="paragraph" w:customStyle="1" w:styleId="Reptitle">
    <w:name w:val="Rep_title"/>
    <w:basedOn w:val="Rectitle"/>
    <w:next w:val="Repref"/>
    <w:rsid w:val="008962EE"/>
  </w:style>
  <w:style w:type="paragraph" w:customStyle="1" w:styleId="Resdate">
    <w:name w:val="Res_date"/>
    <w:basedOn w:val="Recdate"/>
    <w:next w:val="Normalaftertitle"/>
    <w:rsid w:val="008962EE"/>
  </w:style>
  <w:style w:type="character" w:customStyle="1" w:styleId="Resdef">
    <w:name w:val="Res_def"/>
    <w:rsid w:val="008962EE"/>
    <w:rPr>
      <w:rFonts w:ascii="Times New Roman" w:hAnsi="Times New Roman"/>
      <w:b/>
    </w:rPr>
  </w:style>
  <w:style w:type="paragraph" w:customStyle="1" w:styleId="ResNo">
    <w:name w:val="Res_No"/>
    <w:basedOn w:val="RecNo"/>
    <w:next w:val="Normal"/>
    <w:rsid w:val="008962EE"/>
  </w:style>
  <w:style w:type="paragraph" w:customStyle="1" w:styleId="Resref">
    <w:name w:val="Res_ref"/>
    <w:basedOn w:val="Recref"/>
    <w:next w:val="Resdate"/>
    <w:rsid w:val="008962EE"/>
  </w:style>
  <w:style w:type="paragraph" w:customStyle="1" w:styleId="Restitle">
    <w:name w:val="Res_title"/>
    <w:basedOn w:val="Rectitle"/>
    <w:next w:val="Resref"/>
    <w:rsid w:val="008962EE"/>
  </w:style>
  <w:style w:type="paragraph" w:customStyle="1" w:styleId="Section1">
    <w:name w:val="Section_1"/>
    <w:basedOn w:val="Normal"/>
    <w:rsid w:val="008962EE"/>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962EE"/>
    <w:rPr>
      <w:b w:val="0"/>
      <w:i/>
    </w:rPr>
  </w:style>
  <w:style w:type="paragraph" w:customStyle="1" w:styleId="Section3">
    <w:name w:val="Section_3"/>
    <w:basedOn w:val="Section1"/>
    <w:rsid w:val="008962EE"/>
    <w:rPr>
      <w:b w:val="0"/>
    </w:rPr>
  </w:style>
  <w:style w:type="paragraph" w:customStyle="1" w:styleId="SectionNo">
    <w:name w:val="Section_No"/>
    <w:basedOn w:val="AnnexNo"/>
    <w:next w:val="Normal"/>
    <w:rsid w:val="008962EE"/>
  </w:style>
  <w:style w:type="paragraph" w:customStyle="1" w:styleId="Sectiontitle">
    <w:name w:val="Section_title"/>
    <w:basedOn w:val="Annextitle"/>
    <w:next w:val="Normalaftertitle"/>
    <w:rsid w:val="008962EE"/>
  </w:style>
  <w:style w:type="paragraph" w:customStyle="1" w:styleId="Source">
    <w:name w:val="Source"/>
    <w:basedOn w:val="Normal"/>
    <w:next w:val="Normal"/>
    <w:rsid w:val="008962EE"/>
    <w:pPr>
      <w:spacing w:before="840"/>
      <w:jc w:val="center"/>
    </w:pPr>
    <w:rPr>
      <w:b/>
      <w:sz w:val="28"/>
    </w:rPr>
  </w:style>
  <w:style w:type="paragraph" w:customStyle="1" w:styleId="SpecialFooter">
    <w:name w:val="Special Footer"/>
    <w:basedOn w:val="Footer"/>
    <w:rsid w:val="008962E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8962EE"/>
    <w:rPr>
      <w:b/>
      <w:color w:val="auto"/>
      <w:sz w:val="20"/>
    </w:rPr>
  </w:style>
  <w:style w:type="paragraph" w:customStyle="1" w:styleId="Tablehead">
    <w:name w:val="Table_head"/>
    <w:basedOn w:val="Tabletext"/>
    <w:next w:val="Tabletext"/>
    <w:rsid w:val="008962EE"/>
    <w:pPr>
      <w:keepNext/>
      <w:spacing w:before="80" w:after="80"/>
      <w:jc w:val="center"/>
    </w:pPr>
    <w:rPr>
      <w:b/>
    </w:rPr>
  </w:style>
  <w:style w:type="paragraph" w:customStyle="1" w:styleId="Tablelegend">
    <w:name w:val="Table_legend"/>
    <w:basedOn w:val="Tabletext"/>
    <w:rsid w:val="008962EE"/>
    <w:pPr>
      <w:tabs>
        <w:tab w:val="clear" w:pos="284"/>
      </w:tabs>
      <w:spacing w:before="120"/>
    </w:pPr>
  </w:style>
  <w:style w:type="paragraph" w:customStyle="1" w:styleId="TableNo">
    <w:name w:val="Table_No"/>
    <w:basedOn w:val="Normal"/>
    <w:next w:val="Tabletitle"/>
    <w:link w:val="TableNo0"/>
    <w:rsid w:val="008962EE"/>
    <w:pPr>
      <w:keepNext/>
      <w:spacing w:before="560" w:after="120"/>
      <w:jc w:val="center"/>
    </w:pPr>
    <w:rPr>
      <w:caps/>
      <w:sz w:val="20"/>
    </w:rPr>
  </w:style>
  <w:style w:type="paragraph" w:customStyle="1" w:styleId="Tableref">
    <w:name w:val="Table_ref"/>
    <w:basedOn w:val="Normal"/>
    <w:next w:val="Tabletitle"/>
    <w:rsid w:val="008962EE"/>
    <w:pPr>
      <w:keepNext/>
      <w:spacing w:before="560"/>
      <w:jc w:val="center"/>
    </w:pPr>
    <w:rPr>
      <w:sz w:val="20"/>
    </w:rPr>
  </w:style>
  <w:style w:type="paragraph" w:customStyle="1" w:styleId="TableTextS5">
    <w:name w:val="Table_TextS5"/>
    <w:basedOn w:val="Normal"/>
    <w:rsid w:val="008962EE"/>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itle1">
    <w:name w:val="Title 1"/>
    <w:basedOn w:val="Source"/>
    <w:next w:val="Normal"/>
    <w:rsid w:val="008962EE"/>
    <w:pPr>
      <w:tabs>
        <w:tab w:val="left" w:pos="567"/>
        <w:tab w:val="left" w:pos="1701"/>
        <w:tab w:val="left" w:pos="2835"/>
      </w:tabs>
      <w:spacing w:before="240"/>
    </w:pPr>
    <w:rPr>
      <w:b w:val="0"/>
      <w:caps/>
    </w:rPr>
  </w:style>
  <w:style w:type="paragraph" w:customStyle="1" w:styleId="Title2">
    <w:name w:val="Title 2"/>
    <w:basedOn w:val="Source"/>
    <w:next w:val="Normal"/>
    <w:rsid w:val="008962EE"/>
    <w:pPr>
      <w:overflowPunct/>
      <w:autoSpaceDE/>
      <w:autoSpaceDN/>
      <w:adjustRightInd/>
      <w:spacing w:before="480"/>
      <w:textAlignment w:val="auto"/>
    </w:pPr>
    <w:rPr>
      <w:b w:val="0"/>
      <w:caps/>
    </w:rPr>
  </w:style>
  <w:style w:type="paragraph" w:customStyle="1" w:styleId="Title3">
    <w:name w:val="Title 3"/>
    <w:basedOn w:val="Title2"/>
    <w:next w:val="Normal"/>
    <w:rsid w:val="008962EE"/>
    <w:pPr>
      <w:spacing w:before="240"/>
    </w:pPr>
    <w:rPr>
      <w:caps w:val="0"/>
    </w:rPr>
  </w:style>
  <w:style w:type="paragraph" w:customStyle="1" w:styleId="Title4">
    <w:name w:val="Title 4"/>
    <w:basedOn w:val="Title3"/>
    <w:next w:val="Heading1"/>
    <w:rsid w:val="008962EE"/>
    <w:rPr>
      <w:b/>
    </w:rPr>
  </w:style>
  <w:style w:type="paragraph" w:customStyle="1" w:styleId="toc0">
    <w:name w:val="toc 0"/>
    <w:basedOn w:val="Normal"/>
    <w:next w:val="TOC1"/>
    <w:rsid w:val="008962EE"/>
    <w:pPr>
      <w:tabs>
        <w:tab w:val="clear" w:pos="1134"/>
        <w:tab w:val="clear" w:pos="1871"/>
        <w:tab w:val="clear" w:pos="2268"/>
        <w:tab w:val="right" w:pos="9781"/>
      </w:tabs>
    </w:pPr>
    <w:rPr>
      <w:b/>
    </w:rPr>
  </w:style>
  <w:style w:type="paragraph" w:styleId="TOC1">
    <w:name w:val="toc 1"/>
    <w:basedOn w:val="Normal"/>
    <w:rsid w:val="008962EE"/>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962EE"/>
    <w:pPr>
      <w:spacing w:before="120"/>
    </w:pPr>
  </w:style>
  <w:style w:type="paragraph" w:styleId="TOC3">
    <w:name w:val="toc 3"/>
    <w:basedOn w:val="TOC2"/>
    <w:rsid w:val="008962EE"/>
  </w:style>
  <w:style w:type="paragraph" w:styleId="TOC4">
    <w:name w:val="toc 4"/>
    <w:basedOn w:val="TOC3"/>
    <w:rsid w:val="008962EE"/>
  </w:style>
  <w:style w:type="paragraph" w:styleId="TOC5">
    <w:name w:val="toc 5"/>
    <w:basedOn w:val="TOC4"/>
    <w:rsid w:val="008962EE"/>
  </w:style>
  <w:style w:type="paragraph" w:styleId="TOC6">
    <w:name w:val="toc 6"/>
    <w:basedOn w:val="TOC4"/>
    <w:rsid w:val="008962EE"/>
  </w:style>
  <w:style w:type="paragraph" w:styleId="TOC7">
    <w:name w:val="toc 7"/>
    <w:basedOn w:val="TOC4"/>
    <w:rsid w:val="008962EE"/>
  </w:style>
  <w:style w:type="paragraph" w:styleId="TOC8">
    <w:name w:val="toc 8"/>
    <w:basedOn w:val="TOC4"/>
    <w:rsid w:val="008962EE"/>
  </w:style>
  <w:style w:type="character" w:styleId="Hyperlink">
    <w:name w:val="Hyperlink"/>
    <w:basedOn w:val="DefaultParagraphFont"/>
    <w:uiPriority w:val="99"/>
    <w:rsid w:val="001B2C33"/>
    <w:rPr>
      <w:rFonts w:cs="Times New Roman"/>
      <w:color w:val="0000FF"/>
      <w:u w:val="single"/>
    </w:rPr>
  </w:style>
  <w:style w:type="character" w:styleId="FollowedHyperlink">
    <w:name w:val="FollowedHyperlink"/>
    <w:basedOn w:val="DefaultParagraphFont"/>
    <w:semiHidden/>
    <w:unhideWhenUsed/>
    <w:rsid w:val="007860B6"/>
    <w:rPr>
      <w:color w:val="800080" w:themeColor="followedHyperlink"/>
      <w:u w:val="single"/>
    </w:rPr>
  </w:style>
  <w:style w:type="paragraph" w:styleId="ListParagraph">
    <w:name w:val="List Paragraph"/>
    <w:basedOn w:val="Normal"/>
    <w:uiPriority w:val="34"/>
    <w:qFormat/>
    <w:rsid w:val="007860B6"/>
    <w:pPr>
      <w:ind w:left="720"/>
      <w:contextualSpacing/>
    </w:pPr>
    <w:rPr>
      <w:lang w:val="en-GB"/>
    </w:rPr>
  </w:style>
  <w:style w:type="paragraph" w:customStyle="1" w:styleId="AppendixNoTitle">
    <w:name w:val="Appendix_NoTitle"/>
    <w:basedOn w:val="Normal"/>
    <w:next w:val="Normal"/>
    <w:rsid w:val="00E90AFF"/>
    <w:pPr>
      <w:keepNext/>
      <w:keepLines/>
      <w:tabs>
        <w:tab w:val="clear" w:pos="1134"/>
        <w:tab w:val="clear" w:pos="1871"/>
        <w:tab w:val="clear" w:pos="2268"/>
        <w:tab w:val="left" w:pos="794"/>
        <w:tab w:val="left" w:pos="1191"/>
        <w:tab w:val="left" w:pos="1588"/>
        <w:tab w:val="left" w:pos="1985"/>
      </w:tabs>
      <w:spacing w:before="480" w:after="80"/>
      <w:jc w:val="center"/>
    </w:pPr>
    <w:rPr>
      <w:b/>
      <w:sz w:val="28"/>
    </w:rPr>
  </w:style>
  <w:style w:type="character" w:customStyle="1" w:styleId="TableNo0">
    <w:name w:val="Table_No Знак"/>
    <w:link w:val="TableNo"/>
    <w:locked/>
    <w:rsid w:val="00E90AFF"/>
    <w:rPr>
      <w:rFonts w:ascii="Times New Roman" w:hAnsi="Times New Roman"/>
      <w:caps/>
      <w:lang w:val="fr-FR" w:eastAsia="en-US"/>
    </w:rPr>
  </w:style>
  <w:style w:type="paragraph" w:customStyle="1" w:styleId="AnnexNoTitle">
    <w:name w:val="Annex_No Title"/>
    <w:basedOn w:val="AppendixNoTitle"/>
    <w:rsid w:val="00765F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R12-SG05-C-0212/e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iencla\AppData\Roaming\Microsoft\Templates\POOL%20F%20-%20ITU\PF_RA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PF_RA15.dotm</Template>
  <TotalTime>108</TotalTime>
  <Pages>4</Pages>
  <Words>1461</Words>
  <Characters>7626</Characters>
  <Application>Microsoft Office Word</Application>
  <DocSecurity>0</DocSecurity>
  <Lines>152</Lines>
  <Paragraphs>68</Paragraphs>
  <ScaleCrop>false</ScaleCrop>
  <HeadingPairs>
    <vt:vector size="2" baseType="variant">
      <vt:variant>
        <vt:lpstr>Title</vt:lpstr>
      </vt:variant>
      <vt:variant>
        <vt:i4>1</vt:i4>
      </vt:variant>
    </vt:vector>
  </HeadingPairs>
  <TitlesOfParts>
    <vt:vector size="1" baseType="lpstr">
      <vt:lpstr/>
    </vt:vector>
  </TitlesOfParts>
  <Manager>Secrétariat général - Pool</Manager>
  <Company>Union internationale des télécommunications (UIT)</Company>
  <LinksUpToDate>false</LinksUpToDate>
  <CharactersWithSpaces>9019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Assemblée des radiocommunications - 2012</dc:subject>
  <dc:creator>Acien, Clara</dc:creator>
  <cp:keywords/>
  <dc:description>PF_RA07.dot  Pour: _x000d_Date du document: _x000d_Enregistré par MM-43480 à 16:09:12 le 16.10.07</dc:description>
  <cp:lastModifiedBy>Saxod, Nathalie</cp:lastModifiedBy>
  <cp:revision>11</cp:revision>
  <cp:lastPrinted>2015-10-19T15:59:00Z</cp:lastPrinted>
  <dcterms:created xsi:type="dcterms:W3CDTF">2015-10-19T14:39:00Z</dcterms:created>
  <dcterms:modified xsi:type="dcterms:W3CDTF">2015-10-19T19:02:00Z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PF_RA07.dot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