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trPr>
          <w:cantSplit/>
        </w:trPr>
        <w:tc>
          <w:tcPr>
            <w:tcW w:w="6345" w:type="dxa"/>
          </w:tcPr>
          <w:p w:rsidR="00E245C3" w:rsidRPr="004844C1" w:rsidRDefault="00E245C3"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245C3" w:rsidRDefault="00E245C3" w:rsidP="00D262CE">
            <w:pPr>
              <w:spacing w:line="240" w:lineRule="atLeast"/>
              <w:jc w:val="right"/>
            </w:pPr>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617BE4">
        <w:trPr>
          <w:cantSplit/>
        </w:trPr>
        <w:tc>
          <w:tcPr>
            <w:tcW w:w="6345" w:type="dxa"/>
            <w:tcBorders>
              <w:bottom w:val="single" w:sz="12" w:space="0" w:color="auto"/>
            </w:tcBorders>
          </w:tcPr>
          <w:p w:rsidR="00E245C3" w:rsidRPr="00617BE4" w:rsidRDefault="00E245C3" w:rsidP="00E245C3">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245C3" w:rsidRPr="00617BE4" w:rsidRDefault="00E245C3" w:rsidP="00E245C3">
            <w:pPr>
              <w:spacing w:before="0" w:line="240" w:lineRule="atLeast"/>
              <w:rPr>
                <w:rFonts w:ascii="Verdana" w:hAnsi="Verdana"/>
                <w:szCs w:val="24"/>
              </w:rPr>
            </w:pPr>
          </w:p>
        </w:tc>
      </w:tr>
      <w:tr w:rsidR="00E245C3" w:rsidRPr="00C324A8">
        <w:trPr>
          <w:cantSplit/>
        </w:trPr>
        <w:tc>
          <w:tcPr>
            <w:tcW w:w="6345" w:type="dxa"/>
            <w:tcBorders>
              <w:top w:val="single" w:sz="12" w:space="0" w:color="auto"/>
            </w:tcBorders>
          </w:tcPr>
          <w:p w:rsidR="00E245C3" w:rsidRPr="00C324A8"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C324A8" w:rsidRDefault="00E245C3" w:rsidP="00E245C3">
            <w:pPr>
              <w:spacing w:before="0" w:line="240" w:lineRule="atLeast"/>
              <w:rPr>
                <w:rFonts w:ascii="Verdana" w:hAnsi="Verdana"/>
                <w:sz w:val="20"/>
              </w:rPr>
            </w:pPr>
          </w:p>
        </w:tc>
      </w:tr>
      <w:tr w:rsidR="00E245C3" w:rsidRPr="00C324A8">
        <w:trPr>
          <w:cantSplit/>
          <w:trHeight w:val="23"/>
        </w:trPr>
        <w:tc>
          <w:tcPr>
            <w:tcW w:w="6345" w:type="dxa"/>
            <w:vMerge w:val="restart"/>
          </w:tcPr>
          <w:p w:rsidR="00316221" w:rsidRPr="00A1232C" w:rsidRDefault="00A1232C" w:rsidP="00BA36B9">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A1232C">
              <w:rPr>
                <w:rFonts w:ascii="Verdana" w:hAnsi="Verdana"/>
                <w:b/>
                <w:bCs/>
                <w:sz w:val="20"/>
              </w:rPr>
              <w:t>PLENARY MEETING</w:t>
            </w:r>
          </w:p>
        </w:tc>
        <w:tc>
          <w:tcPr>
            <w:tcW w:w="3686" w:type="dxa"/>
          </w:tcPr>
          <w:p w:rsidR="00E245C3" w:rsidRPr="00E245C3" w:rsidRDefault="00F67558" w:rsidP="00E245C3">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r>
            <w:r w:rsidR="00E245C3">
              <w:rPr>
                <w:rFonts w:ascii="Verdana" w:hAnsi="Verdana"/>
                <w:b/>
                <w:sz w:val="20"/>
              </w:rPr>
              <w:t>Document RA15/</w:t>
            </w:r>
            <w:r w:rsidR="00A1232C">
              <w:rPr>
                <w:rFonts w:ascii="Verdana" w:hAnsi="Verdana"/>
                <w:b/>
                <w:sz w:val="20"/>
              </w:rPr>
              <w:t>PLEN/21</w:t>
            </w:r>
            <w:r w:rsidR="00E245C3">
              <w:rPr>
                <w:rFonts w:ascii="Verdana" w:hAnsi="Verdana"/>
                <w:b/>
                <w:sz w:val="20"/>
              </w:rPr>
              <w:t>-E</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E245C3" w:rsidRDefault="00A1232C" w:rsidP="00E245C3">
            <w:pPr>
              <w:tabs>
                <w:tab w:val="left" w:pos="993"/>
              </w:tabs>
              <w:spacing w:before="0"/>
              <w:rPr>
                <w:rFonts w:ascii="Verdana" w:hAnsi="Verdana"/>
                <w:sz w:val="20"/>
              </w:rPr>
            </w:pPr>
            <w:r>
              <w:rPr>
                <w:rFonts w:ascii="Verdana" w:hAnsi="Verdana"/>
                <w:b/>
                <w:sz w:val="20"/>
              </w:rPr>
              <w:t>9 October</w:t>
            </w:r>
            <w:r w:rsidR="00E245C3">
              <w:rPr>
                <w:rFonts w:ascii="Verdana" w:hAnsi="Verdana"/>
                <w:b/>
                <w:sz w:val="20"/>
              </w:rPr>
              <w:t xml:space="preserve"> 2015</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E245C3" w:rsidRDefault="00E245C3" w:rsidP="00A1232C">
            <w:pPr>
              <w:tabs>
                <w:tab w:val="left" w:pos="993"/>
              </w:tabs>
              <w:spacing w:before="0" w:after="120"/>
              <w:rPr>
                <w:rFonts w:ascii="Verdana" w:hAnsi="Verdana"/>
                <w:sz w:val="20"/>
              </w:rPr>
            </w:pPr>
            <w:r>
              <w:rPr>
                <w:rFonts w:ascii="Verdana" w:hAnsi="Verdana"/>
                <w:b/>
                <w:sz w:val="20"/>
              </w:rPr>
              <w:t xml:space="preserve">Original: </w:t>
            </w:r>
            <w:r w:rsidR="00A1232C">
              <w:rPr>
                <w:rFonts w:ascii="Verdana" w:hAnsi="Verdana"/>
                <w:b/>
                <w:sz w:val="20"/>
              </w:rPr>
              <w:t>Russian</w:t>
            </w:r>
          </w:p>
        </w:tc>
      </w:tr>
      <w:tr w:rsidR="00E245C3">
        <w:trPr>
          <w:cantSplit/>
        </w:trPr>
        <w:tc>
          <w:tcPr>
            <w:tcW w:w="10031" w:type="dxa"/>
            <w:gridSpan w:val="2"/>
          </w:tcPr>
          <w:p w:rsidR="00E245C3" w:rsidRDefault="0096260C">
            <w:pPr>
              <w:pStyle w:val="Source"/>
            </w:pPr>
            <w:bookmarkStart w:id="5" w:name="dsource" w:colFirst="0" w:colLast="0"/>
            <w:bookmarkEnd w:id="4"/>
            <w:r>
              <w:t>Regional Commonwealth in the field of Communications Common Proposals</w:t>
            </w:r>
          </w:p>
        </w:tc>
      </w:tr>
      <w:tr w:rsidR="00E245C3">
        <w:trPr>
          <w:cantSplit/>
        </w:trPr>
        <w:tc>
          <w:tcPr>
            <w:tcW w:w="10031" w:type="dxa"/>
            <w:gridSpan w:val="2"/>
          </w:tcPr>
          <w:p w:rsidR="00E245C3" w:rsidRDefault="003323B4">
            <w:pPr>
              <w:pStyle w:val="Title1"/>
            </w:pPr>
            <w:bookmarkStart w:id="6" w:name="dtitle1" w:colFirst="0" w:colLast="0"/>
            <w:bookmarkEnd w:id="5"/>
            <w:r w:rsidRPr="0096260C">
              <w:t xml:space="preserve">proposals for </w:t>
            </w:r>
            <w:r w:rsidR="0096260C" w:rsidRPr="0096260C">
              <w:t>THE W</w:t>
            </w:r>
            <w:r w:rsidR="007235C8" w:rsidRPr="0096260C">
              <w:t>ORK OF THE ASSEMBLY</w:t>
            </w:r>
          </w:p>
        </w:tc>
      </w:tr>
      <w:tr w:rsidR="00E245C3">
        <w:trPr>
          <w:cantSplit/>
        </w:trPr>
        <w:tc>
          <w:tcPr>
            <w:tcW w:w="10031" w:type="dxa"/>
            <w:gridSpan w:val="2"/>
          </w:tcPr>
          <w:p w:rsidR="00E245C3" w:rsidRDefault="007235C8" w:rsidP="007235C8">
            <w:pPr>
              <w:pStyle w:val="Title2"/>
            </w:pPr>
            <w:bookmarkStart w:id="7" w:name="dtitle2" w:colFirst="0" w:colLast="0"/>
            <w:bookmarkEnd w:id="6"/>
            <w:r w:rsidRPr="00E0536E">
              <w:t>PROPOSED WAYS OF ACHI</w:t>
            </w:r>
            <w:r w:rsidR="00316221" w:rsidRPr="00E0536E">
              <w:t>EV</w:t>
            </w:r>
            <w:r w:rsidRPr="00E0536E">
              <w:t>ING PROGRESS</w:t>
            </w:r>
            <w:r>
              <w:t xml:space="preserve"> WITH REGARD TO THE</w:t>
            </w:r>
            <w:r w:rsidR="00F67558">
              <w:t xml:space="preserve"> Draft </w:t>
            </w:r>
            <w:r w:rsidR="00D25EB8">
              <w:t>revision of</w:t>
            </w:r>
            <w:r w:rsidR="00F67558">
              <w:t xml:space="preserve"> recommendation ITU</w:t>
            </w:r>
            <w:r w:rsidR="00F67558">
              <w:noBreakHyphen/>
              <w:t>R M.</w:t>
            </w:r>
            <w:r w:rsidR="00D25EB8">
              <w:t>1036</w:t>
            </w:r>
            <w:r w:rsidR="00D25EB8">
              <w:noBreakHyphen/>
              <w:t>4</w:t>
            </w:r>
          </w:p>
        </w:tc>
      </w:tr>
      <w:tr w:rsidR="00E245C3">
        <w:trPr>
          <w:cantSplit/>
        </w:trPr>
        <w:tc>
          <w:tcPr>
            <w:tcW w:w="10031" w:type="dxa"/>
            <w:gridSpan w:val="2"/>
          </w:tcPr>
          <w:p w:rsidR="00E245C3" w:rsidRDefault="00E245C3">
            <w:pPr>
              <w:pStyle w:val="Title3"/>
            </w:pPr>
            <w:bookmarkStart w:id="8" w:name="dtitle3" w:colFirst="0" w:colLast="0"/>
            <w:bookmarkEnd w:id="7"/>
          </w:p>
        </w:tc>
      </w:tr>
    </w:tbl>
    <w:p w:rsidR="00E245C3" w:rsidRDefault="00C659E4" w:rsidP="00C659E4">
      <w:pPr>
        <w:pStyle w:val="Heading1"/>
      </w:pPr>
      <w:bookmarkStart w:id="9" w:name="dbreak"/>
      <w:bookmarkEnd w:id="8"/>
      <w:bookmarkEnd w:id="9"/>
      <w:r>
        <w:t>1</w:t>
      </w:r>
      <w:r>
        <w:tab/>
      </w:r>
      <w:r w:rsidR="003323B4">
        <w:t>Introduction</w:t>
      </w:r>
    </w:p>
    <w:p w:rsidR="007235C8" w:rsidRPr="0096260C" w:rsidRDefault="00A6663F" w:rsidP="00B708A5">
      <w:r>
        <w:t>A</w:t>
      </w:r>
      <w:r w:rsidR="007235C8">
        <w:t>t its tenth meeting</w:t>
      </w:r>
      <w:r>
        <w:t>, Study Group 5</w:t>
      </w:r>
      <w:r w:rsidR="007235C8">
        <w:t xml:space="preserve"> c</w:t>
      </w:r>
      <w:r w:rsidR="0096260C">
        <w:t xml:space="preserve">onsidered the draft revision of </w:t>
      </w:r>
      <w:r w:rsidR="00664008">
        <w:t xml:space="preserve">Recommendation </w:t>
      </w:r>
      <w:r w:rsidR="007235C8">
        <w:t>ITU</w:t>
      </w:r>
      <w:r w:rsidR="007235C8">
        <w:noBreakHyphen/>
        <w:t>R M.1036</w:t>
      </w:r>
      <w:r w:rsidR="007235C8">
        <w:noBreakHyphen/>
        <w:t>4 “</w:t>
      </w:r>
      <w:r w:rsidR="004262B3" w:rsidRPr="005E5EFC">
        <w:rPr>
          <w:lang w:val="en-US" w:eastAsia="zh-CN"/>
        </w:rPr>
        <w:t>Frequency arrangements for implementation of the terrestrial component of International Mobile Telecommunications (IMT) in the bands</w:t>
      </w:r>
      <w:r w:rsidR="004262B3" w:rsidRPr="005E5EFC">
        <w:rPr>
          <w:lang w:val="en-US"/>
        </w:rPr>
        <w:t xml:space="preserve"> </w:t>
      </w:r>
      <w:r w:rsidR="004262B3" w:rsidRPr="005E5EFC">
        <w:rPr>
          <w:lang w:val="en-US" w:eastAsia="zh-CN"/>
        </w:rPr>
        <w:t>identified for IMT in the Radio Regulations (RR)</w:t>
      </w:r>
      <w:r w:rsidR="007235C8">
        <w:rPr>
          <w:lang w:val="en-US" w:eastAsia="zh-CN"/>
        </w:rPr>
        <w:t>”</w:t>
      </w:r>
      <w:r w:rsidR="00E0536E">
        <w:rPr>
          <w:lang w:val="en-US" w:eastAsia="zh-CN"/>
        </w:rPr>
        <w:t>,</w:t>
      </w:r>
      <w:r w:rsidR="007235C8">
        <w:rPr>
          <w:lang w:val="en-US" w:eastAsia="zh-CN"/>
        </w:rPr>
        <w:t xml:space="preserve"> but did not reach agreement. It was de</w:t>
      </w:r>
      <w:r w:rsidR="0096260C">
        <w:rPr>
          <w:lang w:val="en-US" w:eastAsia="zh-CN"/>
        </w:rPr>
        <w:t xml:space="preserve">cided to refer this document to </w:t>
      </w:r>
      <w:r w:rsidR="007235C8">
        <w:rPr>
          <w:lang w:val="en-US" w:eastAsia="zh-CN"/>
        </w:rPr>
        <w:t xml:space="preserve">the </w:t>
      </w:r>
      <w:r w:rsidR="00316221">
        <w:rPr>
          <w:lang w:val="en-US" w:eastAsia="zh-CN"/>
        </w:rPr>
        <w:t>Radiocommunication</w:t>
      </w:r>
      <w:r w:rsidR="007235C8">
        <w:rPr>
          <w:lang w:val="en-US" w:eastAsia="zh-CN"/>
        </w:rPr>
        <w:t xml:space="preserve"> Assembly 2015 for examination.</w:t>
      </w:r>
    </w:p>
    <w:p w:rsidR="007235C8" w:rsidRDefault="00B708A5" w:rsidP="00B708A5">
      <w:pPr>
        <w:rPr>
          <w:lang w:val="en-US" w:eastAsia="zh-CN"/>
        </w:rPr>
      </w:pPr>
      <w:r>
        <w:rPr>
          <w:lang w:val="en-US" w:eastAsia="zh-CN"/>
        </w:rPr>
        <w:t>In particular</w:t>
      </w:r>
      <w:r w:rsidR="007235C8">
        <w:rPr>
          <w:lang w:val="en-US" w:eastAsia="zh-CN"/>
        </w:rPr>
        <w:t xml:space="preserve">, no agreement was reached on the </w:t>
      </w:r>
      <w:r w:rsidR="00316221">
        <w:rPr>
          <w:lang w:val="en-US" w:eastAsia="zh-CN"/>
        </w:rPr>
        <w:t>inclusion</w:t>
      </w:r>
      <w:r w:rsidR="007235C8">
        <w:rPr>
          <w:lang w:val="en-US" w:eastAsia="zh-CN"/>
        </w:rPr>
        <w:t xml:space="preserve"> of </w:t>
      </w:r>
      <w:r w:rsidR="00EB5A00">
        <w:rPr>
          <w:lang w:val="en-US" w:eastAsia="zh-CN"/>
        </w:rPr>
        <w:t xml:space="preserve">the </w:t>
      </w:r>
      <w:r w:rsidR="007235C8">
        <w:rPr>
          <w:lang w:val="en-US" w:eastAsia="zh-CN"/>
        </w:rPr>
        <w:t>new frequency</w:t>
      </w:r>
      <w:r w:rsidR="00EB5A00">
        <w:rPr>
          <w:lang w:val="en-US" w:eastAsia="zh-CN"/>
        </w:rPr>
        <w:t xml:space="preserve"> arrangements B6 and B7</w:t>
      </w:r>
      <w:r w:rsidR="007235C8">
        <w:rPr>
          <w:lang w:val="en-US" w:eastAsia="zh-CN"/>
        </w:rPr>
        <w:t xml:space="preserve"> and on the extension of the </w:t>
      </w:r>
      <w:r w:rsidR="00316221">
        <w:rPr>
          <w:lang w:val="en-US" w:eastAsia="zh-CN"/>
        </w:rPr>
        <w:t>existing</w:t>
      </w:r>
      <w:r w:rsidR="007235C8">
        <w:rPr>
          <w:lang w:val="en-US" w:eastAsia="zh-CN"/>
        </w:rPr>
        <w:t xml:space="preserve"> arrangements B3 and B5. These changes to</w:t>
      </w:r>
      <w:r w:rsidR="00EB5A00">
        <w:rPr>
          <w:lang w:val="en-US" w:eastAsia="zh-CN"/>
        </w:rPr>
        <w:t xml:space="preserve"> frequency arrangements for the</w:t>
      </w:r>
      <w:r w:rsidR="007235C8">
        <w:rPr>
          <w:lang w:val="en-US" w:eastAsia="zh-CN"/>
        </w:rPr>
        <w:t xml:space="preserve"> terrestrial comp</w:t>
      </w:r>
      <w:r w:rsidR="00316221">
        <w:rPr>
          <w:lang w:val="en-US" w:eastAsia="zh-CN"/>
        </w:rPr>
        <w:t xml:space="preserve">onent </w:t>
      </w:r>
      <w:r w:rsidR="00EB5A00">
        <w:rPr>
          <w:lang w:val="en-US" w:eastAsia="zh-CN"/>
        </w:rPr>
        <w:t xml:space="preserve">of IMT </w:t>
      </w:r>
      <w:r w:rsidR="007235C8">
        <w:rPr>
          <w:lang w:val="en-US" w:eastAsia="zh-CN"/>
        </w:rPr>
        <w:t xml:space="preserve">include </w:t>
      </w:r>
      <w:r w:rsidR="00316221">
        <w:rPr>
          <w:lang w:val="en-US" w:eastAsia="zh-CN"/>
        </w:rPr>
        <w:t>new</w:t>
      </w:r>
      <w:r w:rsidR="007235C8">
        <w:rPr>
          <w:lang w:val="en-US" w:eastAsia="zh-CN"/>
        </w:rPr>
        <w:t xml:space="preserve"> </w:t>
      </w:r>
      <w:r w:rsidR="00316221">
        <w:rPr>
          <w:lang w:val="en-US" w:eastAsia="zh-CN"/>
        </w:rPr>
        <w:t>additions</w:t>
      </w:r>
      <w:r w:rsidR="007235C8">
        <w:rPr>
          <w:lang w:val="en-US" w:eastAsia="zh-CN"/>
        </w:rPr>
        <w:t xml:space="preserve"> to the frequ</w:t>
      </w:r>
      <w:r w:rsidR="00316221">
        <w:rPr>
          <w:lang w:val="en-US" w:eastAsia="zh-CN"/>
        </w:rPr>
        <w:t>en</w:t>
      </w:r>
      <w:r w:rsidR="007235C8">
        <w:rPr>
          <w:lang w:val="en-US" w:eastAsia="zh-CN"/>
        </w:rPr>
        <w:t xml:space="preserve">cy </w:t>
      </w:r>
      <w:r w:rsidR="00316221">
        <w:rPr>
          <w:lang w:val="en-US" w:eastAsia="zh-CN"/>
        </w:rPr>
        <w:t>bands</w:t>
      </w:r>
      <w:r w:rsidR="007235C8">
        <w:rPr>
          <w:lang w:val="en-US" w:eastAsia="zh-CN"/>
        </w:rPr>
        <w:t xml:space="preserve"> 1 980-2 010 MHz and 2 170-2 200 MHz, identified for </w:t>
      </w:r>
      <w:r w:rsidR="00316221">
        <w:rPr>
          <w:lang w:val="en-US" w:eastAsia="zh-CN"/>
        </w:rPr>
        <w:t xml:space="preserve">the </w:t>
      </w:r>
      <w:r w:rsidR="00841390">
        <w:rPr>
          <w:lang w:val="en-US" w:eastAsia="zh-CN"/>
        </w:rPr>
        <w:t>satellite</w:t>
      </w:r>
      <w:r w:rsidR="007235C8">
        <w:rPr>
          <w:lang w:val="en-US" w:eastAsia="zh-CN"/>
        </w:rPr>
        <w:t xml:space="preserve"> component of IMT. Various </w:t>
      </w:r>
      <w:r w:rsidR="00841390">
        <w:rPr>
          <w:lang w:val="en-US" w:eastAsia="zh-CN"/>
        </w:rPr>
        <w:t>opinions were</w:t>
      </w:r>
      <w:r w:rsidR="007235C8">
        <w:rPr>
          <w:lang w:val="en-US" w:eastAsia="zh-CN"/>
        </w:rPr>
        <w:t xml:space="preserve"> expressed regarding the possibility of making such </w:t>
      </w:r>
      <w:r w:rsidR="00316221">
        <w:rPr>
          <w:lang w:val="en-US" w:eastAsia="zh-CN"/>
        </w:rPr>
        <w:t>changes</w:t>
      </w:r>
      <w:r w:rsidR="007235C8">
        <w:rPr>
          <w:lang w:val="en-US" w:eastAsia="zh-CN"/>
        </w:rPr>
        <w:t xml:space="preserve"> to th</w:t>
      </w:r>
      <w:r w:rsidR="00E0536E">
        <w:rPr>
          <w:lang w:val="en-US" w:eastAsia="zh-CN"/>
        </w:rPr>
        <w:t>e frequency arrangement</w:t>
      </w:r>
      <w:r>
        <w:rPr>
          <w:lang w:val="en-US" w:eastAsia="zh-CN"/>
        </w:rPr>
        <w:t>s</w:t>
      </w:r>
      <w:r w:rsidR="00E0536E">
        <w:rPr>
          <w:lang w:val="en-US" w:eastAsia="zh-CN"/>
        </w:rPr>
        <w:t xml:space="preserve"> for the</w:t>
      </w:r>
      <w:r w:rsidR="007235C8">
        <w:rPr>
          <w:lang w:val="en-US" w:eastAsia="zh-CN"/>
        </w:rPr>
        <w:t xml:space="preserve"> terrestrial </w:t>
      </w:r>
      <w:r w:rsidR="00316221">
        <w:rPr>
          <w:lang w:val="en-US" w:eastAsia="zh-CN"/>
        </w:rPr>
        <w:t>component</w:t>
      </w:r>
      <w:r w:rsidR="00E0536E">
        <w:rPr>
          <w:lang w:val="en-US" w:eastAsia="zh-CN"/>
        </w:rPr>
        <w:t xml:space="preserve"> of IMT</w:t>
      </w:r>
      <w:r w:rsidR="007235C8">
        <w:rPr>
          <w:lang w:val="en-US" w:eastAsia="zh-CN"/>
        </w:rPr>
        <w:t xml:space="preserve"> </w:t>
      </w:r>
      <w:r>
        <w:rPr>
          <w:lang w:val="en-US" w:eastAsia="zh-CN"/>
        </w:rPr>
        <w:t xml:space="preserve">before appropriate consideration is given to </w:t>
      </w:r>
      <w:r w:rsidR="00E0536E">
        <w:rPr>
          <w:lang w:val="en-US" w:eastAsia="zh-CN"/>
        </w:rPr>
        <w:t>the issues related to</w:t>
      </w:r>
      <w:r w:rsidR="007235C8">
        <w:rPr>
          <w:lang w:val="en-US" w:eastAsia="zh-CN"/>
        </w:rPr>
        <w:t xml:space="preserve"> simultaneous operation of the satellite and terrestrial components of IMT.</w:t>
      </w:r>
    </w:p>
    <w:p w:rsidR="003323B4" w:rsidRDefault="00C659E4" w:rsidP="00B708A5">
      <w:pPr>
        <w:pStyle w:val="Heading1"/>
      </w:pPr>
      <w:r>
        <w:t>2</w:t>
      </w:r>
      <w:r>
        <w:tab/>
      </w:r>
      <w:r w:rsidR="00A6663F">
        <w:t>Discussion</w:t>
      </w:r>
    </w:p>
    <w:p w:rsidR="007235C8" w:rsidRDefault="007235C8" w:rsidP="00B708A5">
      <w:pPr>
        <w:rPr>
          <w:highlight w:val="yellow"/>
        </w:rPr>
      </w:pPr>
      <w:r w:rsidRPr="007235C8">
        <w:t xml:space="preserve">The bands </w:t>
      </w:r>
      <w:r>
        <w:rPr>
          <w:lang w:val="en-US" w:eastAsia="zh-CN"/>
        </w:rPr>
        <w:t xml:space="preserve">1 980-2 010 MHz and 2 170-2 200 MHz are virtually the only bands accessible for </w:t>
      </w:r>
      <w:r w:rsidR="00757E88">
        <w:rPr>
          <w:lang w:val="en-US" w:eastAsia="zh-CN"/>
        </w:rPr>
        <w:t>dep</w:t>
      </w:r>
      <w:r w:rsidR="00316221">
        <w:rPr>
          <w:lang w:val="en-US" w:eastAsia="zh-CN"/>
        </w:rPr>
        <w:t xml:space="preserve">loyment of the IMT satellite component </w:t>
      </w:r>
      <w:r w:rsidR="00757E88">
        <w:rPr>
          <w:lang w:val="en-US" w:eastAsia="zh-CN"/>
        </w:rPr>
        <w:t xml:space="preserve">in accordance with </w:t>
      </w:r>
      <w:r w:rsidR="00316221">
        <w:rPr>
          <w:lang w:val="en-US" w:eastAsia="zh-CN"/>
        </w:rPr>
        <w:t>Resolution</w:t>
      </w:r>
      <w:r w:rsidR="00757E88">
        <w:rPr>
          <w:lang w:val="en-US" w:eastAsia="zh-CN"/>
        </w:rPr>
        <w:t xml:space="preserve"> 212 (Rev. WRC-07) and </w:t>
      </w:r>
      <w:r w:rsidR="00316221">
        <w:rPr>
          <w:lang w:val="en-US" w:eastAsia="zh-CN"/>
        </w:rPr>
        <w:t>specifically</w:t>
      </w:r>
      <w:r w:rsidR="00757E88">
        <w:rPr>
          <w:lang w:val="en-US" w:eastAsia="zh-CN"/>
        </w:rPr>
        <w:t xml:space="preserve"> referred to in </w:t>
      </w:r>
      <w:r w:rsidR="00316221">
        <w:rPr>
          <w:lang w:val="en-US" w:eastAsia="zh-CN"/>
        </w:rPr>
        <w:t>Resolution</w:t>
      </w:r>
      <w:r w:rsidR="00757E88">
        <w:rPr>
          <w:lang w:val="en-US" w:eastAsia="zh-CN"/>
        </w:rPr>
        <w:t xml:space="preserve"> 223 (Rev. WRC-12) </w:t>
      </w:r>
      <w:r w:rsidR="00EB5A00">
        <w:rPr>
          <w:lang w:val="en-US" w:eastAsia="zh-CN"/>
        </w:rPr>
        <w:t>and</w:t>
      </w:r>
      <w:r w:rsidR="00757E88">
        <w:rPr>
          <w:lang w:val="en-US" w:eastAsia="zh-CN"/>
        </w:rPr>
        <w:t xml:space="preserve"> Resolution 225 (Rev. WRC-12) as bands identified for the satellite </w:t>
      </w:r>
      <w:r w:rsidR="00316221">
        <w:rPr>
          <w:lang w:val="en-US" w:eastAsia="zh-CN"/>
        </w:rPr>
        <w:t>component</w:t>
      </w:r>
      <w:r w:rsidR="00757E88">
        <w:rPr>
          <w:lang w:val="en-US" w:eastAsia="zh-CN"/>
        </w:rPr>
        <w:t xml:space="preserve"> of IMT.</w:t>
      </w:r>
    </w:p>
    <w:p w:rsidR="004262B3" w:rsidRDefault="004262B3" w:rsidP="00B708A5">
      <w:r>
        <w:rPr>
          <w:lang w:eastAsia="zh-CN"/>
        </w:rPr>
        <w:t>P</w:t>
      </w:r>
      <w:r w:rsidRPr="00B455BC">
        <w:t>reliminary sharing and compatibility studies</w:t>
      </w:r>
      <w:r w:rsidRPr="00B455BC">
        <w:rPr>
          <w:rFonts w:hint="eastAsia"/>
        </w:rPr>
        <w:t xml:space="preserve"> </w:t>
      </w:r>
      <w:r w:rsidRPr="00B455BC">
        <w:t xml:space="preserve">in WP 4C show that compatibility/sharing between the terrestrial and satellite components of IMT around the </w:t>
      </w:r>
      <w:r w:rsidR="00E0536E">
        <w:rPr>
          <w:lang w:eastAsia="zh-CN"/>
        </w:rPr>
        <w:t xml:space="preserve">frequency 2 GHz in the same coverage area cannot be achieved. </w:t>
      </w:r>
      <w:r w:rsidR="00EB5A00">
        <w:t>Owing</w:t>
      </w:r>
      <w:r w:rsidR="00E0536E">
        <w:t xml:space="preserve"> to the lack of </w:t>
      </w:r>
      <w:r w:rsidRPr="00B455BC">
        <w:t>applicable coordination threshold</w:t>
      </w:r>
      <w:r w:rsidR="00E0536E">
        <w:t>s</w:t>
      </w:r>
      <w:r w:rsidRPr="00B455BC">
        <w:t xml:space="preserve"> and appropriate regulatory provisions in </w:t>
      </w:r>
      <w:r w:rsidR="00B708A5">
        <w:t xml:space="preserve">the </w:t>
      </w:r>
      <w:r w:rsidRPr="00B455BC">
        <w:t xml:space="preserve">Radio Regulations, it is very difficult to coordinate </w:t>
      </w:r>
      <w:r w:rsidR="00E0536E">
        <w:t>the us</w:t>
      </w:r>
      <w:r w:rsidRPr="00B455BC">
        <w:t>e of the IMT satellite and terrestrial systems in the bands</w:t>
      </w:r>
      <w:r w:rsidR="00E0536E">
        <w:t xml:space="preserve"> </w:t>
      </w:r>
      <w:r w:rsidR="00B708A5">
        <w:t xml:space="preserve">in question </w:t>
      </w:r>
      <w:r w:rsidR="00E0536E">
        <w:t>between a number of countries</w:t>
      </w:r>
      <w:r w:rsidRPr="00B455BC">
        <w:t xml:space="preserve">. It should be noted that if the proposed revision </w:t>
      </w:r>
      <w:r w:rsidR="00E0536E">
        <w:t>of</w:t>
      </w:r>
      <w:r w:rsidRPr="00B455BC">
        <w:t xml:space="preserve"> Recommendation ITU-R M.1036 is approved before the </w:t>
      </w:r>
      <w:r w:rsidRPr="00B455BC">
        <w:lastRenderedPageBreak/>
        <w:t xml:space="preserve">above problems are resolved, </w:t>
      </w:r>
      <w:r w:rsidR="00E0536E">
        <w:t xml:space="preserve">there will be increasing </w:t>
      </w:r>
      <w:r w:rsidRPr="00B455BC">
        <w:t>interference between IMT te</w:t>
      </w:r>
      <w:r w:rsidR="00E0536E">
        <w:t>rrestrial and satellite systems, creating</w:t>
      </w:r>
      <w:r w:rsidRPr="00B455BC">
        <w:t xml:space="preserve"> a heavy burden of coordination between </w:t>
      </w:r>
      <w:r w:rsidR="00EB5A00">
        <w:rPr>
          <w:lang w:eastAsia="zh-CN"/>
        </w:rPr>
        <w:t xml:space="preserve">countries wishing </w:t>
      </w:r>
      <w:r w:rsidRPr="00B455BC">
        <w:t>to deploy IMT terrestrial or satellite systems</w:t>
      </w:r>
      <w:r w:rsidRPr="00B455BC">
        <w:rPr>
          <w:rFonts w:hint="eastAsia"/>
        </w:rPr>
        <w:t>.</w:t>
      </w:r>
    </w:p>
    <w:p w:rsidR="00757E88" w:rsidRDefault="00757E88" w:rsidP="00B708A5">
      <w:r>
        <w:t xml:space="preserve">It </w:t>
      </w:r>
      <w:r w:rsidR="00887EC1">
        <w:rPr>
          <w:rFonts w:hint="eastAsia"/>
          <w:lang w:eastAsia="zh-CN"/>
        </w:rPr>
        <w:t xml:space="preserve">is worth </w:t>
      </w:r>
      <w:r>
        <w:rPr>
          <w:rFonts w:hint="eastAsia"/>
          <w:lang w:eastAsia="zh-CN"/>
        </w:rPr>
        <w:t>not</w:t>
      </w:r>
      <w:r>
        <w:rPr>
          <w:lang w:eastAsia="zh-CN"/>
        </w:rPr>
        <w:t>ing</w:t>
      </w:r>
      <w:r w:rsidR="00887EC1" w:rsidRPr="00B455BC">
        <w:t xml:space="preserve"> that Recommendation ITU-R M.1036 states that one of the objectives of making frequency arrangements is to minimize the impact on other systems and services within</w:t>
      </w:r>
      <w:r w:rsidR="00887EC1" w:rsidRPr="00B455BC">
        <w:rPr>
          <w:lang w:val="en-US"/>
        </w:rPr>
        <w:t xml:space="preserve"> </w:t>
      </w:r>
      <w:r w:rsidR="00887EC1" w:rsidRPr="00B455BC">
        <w:t>the bands identified for IMT, which makes the aforementioned issues relevant to the revision of Recommendation ITU-R M.1036.</w:t>
      </w:r>
    </w:p>
    <w:p w:rsidR="00757E88" w:rsidRDefault="00887EC1" w:rsidP="00B708A5">
      <w:r w:rsidRPr="00830B5F">
        <w:t>Moreover, t</w:t>
      </w:r>
      <w:r w:rsidRPr="00830B5F">
        <w:rPr>
          <w:lang w:val="en-US"/>
        </w:rPr>
        <w:t>he harmonization of frequency arrangements within the bands 1 980</w:t>
      </w:r>
      <w:r w:rsidRPr="00830B5F">
        <w:rPr>
          <w:lang w:val="en-US"/>
        </w:rPr>
        <w:noBreakHyphen/>
        <w:t>2 010 MHz and 2</w:t>
      </w:r>
      <w:r>
        <w:rPr>
          <w:lang w:val="en-US"/>
        </w:rPr>
        <w:t> </w:t>
      </w:r>
      <w:r w:rsidRPr="00830B5F">
        <w:rPr>
          <w:lang w:val="en-US"/>
        </w:rPr>
        <w:t>170-2</w:t>
      </w:r>
      <w:r>
        <w:rPr>
          <w:lang w:val="en-US"/>
        </w:rPr>
        <w:t> </w:t>
      </w:r>
      <w:r w:rsidRPr="00830B5F">
        <w:rPr>
          <w:lang w:val="en-US"/>
        </w:rPr>
        <w:t xml:space="preserve">200 MHz for the terrestrial component of IMT </w:t>
      </w:r>
      <w:r w:rsidR="00E0536E">
        <w:rPr>
          <w:lang w:val="en-US"/>
        </w:rPr>
        <w:t xml:space="preserve">before undertaking </w:t>
      </w:r>
      <w:r w:rsidRPr="00830B5F">
        <w:rPr>
          <w:lang w:val="en-US"/>
        </w:rPr>
        <w:t>sharing/compatibility studies and develop</w:t>
      </w:r>
      <w:r w:rsidR="00E0536E">
        <w:rPr>
          <w:lang w:val="en-US"/>
        </w:rPr>
        <w:t xml:space="preserve">ing </w:t>
      </w:r>
      <w:r w:rsidRPr="00830B5F">
        <w:rPr>
          <w:lang w:val="en-US"/>
        </w:rPr>
        <w:t xml:space="preserve">coordination procedures with the satellite component of IMT may jeopardize </w:t>
      </w:r>
      <w:r w:rsidR="00E0536E">
        <w:rPr>
          <w:lang w:val="en-US"/>
        </w:rPr>
        <w:t xml:space="preserve">all the previous efforts of </w:t>
      </w:r>
      <w:r w:rsidRPr="00830B5F">
        <w:rPr>
          <w:lang w:val="en-US"/>
        </w:rPr>
        <w:t xml:space="preserve">ITU-R in creating and developing the satellite component of IMT. The importance of this issue has already </w:t>
      </w:r>
      <w:r w:rsidR="00EB5A00" w:rsidRPr="00830B5F">
        <w:rPr>
          <w:lang w:val="en-US"/>
        </w:rPr>
        <w:t xml:space="preserve">been </w:t>
      </w:r>
      <w:r w:rsidRPr="00830B5F">
        <w:rPr>
          <w:lang w:val="en-US"/>
        </w:rPr>
        <w:t xml:space="preserve">recognized by </w:t>
      </w:r>
      <w:r w:rsidR="00B708A5">
        <w:t xml:space="preserve">the </w:t>
      </w:r>
      <w:r w:rsidRPr="00830B5F">
        <w:t>Director</w:t>
      </w:r>
      <w:r w:rsidR="00B708A5">
        <w:t xml:space="preserve"> of BR</w:t>
      </w:r>
      <w:r w:rsidR="00EB5A00">
        <w:t xml:space="preserve">, who </w:t>
      </w:r>
      <w:r w:rsidRPr="00830B5F">
        <w:t xml:space="preserve">will report on the difficulties </w:t>
      </w:r>
      <w:r w:rsidR="00E0536E">
        <w:t xml:space="preserve">encountered </w:t>
      </w:r>
      <w:r w:rsidRPr="00830B5F">
        <w:t>to WRC-15</w:t>
      </w:r>
      <w:r w:rsidR="00757E88">
        <w:t xml:space="preserve"> under agenda item 9.2, and it is hoped that the conference will indicate some ways fo</w:t>
      </w:r>
      <w:r w:rsidR="00316221">
        <w:t>rward i</w:t>
      </w:r>
      <w:r w:rsidR="00757E88">
        <w:t>n resolving these issues.</w:t>
      </w:r>
    </w:p>
    <w:p w:rsidR="00C659E4" w:rsidRDefault="00887EC1" w:rsidP="00DD6FB9">
      <w:r>
        <w:rPr>
          <w:rFonts w:hint="eastAsia"/>
          <w:lang w:val="en-US" w:eastAsia="zh-CN"/>
        </w:rPr>
        <w:t>WP</w:t>
      </w:r>
      <w:r>
        <w:rPr>
          <w:lang w:val="en-US" w:eastAsia="zh-CN"/>
        </w:rPr>
        <w:t> </w:t>
      </w:r>
      <w:r>
        <w:rPr>
          <w:rFonts w:hint="eastAsia"/>
          <w:lang w:val="en-US" w:eastAsia="zh-CN"/>
        </w:rPr>
        <w:t xml:space="preserve">4C </w:t>
      </w:r>
      <w:r w:rsidR="00316221">
        <w:rPr>
          <w:lang w:val="en-US" w:eastAsia="zh-CN"/>
        </w:rPr>
        <w:t>confirmed</w:t>
      </w:r>
      <w:r w:rsidR="00757E88">
        <w:rPr>
          <w:lang w:val="en-US" w:eastAsia="zh-CN"/>
        </w:rPr>
        <w:t xml:space="preserve"> the </w:t>
      </w:r>
      <w:r w:rsidR="00316221">
        <w:rPr>
          <w:lang w:val="en-US" w:eastAsia="zh-CN"/>
        </w:rPr>
        <w:t>existence</w:t>
      </w:r>
      <w:r w:rsidR="00757E88">
        <w:rPr>
          <w:lang w:val="en-US" w:eastAsia="zh-CN"/>
        </w:rPr>
        <w:t xml:space="preserve"> of these issues </w:t>
      </w:r>
      <w:r w:rsidR="00757E88">
        <w:rPr>
          <w:lang w:val="en-US"/>
        </w:rPr>
        <w:t xml:space="preserve">in a liaison </w:t>
      </w:r>
      <w:r w:rsidR="00316221">
        <w:rPr>
          <w:lang w:val="en-US"/>
        </w:rPr>
        <w:t>statement</w:t>
      </w:r>
      <w:r w:rsidR="00757E88">
        <w:rPr>
          <w:lang w:val="en-US"/>
        </w:rPr>
        <w:t xml:space="preserve"> </w:t>
      </w:r>
      <w:r w:rsidR="00B708A5" w:rsidRPr="00830B5F">
        <w:rPr>
          <w:rFonts w:hint="eastAsia"/>
          <w:lang w:val="en-US"/>
        </w:rPr>
        <w:t>(</w:t>
      </w:r>
      <w:r w:rsidR="00B708A5" w:rsidRPr="00830B5F">
        <w:rPr>
          <w:lang w:val="en-US"/>
        </w:rPr>
        <w:t>Doc.</w:t>
      </w:r>
      <w:r w:rsidR="002C40F7">
        <w:rPr>
          <w:lang w:val="en-US"/>
        </w:rPr>
        <w:t xml:space="preserve"> </w:t>
      </w:r>
      <w:hyperlink r:id="rId8" w:history="1">
        <w:r w:rsidR="002C40F7" w:rsidRPr="002C40F7">
          <w:rPr>
            <w:rStyle w:val="Hyperlink"/>
            <w:lang w:val="en-US"/>
          </w:rPr>
          <w:t>5/194</w:t>
        </w:r>
      </w:hyperlink>
      <w:r w:rsidR="002C40F7">
        <w:rPr>
          <w:lang w:val="en-US"/>
        </w:rPr>
        <w:t>)</w:t>
      </w:r>
      <w:r w:rsidR="000D1AE6">
        <w:rPr>
          <w:lang w:val="en-US"/>
        </w:rPr>
        <w:t>,</w:t>
      </w:r>
      <w:r w:rsidR="00B708A5">
        <w:rPr>
          <w:lang w:val="en-US"/>
        </w:rPr>
        <w:t xml:space="preserve"> for </w:t>
      </w:r>
      <w:r w:rsidR="00C21C7E">
        <w:rPr>
          <w:lang w:val="en-US"/>
        </w:rPr>
        <w:t>WP 5D</w:t>
      </w:r>
      <w:r w:rsidR="00757E88">
        <w:rPr>
          <w:lang w:val="en-US"/>
        </w:rPr>
        <w:t xml:space="preserve"> which expressed similar concerns </w:t>
      </w:r>
      <w:r w:rsidRPr="00830B5F">
        <w:rPr>
          <w:rFonts w:hint="eastAsia"/>
          <w:lang w:val="en-US"/>
        </w:rPr>
        <w:t xml:space="preserve">and </w:t>
      </w:r>
      <w:r w:rsidRPr="00830B5F">
        <w:t xml:space="preserve">disagreement </w:t>
      </w:r>
      <w:r w:rsidRPr="00830B5F">
        <w:rPr>
          <w:rFonts w:hint="eastAsia"/>
        </w:rPr>
        <w:t xml:space="preserve">with </w:t>
      </w:r>
      <w:r w:rsidRPr="00830B5F">
        <w:t>the inclusion of these bands</w:t>
      </w:r>
      <w:r w:rsidRPr="00830B5F">
        <w:rPr>
          <w:rFonts w:hint="eastAsia"/>
        </w:rPr>
        <w:t xml:space="preserve"> </w:t>
      </w:r>
      <w:r w:rsidRPr="00830B5F">
        <w:t>1 980-2 010</w:t>
      </w:r>
      <w:r>
        <w:t> </w:t>
      </w:r>
      <w:r w:rsidRPr="00830B5F">
        <w:t>MHz and 2 170-2 200 MHz in the revis</w:t>
      </w:r>
      <w:r w:rsidR="00757E88">
        <w:t xml:space="preserve">ed version of </w:t>
      </w:r>
      <w:r w:rsidRPr="00830B5F">
        <w:t>Recommendation ITU-R M.1036 before completi</w:t>
      </w:r>
      <w:r w:rsidR="00E0536E">
        <w:t xml:space="preserve">on of </w:t>
      </w:r>
      <w:r w:rsidRPr="00830B5F">
        <w:t>compatibility/sharing studies</w:t>
      </w:r>
      <w:r w:rsidRPr="00830B5F">
        <w:rPr>
          <w:rFonts w:hint="eastAsia"/>
        </w:rPr>
        <w:t>.</w:t>
      </w:r>
      <w:r w:rsidRPr="00830B5F">
        <w:t xml:space="preserve"> This view has been also supported by SG 4 </w:t>
      </w:r>
      <w:r w:rsidRPr="00830B5F">
        <w:rPr>
          <w:rFonts w:hint="eastAsia"/>
          <w:lang w:val="en-US"/>
        </w:rPr>
        <w:t xml:space="preserve">in </w:t>
      </w:r>
      <w:r w:rsidR="00841390">
        <w:rPr>
          <w:lang w:val="en-US"/>
        </w:rPr>
        <w:t>a</w:t>
      </w:r>
      <w:r w:rsidRPr="00830B5F">
        <w:rPr>
          <w:rFonts w:hint="eastAsia"/>
          <w:lang w:val="en-US"/>
        </w:rPr>
        <w:t xml:space="preserve"> </w:t>
      </w:r>
      <w:r w:rsidRPr="00830B5F">
        <w:rPr>
          <w:lang w:val="en-US"/>
        </w:rPr>
        <w:t>liaison</w:t>
      </w:r>
      <w:r w:rsidRPr="00830B5F">
        <w:rPr>
          <w:rFonts w:hint="eastAsia"/>
          <w:lang w:val="en-US"/>
        </w:rPr>
        <w:t xml:space="preserve"> statement </w:t>
      </w:r>
      <w:r w:rsidRPr="00830B5F">
        <w:rPr>
          <w:lang w:val="en-US"/>
        </w:rPr>
        <w:t xml:space="preserve">to SG 5 </w:t>
      </w:r>
      <w:r w:rsidRPr="00830B5F">
        <w:rPr>
          <w:rFonts w:hint="eastAsia"/>
          <w:lang w:val="en-US"/>
        </w:rPr>
        <w:t>(</w:t>
      </w:r>
      <w:r w:rsidRPr="00830B5F">
        <w:rPr>
          <w:lang w:val="en-US"/>
        </w:rPr>
        <w:t xml:space="preserve">Doc. </w:t>
      </w:r>
      <w:hyperlink r:id="rId9" w:history="1">
        <w:r w:rsidRPr="00830B5F">
          <w:rPr>
            <w:rStyle w:val="Hyperlink"/>
            <w:rFonts w:hint="eastAsia"/>
            <w:spacing w:val="-4"/>
            <w:szCs w:val="28"/>
            <w:lang w:val="en-US"/>
          </w:rPr>
          <w:t>5/</w:t>
        </w:r>
        <w:r w:rsidRPr="00830B5F">
          <w:rPr>
            <w:rStyle w:val="Hyperlink"/>
            <w:spacing w:val="-4"/>
            <w:szCs w:val="28"/>
            <w:lang w:val="en-US"/>
          </w:rPr>
          <w:t>212</w:t>
        </w:r>
      </w:hyperlink>
      <w:r w:rsidRPr="00830B5F">
        <w:rPr>
          <w:rFonts w:hint="eastAsia"/>
          <w:lang w:val="en-US"/>
        </w:rPr>
        <w:t>)</w:t>
      </w:r>
      <w:r>
        <w:rPr>
          <w:rFonts w:hint="eastAsia"/>
          <w:lang w:val="en-US" w:eastAsia="zh-CN"/>
        </w:rPr>
        <w:t>.</w:t>
      </w:r>
    </w:p>
    <w:p w:rsidR="003323B4" w:rsidRDefault="00E0536E" w:rsidP="00B708A5">
      <w:pPr>
        <w:pStyle w:val="Heading1"/>
      </w:pPr>
      <w:r>
        <w:t>3</w:t>
      </w:r>
      <w:r>
        <w:tab/>
        <w:t>Conclusion</w:t>
      </w:r>
    </w:p>
    <w:p w:rsidR="00E7712E" w:rsidRDefault="00E7712E" w:rsidP="00B708A5">
      <w:pPr>
        <w:rPr>
          <w:lang w:eastAsia="zh-CN"/>
        </w:rPr>
      </w:pPr>
      <w:r>
        <w:rPr>
          <w:lang w:val="en-US" w:eastAsia="zh-CN"/>
        </w:rPr>
        <w:t xml:space="preserve">The RCC Administrations are of the view </w:t>
      </w:r>
      <w:r w:rsidR="00887EC1" w:rsidRPr="00830B5F">
        <w:rPr>
          <w:lang w:val="en-US"/>
        </w:rPr>
        <w:t xml:space="preserve">that the inclusion </w:t>
      </w:r>
      <w:r w:rsidR="00E0536E">
        <w:rPr>
          <w:lang w:val="en-US"/>
        </w:rPr>
        <w:t xml:space="preserve">in </w:t>
      </w:r>
      <w:r w:rsidR="00E0536E">
        <w:t>the draft revision of Recommendation ITU</w:t>
      </w:r>
      <w:r w:rsidR="00E0536E">
        <w:noBreakHyphen/>
        <w:t>R M.1036</w:t>
      </w:r>
      <w:r w:rsidR="00E0536E">
        <w:noBreakHyphen/>
        <w:t xml:space="preserve">4 </w:t>
      </w:r>
      <w:r w:rsidR="00887EC1" w:rsidRPr="00830B5F">
        <w:rPr>
          <w:lang w:val="en-US"/>
        </w:rPr>
        <w:t>of new frequency arrangements B6 and B7 and the extension of</w:t>
      </w:r>
      <w:r>
        <w:rPr>
          <w:lang w:val="en-US"/>
        </w:rPr>
        <w:t xml:space="preserve"> existing arrangements B3 and B </w:t>
      </w:r>
      <w:r w:rsidR="00887EC1" w:rsidRPr="00830B5F">
        <w:rPr>
          <w:lang w:val="en-US"/>
        </w:rPr>
        <w:t>is premature</w:t>
      </w:r>
      <w:r>
        <w:rPr>
          <w:lang w:val="en-US"/>
        </w:rPr>
        <w:t xml:space="preserve">. The RCC Administrations therefore propose keeping unchanged Section 3 of the draft revision of </w:t>
      </w:r>
      <w:r w:rsidRPr="00520867">
        <w:rPr>
          <w:lang w:eastAsia="zh-CN"/>
        </w:rPr>
        <w:t>Recommendation ITU</w:t>
      </w:r>
      <w:r>
        <w:rPr>
          <w:lang w:eastAsia="zh-CN"/>
        </w:rPr>
        <w:noBreakHyphen/>
      </w:r>
      <w:r w:rsidRPr="00520867">
        <w:rPr>
          <w:lang w:eastAsia="zh-CN"/>
        </w:rPr>
        <w:t>R</w:t>
      </w:r>
      <w:r>
        <w:rPr>
          <w:lang w:eastAsia="zh-CN"/>
        </w:rPr>
        <w:t> </w:t>
      </w:r>
      <w:r w:rsidRPr="00520867">
        <w:rPr>
          <w:lang w:eastAsia="zh-CN"/>
        </w:rPr>
        <w:t>M.1036</w:t>
      </w:r>
      <w:r>
        <w:rPr>
          <w:lang w:eastAsia="zh-CN"/>
        </w:rPr>
        <w:t>-4</w:t>
      </w:r>
      <w:r w:rsidR="00E0536E">
        <w:rPr>
          <w:lang w:eastAsia="zh-CN"/>
        </w:rPr>
        <w:t>,</w:t>
      </w:r>
      <w:r>
        <w:rPr>
          <w:lang w:eastAsia="zh-CN"/>
        </w:rPr>
        <w:t xml:space="preserve"> as shown in the attachment to this </w:t>
      </w:r>
      <w:r w:rsidR="00357B61">
        <w:rPr>
          <w:lang w:eastAsia="zh-CN"/>
        </w:rPr>
        <w:t>document</w:t>
      </w:r>
      <w:r>
        <w:rPr>
          <w:lang w:eastAsia="zh-CN"/>
        </w:rPr>
        <w:t>.</w:t>
      </w:r>
    </w:p>
    <w:p w:rsidR="00C659E4" w:rsidRDefault="00E7712E" w:rsidP="00B708A5">
      <w:r>
        <w:rPr>
          <w:lang w:val="en-US"/>
        </w:rPr>
        <w:t xml:space="preserve">Consideration of </w:t>
      </w:r>
      <w:r w:rsidR="00357B61">
        <w:rPr>
          <w:lang w:val="en-US"/>
        </w:rPr>
        <w:t>frequency</w:t>
      </w:r>
      <w:r>
        <w:rPr>
          <w:lang w:val="en-US"/>
        </w:rPr>
        <w:t xml:space="preserve"> </w:t>
      </w:r>
      <w:r w:rsidR="00357B61">
        <w:rPr>
          <w:lang w:val="en-US"/>
        </w:rPr>
        <w:t>arrangements</w:t>
      </w:r>
      <w:r w:rsidR="00841390">
        <w:rPr>
          <w:lang w:val="en-US"/>
        </w:rPr>
        <w:t xml:space="preserve"> for the </w:t>
      </w:r>
      <w:r>
        <w:rPr>
          <w:lang w:val="en-US"/>
        </w:rPr>
        <w:t>terrestrial comp</w:t>
      </w:r>
      <w:r w:rsidR="00357B61">
        <w:rPr>
          <w:lang w:val="en-US"/>
        </w:rPr>
        <w:t>onent</w:t>
      </w:r>
      <w:r>
        <w:rPr>
          <w:lang w:val="en-US"/>
        </w:rPr>
        <w:t xml:space="preserve"> of IMT in the frequ</w:t>
      </w:r>
      <w:r w:rsidR="00357B61">
        <w:rPr>
          <w:lang w:val="en-US"/>
        </w:rPr>
        <w:t>en</w:t>
      </w:r>
      <w:r>
        <w:rPr>
          <w:lang w:val="en-US"/>
        </w:rPr>
        <w:t xml:space="preserve">cy bands 1 980-2 010 MHz and 2 170-2 200 MHz is possible only after </w:t>
      </w:r>
      <w:r w:rsidR="00E0536E">
        <w:rPr>
          <w:lang w:val="en-US"/>
        </w:rPr>
        <w:t xml:space="preserve">WRC-15 has discussed the </w:t>
      </w:r>
      <w:r>
        <w:rPr>
          <w:lang w:val="en-US"/>
        </w:rPr>
        <w:t xml:space="preserve">feasibility of simultaneous </w:t>
      </w:r>
      <w:r w:rsidR="00357B61">
        <w:rPr>
          <w:lang w:val="en-US"/>
        </w:rPr>
        <w:t>development</w:t>
      </w:r>
      <w:r>
        <w:rPr>
          <w:lang w:val="en-US"/>
        </w:rPr>
        <w:t xml:space="preserve"> of the satellite and terrestrial </w:t>
      </w:r>
      <w:r w:rsidR="00357B61">
        <w:rPr>
          <w:lang w:val="en-US"/>
        </w:rPr>
        <w:t>components</w:t>
      </w:r>
      <w:r>
        <w:rPr>
          <w:lang w:val="en-US"/>
        </w:rPr>
        <w:t xml:space="preserve"> of IMT in the frequency bands </w:t>
      </w:r>
      <w:r w:rsidR="00887EC1" w:rsidRPr="00830B5F">
        <w:t>1 980</w:t>
      </w:r>
      <w:r w:rsidR="00887EC1" w:rsidRPr="00830B5F">
        <w:noBreakHyphen/>
        <w:t>2 010 MHz and 2 170-2 200 MHz</w:t>
      </w:r>
      <w:r w:rsidR="00E0536E">
        <w:t>.</w:t>
      </w:r>
    </w:p>
    <w:p w:rsidR="00C659E4" w:rsidRDefault="00C659E4">
      <w:pPr>
        <w:tabs>
          <w:tab w:val="clear" w:pos="1134"/>
          <w:tab w:val="clear" w:pos="1871"/>
          <w:tab w:val="clear" w:pos="2268"/>
        </w:tabs>
        <w:overflowPunct/>
        <w:autoSpaceDE/>
        <w:autoSpaceDN/>
        <w:adjustRightInd/>
        <w:spacing w:before="0"/>
        <w:textAlignment w:val="auto"/>
      </w:pPr>
      <w:r>
        <w:br w:type="page"/>
      </w:r>
    </w:p>
    <w:p w:rsidR="00C659E4" w:rsidRDefault="00C659E4" w:rsidP="00887EC1">
      <w:pPr>
        <w:pStyle w:val="AnnexNo"/>
      </w:pPr>
      <w:r>
        <w:t>attachment</w:t>
      </w:r>
    </w:p>
    <w:p w:rsidR="004262B3" w:rsidRPr="005E5EFC" w:rsidRDefault="004262B3" w:rsidP="00887EC1">
      <w:pPr>
        <w:pStyle w:val="RecNo"/>
        <w:rPr>
          <w:lang w:val="en-US"/>
        </w:rPr>
      </w:pPr>
      <w:r>
        <w:rPr>
          <w:lang w:val="en-US" w:eastAsia="zh-CN"/>
        </w:rPr>
        <w:t xml:space="preserve">draft revision of </w:t>
      </w:r>
      <w:r w:rsidRPr="005E5EFC">
        <w:rPr>
          <w:lang w:val="en-US" w:eastAsia="zh-CN"/>
        </w:rPr>
        <w:t>RECOMMENDATION </w:t>
      </w:r>
      <w:r w:rsidRPr="005E5EFC">
        <w:rPr>
          <w:rStyle w:val="href"/>
          <w:lang w:val="en-US"/>
        </w:rPr>
        <w:t>ITU-R M.1036-4</w:t>
      </w:r>
    </w:p>
    <w:p w:rsidR="004262B3" w:rsidRPr="005E5EFC" w:rsidRDefault="004262B3" w:rsidP="004262B3">
      <w:pPr>
        <w:pStyle w:val="Rectitle"/>
        <w:rPr>
          <w:lang w:val="en-US" w:eastAsia="zh-CN"/>
        </w:rPr>
      </w:pPr>
      <w:r w:rsidRPr="005E5EFC">
        <w:rPr>
          <w:lang w:val="en-US" w:eastAsia="zh-CN"/>
        </w:rPr>
        <w:t>Frequency arrangements for implementation of the terrestrial component of International Mobile Telecommunications (IMT) in the bands</w:t>
      </w:r>
      <w:r w:rsidRPr="005E5EFC">
        <w:rPr>
          <w:lang w:val="en-US"/>
        </w:rPr>
        <w:t xml:space="preserve"> </w:t>
      </w:r>
      <w:r w:rsidRPr="005E5EFC">
        <w:rPr>
          <w:lang w:val="en-US" w:eastAsia="zh-CN"/>
        </w:rPr>
        <w:t>identified for IMT in the Radio Regulations (RR)</w:t>
      </w:r>
    </w:p>
    <w:p w:rsidR="004262B3" w:rsidRPr="00887EC1" w:rsidRDefault="00BA36B9" w:rsidP="00DD6FB9">
      <w:pPr>
        <w:rPr>
          <w:i/>
          <w:iCs/>
          <w:lang w:val="en-US" w:eastAsia="ja-JP"/>
        </w:rPr>
      </w:pPr>
      <w:bookmarkStart w:id="10" w:name="_GoBack"/>
      <w:bookmarkEnd w:id="10"/>
      <w:r w:rsidRPr="00887EC1">
        <w:rPr>
          <w:i/>
          <w:iCs/>
          <w:lang w:val="en-US"/>
        </w:rPr>
        <w:t xml:space="preserve"> </w:t>
      </w:r>
      <w:r w:rsidR="00887EC1" w:rsidRPr="00887EC1">
        <w:rPr>
          <w:i/>
          <w:iCs/>
          <w:lang w:val="en-US"/>
        </w:rPr>
        <w:t>[Editor</w:t>
      </w:r>
      <w:r w:rsidR="00DD6FB9">
        <w:rPr>
          <w:i/>
          <w:iCs/>
          <w:lang w:val="en-US"/>
        </w:rPr>
        <w:t>ial</w:t>
      </w:r>
      <w:r w:rsidR="00887EC1" w:rsidRPr="00887EC1">
        <w:rPr>
          <w:i/>
          <w:iCs/>
          <w:lang w:val="en-US"/>
        </w:rPr>
        <w:t xml:space="preserve"> note: </w:t>
      </w:r>
      <w:r w:rsidR="00DD6FB9">
        <w:rPr>
          <w:i/>
          <w:iCs/>
          <w:lang w:val="en-US"/>
        </w:rPr>
        <w:t xml:space="preserve">No </w:t>
      </w:r>
      <w:r w:rsidR="00357B61">
        <w:rPr>
          <w:i/>
          <w:iCs/>
          <w:lang w:val="en-US"/>
        </w:rPr>
        <w:t>changes to the basic text of the</w:t>
      </w:r>
      <w:r w:rsidR="00E0536E">
        <w:rPr>
          <w:i/>
          <w:iCs/>
          <w:lang w:val="en-US"/>
        </w:rPr>
        <w:t xml:space="preserve"> draft revised Recommendation IT</w:t>
      </w:r>
      <w:r w:rsidR="00357B61">
        <w:rPr>
          <w:i/>
          <w:iCs/>
          <w:lang w:val="en-US"/>
        </w:rPr>
        <w:t>U-R M.1036-4 are proposed.</w:t>
      </w:r>
      <w:r w:rsidR="00887EC1" w:rsidRPr="00887EC1">
        <w:rPr>
          <w:i/>
          <w:iCs/>
          <w:lang w:val="en-US"/>
        </w:rPr>
        <w:t>]</w:t>
      </w:r>
    </w:p>
    <w:p w:rsidR="004262B3" w:rsidRPr="005E5EFC" w:rsidRDefault="00887EC1" w:rsidP="004262B3">
      <w:pPr>
        <w:rPr>
          <w:szCs w:val="24"/>
          <w:lang w:val="en-US"/>
        </w:rPr>
      </w:pPr>
      <w:r>
        <w:rPr>
          <w:szCs w:val="24"/>
          <w:lang w:val="en-US"/>
        </w:rPr>
        <w:t>...</w:t>
      </w:r>
    </w:p>
    <w:p w:rsidR="004262B3" w:rsidRPr="005E5EFC" w:rsidRDefault="004262B3" w:rsidP="00887EC1">
      <w:pPr>
        <w:pStyle w:val="AnnexNoTitle"/>
        <w:rPr>
          <w:rFonts w:eastAsia="MS Mincho"/>
          <w:lang w:val="en-US"/>
        </w:rPr>
      </w:pPr>
      <w:r w:rsidRPr="005E5EFC">
        <w:rPr>
          <w:rFonts w:eastAsia="MS Mincho"/>
          <w:lang w:val="en-US"/>
        </w:rPr>
        <w:t>Annex 1</w:t>
      </w:r>
    </w:p>
    <w:p w:rsidR="00887EC1" w:rsidRPr="00887EC1" w:rsidRDefault="00887EC1" w:rsidP="00DD6FB9">
      <w:pPr>
        <w:rPr>
          <w:i/>
          <w:iCs/>
          <w:lang w:val="en-US" w:eastAsia="ja-JP"/>
        </w:rPr>
      </w:pPr>
      <w:r w:rsidRPr="00887EC1">
        <w:rPr>
          <w:i/>
          <w:iCs/>
          <w:lang w:val="en-US"/>
        </w:rPr>
        <w:t>[Editor</w:t>
      </w:r>
      <w:r w:rsidR="00DD6FB9">
        <w:rPr>
          <w:i/>
          <w:iCs/>
          <w:lang w:val="en-US"/>
        </w:rPr>
        <w:t>ial</w:t>
      </w:r>
      <w:r w:rsidRPr="00887EC1">
        <w:rPr>
          <w:i/>
          <w:iCs/>
          <w:lang w:val="en-US"/>
        </w:rPr>
        <w:t xml:space="preserve"> note: </w:t>
      </w:r>
      <w:r w:rsidR="00357B61">
        <w:rPr>
          <w:i/>
          <w:iCs/>
          <w:lang w:val="en-US"/>
        </w:rPr>
        <w:t>proposals regarding the draft revised Re</w:t>
      </w:r>
      <w:r w:rsidR="00841390">
        <w:rPr>
          <w:i/>
          <w:iCs/>
          <w:lang w:val="en-US"/>
        </w:rPr>
        <w:t>commendation ITU-R M.1036-4 are</w:t>
      </w:r>
      <w:r w:rsidR="00357B61">
        <w:rPr>
          <w:i/>
          <w:iCs/>
          <w:lang w:val="en-US"/>
        </w:rPr>
        <w:t xml:space="preserve"> submitted only for Section 3 of </w:t>
      </w:r>
      <w:r w:rsidR="00357B61" w:rsidRPr="00E0536E">
        <w:rPr>
          <w:i/>
          <w:iCs/>
          <w:lang w:val="en-US"/>
        </w:rPr>
        <w:t>Annex 1</w:t>
      </w:r>
    </w:p>
    <w:p w:rsidR="00887EC1" w:rsidRPr="00887EC1" w:rsidRDefault="00887EC1" w:rsidP="00887EC1">
      <w:pPr>
        <w:pStyle w:val="Proposal"/>
        <w:rPr>
          <w:b/>
          <w:bCs/>
        </w:rPr>
      </w:pPr>
      <w:r w:rsidRPr="00887EC1">
        <w:rPr>
          <w:b/>
          <w:bCs/>
          <w:u w:val="single"/>
        </w:rPr>
        <w:t>NOC</w:t>
      </w:r>
      <w:r>
        <w:rPr>
          <w:b/>
          <w:bCs/>
        </w:rPr>
        <w:tab/>
      </w:r>
      <w:r w:rsidR="00664008">
        <w:rPr>
          <w:b/>
          <w:bCs/>
        </w:rPr>
        <w:t>RCC/XA1</w:t>
      </w:r>
      <w:r w:rsidRPr="00887EC1">
        <w:rPr>
          <w:b/>
          <w:bCs/>
        </w:rPr>
        <w:t>/1</w:t>
      </w:r>
    </w:p>
    <w:p w:rsidR="004262B3" w:rsidRPr="005E5EFC" w:rsidRDefault="004262B3" w:rsidP="004262B3">
      <w:pPr>
        <w:pStyle w:val="SectionNo"/>
        <w:rPr>
          <w:b/>
          <w:bCs/>
          <w:szCs w:val="28"/>
          <w:lang w:val="en-US"/>
        </w:rPr>
      </w:pPr>
      <w:r w:rsidRPr="005E5EFC">
        <w:rPr>
          <w:b/>
          <w:bCs/>
          <w:szCs w:val="28"/>
          <w:lang w:val="en-US"/>
        </w:rPr>
        <w:t>Section 3</w:t>
      </w:r>
    </w:p>
    <w:p w:rsidR="004262B3" w:rsidRPr="005E5EFC" w:rsidRDefault="004262B3" w:rsidP="004262B3">
      <w:pPr>
        <w:pStyle w:val="Sectiontitle"/>
        <w:rPr>
          <w:lang w:val="en-US"/>
        </w:rPr>
      </w:pPr>
      <w:r w:rsidRPr="005E5EFC">
        <w:rPr>
          <w:lang w:val="en-US"/>
        </w:rPr>
        <w:t>Frequency arrangements in the band 1 710-2 200 MHz</w:t>
      </w:r>
      <w:r w:rsidRPr="00240B67">
        <w:rPr>
          <w:position w:val="6"/>
          <w:sz w:val="18"/>
        </w:rPr>
        <w:footnoteReference w:id="1"/>
      </w:r>
    </w:p>
    <w:p w:rsidR="004262B3" w:rsidRPr="005E5EFC" w:rsidRDefault="004262B3" w:rsidP="00664008">
      <w:pPr>
        <w:rPr>
          <w:lang w:val="en-US"/>
        </w:rPr>
      </w:pPr>
      <w:r w:rsidRPr="005E5EFC">
        <w:rPr>
          <w:lang w:val="en-US"/>
        </w:rPr>
        <w:t>The recommended frequency arrangements for implementation of IMT in the band</w:t>
      </w:r>
      <w:r w:rsidR="00B708A5">
        <w:rPr>
          <w:lang w:val="en-US"/>
        </w:rPr>
        <w:t xml:space="preserve"> </w:t>
      </w:r>
      <w:r w:rsidRPr="005E5EFC">
        <w:rPr>
          <w:lang w:val="en-US"/>
        </w:rPr>
        <w:t>1 710</w:t>
      </w:r>
      <w:r w:rsidR="00664008">
        <w:rPr>
          <w:lang w:val="en-US"/>
        </w:rPr>
        <w:t>-</w:t>
      </w:r>
      <w:r w:rsidRPr="005E5EFC">
        <w:rPr>
          <w:lang w:val="en-US"/>
        </w:rPr>
        <w:t>2 200 MHz are summarized in Table 4 and in Fig. 4, noting the guidelines in Annex 1 above.</w:t>
      </w:r>
    </w:p>
    <w:p w:rsidR="004262B3" w:rsidRPr="005E5EFC" w:rsidRDefault="004262B3" w:rsidP="004262B3">
      <w:pPr>
        <w:pStyle w:val="TableNo"/>
        <w:rPr>
          <w:lang w:val="en-US"/>
        </w:rPr>
      </w:pPr>
      <w:r w:rsidRPr="005E5EFC">
        <w:rPr>
          <w:lang w:val="en-US"/>
        </w:rPr>
        <w:t>TABLE 4</w:t>
      </w:r>
    </w:p>
    <w:p w:rsidR="004262B3" w:rsidRPr="005E5EFC" w:rsidRDefault="004262B3" w:rsidP="004262B3">
      <w:pPr>
        <w:pStyle w:val="Tabletitle"/>
        <w:rPr>
          <w:lang w:val="en-US"/>
        </w:rPr>
      </w:pPr>
      <w:r w:rsidRPr="005E5EFC">
        <w:rPr>
          <w:lang w:val="en-US"/>
        </w:rPr>
        <w:t>Frequency arrangements in the band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34"/>
        <w:gridCol w:w="1300"/>
        <w:gridCol w:w="1502"/>
        <w:gridCol w:w="1242"/>
        <w:gridCol w:w="1480"/>
        <w:gridCol w:w="35"/>
      </w:tblGrid>
      <w:tr w:rsidR="004262B3" w:rsidRPr="005E5EFC" w:rsidTr="00BA36B9">
        <w:trPr>
          <w:gridAfter w:val="1"/>
          <w:wAfter w:w="30" w:type="dxa"/>
          <w:jc w:val="center"/>
        </w:trPr>
        <w:tc>
          <w:tcPr>
            <w:tcW w:w="2381" w:type="dxa"/>
            <w:vMerge w:val="restart"/>
            <w:vAlign w:val="center"/>
          </w:tcPr>
          <w:p w:rsidR="004262B3" w:rsidRPr="004C0655" w:rsidRDefault="004262B3" w:rsidP="008C3FCA">
            <w:pPr>
              <w:pStyle w:val="Tablehead"/>
            </w:pPr>
            <w:r w:rsidRPr="004C0655">
              <w:t xml:space="preserve">Frequency </w:t>
            </w:r>
            <w:r>
              <w:br/>
            </w:r>
            <w:r w:rsidRPr="004C0655">
              <w:t>arrangements</w:t>
            </w:r>
          </w:p>
        </w:tc>
        <w:tc>
          <w:tcPr>
            <w:tcW w:w="5778" w:type="dxa"/>
            <w:gridSpan w:val="4"/>
            <w:vAlign w:val="center"/>
          </w:tcPr>
          <w:p w:rsidR="004262B3" w:rsidRPr="004C0655" w:rsidRDefault="004262B3" w:rsidP="008C3FCA">
            <w:pPr>
              <w:pStyle w:val="Tablehead"/>
            </w:pPr>
            <w:r w:rsidRPr="004C0655">
              <w:t>Paired arrangements</w:t>
            </w:r>
          </w:p>
        </w:tc>
        <w:tc>
          <w:tcPr>
            <w:tcW w:w="1480" w:type="dxa"/>
            <w:vMerge w:val="restart"/>
            <w:vAlign w:val="center"/>
          </w:tcPr>
          <w:p w:rsidR="004262B3" w:rsidRPr="005E5EFC" w:rsidRDefault="004262B3" w:rsidP="008C3FCA">
            <w:pPr>
              <w:pStyle w:val="Tablehead"/>
              <w:rPr>
                <w:lang w:val="en-US"/>
              </w:rPr>
            </w:pPr>
            <w:r w:rsidRPr="005E5EFC">
              <w:rPr>
                <w:lang w:val="en-US"/>
              </w:rPr>
              <w:t xml:space="preserve">Un-paired arrangements </w:t>
            </w:r>
            <w:r w:rsidRPr="005E5EFC">
              <w:rPr>
                <w:lang w:val="en-US"/>
              </w:rPr>
              <w:br/>
              <w:t>(e.g. for TDD)</w:t>
            </w:r>
            <w:r w:rsidRPr="005E5EFC">
              <w:rPr>
                <w:lang w:val="en-US"/>
              </w:rPr>
              <w:br/>
              <w:t>(MHz)</w:t>
            </w:r>
          </w:p>
        </w:tc>
      </w:tr>
      <w:tr w:rsidR="004262B3" w:rsidRPr="00240B67" w:rsidTr="00BA36B9">
        <w:trPr>
          <w:gridAfter w:val="1"/>
          <w:wAfter w:w="30" w:type="dxa"/>
          <w:jc w:val="center"/>
        </w:trPr>
        <w:tc>
          <w:tcPr>
            <w:tcW w:w="2381" w:type="dxa"/>
            <w:vMerge/>
            <w:vAlign w:val="center"/>
          </w:tcPr>
          <w:p w:rsidR="004262B3" w:rsidRPr="005E5EFC" w:rsidRDefault="004262B3" w:rsidP="008C3FC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p>
        </w:tc>
        <w:tc>
          <w:tcPr>
            <w:tcW w:w="1734" w:type="dxa"/>
            <w:vAlign w:val="center"/>
          </w:tcPr>
          <w:p w:rsidR="004262B3" w:rsidRPr="004C0655" w:rsidRDefault="004262B3" w:rsidP="008C3FCA">
            <w:pPr>
              <w:pStyle w:val="Tablehead"/>
            </w:pPr>
            <w:r w:rsidRPr="004C0655">
              <w:t>Mobile station transmitter</w:t>
            </w:r>
            <w:r w:rsidRPr="004C0655">
              <w:br/>
              <w:t>(MHz)</w:t>
            </w:r>
          </w:p>
        </w:tc>
        <w:tc>
          <w:tcPr>
            <w:tcW w:w="1300" w:type="dxa"/>
            <w:vAlign w:val="center"/>
          </w:tcPr>
          <w:p w:rsidR="004262B3" w:rsidRPr="004C0655" w:rsidRDefault="004262B3" w:rsidP="008C3FCA">
            <w:pPr>
              <w:pStyle w:val="Tablehead"/>
            </w:pPr>
            <w:r w:rsidRPr="004C0655">
              <w:t>Centre gap</w:t>
            </w:r>
            <w:r w:rsidRPr="004C0655">
              <w:br/>
              <w:t>(MHz)</w:t>
            </w:r>
          </w:p>
        </w:tc>
        <w:tc>
          <w:tcPr>
            <w:tcW w:w="1502" w:type="dxa"/>
            <w:vAlign w:val="center"/>
          </w:tcPr>
          <w:p w:rsidR="004262B3" w:rsidRPr="004C0655" w:rsidRDefault="004262B3" w:rsidP="008C3FCA">
            <w:pPr>
              <w:pStyle w:val="Tablehead"/>
            </w:pPr>
            <w:r w:rsidRPr="004C0655">
              <w:t>Base station transmitter</w:t>
            </w:r>
            <w:r w:rsidRPr="004C0655">
              <w:br/>
              <w:t>(MHz)</w:t>
            </w:r>
          </w:p>
        </w:tc>
        <w:tc>
          <w:tcPr>
            <w:tcW w:w="1242" w:type="dxa"/>
            <w:vAlign w:val="center"/>
          </w:tcPr>
          <w:p w:rsidR="004262B3" w:rsidRPr="004C0655" w:rsidRDefault="004262B3" w:rsidP="008C3FCA">
            <w:pPr>
              <w:pStyle w:val="Tablehead"/>
            </w:pPr>
            <w:r w:rsidRPr="004C0655">
              <w:t>Duplex separation</w:t>
            </w:r>
            <w:r w:rsidRPr="004C0655">
              <w:br/>
              <w:t>(MHz)</w:t>
            </w:r>
          </w:p>
        </w:tc>
        <w:tc>
          <w:tcPr>
            <w:tcW w:w="1480" w:type="dxa"/>
            <w:vMerge/>
            <w:vAlign w:val="center"/>
          </w:tcPr>
          <w:p w:rsidR="004262B3" w:rsidRPr="00240B67" w:rsidRDefault="004262B3" w:rsidP="008C3FC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r>
      <w:tr w:rsidR="004262B3" w:rsidRPr="00240B67" w:rsidTr="00BA36B9">
        <w:trPr>
          <w:gridAfter w:val="1"/>
          <w:wAfter w:w="30" w:type="dxa"/>
          <w:jc w:val="center"/>
        </w:trPr>
        <w:tc>
          <w:tcPr>
            <w:tcW w:w="2381" w:type="dxa"/>
          </w:tcPr>
          <w:p w:rsidR="004262B3" w:rsidRPr="004C0655" w:rsidRDefault="004262B3" w:rsidP="008C3FCA">
            <w:pPr>
              <w:pStyle w:val="Tabletext"/>
              <w:jc w:val="center"/>
            </w:pPr>
            <w:r w:rsidRPr="004C0655">
              <w:t>B1</w:t>
            </w:r>
          </w:p>
        </w:tc>
        <w:tc>
          <w:tcPr>
            <w:tcW w:w="1734" w:type="dxa"/>
          </w:tcPr>
          <w:p w:rsidR="004262B3" w:rsidRPr="004C0655" w:rsidRDefault="004262B3" w:rsidP="008C3FCA">
            <w:pPr>
              <w:pStyle w:val="Tabletext"/>
              <w:jc w:val="center"/>
            </w:pPr>
            <w:r w:rsidRPr="004C0655">
              <w:t>1 920-1 980</w:t>
            </w:r>
          </w:p>
        </w:tc>
        <w:tc>
          <w:tcPr>
            <w:tcW w:w="1300" w:type="dxa"/>
          </w:tcPr>
          <w:p w:rsidR="004262B3" w:rsidRPr="004C0655" w:rsidRDefault="004262B3" w:rsidP="008C3FCA">
            <w:pPr>
              <w:pStyle w:val="Tabletext"/>
              <w:jc w:val="center"/>
            </w:pPr>
            <w:r w:rsidRPr="004C0655">
              <w:t>130</w:t>
            </w:r>
          </w:p>
        </w:tc>
        <w:tc>
          <w:tcPr>
            <w:tcW w:w="1502" w:type="dxa"/>
          </w:tcPr>
          <w:p w:rsidR="004262B3" w:rsidRPr="004C0655" w:rsidRDefault="004262B3" w:rsidP="008C3FCA">
            <w:pPr>
              <w:pStyle w:val="Tabletext"/>
              <w:jc w:val="center"/>
            </w:pPr>
            <w:r w:rsidRPr="004C0655">
              <w:t>2 110-2 170</w:t>
            </w:r>
          </w:p>
        </w:tc>
        <w:tc>
          <w:tcPr>
            <w:tcW w:w="1242" w:type="dxa"/>
          </w:tcPr>
          <w:p w:rsidR="004262B3" w:rsidRPr="004C0655" w:rsidRDefault="004262B3" w:rsidP="008C3FCA">
            <w:pPr>
              <w:pStyle w:val="Tabletext"/>
              <w:jc w:val="center"/>
            </w:pPr>
            <w:r w:rsidRPr="004C0655">
              <w:t>190</w:t>
            </w:r>
          </w:p>
        </w:tc>
        <w:tc>
          <w:tcPr>
            <w:tcW w:w="1480" w:type="dxa"/>
          </w:tcPr>
          <w:p w:rsidR="004262B3" w:rsidRPr="004C0655" w:rsidRDefault="004262B3" w:rsidP="008C3FCA">
            <w:pPr>
              <w:pStyle w:val="Tabletext"/>
              <w:jc w:val="center"/>
            </w:pPr>
            <w:r w:rsidRPr="004C0655">
              <w:t>1 880-1 920;</w:t>
            </w:r>
            <w:r w:rsidRPr="004C0655">
              <w:br/>
              <w:t>2 010-2 025</w:t>
            </w:r>
          </w:p>
        </w:tc>
      </w:tr>
      <w:tr w:rsidR="004262B3" w:rsidRPr="00240B67" w:rsidTr="00BA36B9">
        <w:trPr>
          <w:gridAfter w:val="1"/>
          <w:wAfter w:w="30" w:type="dxa"/>
          <w:jc w:val="center"/>
        </w:trPr>
        <w:tc>
          <w:tcPr>
            <w:tcW w:w="2381" w:type="dxa"/>
          </w:tcPr>
          <w:p w:rsidR="004262B3" w:rsidRPr="004C0655" w:rsidRDefault="004262B3" w:rsidP="008C3FCA">
            <w:pPr>
              <w:pStyle w:val="Tabletext"/>
              <w:jc w:val="center"/>
            </w:pPr>
            <w:r w:rsidRPr="004C0655">
              <w:t>B2</w:t>
            </w:r>
          </w:p>
        </w:tc>
        <w:tc>
          <w:tcPr>
            <w:tcW w:w="1734" w:type="dxa"/>
          </w:tcPr>
          <w:p w:rsidR="004262B3" w:rsidRPr="004C0655" w:rsidRDefault="004262B3" w:rsidP="008C3FCA">
            <w:pPr>
              <w:pStyle w:val="Tabletext"/>
              <w:jc w:val="center"/>
            </w:pPr>
            <w:r w:rsidRPr="004C0655">
              <w:t>1 710-1 785</w:t>
            </w:r>
          </w:p>
        </w:tc>
        <w:tc>
          <w:tcPr>
            <w:tcW w:w="1300" w:type="dxa"/>
          </w:tcPr>
          <w:p w:rsidR="004262B3" w:rsidRPr="004C0655" w:rsidRDefault="004262B3" w:rsidP="008C3FCA">
            <w:pPr>
              <w:pStyle w:val="Tabletext"/>
              <w:jc w:val="center"/>
            </w:pPr>
            <w:r w:rsidRPr="004C0655">
              <w:t>20</w:t>
            </w:r>
          </w:p>
        </w:tc>
        <w:tc>
          <w:tcPr>
            <w:tcW w:w="1502" w:type="dxa"/>
          </w:tcPr>
          <w:p w:rsidR="004262B3" w:rsidRPr="004C0655" w:rsidRDefault="004262B3" w:rsidP="008C3FCA">
            <w:pPr>
              <w:pStyle w:val="Tabletext"/>
              <w:jc w:val="center"/>
            </w:pPr>
            <w:r w:rsidRPr="004C0655">
              <w:t>1 805-1 880</w:t>
            </w:r>
          </w:p>
        </w:tc>
        <w:tc>
          <w:tcPr>
            <w:tcW w:w="1242" w:type="dxa"/>
          </w:tcPr>
          <w:p w:rsidR="004262B3" w:rsidRPr="004C0655" w:rsidRDefault="004262B3" w:rsidP="008C3FCA">
            <w:pPr>
              <w:pStyle w:val="Tabletext"/>
              <w:jc w:val="center"/>
            </w:pPr>
            <w:r w:rsidRPr="004C0655">
              <w:t>95</w:t>
            </w:r>
          </w:p>
        </w:tc>
        <w:tc>
          <w:tcPr>
            <w:tcW w:w="1480" w:type="dxa"/>
          </w:tcPr>
          <w:p w:rsidR="004262B3" w:rsidRPr="004C0655" w:rsidRDefault="004262B3" w:rsidP="008C3FCA">
            <w:pPr>
              <w:pStyle w:val="Tabletext"/>
              <w:jc w:val="center"/>
            </w:pPr>
            <w:r w:rsidRPr="004C0655">
              <w:t>None</w:t>
            </w:r>
          </w:p>
        </w:tc>
      </w:tr>
      <w:tr w:rsidR="004262B3" w:rsidRPr="00240B67" w:rsidTr="00BA36B9">
        <w:trPr>
          <w:gridAfter w:val="1"/>
          <w:wAfter w:w="30" w:type="dxa"/>
          <w:jc w:val="center"/>
        </w:trPr>
        <w:tc>
          <w:tcPr>
            <w:tcW w:w="2381" w:type="dxa"/>
          </w:tcPr>
          <w:p w:rsidR="004262B3" w:rsidRPr="004C0655" w:rsidRDefault="004262B3" w:rsidP="008C3FCA">
            <w:pPr>
              <w:pStyle w:val="Tabletext"/>
              <w:jc w:val="center"/>
            </w:pPr>
            <w:r w:rsidRPr="004C0655">
              <w:t>B3</w:t>
            </w:r>
          </w:p>
        </w:tc>
        <w:tc>
          <w:tcPr>
            <w:tcW w:w="1734" w:type="dxa"/>
          </w:tcPr>
          <w:p w:rsidR="004262B3" w:rsidRPr="004C0655" w:rsidRDefault="004262B3" w:rsidP="008C3FCA">
            <w:pPr>
              <w:pStyle w:val="Tabletext"/>
              <w:jc w:val="center"/>
            </w:pPr>
            <w:r w:rsidRPr="004C0655">
              <w:t>1 850-1 910</w:t>
            </w:r>
          </w:p>
        </w:tc>
        <w:tc>
          <w:tcPr>
            <w:tcW w:w="1300" w:type="dxa"/>
          </w:tcPr>
          <w:p w:rsidR="004262B3" w:rsidRPr="004C0655" w:rsidRDefault="004262B3" w:rsidP="008C3FCA">
            <w:pPr>
              <w:pStyle w:val="Tabletext"/>
              <w:jc w:val="center"/>
            </w:pPr>
            <w:r w:rsidRPr="004C0655">
              <w:t>20</w:t>
            </w:r>
          </w:p>
        </w:tc>
        <w:tc>
          <w:tcPr>
            <w:tcW w:w="1502" w:type="dxa"/>
          </w:tcPr>
          <w:p w:rsidR="004262B3" w:rsidRPr="004C0655" w:rsidRDefault="004262B3" w:rsidP="008C3FCA">
            <w:pPr>
              <w:pStyle w:val="Tabletext"/>
              <w:jc w:val="center"/>
            </w:pPr>
            <w:r w:rsidRPr="004C0655">
              <w:t>1 930-1 990</w:t>
            </w:r>
          </w:p>
        </w:tc>
        <w:tc>
          <w:tcPr>
            <w:tcW w:w="1242" w:type="dxa"/>
          </w:tcPr>
          <w:p w:rsidR="004262B3" w:rsidRPr="004C0655" w:rsidRDefault="004262B3" w:rsidP="008C3FCA">
            <w:pPr>
              <w:pStyle w:val="Tabletext"/>
              <w:jc w:val="center"/>
            </w:pPr>
            <w:r w:rsidRPr="004C0655">
              <w:t>80</w:t>
            </w:r>
          </w:p>
        </w:tc>
        <w:tc>
          <w:tcPr>
            <w:tcW w:w="1480" w:type="dxa"/>
          </w:tcPr>
          <w:p w:rsidR="004262B3" w:rsidRPr="004C0655" w:rsidRDefault="004262B3" w:rsidP="008C3FCA">
            <w:pPr>
              <w:pStyle w:val="Tabletext"/>
              <w:jc w:val="center"/>
            </w:pPr>
            <w:r w:rsidRPr="004C0655">
              <w:t>1 910-1 930</w:t>
            </w:r>
          </w:p>
        </w:tc>
      </w:tr>
      <w:tr w:rsidR="004262B3" w:rsidRPr="00240B67" w:rsidTr="00BA36B9">
        <w:trPr>
          <w:gridAfter w:val="1"/>
          <w:wAfter w:w="30" w:type="dxa"/>
          <w:jc w:val="center"/>
        </w:trPr>
        <w:tc>
          <w:tcPr>
            <w:tcW w:w="2381" w:type="dxa"/>
          </w:tcPr>
          <w:p w:rsidR="004262B3" w:rsidRPr="004C0655" w:rsidRDefault="004262B3" w:rsidP="008C3FCA">
            <w:pPr>
              <w:pStyle w:val="Tabletext"/>
              <w:jc w:val="center"/>
            </w:pPr>
            <w:r w:rsidRPr="004C0655">
              <w:t xml:space="preserve">B4 (harmonized with </w:t>
            </w:r>
            <w:r w:rsidRPr="004C0655">
              <w:br/>
              <w:t>B1 and B2)</w:t>
            </w:r>
          </w:p>
        </w:tc>
        <w:tc>
          <w:tcPr>
            <w:tcW w:w="1734" w:type="dxa"/>
          </w:tcPr>
          <w:p w:rsidR="004262B3" w:rsidRPr="004C0655" w:rsidRDefault="004262B3" w:rsidP="008C3FCA">
            <w:pPr>
              <w:pStyle w:val="Tabletext"/>
              <w:jc w:val="center"/>
            </w:pPr>
            <w:r w:rsidRPr="004C0655">
              <w:t>1 710-1 785</w:t>
            </w:r>
            <w:r w:rsidRPr="004C0655">
              <w:br/>
              <w:t>1 920-1 980</w:t>
            </w:r>
          </w:p>
        </w:tc>
        <w:tc>
          <w:tcPr>
            <w:tcW w:w="1300" w:type="dxa"/>
          </w:tcPr>
          <w:p w:rsidR="004262B3" w:rsidRPr="004C0655" w:rsidRDefault="004262B3" w:rsidP="008C3FCA">
            <w:pPr>
              <w:pStyle w:val="Tabletext"/>
              <w:jc w:val="center"/>
            </w:pPr>
            <w:r w:rsidRPr="004C0655">
              <w:t>20</w:t>
            </w:r>
            <w:r w:rsidRPr="004C0655">
              <w:br/>
              <w:t>130</w:t>
            </w:r>
          </w:p>
        </w:tc>
        <w:tc>
          <w:tcPr>
            <w:tcW w:w="1502" w:type="dxa"/>
          </w:tcPr>
          <w:p w:rsidR="004262B3" w:rsidRPr="004C0655" w:rsidRDefault="004262B3" w:rsidP="008C3FCA">
            <w:pPr>
              <w:pStyle w:val="Tabletext"/>
              <w:jc w:val="center"/>
            </w:pPr>
            <w:r w:rsidRPr="004C0655">
              <w:t>1 805-1 880</w:t>
            </w:r>
            <w:r w:rsidRPr="004C0655">
              <w:br/>
              <w:t>2 110-2 170</w:t>
            </w:r>
          </w:p>
        </w:tc>
        <w:tc>
          <w:tcPr>
            <w:tcW w:w="1242" w:type="dxa"/>
          </w:tcPr>
          <w:p w:rsidR="004262B3" w:rsidRPr="004C0655" w:rsidRDefault="004262B3" w:rsidP="008C3FCA">
            <w:pPr>
              <w:pStyle w:val="Tabletext"/>
              <w:jc w:val="center"/>
            </w:pPr>
            <w:r w:rsidRPr="004C0655">
              <w:t>95</w:t>
            </w:r>
            <w:r w:rsidRPr="004C0655">
              <w:br/>
              <w:t>190</w:t>
            </w:r>
          </w:p>
        </w:tc>
        <w:tc>
          <w:tcPr>
            <w:tcW w:w="1480" w:type="dxa"/>
          </w:tcPr>
          <w:p w:rsidR="004262B3" w:rsidRPr="004C0655" w:rsidRDefault="004262B3" w:rsidP="008C3FCA">
            <w:pPr>
              <w:pStyle w:val="Tabletext"/>
              <w:jc w:val="center"/>
            </w:pPr>
            <w:r w:rsidRPr="004C0655">
              <w:t>1 880-1 920;</w:t>
            </w:r>
            <w:r w:rsidRPr="004C0655">
              <w:br/>
              <w:t>2 010-2 025</w:t>
            </w:r>
          </w:p>
        </w:tc>
      </w:tr>
      <w:tr w:rsidR="004262B3" w:rsidRPr="00240B67" w:rsidTr="00BA36B9">
        <w:trPr>
          <w:gridAfter w:val="1"/>
          <w:wAfter w:w="30" w:type="dxa"/>
          <w:jc w:val="center"/>
        </w:trPr>
        <w:tc>
          <w:tcPr>
            <w:tcW w:w="2381" w:type="dxa"/>
          </w:tcPr>
          <w:p w:rsidR="004262B3" w:rsidRPr="004C0655" w:rsidRDefault="004262B3" w:rsidP="008C3FCA">
            <w:pPr>
              <w:pStyle w:val="Tabletext"/>
              <w:jc w:val="center"/>
            </w:pPr>
            <w:r w:rsidRPr="004C0655">
              <w:t>B5 (harmonized with B3 and parts of B1 and B2)</w:t>
            </w:r>
          </w:p>
        </w:tc>
        <w:tc>
          <w:tcPr>
            <w:tcW w:w="1734" w:type="dxa"/>
          </w:tcPr>
          <w:p w:rsidR="004262B3" w:rsidRPr="004C0655" w:rsidRDefault="004262B3" w:rsidP="008C3FCA">
            <w:pPr>
              <w:pStyle w:val="Tabletext"/>
              <w:jc w:val="center"/>
            </w:pPr>
            <w:r w:rsidRPr="004C0655">
              <w:t>1 850-1 910</w:t>
            </w:r>
            <w:r w:rsidRPr="004C0655">
              <w:br/>
              <w:t>1 710-1 770</w:t>
            </w:r>
          </w:p>
        </w:tc>
        <w:tc>
          <w:tcPr>
            <w:tcW w:w="1300" w:type="dxa"/>
          </w:tcPr>
          <w:p w:rsidR="004262B3" w:rsidRPr="004C0655" w:rsidRDefault="004262B3" w:rsidP="008C3FCA">
            <w:pPr>
              <w:pStyle w:val="Tabletext"/>
              <w:jc w:val="center"/>
            </w:pPr>
            <w:r w:rsidRPr="004C0655">
              <w:t>20</w:t>
            </w:r>
            <w:r w:rsidRPr="004C0655">
              <w:br/>
              <w:t>340</w:t>
            </w:r>
          </w:p>
        </w:tc>
        <w:tc>
          <w:tcPr>
            <w:tcW w:w="1502" w:type="dxa"/>
          </w:tcPr>
          <w:p w:rsidR="004262B3" w:rsidRPr="004C0655" w:rsidRDefault="004262B3" w:rsidP="008C3FCA">
            <w:pPr>
              <w:pStyle w:val="Tabletext"/>
              <w:jc w:val="center"/>
            </w:pPr>
            <w:r w:rsidRPr="004C0655">
              <w:t>1 930-1 990</w:t>
            </w:r>
            <w:r w:rsidRPr="004C0655">
              <w:br/>
              <w:t>2 110-2 170</w:t>
            </w:r>
          </w:p>
        </w:tc>
        <w:tc>
          <w:tcPr>
            <w:tcW w:w="1242" w:type="dxa"/>
          </w:tcPr>
          <w:p w:rsidR="004262B3" w:rsidRPr="004C0655" w:rsidRDefault="004262B3" w:rsidP="008C3FCA">
            <w:pPr>
              <w:pStyle w:val="Tabletext"/>
              <w:jc w:val="center"/>
            </w:pPr>
            <w:r w:rsidRPr="004C0655">
              <w:t>80</w:t>
            </w:r>
            <w:r w:rsidRPr="004C0655">
              <w:br/>
              <w:t>400</w:t>
            </w:r>
          </w:p>
        </w:tc>
        <w:tc>
          <w:tcPr>
            <w:tcW w:w="1480" w:type="dxa"/>
          </w:tcPr>
          <w:p w:rsidR="004262B3" w:rsidRPr="004C0655" w:rsidRDefault="004262B3" w:rsidP="008C3FCA">
            <w:pPr>
              <w:pStyle w:val="Tabletext"/>
              <w:jc w:val="center"/>
            </w:pPr>
            <w:r w:rsidRPr="004C0655">
              <w:t>1 910-1 930</w:t>
            </w:r>
          </w:p>
        </w:tc>
      </w:tr>
      <w:tr w:rsidR="00DD6FB9" w:rsidRPr="00240B67" w:rsidTr="00BA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74" w:type="dxa"/>
            <w:gridSpan w:val="7"/>
          </w:tcPr>
          <w:p w:rsidR="00DD6FB9" w:rsidRPr="00240B67" w:rsidRDefault="00DD6FB9" w:rsidP="00117FBD">
            <w:pPr>
              <w:spacing w:before="80"/>
              <w:rPr>
                <w:i/>
                <w:iCs/>
                <w:szCs w:val="24"/>
              </w:rPr>
            </w:pPr>
            <w:r w:rsidRPr="00240B67">
              <w:rPr>
                <w:szCs w:val="24"/>
              </w:rPr>
              <w:br w:type="page"/>
            </w:r>
            <w:r w:rsidRPr="00240B67">
              <w:rPr>
                <w:i/>
                <w:iCs/>
                <w:szCs w:val="24"/>
              </w:rPr>
              <w:t xml:space="preserve">Notes to Table </w:t>
            </w:r>
            <w:r>
              <w:rPr>
                <w:i/>
                <w:iCs/>
                <w:szCs w:val="24"/>
              </w:rPr>
              <w:t>4</w:t>
            </w:r>
            <w:r w:rsidRPr="00240B67">
              <w:rPr>
                <w:i/>
                <w:iCs/>
                <w:szCs w:val="24"/>
              </w:rPr>
              <w:t>:</w:t>
            </w:r>
          </w:p>
          <w:p w:rsidR="00DD6FB9" w:rsidRPr="00240B67" w:rsidRDefault="00DD6FB9" w:rsidP="00117FBD">
            <w:pPr>
              <w:pStyle w:val="Note"/>
            </w:pPr>
            <w:r w:rsidRPr="00240B67">
              <w:t>NOTE 1 – In the band 1 710-2 025 MHz and 2 110-2 200 MHz three basic frequency arrangements (B1, B2 and B3) are already in use by public mobile cellular systems including IMT. Based on these three arrangements, different combinations of arrangements are recommended as described in B4 and B5. The B1 arrangement and the B2 arrangement are fully complementary, whereas the B3 arrangement partly overlaps w</w:t>
            </w:r>
            <w:r>
              <w:t>ith the B1 and B2 arrangements.</w:t>
            </w:r>
          </w:p>
          <w:p w:rsidR="00DD6FB9" w:rsidRDefault="00DD6FB9" w:rsidP="00117FBD">
            <w:pPr>
              <w:pStyle w:val="Note"/>
            </w:pPr>
            <w:r w:rsidRPr="00240B67">
              <w:t>For admin</w:t>
            </w:r>
            <w:r>
              <w:t>i</w:t>
            </w:r>
            <w:r w:rsidRPr="00240B67">
              <w:t>strations having implemented the B1 arrangement, B4 enables optimization of the use of spectrum for paired IMT operation.</w:t>
            </w:r>
          </w:p>
          <w:p w:rsidR="00DD6FB9" w:rsidRPr="00240B67" w:rsidRDefault="00DD6FB9" w:rsidP="00117FBD">
            <w:pPr>
              <w:pStyle w:val="Note"/>
            </w:pPr>
            <w:r w:rsidRPr="00240B67">
              <w:t>For administrations having implemented the B3 arrangement, the B1 arrangement can be combined with the B2 arrangement. B5 is therefore recommended to optimize the use of the spectrum:</w:t>
            </w:r>
          </w:p>
          <w:p w:rsidR="00DD6FB9" w:rsidRPr="00240B67" w:rsidRDefault="00DC0663" w:rsidP="00660D5E">
            <w:pPr>
              <w:pStyle w:val="Note"/>
              <w:tabs>
                <w:tab w:val="left" w:pos="477"/>
              </w:tabs>
              <w:ind w:left="284" w:hanging="284"/>
              <w:rPr>
                <w:szCs w:val="24"/>
              </w:rPr>
            </w:pPr>
            <w:r>
              <w:rPr>
                <w:szCs w:val="24"/>
              </w:rPr>
              <w:t>–</w:t>
            </w:r>
            <w:r>
              <w:rPr>
                <w:szCs w:val="24"/>
              </w:rPr>
              <w:tab/>
            </w:r>
            <w:r w:rsidR="00DD6FB9" w:rsidRPr="00240B67">
              <w:rPr>
                <w:szCs w:val="24"/>
              </w:rPr>
              <w:t>B5 enables the use of spectrum to be maximized for IMT in administrations where B3 is implemented and where the band 1 770</w:t>
            </w:r>
            <w:r w:rsidR="00DD6FB9" w:rsidRPr="00240B67">
              <w:rPr>
                <w:szCs w:val="24"/>
              </w:rPr>
              <w:noBreakHyphen/>
              <w:t>1 850 MHz is not available in the initial phase of deployment of IMT in this frequency band.</w:t>
            </w:r>
          </w:p>
          <w:p w:rsidR="00DD6FB9" w:rsidRPr="00240B67" w:rsidRDefault="00DD6FB9" w:rsidP="00117FBD">
            <w:pPr>
              <w:pStyle w:val="Note"/>
            </w:pPr>
            <w:r w:rsidRPr="00240B67">
              <w:t>NOTE 2 – TDD may be introduced in unpaired bands and also under certain conditions in the uplink bands of paired frequency arrangements and/or in the centre gap between paired bands.</w:t>
            </w:r>
          </w:p>
        </w:tc>
      </w:tr>
      <w:tr w:rsidR="00DD6FB9" w:rsidRPr="00240B67" w:rsidTr="00BA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74" w:type="dxa"/>
            <w:gridSpan w:val="7"/>
          </w:tcPr>
          <w:p w:rsidR="00DD6FB9" w:rsidRPr="00240B67" w:rsidRDefault="00DD6FB9" w:rsidP="00117FBD">
            <w:pPr>
              <w:pStyle w:val="Note"/>
            </w:pPr>
            <w:r w:rsidRPr="00240B67">
              <w:t>NOTE 3 – If selectable/variable duplex technology is implemented within terminals as the most efficient way to manage different frequency arrangements, the fact that neighbouring administrations could select B5 will have no impact on the complexity of the terminal. Further studies are necessary.</w:t>
            </w:r>
          </w:p>
        </w:tc>
      </w:tr>
    </w:tbl>
    <w:p w:rsidR="004262B3" w:rsidRPr="007B5D27" w:rsidRDefault="004262B3" w:rsidP="004262B3">
      <w:pPr>
        <w:pStyle w:val="FigureNo"/>
      </w:pPr>
      <w:r w:rsidRPr="007B5D27">
        <w:t xml:space="preserve">FIGURE </w:t>
      </w:r>
      <w:r>
        <w:t>4</w:t>
      </w:r>
      <w:r w:rsidRPr="00240B67">
        <w:t xml:space="preserve"> </w:t>
      </w:r>
      <w:r>
        <w:br/>
      </w:r>
      <w:r w:rsidRPr="00240B67">
        <w:t>(</w:t>
      </w:r>
      <w:r>
        <w:rPr>
          <w:caps w:val="0"/>
        </w:rPr>
        <w:t>See notes to Table 4</w:t>
      </w:r>
      <w:r w:rsidRPr="00240B67">
        <w:t>)</w:t>
      </w:r>
    </w:p>
    <w:p w:rsidR="004262B3" w:rsidRPr="00240B67" w:rsidRDefault="004262B3" w:rsidP="004262B3">
      <w:pPr>
        <w:pStyle w:val="Figure"/>
      </w:pPr>
      <w:r>
        <w:rPr>
          <w:noProof/>
          <w:lang w:val="en-US" w:eastAsia="zh-CN"/>
        </w:rPr>
        <w:object w:dxaOrig="9798"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74.5pt" o:ole="">
            <v:imagedata r:id="rId10" o:title=""/>
          </v:shape>
          <o:OLEObject Type="Embed" ProgID="CorelDRAW.Graphic.14" ShapeID="_x0000_i1025" DrawAspect="Content" ObjectID="_1506683327" r:id="rId11"/>
        </w:object>
      </w:r>
    </w:p>
    <w:p w:rsidR="00887EC1" w:rsidRPr="00887EC1" w:rsidRDefault="00887EC1" w:rsidP="00357B61">
      <w:pPr>
        <w:rPr>
          <w:i/>
          <w:iCs/>
          <w:lang w:val="en-US" w:eastAsia="ja-JP"/>
        </w:rPr>
      </w:pPr>
      <w:r w:rsidRPr="00887EC1">
        <w:rPr>
          <w:i/>
          <w:iCs/>
          <w:lang w:val="en-US"/>
        </w:rPr>
        <w:t xml:space="preserve">[Editor’s note: </w:t>
      </w:r>
      <w:r w:rsidR="00357B61">
        <w:rPr>
          <w:i/>
          <w:iCs/>
          <w:lang w:val="en-US"/>
        </w:rPr>
        <w:t>no change is proposed to the subsequent sections of the draft revised Recommendation ITU-R M.1036-4</w:t>
      </w:r>
    </w:p>
    <w:p w:rsidR="00887EC1" w:rsidRDefault="00887EC1" w:rsidP="00887EC1">
      <w:pPr>
        <w:pStyle w:val="Reasons"/>
      </w:pPr>
      <w:r>
        <w:t>...</w:t>
      </w:r>
    </w:p>
    <w:p w:rsidR="000D1AE6" w:rsidRDefault="000D1AE6">
      <w:pPr>
        <w:jc w:val="center"/>
      </w:pPr>
      <w:r>
        <w:t>______________</w:t>
      </w:r>
    </w:p>
    <w:sectPr w:rsidR="000D1AE6" w:rsidSect="00C659E4">
      <w:headerReference w:type="default"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2C" w:rsidRDefault="00A1232C">
      <w:r>
        <w:separator/>
      </w:r>
    </w:p>
  </w:endnote>
  <w:endnote w:type="continuationSeparator" w:id="0">
    <w:p w:rsidR="00A1232C" w:rsidRDefault="00A1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71" w:rsidRDefault="00C21C7E" w:rsidP="00DC4A71">
    <w:pPr>
      <w:pStyle w:val="Footer"/>
    </w:pPr>
    <w:fldSimple w:instr=" FILENAME \p  \* MERGEFORMAT ">
      <w:r w:rsidR="00643B82">
        <w:t>P:\ENG\ITU-R\CONF-R\AR15\PLEN\000\021ADD01E.docx</w:t>
      </w:r>
    </w:fldSimple>
    <w:r w:rsidR="00DC4A71">
      <w:t xml:space="preserve"> (387943)</w:t>
    </w:r>
    <w:r w:rsidR="00DC4A71">
      <w:tab/>
    </w:r>
    <w:r w:rsidR="00DC4A71">
      <w:fldChar w:fldCharType="begin"/>
    </w:r>
    <w:r w:rsidR="00DC4A71">
      <w:instrText xml:space="preserve"> SAVEDATE \@ DD.MM.YY </w:instrText>
    </w:r>
    <w:r w:rsidR="00DC4A71">
      <w:fldChar w:fldCharType="separate"/>
    </w:r>
    <w:r w:rsidR="00643B82">
      <w:t>18.10.15</w:t>
    </w:r>
    <w:r w:rsidR="00DC4A71">
      <w:fldChar w:fldCharType="end"/>
    </w:r>
    <w:r w:rsidR="00DC4A71">
      <w:tab/>
    </w:r>
    <w:r w:rsidR="00DC4A71">
      <w:fldChar w:fldCharType="begin"/>
    </w:r>
    <w:r w:rsidR="00DC4A71">
      <w:instrText xml:space="preserve"> PRINTDATE \@ DD.MM.YY </w:instrText>
    </w:r>
    <w:r w:rsidR="00DC4A71">
      <w:fldChar w:fldCharType="separate"/>
    </w:r>
    <w:r w:rsidR="00643B82">
      <w:t>18.10.15</w:t>
    </w:r>
    <w:r w:rsidR="00DC4A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71" w:rsidRDefault="00643B82">
    <w:pPr>
      <w:pStyle w:val="Footer"/>
    </w:pPr>
    <w:r>
      <w:fldChar w:fldCharType="begin"/>
    </w:r>
    <w:r>
      <w:instrText xml:space="preserve"> FILENAME \p  \* MERGEFORMAT </w:instrText>
    </w:r>
    <w:r>
      <w:fldChar w:fldCharType="separate"/>
    </w:r>
    <w:r>
      <w:t>P:\ENG\ITU-R\CONF-R\AR15\PLEN\000\021ADD01E.docx</w:t>
    </w:r>
    <w:r>
      <w:fldChar w:fldCharType="end"/>
    </w:r>
    <w:r w:rsidR="00DC4A71">
      <w:t xml:space="preserve"> (387943)</w:t>
    </w:r>
    <w:r w:rsidR="00DC4A71">
      <w:tab/>
    </w:r>
    <w:r w:rsidR="00DC4A71">
      <w:fldChar w:fldCharType="begin"/>
    </w:r>
    <w:r w:rsidR="00DC4A71">
      <w:instrText xml:space="preserve"> SAVEDATE \@ DD.MM.YY </w:instrText>
    </w:r>
    <w:r w:rsidR="00DC4A71">
      <w:fldChar w:fldCharType="separate"/>
    </w:r>
    <w:r>
      <w:t>18.10.15</w:t>
    </w:r>
    <w:r w:rsidR="00DC4A71">
      <w:fldChar w:fldCharType="end"/>
    </w:r>
    <w:r w:rsidR="00DC4A71">
      <w:tab/>
    </w:r>
    <w:r w:rsidR="00DC4A71">
      <w:fldChar w:fldCharType="begin"/>
    </w:r>
    <w:r w:rsidR="00DC4A71">
      <w:instrText xml:space="preserve"> PRINTDATE \@ DD.MM.YY </w:instrText>
    </w:r>
    <w:r w:rsidR="00DC4A71">
      <w:fldChar w:fldCharType="separate"/>
    </w:r>
    <w:r>
      <w:t>18.10.15</w:t>
    </w:r>
    <w:r w:rsidR="00DC4A7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2C" w:rsidRDefault="00A1232C">
      <w:r>
        <w:rPr>
          <w:b/>
        </w:rPr>
        <w:t>_______________</w:t>
      </w:r>
    </w:p>
  </w:footnote>
  <w:footnote w:type="continuationSeparator" w:id="0">
    <w:p w:rsidR="00A1232C" w:rsidRDefault="00A1232C">
      <w:r>
        <w:continuationSeparator/>
      </w:r>
    </w:p>
  </w:footnote>
  <w:footnote w:id="1">
    <w:p w:rsidR="004262B3" w:rsidRDefault="004262B3" w:rsidP="004262B3">
      <w:pPr>
        <w:pStyle w:val="FootnoteText"/>
        <w:keepLines w:val="0"/>
      </w:pPr>
      <w:r>
        <w:rPr>
          <w:rStyle w:val="FootnoteReference"/>
        </w:rPr>
        <w:footnoteRef/>
      </w:r>
      <w:r>
        <w:tab/>
      </w:r>
      <w:r w:rsidRPr="00C049C8">
        <w:t>The 2 025-2 110 MHz band is not part of this frequency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F2" w:rsidRDefault="000E4AF2" w:rsidP="000E4AF2">
    <w:pPr>
      <w:pStyle w:val="Header"/>
    </w:pPr>
    <w:r>
      <w:fldChar w:fldCharType="begin"/>
    </w:r>
    <w:r>
      <w:instrText xml:space="preserve"> PAGE  \* MERGEFORMAT </w:instrText>
    </w:r>
    <w:r>
      <w:fldChar w:fldCharType="separate"/>
    </w:r>
    <w:r w:rsidR="00643B82">
      <w:rPr>
        <w:noProof/>
      </w:rPr>
      <w:t>2</w:t>
    </w:r>
    <w:r>
      <w:fldChar w:fldCharType="end"/>
    </w:r>
  </w:p>
  <w:p w:rsidR="000E4AF2" w:rsidRDefault="000E4AF2" w:rsidP="000E4AF2">
    <w:pPr>
      <w:pStyle w:val="Header"/>
    </w:pPr>
    <w:r>
      <w:t>RA15/PLEN/21</w:t>
    </w:r>
    <w:r w:rsidR="00DC4A71">
      <w:t>(Add.1)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2C"/>
    <w:rsid w:val="000D1293"/>
    <w:rsid w:val="000D1AE6"/>
    <w:rsid w:val="000E4AF2"/>
    <w:rsid w:val="0011603B"/>
    <w:rsid w:val="001B225D"/>
    <w:rsid w:val="00206408"/>
    <w:rsid w:val="002C40F7"/>
    <w:rsid w:val="0030579C"/>
    <w:rsid w:val="00316221"/>
    <w:rsid w:val="00326F9E"/>
    <w:rsid w:val="003323B4"/>
    <w:rsid w:val="00357B61"/>
    <w:rsid w:val="00425F3D"/>
    <w:rsid w:val="004262B3"/>
    <w:rsid w:val="004844C1"/>
    <w:rsid w:val="004D6FFE"/>
    <w:rsid w:val="005E0BE1"/>
    <w:rsid w:val="005F044B"/>
    <w:rsid w:val="005F1974"/>
    <w:rsid w:val="00643B82"/>
    <w:rsid w:val="00660D5E"/>
    <w:rsid w:val="00664008"/>
    <w:rsid w:val="0071246B"/>
    <w:rsid w:val="007235C8"/>
    <w:rsid w:val="00756B1C"/>
    <w:rsid w:val="00757E88"/>
    <w:rsid w:val="007C6911"/>
    <w:rsid w:val="008145E1"/>
    <w:rsid w:val="00841390"/>
    <w:rsid w:val="00880578"/>
    <w:rsid w:val="00887EC1"/>
    <w:rsid w:val="008A7B8E"/>
    <w:rsid w:val="008E00BB"/>
    <w:rsid w:val="009447A3"/>
    <w:rsid w:val="00955A2A"/>
    <w:rsid w:val="0096260C"/>
    <w:rsid w:val="00984ED7"/>
    <w:rsid w:val="00993768"/>
    <w:rsid w:val="00996EA1"/>
    <w:rsid w:val="009E375D"/>
    <w:rsid w:val="00A05CE9"/>
    <w:rsid w:val="00A1232C"/>
    <w:rsid w:val="00A6663F"/>
    <w:rsid w:val="00B708A5"/>
    <w:rsid w:val="00BA36B9"/>
    <w:rsid w:val="00BB03AF"/>
    <w:rsid w:val="00BE5003"/>
    <w:rsid w:val="00BF5E61"/>
    <w:rsid w:val="00C21C7E"/>
    <w:rsid w:val="00C46060"/>
    <w:rsid w:val="00C659E4"/>
    <w:rsid w:val="00CA781F"/>
    <w:rsid w:val="00CB1338"/>
    <w:rsid w:val="00D25EB8"/>
    <w:rsid w:val="00D262CE"/>
    <w:rsid w:val="00D471A9"/>
    <w:rsid w:val="00D50D44"/>
    <w:rsid w:val="00DA716F"/>
    <w:rsid w:val="00DC0663"/>
    <w:rsid w:val="00DC4A71"/>
    <w:rsid w:val="00DD6FB9"/>
    <w:rsid w:val="00E0536E"/>
    <w:rsid w:val="00E245C3"/>
    <w:rsid w:val="00E424C3"/>
    <w:rsid w:val="00E7712E"/>
    <w:rsid w:val="00EB5A00"/>
    <w:rsid w:val="00EE1A06"/>
    <w:rsid w:val="00EE4AD6"/>
    <w:rsid w:val="00F329B0"/>
    <w:rsid w:val="00F67558"/>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FAD076B-2633-4940-94EE-D2AD519F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link w:val="RectitleChar"/>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0"/>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ref">
    <w:name w:val="href"/>
    <w:basedOn w:val="DefaultParagraphFont"/>
    <w:rsid w:val="004262B3"/>
  </w:style>
  <w:style w:type="paragraph" w:customStyle="1" w:styleId="Normalaftertitle0">
    <w:name w:val="Normal_after_title"/>
    <w:basedOn w:val="Normal"/>
    <w:next w:val="Normal"/>
    <w:rsid w:val="004262B3"/>
    <w:pPr>
      <w:tabs>
        <w:tab w:val="clear" w:pos="1134"/>
        <w:tab w:val="clear" w:pos="1871"/>
        <w:tab w:val="clear" w:pos="2268"/>
        <w:tab w:val="left" w:pos="794"/>
        <w:tab w:val="left" w:pos="1191"/>
        <w:tab w:val="left" w:pos="1588"/>
        <w:tab w:val="left" w:pos="1985"/>
      </w:tabs>
      <w:spacing w:before="320"/>
      <w:jc w:val="both"/>
    </w:pPr>
    <w:rPr>
      <w:lang w:val="fr-FR"/>
    </w:rPr>
  </w:style>
  <w:style w:type="paragraph" w:customStyle="1" w:styleId="HeadingSum">
    <w:name w:val="Heading_Sum"/>
    <w:basedOn w:val="Headingb"/>
    <w:next w:val="Normal"/>
    <w:autoRedefine/>
    <w:rsid w:val="004262B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0"/>
    <w:rsid w:val="004262B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4262B3"/>
  </w:style>
  <w:style w:type="paragraph" w:customStyle="1" w:styleId="Tablefin">
    <w:name w:val="Table_fin"/>
    <w:basedOn w:val="Normal"/>
    <w:next w:val="Normal"/>
    <w:rsid w:val="004262B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0"/>
    <w:autoRedefine/>
    <w:rsid w:val="004262B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CallChar">
    <w:name w:val="Call Char"/>
    <w:basedOn w:val="DefaultParagraphFont"/>
    <w:link w:val="Call"/>
    <w:locked/>
    <w:rsid w:val="004262B3"/>
    <w:rPr>
      <w:rFonts w:ascii="Times New Roman" w:hAnsi="Times New Roman"/>
      <w:i/>
      <w:sz w:val="24"/>
      <w:lang w:val="en-GB" w:eastAsia="en-US"/>
    </w:rPr>
  </w:style>
  <w:style w:type="character" w:customStyle="1" w:styleId="TableNo0">
    <w:name w:val="Table_No Знак"/>
    <w:link w:val="TableNo"/>
    <w:locked/>
    <w:rsid w:val="004262B3"/>
    <w:rPr>
      <w:rFonts w:ascii="Times New Roman" w:hAnsi="Times New Roman"/>
      <w:caps/>
      <w:lang w:val="en-GB" w:eastAsia="en-US"/>
    </w:rPr>
  </w:style>
  <w:style w:type="character" w:customStyle="1" w:styleId="HeadingbChar">
    <w:name w:val="Heading_b Char"/>
    <w:basedOn w:val="DefaultParagraphFont"/>
    <w:link w:val="Headingb"/>
    <w:locked/>
    <w:rsid w:val="004262B3"/>
    <w:rPr>
      <w:b/>
      <w:sz w:val="24"/>
      <w:lang w:val="en-GB" w:eastAsia="en-US"/>
    </w:rPr>
  </w:style>
  <w:style w:type="character" w:customStyle="1" w:styleId="RectitleChar">
    <w:name w:val="Rec_title Char"/>
    <w:basedOn w:val="DefaultParagraphFont"/>
    <w:link w:val="Rectitle"/>
    <w:locked/>
    <w:rsid w:val="004262B3"/>
    <w:rPr>
      <w:rFonts w:ascii="Times New Roman Bold" w:hAnsi="Times New Roman Bold"/>
      <w:b/>
      <w:sz w:val="28"/>
      <w:lang w:val="en-GB" w:eastAsia="en-US"/>
    </w:rPr>
  </w:style>
  <w:style w:type="character" w:styleId="Hyperlink">
    <w:name w:val="Hyperlink"/>
    <w:basedOn w:val="DefaultParagraphFont"/>
    <w:unhideWhenUsed/>
    <w:rsid w:val="00887EC1"/>
    <w:rPr>
      <w:color w:val="0000FF" w:themeColor="hyperlink"/>
      <w:u w:val="single"/>
    </w:rPr>
  </w:style>
  <w:style w:type="character" w:styleId="FollowedHyperlink">
    <w:name w:val="FollowedHyperlink"/>
    <w:basedOn w:val="DefaultParagraphFont"/>
    <w:semiHidden/>
    <w:unhideWhenUsed/>
    <w:rsid w:val="00B70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R12-sg05-C-0194/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itu.int/md/R12-SG05-C-0212/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80</TotalTime>
  <Pages>4</Pages>
  <Words>1230</Words>
  <Characters>6497</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Currie, Jane</cp:lastModifiedBy>
  <cp:revision>10</cp:revision>
  <cp:lastPrinted>2015-10-18T12:16:00Z</cp:lastPrinted>
  <dcterms:created xsi:type="dcterms:W3CDTF">2015-10-16T13:00:00Z</dcterms:created>
  <dcterms:modified xsi:type="dcterms:W3CDTF">2015-10-18T12:20:00Z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