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79"/>
        <w:gridCol w:w="3652"/>
      </w:tblGrid>
      <w:tr w:rsidR="00943EBD" w:rsidRPr="00877D12" w:rsidTr="00976971">
        <w:trPr>
          <w:cantSplit/>
        </w:trPr>
        <w:tc>
          <w:tcPr>
            <w:tcW w:w="6379" w:type="dxa"/>
          </w:tcPr>
          <w:p w:rsidR="00943EBD" w:rsidRPr="00877D12" w:rsidRDefault="00943EBD" w:rsidP="00F544CE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652" w:type="dxa"/>
          </w:tcPr>
          <w:p w:rsidR="00943EBD" w:rsidRPr="001A50F9" w:rsidRDefault="001A50F9" w:rsidP="00F544CE">
            <w:pPr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244718D" wp14:editId="66C4E3D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 w:rsidTr="00976971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943EBD" w:rsidRPr="00877D12" w:rsidRDefault="00A314F0" w:rsidP="00F544C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652" w:type="dxa"/>
            <w:tcBorders>
              <w:bottom w:val="single" w:sz="12" w:space="0" w:color="auto"/>
            </w:tcBorders>
          </w:tcPr>
          <w:p w:rsidR="00943EBD" w:rsidRPr="00877D12" w:rsidRDefault="00943EBD" w:rsidP="00F544C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 w:rsidTr="0097697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943EBD" w:rsidRPr="00877D12" w:rsidRDefault="00943EBD" w:rsidP="00F544CE">
            <w:pPr>
              <w:spacing w:before="0" w:after="48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943EBD" w:rsidRPr="00877D12" w:rsidRDefault="00943EBD" w:rsidP="00F544CE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B172C6" w:rsidTr="00976971">
        <w:trPr>
          <w:cantSplit/>
          <w:trHeight w:val="23"/>
        </w:trPr>
        <w:tc>
          <w:tcPr>
            <w:tcW w:w="6379" w:type="dxa"/>
            <w:vMerge w:val="restart"/>
          </w:tcPr>
          <w:p w:rsidR="00943EBD" w:rsidRPr="00026535" w:rsidRDefault="00026535" w:rsidP="00F544C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26535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652" w:type="dxa"/>
          </w:tcPr>
          <w:p w:rsidR="00943EBD" w:rsidRPr="00976971" w:rsidRDefault="00943EBD" w:rsidP="00F544CE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es-ES_tradnl"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976971">
              <w:rPr>
                <w:rFonts w:ascii="Verdana" w:hAnsi="Verdana"/>
                <w:b/>
                <w:sz w:val="20"/>
                <w:lang w:val="es-ES_tradnl" w:eastAsia="zh-CN"/>
              </w:rPr>
              <w:t xml:space="preserve"> </w:t>
            </w:r>
            <w:r w:rsidR="009D6097" w:rsidRPr="00976971">
              <w:rPr>
                <w:rFonts w:ascii="Verdana" w:hAnsi="Verdana"/>
                <w:b/>
                <w:sz w:val="20"/>
                <w:lang w:val="es-ES_tradnl"/>
              </w:rPr>
              <w:t>RA15/PLEN/</w:t>
            </w:r>
            <w:r w:rsidR="00EA2332">
              <w:rPr>
                <w:rFonts w:ascii="Verdana" w:hAnsi="Verdana"/>
                <w:b/>
                <w:sz w:val="20"/>
                <w:lang w:val="es-ES_tradnl"/>
              </w:rPr>
              <w:t>21</w:t>
            </w:r>
            <w:r w:rsidR="00976971" w:rsidRPr="00976971">
              <w:rPr>
                <w:rFonts w:ascii="Verdana" w:hAnsi="Verdana" w:cs="Traditional Arabic"/>
                <w:b/>
                <w:sz w:val="20"/>
                <w:lang w:val="es-ES_tradnl"/>
              </w:rPr>
              <w:t>(Add.1)</w:t>
            </w:r>
            <w:r w:rsidRPr="00976971">
              <w:rPr>
                <w:rFonts w:ascii="Verdana" w:hAnsi="Verdana"/>
                <w:b/>
                <w:sz w:val="20"/>
                <w:lang w:val="es-ES_tradnl" w:eastAsia="zh-CN"/>
              </w:rPr>
              <w:t>-C</w:t>
            </w:r>
          </w:p>
        </w:tc>
      </w:tr>
      <w:tr w:rsidR="00943EBD" w:rsidRPr="00877D12" w:rsidTr="00976971">
        <w:trPr>
          <w:cantSplit/>
          <w:trHeight w:val="23"/>
        </w:trPr>
        <w:tc>
          <w:tcPr>
            <w:tcW w:w="6379" w:type="dxa"/>
            <w:vMerge/>
          </w:tcPr>
          <w:p w:rsidR="00943EBD" w:rsidRPr="00976971" w:rsidRDefault="00943EBD" w:rsidP="00F544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es-ES_tradnl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52" w:type="dxa"/>
          </w:tcPr>
          <w:p w:rsidR="00943EBD" w:rsidRPr="00877D12" w:rsidRDefault="00943EBD" w:rsidP="00F544C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5C703C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EA2332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 w:rsidTr="00976971">
        <w:trPr>
          <w:cantSplit/>
          <w:trHeight w:val="23"/>
        </w:trPr>
        <w:tc>
          <w:tcPr>
            <w:tcW w:w="6379" w:type="dxa"/>
            <w:vMerge/>
          </w:tcPr>
          <w:p w:rsidR="00943EBD" w:rsidRPr="00877D12" w:rsidRDefault="00943EBD" w:rsidP="00F544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652" w:type="dxa"/>
          </w:tcPr>
          <w:p w:rsidR="00943EBD" w:rsidRPr="00877D12" w:rsidRDefault="001F1D01" w:rsidP="00F544C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="00EA2332">
              <w:rPr>
                <w:rFonts w:ascii="Verdana" w:hAnsi="Verdana"/>
                <w:b/>
                <w:sz w:val="20"/>
                <w:lang w:eastAsia="zh-CN"/>
              </w:rPr>
              <w:t>：</w:t>
            </w:r>
            <w:r w:rsidR="00E86E94">
              <w:rPr>
                <w:rFonts w:ascii="Verdana" w:hAnsi="Verdana" w:hint="eastAsia"/>
                <w:b/>
                <w:sz w:val="20"/>
                <w:lang w:eastAsia="zh-CN"/>
              </w:rPr>
              <w:t>俄</w:t>
            </w:r>
            <w:r>
              <w:rPr>
                <w:rFonts w:ascii="Verdana" w:hAnsi="Verdana"/>
                <w:b/>
                <w:sz w:val="20"/>
                <w:lang w:eastAsia="zh-CN"/>
              </w:rPr>
              <w:t>文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9271CE" w:rsidRDefault="00E86E94" w:rsidP="00F544CE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E86E94">
              <w:rPr>
                <w:rFonts w:hint="eastAsia"/>
                <w:lang w:eastAsia="zh-CN"/>
              </w:rPr>
              <w:t>区域通信联合体</w:t>
            </w:r>
            <w:r>
              <w:rPr>
                <w:rFonts w:hint="eastAsia"/>
                <w:lang w:eastAsia="zh-CN"/>
              </w:rPr>
              <w:t>共同提</w:t>
            </w:r>
            <w:r>
              <w:rPr>
                <w:lang w:eastAsia="zh-CN"/>
              </w:rPr>
              <w:t>案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2C2AE9" w:rsidRDefault="00E86E94" w:rsidP="00F544CE">
            <w:pPr>
              <w:pStyle w:val="Title1"/>
              <w:rPr>
                <w:lang w:val="en-US"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提案</w:t>
            </w:r>
          </w:p>
        </w:tc>
      </w:tr>
      <w:tr w:rsidR="00F936F5" w:rsidRPr="00877D12">
        <w:trPr>
          <w:cantSplit/>
        </w:trPr>
        <w:tc>
          <w:tcPr>
            <w:tcW w:w="10031" w:type="dxa"/>
            <w:gridSpan w:val="2"/>
          </w:tcPr>
          <w:p w:rsidR="00F936F5" w:rsidRDefault="00CF0F21" w:rsidP="00F544CE">
            <w:pPr>
              <w:pStyle w:val="Title2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就</w:t>
            </w:r>
            <w:r w:rsidR="008205C5" w:rsidRPr="00B41B36">
              <w:rPr>
                <w:lang w:eastAsia="zh-CN"/>
              </w:rPr>
              <w:t>ITU-R M.1036-4</w:t>
            </w:r>
            <w:r>
              <w:rPr>
                <w:rFonts w:hint="eastAsia"/>
                <w:lang w:eastAsia="zh-CN"/>
              </w:rPr>
              <w:t>修订草案</w:t>
            </w:r>
            <w:r>
              <w:rPr>
                <w:lang w:eastAsia="zh-CN"/>
              </w:rPr>
              <w:t>取得进展途径的建议</w:t>
            </w:r>
          </w:p>
        </w:tc>
      </w:tr>
    </w:tbl>
    <w:bookmarkEnd w:id="8"/>
    <w:p w:rsidR="00EA2332" w:rsidRPr="003635EB" w:rsidRDefault="00EA2332" w:rsidP="00F544CE">
      <w:pPr>
        <w:pStyle w:val="Heading1"/>
        <w:rPr>
          <w:lang w:eastAsia="zh-CN"/>
        </w:rPr>
      </w:pPr>
      <w:r w:rsidRPr="003635EB">
        <w:rPr>
          <w:lang w:eastAsia="zh-CN"/>
        </w:rPr>
        <w:t>1</w:t>
      </w:r>
      <w:r w:rsidRPr="003635EB">
        <w:rPr>
          <w:lang w:eastAsia="zh-CN"/>
        </w:rPr>
        <w:tab/>
      </w:r>
      <w:r w:rsidR="00CF0F21" w:rsidRPr="003635EB">
        <w:rPr>
          <w:rFonts w:hint="eastAsia"/>
          <w:lang w:eastAsia="zh-CN"/>
        </w:rPr>
        <w:t>引言</w:t>
      </w:r>
    </w:p>
    <w:p w:rsidR="00AE6186" w:rsidRDefault="00CF0F21" w:rsidP="00F544CE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在其第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次</w:t>
      </w:r>
      <w:r>
        <w:rPr>
          <w:lang w:eastAsia="zh-CN"/>
        </w:rPr>
        <w:t>会上审议了</w:t>
      </w:r>
      <w:r>
        <w:rPr>
          <w:rFonts w:hint="eastAsia"/>
          <w:lang w:eastAsia="zh-CN"/>
        </w:rPr>
        <w:t>ITU-R M.1036-4</w:t>
      </w:r>
      <w:r>
        <w:rPr>
          <w:rFonts w:hint="eastAsia"/>
          <w:lang w:eastAsia="zh-CN"/>
        </w:rPr>
        <w:t>建议书</w:t>
      </w:r>
      <w:r w:rsidR="00531E07" w:rsidRPr="00531E07">
        <w:rPr>
          <w:rFonts w:ascii="SimSun" w:hAnsi="SimSun"/>
          <w:lang w:eastAsia="zh-CN"/>
        </w:rPr>
        <w:t>“</w:t>
      </w:r>
      <w:r w:rsidR="00D268CB" w:rsidRPr="00D268CB">
        <w:rPr>
          <w:rFonts w:hint="eastAsia"/>
          <w:lang w:eastAsia="zh-CN"/>
        </w:rPr>
        <w:t>《无线电规则》为</w:t>
      </w:r>
      <w:r w:rsidR="00D268CB" w:rsidRPr="00D268CB">
        <w:rPr>
          <w:rFonts w:hint="eastAsia"/>
          <w:lang w:eastAsia="zh-CN"/>
        </w:rPr>
        <w:t>IMT</w:t>
      </w:r>
      <w:r w:rsidR="00D268CB" w:rsidRPr="00D268CB">
        <w:rPr>
          <w:rFonts w:hint="eastAsia"/>
          <w:lang w:eastAsia="zh-CN"/>
        </w:rPr>
        <w:t>确定的频段内实现国际移动通信（</w:t>
      </w:r>
      <w:r w:rsidR="00D268CB" w:rsidRPr="00D268CB">
        <w:rPr>
          <w:rFonts w:hint="eastAsia"/>
          <w:lang w:eastAsia="zh-CN"/>
        </w:rPr>
        <w:t>IMT</w:t>
      </w:r>
      <w:r w:rsidR="00D268CB" w:rsidRPr="00D268CB">
        <w:rPr>
          <w:rFonts w:hint="eastAsia"/>
          <w:lang w:eastAsia="zh-CN"/>
        </w:rPr>
        <w:t>）地面部分的频谱安排</w:t>
      </w:r>
      <w:r w:rsidR="00531E07" w:rsidRPr="00531E07">
        <w:rPr>
          <w:rFonts w:ascii="SimSun" w:hAnsi="SimSun"/>
          <w:lang w:val="en-US" w:eastAsia="zh-CN"/>
        </w:rPr>
        <w:t>”</w:t>
      </w:r>
      <w:r>
        <w:rPr>
          <w:rFonts w:ascii="SimSun" w:hAnsi="SimSun" w:hint="eastAsia"/>
          <w:lang w:val="en-US" w:eastAsia="zh-CN"/>
        </w:rPr>
        <w:t>，</w:t>
      </w:r>
      <w:r>
        <w:rPr>
          <w:rFonts w:ascii="SimSun" w:hAnsi="SimSun"/>
          <w:lang w:val="en-US" w:eastAsia="zh-CN"/>
        </w:rPr>
        <w:t>但未能达成一致。</w:t>
      </w:r>
      <w:r w:rsidR="00AE6186">
        <w:rPr>
          <w:rFonts w:hint="eastAsia"/>
          <w:lang w:val="en-US" w:eastAsia="zh-CN"/>
        </w:rPr>
        <w:t>会议</w:t>
      </w:r>
      <w:r w:rsidR="00AE6186">
        <w:rPr>
          <w:lang w:val="en-US" w:eastAsia="zh-CN"/>
        </w:rPr>
        <w:t>决定将此文件提交</w:t>
      </w:r>
      <w:r w:rsidR="00AE6186">
        <w:rPr>
          <w:rFonts w:hint="eastAsia"/>
          <w:lang w:val="en-US" w:eastAsia="zh-CN"/>
        </w:rPr>
        <w:t>2015</w:t>
      </w:r>
      <w:r w:rsidR="00AE6186">
        <w:rPr>
          <w:rFonts w:hint="eastAsia"/>
          <w:lang w:val="en-US" w:eastAsia="zh-CN"/>
        </w:rPr>
        <w:t>年</w:t>
      </w:r>
      <w:r w:rsidR="00AE6186">
        <w:rPr>
          <w:lang w:val="en-US" w:eastAsia="zh-CN"/>
        </w:rPr>
        <w:t>无线电通信全会审议。</w:t>
      </w:r>
    </w:p>
    <w:p w:rsidR="00EA2332" w:rsidRPr="00AE6186" w:rsidRDefault="00AE6186" w:rsidP="00F544CE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具体而言</w:t>
      </w:r>
      <w:r>
        <w:rPr>
          <w:lang w:val="en-US" w:eastAsia="zh-CN"/>
        </w:rPr>
        <w:t>，会议</w:t>
      </w:r>
      <w:r w:rsidR="0065024C">
        <w:rPr>
          <w:rFonts w:hint="eastAsia"/>
          <w:lang w:val="en-US" w:eastAsia="zh-CN"/>
        </w:rPr>
        <w:t>未</w:t>
      </w:r>
      <w:r>
        <w:rPr>
          <w:lang w:val="en-US" w:eastAsia="zh-CN"/>
        </w:rPr>
        <w:t>能</w:t>
      </w:r>
      <w:r>
        <w:rPr>
          <w:rFonts w:hint="eastAsia"/>
          <w:lang w:val="en-US" w:eastAsia="zh-CN"/>
        </w:rPr>
        <w:t>就</w:t>
      </w:r>
      <w:r>
        <w:rPr>
          <w:lang w:val="en-US" w:eastAsia="zh-CN"/>
        </w:rPr>
        <w:t>接纳新的</w:t>
      </w:r>
      <w:r>
        <w:rPr>
          <w:rFonts w:hint="eastAsia"/>
          <w:lang w:val="en-US" w:eastAsia="zh-CN"/>
        </w:rPr>
        <w:t>B6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B7</w:t>
      </w:r>
      <w:r>
        <w:rPr>
          <w:rFonts w:hint="eastAsia"/>
          <w:lang w:val="en-US" w:eastAsia="zh-CN"/>
        </w:rPr>
        <w:t>频率</w:t>
      </w:r>
      <w:r>
        <w:rPr>
          <w:lang w:val="en-US" w:eastAsia="zh-CN"/>
        </w:rPr>
        <w:t>安排以及现有</w:t>
      </w:r>
      <w:r>
        <w:rPr>
          <w:rFonts w:hint="eastAsia"/>
          <w:lang w:val="en-US" w:eastAsia="zh-CN"/>
        </w:rPr>
        <w:t>B3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B5</w:t>
      </w:r>
      <w:r>
        <w:rPr>
          <w:rFonts w:hint="eastAsia"/>
          <w:lang w:val="en-US" w:eastAsia="zh-CN"/>
        </w:rPr>
        <w:t>频率</w:t>
      </w:r>
      <w:r>
        <w:rPr>
          <w:lang w:val="en-US" w:eastAsia="zh-CN"/>
        </w:rPr>
        <w:t>安排扩展问题达成共识</w:t>
      </w:r>
      <w:r>
        <w:rPr>
          <w:rFonts w:hint="eastAsia"/>
          <w:lang w:val="en-US" w:eastAsia="zh-CN"/>
        </w:rPr>
        <w:t>。</w:t>
      </w:r>
      <w:r>
        <w:rPr>
          <w:lang w:val="en-US" w:eastAsia="zh-CN"/>
        </w:rPr>
        <w:t>这些</w:t>
      </w:r>
      <w:r>
        <w:rPr>
          <w:rFonts w:hint="eastAsia"/>
          <w:lang w:val="en-US" w:eastAsia="zh-CN"/>
        </w:rPr>
        <w:t>对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地面</w:t>
      </w:r>
      <w:r>
        <w:rPr>
          <w:lang w:val="en-US" w:eastAsia="zh-CN"/>
        </w:rPr>
        <w:t>部分频率安排所做的修改</w:t>
      </w:r>
      <w:r w:rsidR="0065024C">
        <w:rPr>
          <w:rFonts w:hint="eastAsia"/>
          <w:lang w:val="en-US" w:eastAsia="zh-CN"/>
        </w:rPr>
        <w:t>，</w:t>
      </w:r>
      <w:r>
        <w:rPr>
          <w:lang w:val="en-US" w:eastAsia="zh-CN"/>
        </w:rPr>
        <w:t>包括确定用于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卫星</w:t>
      </w:r>
      <w:r>
        <w:rPr>
          <w:lang w:val="en-US" w:eastAsia="zh-CN"/>
        </w:rPr>
        <w:t>部分</w:t>
      </w:r>
      <w:r w:rsidR="0065024C">
        <w:rPr>
          <w:rFonts w:hint="eastAsia"/>
          <w:lang w:val="en-US" w:eastAsia="zh-CN"/>
        </w:rPr>
        <w:t>而新增</w:t>
      </w:r>
      <w:r>
        <w:rPr>
          <w:lang w:val="en-US" w:eastAsia="zh-CN"/>
        </w:rPr>
        <w:t>的</w:t>
      </w:r>
      <w:r>
        <w:rPr>
          <w:lang w:val="en-US" w:eastAsia="zh-CN"/>
        </w:rPr>
        <w:t>1 980-2 010 MHz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2 170-2 200 MHz</w:t>
      </w:r>
      <w:r>
        <w:rPr>
          <w:lang w:val="en-US" w:eastAsia="zh-CN"/>
        </w:rPr>
        <w:t>频段。在</w:t>
      </w:r>
      <w:r w:rsidR="0065024C">
        <w:rPr>
          <w:rFonts w:hint="eastAsia"/>
          <w:lang w:val="en-US" w:eastAsia="zh-CN"/>
        </w:rPr>
        <w:t>对与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卫星</w:t>
      </w:r>
      <w:r>
        <w:rPr>
          <w:lang w:val="en-US" w:eastAsia="zh-CN"/>
        </w:rPr>
        <w:t>和地面部分同时运作相关</w:t>
      </w:r>
      <w:r w:rsidR="0065024C">
        <w:rPr>
          <w:rFonts w:hint="eastAsia"/>
          <w:lang w:val="en-US" w:eastAsia="zh-CN"/>
        </w:rPr>
        <w:t>的</w:t>
      </w:r>
      <w:r>
        <w:rPr>
          <w:lang w:val="en-US" w:eastAsia="zh-CN"/>
        </w:rPr>
        <w:t>问题</w:t>
      </w:r>
      <w:r w:rsidR="0065024C">
        <w:rPr>
          <w:rFonts w:hint="eastAsia"/>
          <w:lang w:val="en-US" w:eastAsia="zh-CN"/>
        </w:rPr>
        <w:t>进行</w:t>
      </w:r>
      <w:r>
        <w:rPr>
          <w:lang w:val="en-US" w:eastAsia="zh-CN"/>
        </w:rPr>
        <w:t>适当审议前，</w:t>
      </w:r>
      <w:r w:rsidR="0065024C">
        <w:rPr>
          <w:lang w:val="en-US" w:eastAsia="zh-CN"/>
        </w:rPr>
        <w:t>会议</w:t>
      </w:r>
      <w:r w:rsidR="0065024C">
        <w:rPr>
          <w:rFonts w:hint="eastAsia"/>
          <w:lang w:val="en-US" w:eastAsia="zh-CN"/>
        </w:rPr>
        <w:t>就对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地面</w:t>
      </w:r>
      <w:r>
        <w:rPr>
          <w:lang w:val="en-US" w:eastAsia="zh-CN"/>
        </w:rPr>
        <w:t>部分频率安排进行这类修改的可能性发表了不同意见。</w:t>
      </w:r>
    </w:p>
    <w:p w:rsidR="00EA2332" w:rsidRDefault="00EA2332" w:rsidP="00F544CE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AE6186">
        <w:rPr>
          <w:rFonts w:hint="eastAsia"/>
          <w:lang w:eastAsia="zh-CN"/>
        </w:rPr>
        <w:t>讨论</w:t>
      </w:r>
    </w:p>
    <w:p w:rsidR="00EA2332" w:rsidRDefault="0065024C" w:rsidP="00F544CE">
      <w:pPr>
        <w:ind w:firstLineChars="200" w:firstLine="480"/>
        <w:rPr>
          <w:highlight w:val="yellow"/>
          <w:lang w:eastAsia="zh-CN"/>
        </w:rPr>
      </w:pPr>
      <w:r>
        <w:rPr>
          <w:rFonts w:hint="eastAsia"/>
          <w:lang w:val="en-US" w:eastAsia="zh-CN"/>
        </w:rPr>
        <w:t>实际上</w:t>
      </w:r>
      <w:r>
        <w:rPr>
          <w:lang w:val="en-US" w:eastAsia="zh-CN"/>
        </w:rPr>
        <w:t>，</w:t>
      </w:r>
      <w:r w:rsidR="00531E07">
        <w:rPr>
          <w:lang w:val="en-US" w:eastAsia="zh-CN"/>
        </w:rPr>
        <w:t>1 980-2 010 MHz</w:t>
      </w:r>
      <w:r w:rsidR="00AE6186">
        <w:rPr>
          <w:rFonts w:hint="eastAsia"/>
          <w:lang w:val="en-US" w:eastAsia="zh-CN"/>
        </w:rPr>
        <w:t>和</w:t>
      </w:r>
      <w:r w:rsidR="00EA2332">
        <w:rPr>
          <w:lang w:val="en-US" w:eastAsia="zh-CN"/>
        </w:rPr>
        <w:t>2 170-2 </w:t>
      </w:r>
      <w:r w:rsidR="00AE6186">
        <w:rPr>
          <w:lang w:val="en-US" w:eastAsia="zh-CN"/>
        </w:rPr>
        <w:t>200 MHz</w:t>
      </w:r>
      <w:r w:rsidR="00AE6186">
        <w:rPr>
          <w:lang w:val="en-US" w:eastAsia="zh-CN"/>
        </w:rPr>
        <w:t>是</w:t>
      </w:r>
      <w:r w:rsidR="006F7E03">
        <w:rPr>
          <w:lang w:val="en-US" w:eastAsia="zh-CN"/>
        </w:rPr>
        <w:t>可</w:t>
      </w:r>
      <w:r w:rsidR="00AE6186">
        <w:rPr>
          <w:lang w:val="en-US" w:eastAsia="zh-CN"/>
        </w:rPr>
        <w:t>根据第</w:t>
      </w:r>
      <w:r w:rsidR="00AE6186">
        <w:rPr>
          <w:rFonts w:hint="eastAsia"/>
          <w:lang w:val="en-US" w:eastAsia="zh-CN"/>
        </w:rPr>
        <w:t>212</w:t>
      </w:r>
      <w:r w:rsidR="00AE6186">
        <w:rPr>
          <w:rFonts w:hint="eastAsia"/>
          <w:lang w:val="en-US" w:eastAsia="zh-CN"/>
        </w:rPr>
        <w:t>号</w:t>
      </w:r>
      <w:r w:rsidR="00AE6186">
        <w:rPr>
          <w:lang w:val="en-US" w:eastAsia="zh-CN"/>
        </w:rPr>
        <w:t>决议</w:t>
      </w:r>
      <w:r w:rsidR="00AE6186">
        <w:rPr>
          <w:rFonts w:hint="eastAsia"/>
          <w:lang w:val="en-US" w:eastAsia="zh-CN"/>
        </w:rPr>
        <w:t>（</w:t>
      </w:r>
      <w:r w:rsidR="00AE6186">
        <w:rPr>
          <w:rFonts w:hint="eastAsia"/>
          <w:lang w:val="en-US" w:eastAsia="zh-CN"/>
        </w:rPr>
        <w:t>WRC-07</w:t>
      </w:r>
      <w:r w:rsidR="00AE6186">
        <w:rPr>
          <w:rFonts w:hint="eastAsia"/>
          <w:lang w:val="en-US" w:eastAsia="zh-CN"/>
        </w:rPr>
        <w:t>，</w:t>
      </w:r>
      <w:r w:rsidR="00AE6186">
        <w:rPr>
          <w:lang w:val="en-US" w:eastAsia="zh-CN"/>
        </w:rPr>
        <w:t>修订版）</w:t>
      </w:r>
      <w:r w:rsidR="006F7E03">
        <w:rPr>
          <w:rFonts w:hint="eastAsia"/>
          <w:lang w:val="en-US" w:eastAsia="zh-CN"/>
        </w:rPr>
        <w:t>用于</w:t>
      </w:r>
      <w:r w:rsidR="00AE6186">
        <w:rPr>
          <w:rFonts w:hint="eastAsia"/>
          <w:lang w:val="en-US" w:eastAsia="zh-CN"/>
        </w:rPr>
        <w:t>IMT</w:t>
      </w:r>
      <w:r w:rsidR="00AE6186">
        <w:rPr>
          <w:rFonts w:hint="eastAsia"/>
          <w:lang w:val="en-US" w:eastAsia="zh-CN"/>
        </w:rPr>
        <w:t>卫星</w:t>
      </w:r>
      <w:r w:rsidR="00AE6186">
        <w:rPr>
          <w:lang w:val="en-US" w:eastAsia="zh-CN"/>
        </w:rPr>
        <w:t>部分</w:t>
      </w:r>
      <w:r w:rsidR="006F7E03">
        <w:rPr>
          <w:lang w:val="en-US" w:eastAsia="zh-CN"/>
        </w:rPr>
        <w:t>部署</w:t>
      </w:r>
      <w:r w:rsidR="00AE6186">
        <w:rPr>
          <w:rFonts w:hint="eastAsia"/>
          <w:lang w:val="en-US" w:eastAsia="zh-CN"/>
        </w:rPr>
        <w:t>的</w:t>
      </w:r>
      <w:r w:rsidR="00AE6186">
        <w:rPr>
          <w:lang w:val="en-US" w:eastAsia="zh-CN"/>
        </w:rPr>
        <w:t>唯一频段，</w:t>
      </w:r>
      <w:r w:rsidR="00AE6186">
        <w:rPr>
          <w:rFonts w:hint="eastAsia"/>
          <w:lang w:val="en-US" w:eastAsia="zh-CN"/>
        </w:rPr>
        <w:t>第</w:t>
      </w:r>
      <w:r w:rsidR="00AE6186">
        <w:rPr>
          <w:rFonts w:hint="eastAsia"/>
          <w:lang w:val="en-US" w:eastAsia="zh-CN"/>
        </w:rPr>
        <w:t>223</w:t>
      </w:r>
      <w:r w:rsidR="00AE6186">
        <w:rPr>
          <w:rFonts w:hint="eastAsia"/>
          <w:lang w:val="en-US" w:eastAsia="zh-CN"/>
        </w:rPr>
        <w:t>号</w:t>
      </w:r>
      <w:r w:rsidR="00AE6186">
        <w:rPr>
          <w:lang w:val="en-US" w:eastAsia="zh-CN"/>
        </w:rPr>
        <w:t>决议</w:t>
      </w:r>
      <w:r w:rsidR="00AE6186">
        <w:rPr>
          <w:rFonts w:hint="eastAsia"/>
          <w:lang w:val="en-US" w:eastAsia="zh-CN"/>
        </w:rPr>
        <w:t>（</w:t>
      </w:r>
      <w:r w:rsidR="00AE6186">
        <w:rPr>
          <w:rFonts w:hint="eastAsia"/>
          <w:lang w:val="en-US" w:eastAsia="zh-CN"/>
        </w:rPr>
        <w:t>WRC-12</w:t>
      </w:r>
      <w:r w:rsidR="00AE6186">
        <w:rPr>
          <w:rFonts w:hint="eastAsia"/>
          <w:lang w:val="en-US" w:eastAsia="zh-CN"/>
        </w:rPr>
        <w:t>，</w:t>
      </w:r>
      <w:r w:rsidR="00AE6186">
        <w:rPr>
          <w:lang w:val="en-US" w:eastAsia="zh-CN"/>
        </w:rPr>
        <w:t>修订版）和</w:t>
      </w:r>
      <w:r w:rsidR="00AE6186">
        <w:rPr>
          <w:rFonts w:hint="eastAsia"/>
          <w:lang w:val="en-US" w:eastAsia="zh-CN"/>
        </w:rPr>
        <w:t>第</w:t>
      </w:r>
      <w:r w:rsidR="00AE6186">
        <w:rPr>
          <w:rFonts w:hint="eastAsia"/>
          <w:lang w:val="en-US" w:eastAsia="zh-CN"/>
        </w:rPr>
        <w:t>225</w:t>
      </w:r>
      <w:r w:rsidR="00AE6186">
        <w:rPr>
          <w:rFonts w:hint="eastAsia"/>
          <w:lang w:val="en-US" w:eastAsia="zh-CN"/>
        </w:rPr>
        <w:t>号</w:t>
      </w:r>
      <w:r w:rsidR="00AE6186">
        <w:rPr>
          <w:lang w:val="en-US" w:eastAsia="zh-CN"/>
        </w:rPr>
        <w:t>决议（</w:t>
      </w:r>
      <w:r w:rsidR="00AE6186">
        <w:rPr>
          <w:rFonts w:hint="eastAsia"/>
          <w:lang w:val="en-US" w:eastAsia="zh-CN"/>
        </w:rPr>
        <w:t>WRC-</w:t>
      </w:r>
      <w:r w:rsidR="00AE6186">
        <w:rPr>
          <w:lang w:val="en-US" w:eastAsia="zh-CN"/>
        </w:rPr>
        <w:t>12</w:t>
      </w:r>
      <w:r w:rsidR="00AE6186">
        <w:rPr>
          <w:rFonts w:hint="eastAsia"/>
          <w:lang w:val="en-US" w:eastAsia="zh-CN"/>
        </w:rPr>
        <w:t>，</w:t>
      </w:r>
      <w:r w:rsidR="00AE6186">
        <w:rPr>
          <w:lang w:val="en-US" w:eastAsia="zh-CN"/>
        </w:rPr>
        <w:t>修订版）</w:t>
      </w:r>
      <w:r w:rsidR="006F7E03">
        <w:rPr>
          <w:rFonts w:hint="eastAsia"/>
          <w:lang w:val="en-US" w:eastAsia="zh-CN"/>
        </w:rPr>
        <w:t>具体称之</w:t>
      </w:r>
      <w:r w:rsidR="00AE6186">
        <w:rPr>
          <w:lang w:val="en-US" w:eastAsia="zh-CN"/>
        </w:rPr>
        <w:t>为确定用于</w:t>
      </w:r>
      <w:r w:rsidR="00AE6186">
        <w:rPr>
          <w:rFonts w:hint="eastAsia"/>
          <w:lang w:val="en-US" w:eastAsia="zh-CN"/>
        </w:rPr>
        <w:t>IMT</w:t>
      </w:r>
      <w:r w:rsidR="00AE6186">
        <w:rPr>
          <w:rFonts w:hint="eastAsia"/>
          <w:lang w:val="en-US" w:eastAsia="zh-CN"/>
        </w:rPr>
        <w:t>卫星</w:t>
      </w:r>
      <w:r w:rsidR="00AE6186">
        <w:rPr>
          <w:lang w:val="en-US" w:eastAsia="zh-CN"/>
        </w:rPr>
        <w:t>部分的频段。</w:t>
      </w:r>
    </w:p>
    <w:p w:rsidR="00AE6186" w:rsidRDefault="009D40A5" w:rsidP="00F544CE">
      <w:pPr>
        <w:ind w:firstLineChars="200" w:firstLine="480"/>
        <w:rPr>
          <w:lang w:eastAsia="zh-CN"/>
        </w:rPr>
      </w:pPr>
      <w:r>
        <w:rPr>
          <w:lang w:eastAsia="zh-CN"/>
        </w:rPr>
        <w:t>4C</w:t>
      </w:r>
      <w:r>
        <w:rPr>
          <w:lang w:eastAsia="zh-CN"/>
        </w:rPr>
        <w:t>工作组开展的初步</w:t>
      </w:r>
      <w:r>
        <w:rPr>
          <w:rFonts w:hint="eastAsia"/>
          <w:lang w:eastAsia="zh-CN"/>
        </w:rPr>
        <w:t>共用</w:t>
      </w:r>
      <w:r>
        <w:rPr>
          <w:lang w:eastAsia="zh-CN"/>
        </w:rPr>
        <w:t>和兼容性研究表明，</w:t>
      </w:r>
      <w:r>
        <w:rPr>
          <w:lang w:eastAsia="zh-CN"/>
        </w:rPr>
        <w:t>IMT</w:t>
      </w:r>
      <w:r>
        <w:rPr>
          <w:lang w:eastAsia="zh-CN"/>
        </w:rPr>
        <w:t>地面和卫星部分</w:t>
      </w:r>
      <w:r w:rsidR="006F7E03">
        <w:rPr>
          <w:rFonts w:hint="eastAsia"/>
          <w:lang w:eastAsia="zh-CN"/>
        </w:rPr>
        <w:t>不可能在同</w:t>
      </w:r>
      <w:r w:rsidR="006F7E03">
        <w:rPr>
          <w:lang w:eastAsia="zh-CN"/>
        </w:rPr>
        <w:t>一覆盖区</w:t>
      </w:r>
      <w:r w:rsidR="006F7E03">
        <w:rPr>
          <w:rFonts w:hint="eastAsia"/>
          <w:lang w:eastAsia="zh-CN"/>
        </w:rPr>
        <w:t>的</w:t>
      </w:r>
      <w:r w:rsidR="006F7E03">
        <w:rPr>
          <w:rFonts w:hint="eastAsia"/>
          <w:lang w:eastAsia="zh-CN"/>
        </w:rPr>
        <w:t xml:space="preserve">2 </w:t>
      </w:r>
      <w:r w:rsidR="006F7E03">
        <w:rPr>
          <w:lang w:eastAsia="zh-CN"/>
        </w:rPr>
        <w:t>GHz</w:t>
      </w:r>
      <w:r w:rsidR="006F7E03">
        <w:rPr>
          <w:rFonts w:hint="eastAsia"/>
          <w:lang w:eastAsia="zh-CN"/>
        </w:rPr>
        <w:t>频段左右</w:t>
      </w:r>
      <w:r w:rsidR="006F7E03">
        <w:rPr>
          <w:lang w:eastAsia="zh-CN"/>
        </w:rPr>
        <w:t>实现</w:t>
      </w:r>
      <w:r>
        <w:rPr>
          <w:lang w:eastAsia="zh-CN"/>
        </w:rPr>
        <w:t>兼容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共用</w:t>
      </w:r>
      <w:r w:rsidR="00AE6186">
        <w:rPr>
          <w:rFonts w:hint="eastAsia"/>
          <w:lang w:eastAsia="zh-CN"/>
        </w:rPr>
        <w:t>。由于</w:t>
      </w:r>
      <w:r w:rsidR="00AE6186">
        <w:rPr>
          <w:lang w:eastAsia="zh-CN"/>
        </w:rPr>
        <w:t>《无线电规则》缺少</w:t>
      </w:r>
      <w:r w:rsidR="00AE6186">
        <w:rPr>
          <w:rFonts w:hint="eastAsia"/>
          <w:lang w:eastAsia="zh-CN"/>
        </w:rPr>
        <w:t>适用</w:t>
      </w:r>
      <w:r w:rsidR="00AE6186">
        <w:rPr>
          <w:lang w:eastAsia="zh-CN"/>
        </w:rPr>
        <w:t>的协调门限值和相应的规则性条款，部分国家难以在上述两个频段协调</w:t>
      </w:r>
      <w:r w:rsidR="00AE6186">
        <w:rPr>
          <w:rFonts w:hint="eastAsia"/>
          <w:lang w:eastAsia="zh-CN"/>
        </w:rPr>
        <w:t>IMT</w:t>
      </w:r>
      <w:r w:rsidR="00AE6186">
        <w:rPr>
          <w:rFonts w:hint="eastAsia"/>
          <w:lang w:eastAsia="zh-CN"/>
        </w:rPr>
        <w:t>卫星</w:t>
      </w:r>
      <w:r w:rsidR="00AE6186">
        <w:rPr>
          <w:lang w:eastAsia="zh-CN"/>
        </w:rPr>
        <w:t>和地面系统的使用</w:t>
      </w:r>
      <w:r w:rsidR="00AE6186">
        <w:rPr>
          <w:rFonts w:hint="eastAsia"/>
          <w:lang w:eastAsia="zh-CN"/>
        </w:rPr>
        <w:t>。</w:t>
      </w:r>
      <w:r w:rsidR="00AE6186">
        <w:rPr>
          <w:lang w:eastAsia="zh-CN"/>
        </w:rPr>
        <w:t>应当</w:t>
      </w:r>
      <w:r w:rsidR="00AE6186">
        <w:rPr>
          <w:rFonts w:hint="eastAsia"/>
          <w:lang w:eastAsia="zh-CN"/>
        </w:rPr>
        <w:t>指出</w:t>
      </w:r>
      <w:r w:rsidR="00AE6186">
        <w:rPr>
          <w:lang w:eastAsia="zh-CN"/>
        </w:rPr>
        <w:t>的是，如果</w:t>
      </w:r>
      <w:r w:rsidR="003B2F62">
        <w:rPr>
          <w:rFonts w:hint="eastAsia"/>
          <w:lang w:eastAsia="zh-CN"/>
        </w:rPr>
        <w:t>ITU-R M.</w:t>
      </w:r>
      <w:r w:rsidR="003B2F62">
        <w:rPr>
          <w:lang w:eastAsia="zh-CN"/>
        </w:rPr>
        <w:t>1036</w:t>
      </w:r>
      <w:r w:rsidR="003B2F62">
        <w:rPr>
          <w:rFonts w:hint="eastAsia"/>
          <w:lang w:eastAsia="zh-CN"/>
        </w:rPr>
        <w:t>建议书</w:t>
      </w:r>
      <w:r w:rsidR="003B2F62">
        <w:rPr>
          <w:lang w:eastAsia="zh-CN"/>
        </w:rPr>
        <w:t>的修改建议</w:t>
      </w:r>
      <w:r w:rsidR="00AE6186">
        <w:rPr>
          <w:lang w:eastAsia="zh-CN"/>
        </w:rPr>
        <w:t>在问题解决前得到批准，</w:t>
      </w:r>
      <w:r w:rsidR="00AE6186">
        <w:rPr>
          <w:rFonts w:hint="eastAsia"/>
          <w:lang w:eastAsia="zh-CN"/>
        </w:rPr>
        <w:t>IMT</w:t>
      </w:r>
      <w:r w:rsidR="00AE6186">
        <w:rPr>
          <w:rFonts w:hint="eastAsia"/>
          <w:lang w:eastAsia="zh-CN"/>
        </w:rPr>
        <w:t>地面</w:t>
      </w:r>
      <w:r w:rsidR="00AE6186">
        <w:rPr>
          <w:lang w:eastAsia="zh-CN"/>
        </w:rPr>
        <w:t>和卫星系统之间的干扰将会增加，给希望部署</w:t>
      </w:r>
      <w:r w:rsidR="00AE6186">
        <w:rPr>
          <w:rFonts w:hint="eastAsia"/>
          <w:lang w:eastAsia="zh-CN"/>
        </w:rPr>
        <w:t>IMT</w:t>
      </w:r>
      <w:r w:rsidR="00AE6186">
        <w:rPr>
          <w:rFonts w:hint="eastAsia"/>
          <w:lang w:eastAsia="zh-CN"/>
        </w:rPr>
        <w:t>地面或</w:t>
      </w:r>
      <w:r w:rsidR="00AE6186">
        <w:rPr>
          <w:lang w:eastAsia="zh-CN"/>
        </w:rPr>
        <w:t>卫星系统的国家之间的协调造成巨大压力。</w:t>
      </w:r>
    </w:p>
    <w:p w:rsidR="00EA2332" w:rsidRDefault="008657F9" w:rsidP="00F544CE">
      <w:pPr>
        <w:ind w:firstLineChars="200" w:firstLine="480"/>
        <w:rPr>
          <w:lang w:eastAsia="zh-CN"/>
        </w:rPr>
      </w:pPr>
      <w:r>
        <w:rPr>
          <w:lang w:eastAsia="zh-CN"/>
        </w:rPr>
        <w:t>ITU-R M.1036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指出，做出频率安排的宗旨之一是在</w:t>
      </w:r>
      <w:r w:rsidR="003B2F62">
        <w:rPr>
          <w:lang w:eastAsia="zh-CN"/>
        </w:rPr>
        <w:t>确定</w:t>
      </w:r>
      <w:r w:rsidR="003B2F62">
        <w:rPr>
          <w:rFonts w:hint="eastAsia"/>
          <w:lang w:eastAsia="zh-CN"/>
        </w:rPr>
        <w:t>用于</w:t>
      </w:r>
      <w:r>
        <w:rPr>
          <w:lang w:eastAsia="zh-CN"/>
        </w:rPr>
        <w:t>IMT</w:t>
      </w:r>
      <w:r>
        <w:rPr>
          <w:lang w:eastAsia="zh-CN"/>
        </w:rPr>
        <w:t>的频段内尽</w:t>
      </w:r>
      <w:r w:rsidR="003B2F62">
        <w:rPr>
          <w:rFonts w:hint="eastAsia"/>
          <w:lang w:eastAsia="zh-CN"/>
        </w:rPr>
        <w:t>量</w:t>
      </w:r>
      <w:r>
        <w:rPr>
          <w:lang w:eastAsia="zh-CN"/>
        </w:rPr>
        <w:t>减少</w:t>
      </w:r>
      <w:r>
        <w:rPr>
          <w:rFonts w:hint="eastAsia"/>
          <w:lang w:eastAsia="zh-CN"/>
        </w:rPr>
        <w:t>对</w:t>
      </w:r>
      <w:r>
        <w:rPr>
          <w:lang w:eastAsia="zh-CN"/>
        </w:rPr>
        <w:t>其它系统和业务的影响。上述</w:t>
      </w:r>
      <w:r>
        <w:rPr>
          <w:rFonts w:hint="eastAsia"/>
          <w:lang w:eastAsia="zh-CN"/>
        </w:rPr>
        <w:t>问题</w:t>
      </w:r>
      <w:r>
        <w:rPr>
          <w:lang w:eastAsia="zh-CN"/>
        </w:rPr>
        <w:t>与</w:t>
      </w:r>
      <w:r>
        <w:rPr>
          <w:lang w:eastAsia="zh-CN"/>
        </w:rPr>
        <w:t>ITU-R M.1036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的修订相关。</w:t>
      </w:r>
    </w:p>
    <w:p w:rsidR="00EA2332" w:rsidRDefault="008657F9" w:rsidP="00F544CE">
      <w:pPr>
        <w:ind w:firstLineChars="200" w:firstLine="480"/>
        <w:rPr>
          <w:lang w:eastAsia="zh-CN"/>
        </w:rPr>
      </w:pPr>
      <w:r w:rsidRPr="008657F9">
        <w:rPr>
          <w:lang w:eastAsia="zh-CN"/>
        </w:rPr>
        <w:t>此外</w:t>
      </w:r>
      <w:r w:rsidRPr="008657F9">
        <w:rPr>
          <w:rFonts w:hint="eastAsia"/>
          <w:lang w:eastAsia="zh-CN"/>
        </w:rPr>
        <w:t>，</w:t>
      </w:r>
      <w:r w:rsidRPr="008657F9">
        <w:rPr>
          <w:lang w:eastAsia="zh-CN"/>
        </w:rPr>
        <w:t>在</w:t>
      </w:r>
      <w:r w:rsidRPr="008657F9">
        <w:rPr>
          <w:rFonts w:hint="eastAsia"/>
          <w:lang w:eastAsia="zh-CN"/>
        </w:rPr>
        <w:t>开展</w:t>
      </w:r>
      <w:r w:rsidRPr="008657F9">
        <w:rPr>
          <w:lang w:eastAsia="zh-CN"/>
        </w:rPr>
        <w:t>共用</w:t>
      </w:r>
      <w:r w:rsidRPr="008657F9">
        <w:rPr>
          <w:rFonts w:hint="eastAsia"/>
          <w:lang w:eastAsia="zh-CN"/>
        </w:rPr>
        <w:t>/</w:t>
      </w:r>
      <w:r w:rsidRPr="008657F9">
        <w:rPr>
          <w:rFonts w:hint="eastAsia"/>
          <w:lang w:eastAsia="zh-CN"/>
        </w:rPr>
        <w:t>兼容性</w:t>
      </w:r>
      <w:r w:rsidRPr="008657F9">
        <w:rPr>
          <w:lang w:eastAsia="zh-CN"/>
        </w:rPr>
        <w:t>研究</w:t>
      </w:r>
      <w:r w:rsidRPr="008657F9">
        <w:rPr>
          <w:rFonts w:hint="eastAsia"/>
          <w:lang w:eastAsia="zh-CN"/>
        </w:rPr>
        <w:t>和</w:t>
      </w:r>
      <w:r w:rsidRPr="008657F9">
        <w:rPr>
          <w:lang w:eastAsia="zh-CN"/>
        </w:rPr>
        <w:t>制定</w:t>
      </w:r>
      <w:r w:rsidRPr="008657F9">
        <w:rPr>
          <w:rFonts w:hint="eastAsia"/>
          <w:lang w:eastAsia="zh-CN"/>
        </w:rPr>
        <w:t>与</w:t>
      </w:r>
      <w:r w:rsidRPr="008657F9">
        <w:rPr>
          <w:lang w:eastAsia="zh-CN"/>
        </w:rPr>
        <w:t>IMT</w:t>
      </w:r>
      <w:r w:rsidRPr="008657F9">
        <w:rPr>
          <w:lang w:eastAsia="zh-CN"/>
        </w:rPr>
        <w:t>卫星部分的协调程序之前统一</w:t>
      </w:r>
      <w:r w:rsidRPr="008657F9">
        <w:rPr>
          <w:rFonts w:hint="eastAsia"/>
          <w:lang w:eastAsia="zh-CN"/>
        </w:rPr>
        <w:t>1</w:t>
      </w:r>
      <w:r w:rsidRPr="008657F9">
        <w:rPr>
          <w:lang w:val="en-US" w:eastAsia="zh-CN"/>
        </w:rPr>
        <w:t> </w:t>
      </w:r>
      <w:r w:rsidRPr="008657F9">
        <w:rPr>
          <w:rFonts w:hint="eastAsia"/>
          <w:lang w:eastAsia="zh-CN"/>
        </w:rPr>
        <w:t>980</w:t>
      </w:r>
      <w:r w:rsidRPr="008657F9">
        <w:rPr>
          <w:lang w:eastAsia="zh-CN"/>
        </w:rPr>
        <w:t>-2</w:t>
      </w:r>
      <w:r w:rsidRPr="008657F9">
        <w:rPr>
          <w:lang w:val="en-US" w:eastAsia="zh-CN"/>
        </w:rPr>
        <w:t> </w:t>
      </w:r>
      <w:r w:rsidRPr="008657F9">
        <w:rPr>
          <w:rFonts w:hint="eastAsia"/>
          <w:lang w:val="en-US" w:eastAsia="zh-CN"/>
        </w:rPr>
        <w:t>0</w:t>
      </w:r>
      <w:r w:rsidRPr="008657F9">
        <w:rPr>
          <w:lang w:val="en-US" w:eastAsia="zh-CN"/>
        </w:rPr>
        <w:t>10 MHz</w:t>
      </w:r>
      <w:r w:rsidRPr="008657F9">
        <w:rPr>
          <w:rFonts w:hint="eastAsia"/>
          <w:lang w:val="en-US" w:eastAsia="zh-CN"/>
        </w:rPr>
        <w:t>和</w:t>
      </w:r>
      <w:r w:rsidRPr="008657F9">
        <w:rPr>
          <w:rFonts w:hint="eastAsia"/>
          <w:lang w:val="en-US" w:eastAsia="zh-CN"/>
        </w:rPr>
        <w:t>2</w:t>
      </w:r>
      <w:r w:rsidRPr="008657F9">
        <w:rPr>
          <w:lang w:val="en-US" w:eastAsia="zh-CN"/>
        </w:rPr>
        <w:t> 170-2 200 MHz</w:t>
      </w:r>
      <w:r w:rsidRPr="008657F9">
        <w:rPr>
          <w:rFonts w:hint="eastAsia"/>
          <w:lang w:val="en-US" w:eastAsia="zh-CN"/>
        </w:rPr>
        <w:t>频段内</w:t>
      </w:r>
      <w:r w:rsidRPr="008657F9">
        <w:rPr>
          <w:lang w:val="en-US" w:eastAsia="zh-CN"/>
        </w:rPr>
        <w:t>用于</w:t>
      </w:r>
      <w:r w:rsidRPr="008657F9">
        <w:rPr>
          <w:lang w:val="en-US" w:eastAsia="zh-CN"/>
        </w:rPr>
        <w:t>IMT</w:t>
      </w:r>
      <w:r w:rsidRPr="008657F9">
        <w:rPr>
          <w:lang w:val="en-US" w:eastAsia="zh-CN"/>
        </w:rPr>
        <w:t>地面部</w:t>
      </w:r>
      <w:bookmarkStart w:id="9" w:name="_GoBack"/>
      <w:bookmarkEnd w:id="9"/>
      <w:r w:rsidRPr="008657F9">
        <w:rPr>
          <w:lang w:val="en-US" w:eastAsia="zh-CN"/>
        </w:rPr>
        <w:t>分的频率安排</w:t>
      </w:r>
      <w:r w:rsidR="003B2F62">
        <w:rPr>
          <w:rFonts w:hint="eastAsia"/>
          <w:lang w:val="en-US" w:eastAsia="zh-CN"/>
        </w:rPr>
        <w:t>，</w:t>
      </w:r>
      <w:r w:rsidRPr="008657F9">
        <w:rPr>
          <w:lang w:val="en-US" w:eastAsia="zh-CN"/>
        </w:rPr>
        <w:t>可能会使</w:t>
      </w:r>
      <w:r w:rsidRPr="008657F9">
        <w:rPr>
          <w:lang w:val="en-US" w:eastAsia="zh-CN"/>
        </w:rPr>
        <w:t>ITU-R</w:t>
      </w:r>
      <w:r w:rsidRPr="008657F9">
        <w:rPr>
          <w:lang w:val="en-US" w:eastAsia="zh-CN"/>
        </w:rPr>
        <w:t>在创建和发展</w:t>
      </w:r>
      <w:r w:rsidRPr="008657F9">
        <w:rPr>
          <w:lang w:val="en-US" w:eastAsia="zh-CN"/>
        </w:rPr>
        <w:t>IMT</w:t>
      </w:r>
      <w:r w:rsidRPr="008657F9">
        <w:rPr>
          <w:lang w:val="en-US" w:eastAsia="zh-CN"/>
        </w:rPr>
        <w:t>卫星部分中所付出的努力</w:t>
      </w:r>
      <w:r w:rsidRPr="008657F9">
        <w:rPr>
          <w:rFonts w:hint="eastAsia"/>
          <w:lang w:val="en-US" w:eastAsia="zh-CN"/>
        </w:rPr>
        <w:t>受到危害</w:t>
      </w:r>
      <w:r w:rsidRPr="008657F9">
        <w:rPr>
          <w:lang w:val="en-US" w:eastAsia="zh-CN"/>
        </w:rPr>
        <w:t>。无线电</w:t>
      </w:r>
      <w:r w:rsidRPr="008657F9">
        <w:rPr>
          <w:rFonts w:hint="eastAsia"/>
          <w:lang w:val="en-US" w:eastAsia="zh-CN"/>
        </w:rPr>
        <w:t>通信局</w:t>
      </w:r>
      <w:r w:rsidRPr="008657F9">
        <w:rPr>
          <w:lang w:val="en-US" w:eastAsia="zh-CN"/>
        </w:rPr>
        <w:t>主任已认识到该问题的重要性，</w:t>
      </w:r>
      <w:r w:rsidR="003B2F62">
        <w:rPr>
          <w:rFonts w:hint="eastAsia"/>
          <w:lang w:val="en-US" w:eastAsia="zh-CN"/>
        </w:rPr>
        <w:t>并</w:t>
      </w:r>
      <w:r w:rsidRPr="008657F9">
        <w:rPr>
          <w:lang w:val="en-US" w:eastAsia="zh-CN"/>
        </w:rPr>
        <w:t>将</w:t>
      </w:r>
      <w:r w:rsidR="00A83DE1">
        <w:rPr>
          <w:rFonts w:hint="eastAsia"/>
          <w:lang w:val="en-US" w:eastAsia="zh-CN"/>
        </w:rPr>
        <w:t>在</w:t>
      </w:r>
      <w:r w:rsidR="00A83DE1">
        <w:rPr>
          <w:lang w:val="en-US" w:eastAsia="zh-CN"/>
        </w:rPr>
        <w:t>议项</w:t>
      </w:r>
      <w:r w:rsidR="00A83DE1">
        <w:rPr>
          <w:rFonts w:hint="eastAsia"/>
          <w:lang w:val="en-US" w:eastAsia="zh-CN"/>
        </w:rPr>
        <w:t>9.</w:t>
      </w:r>
      <w:r w:rsidR="00A83DE1">
        <w:rPr>
          <w:lang w:val="en-US" w:eastAsia="zh-CN"/>
        </w:rPr>
        <w:t>2</w:t>
      </w:r>
      <w:r w:rsidR="00A83DE1">
        <w:rPr>
          <w:rFonts w:hint="eastAsia"/>
          <w:lang w:val="en-US" w:eastAsia="zh-CN"/>
        </w:rPr>
        <w:t>的</w:t>
      </w:r>
      <w:r w:rsidR="00A83DE1">
        <w:rPr>
          <w:lang w:val="en-US" w:eastAsia="zh-CN"/>
        </w:rPr>
        <w:t>范围内，就面临的</w:t>
      </w:r>
      <w:r w:rsidR="00A83DE1">
        <w:rPr>
          <w:rFonts w:hint="eastAsia"/>
          <w:lang w:val="en-US" w:eastAsia="zh-CN"/>
        </w:rPr>
        <w:t>困难</w:t>
      </w:r>
      <w:r w:rsidR="00A83DE1">
        <w:rPr>
          <w:lang w:val="en-US" w:eastAsia="zh-CN"/>
        </w:rPr>
        <w:t>向</w:t>
      </w:r>
      <w:r w:rsidR="00A83DE1">
        <w:rPr>
          <w:rFonts w:hint="eastAsia"/>
          <w:lang w:val="en-US" w:eastAsia="zh-CN"/>
        </w:rPr>
        <w:t>WRC</w:t>
      </w:r>
      <w:r w:rsidR="00A83DE1">
        <w:rPr>
          <w:rFonts w:hint="eastAsia"/>
          <w:lang w:val="en-US" w:eastAsia="zh-CN"/>
        </w:rPr>
        <w:t>做出</w:t>
      </w:r>
      <w:r w:rsidR="00A83DE1">
        <w:rPr>
          <w:lang w:val="en-US" w:eastAsia="zh-CN"/>
        </w:rPr>
        <w:t>报告，</w:t>
      </w:r>
      <w:r w:rsidR="00A83DE1">
        <w:rPr>
          <w:rFonts w:hint="eastAsia"/>
          <w:lang w:val="en-US" w:eastAsia="zh-CN"/>
        </w:rPr>
        <w:t>而</w:t>
      </w:r>
      <w:r w:rsidR="00A83DE1">
        <w:rPr>
          <w:lang w:val="en-US" w:eastAsia="zh-CN"/>
        </w:rPr>
        <w:t>会</w:t>
      </w:r>
      <w:r w:rsidR="003B2F62">
        <w:rPr>
          <w:rFonts w:hint="eastAsia"/>
          <w:lang w:val="en-US" w:eastAsia="zh-CN"/>
        </w:rPr>
        <w:t>以希望</w:t>
      </w:r>
      <w:r w:rsidR="00A83DE1">
        <w:rPr>
          <w:lang w:val="en-US" w:eastAsia="zh-CN"/>
        </w:rPr>
        <w:t>大会将在一定程度上为解决这些问题</w:t>
      </w:r>
      <w:r w:rsidR="00A83DE1">
        <w:rPr>
          <w:rFonts w:hint="eastAsia"/>
          <w:lang w:val="en-US" w:eastAsia="zh-CN"/>
        </w:rPr>
        <w:t>指明</w:t>
      </w:r>
      <w:r w:rsidR="00A83DE1">
        <w:rPr>
          <w:lang w:val="en-US" w:eastAsia="zh-CN"/>
        </w:rPr>
        <w:t>方向。</w:t>
      </w:r>
    </w:p>
    <w:p w:rsidR="00EA2332" w:rsidRDefault="00C242A5" w:rsidP="00F544CE">
      <w:pPr>
        <w:ind w:firstLineChars="200" w:firstLine="480"/>
        <w:rPr>
          <w:lang w:eastAsia="zh-CN"/>
        </w:rPr>
      </w:pPr>
      <w:r w:rsidRPr="00C242A5">
        <w:rPr>
          <w:lang w:val="en-US" w:eastAsia="zh-CN"/>
        </w:rPr>
        <w:lastRenderedPageBreak/>
        <w:t>在</w:t>
      </w:r>
      <w:r w:rsidRPr="00C242A5">
        <w:rPr>
          <w:rFonts w:hint="eastAsia"/>
          <w:lang w:val="en-US" w:eastAsia="zh-CN"/>
        </w:rPr>
        <w:t>向</w:t>
      </w:r>
      <w:r w:rsidRPr="00C242A5">
        <w:rPr>
          <w:rFonts w:hint="eastAsia"/>
          <w:lang w:val="en-US" w:eastAsia="zh-CN"/>
        </w:rPr>
        <w:t>5</w:t>
      </w:r>
      <w:r w:rsidRPr="00C242A5">
        <w:rPr>
          <w:lang w:val="en-US" w:eastAsia="zh-CN"/>
        </w:rPr>
        <w:t>D</w:t>
      </w:r>
      <w:r w:rsidRPr="00C242A5">
        <w:rPr>
          <w:lang w:val="en-US" w:eastAsia="zh-CN"/>
        </w:rPr>
        <w:t>工作组发出的联络声明（</w:t>
      </w:r>
      <w:hyperlink r:id="rId9" w:history="1">
        <w:r w:rsidRPr="00C242A5">
          <w:rPr>
            <w:rStyle w:val="Hyperlink"/>
            <w:rFonts w:hint="eastAsia"/>
            <w:lang w:val="en-US" w:eastAsia="zh-CN"/>
          </w:rPr>
          <w:t>5/</w:t>
        </w:r>
        <w:r w:rsidRPr="00C242A5">
          <w:rPr>
            <w:rStyle w:val="Hyperlink"/>
            <w:lang w:val="en-US" w:eastAsia="zh-CN"/>
          </w:rPr>
          <w:t>194</w:t>
        </w:r>
      </w:hyperlink>
      <w:r w:rsidRPr="00C242A5">
        <w:rPr>
          <w:rFonts w:hint="eastAsia"/>
          <w:lang w:val="en-US" w:eastAsia="zh-CN"/>
        </w:rPr>
        <w:t>号文件</w:t>
      </w:r>
      <w:r w:rsidRPr="00C242A5">
        <w:rPr>
          <w:lang w:val="en-US" w:eastAsia="zh-CN"/>
        </w:rPr>
        <w:t>）</w:t>
      </w:r>
      <w:r w:rsidRPr="00C242A5">
        <w:rPr>
          <w:rFonts w:hint="eastAsia"/>
          <w:lang w:val="en-US" w:eastAsia="zh-CN"/>
        </w:rPr>
        <w:t>中</w:t>
      </w:r>
      <w:r w:rsidRPr="00C242A5">
        <w:rPr>
          <w:lang w:val="en-US" w:eastAsia="zh-CN"/>
        </w:rPr>
        <w:t>，</w:t>
      </w:r>
      <w:r w:rsidRPr="00C242A5">
        <w:rPr>
          <w:rFonts w:hint="eastAsia"/>
          <w:lang w:val="en-US" w:eastAsia="zh-CN"/>
        </w:rPr>
        <w:t>4</w:t>
      </w:r>
      <w:r w:rsidRPr="00C242A5">
        <w:rPr>
          <w:lang w:val="en-US" w:eastAsia="zh-CN"/>
        </w:rPr>
        <w:t>C</w:t>
      </w:r>
      <w:r w:rsidRPr="00C242A5">
        <w:rPr>
          <w:lang w:val="en-US" w:eastAsia="zh-CN"/>
        </w:rPr>
        <w:t>工作组表达了同样的担忧</w:t>
      </w:r>
      <w:r w:rsidR="003B2F62">
        <w:rPr>
          <w:rFonts w:hint="eastAsia"/>
          <w:lang w:val="en-US" w:eastAsia="zh-CN"/>
        </w:rPr>
        <w:t>，</w:t>
      </w:r>
      <w:r w:rsidRPr="00C242A5">
        <w:rPr>
          <w:lang w:val="en-US" w:eastAsia="zh-CN"/>
        </w:rPr>
        <w:t>并反对在</w:t>
      </w:r>
      <w:r w:rsidRPr="00C242A5">
        <w:rPr>
          <w:rFonts w:hint="eastAsia"/>
          <w:lang w:val="en-US" w:eastAsia="zh-CN"/>
        </w:rPr>
        <w:t>完成</w:t>
      </w:r>
      <w:r w:rsidRPr="00C242A5">
        <w:rPr>
          <w:lang w:val="en-US" w:eastAsia="zh-CN"/>
        </w:rPr>
        <w:t>兼容性</w:t>
      </w:r>
      <w:r w:rsidRPr="00C242A5">
        <w:rPr>
          <w:rFonts w:hint="eastAsia"/>
          <w:lang w:val="en-US" w:eastAsia="zh-CN"/>
        </w:rPr>
        <w:t>/</w:t>
      </w:r>
      <w:r w:rsidRPr="00C242A5">
        <w:rPr>
          <w:rFonts w:hint="eastAsia"/>
          <w:lang w:val="en-US" w:eastAsia="zh-CN"/>
        </w:rPr>
        <w:t>共用</w:t>
      </w:r>
      <w:r w:rsidRPr="00C242A5">
        <w:rPr>
          <w:lang w:val="en-US" w:eastAsia="zh-CN"/>
        </w:rPr>
        <w:t>研究之前</w:t>
      </w:r>
      <w:r w:rsidRPr="00C242A5">
        <w:rPr>
          <w:rFonts w:hint="eastAsia"/>
          <w:lang w:eastAsia="zh-CN"/>
        </w:rPr>
        <w:t>将</w:t>
      </w:r>
      <w:r w:rsidRPr="00C242A5">
        <w:rPr>
          <w:rFonts w:hint="eastAsia"/>
          <w:lang w:eastAsia="zh-CN"/>
        </w:rPr>
        <w:t>1</w:t>
      </w:r>
      <w:r w:rsidRPr="00C242A5">
        <w:rPr>
          <w:lang w:val="en-US" w:eastAsia="zh-CN"/>
        </w:rPr>
        <w:t> </w:t>
      </w:r>
      <w:r w:rsidRPr="00C242A5">
        <w:rPr>
          <w:rFonts w:hint="eastAsia"/>
          <w:lang w:eastAsia="zh-CN"/>
        </w:rPr>
        <w:t>980</w:t>
      </w:r>
      <w:r w:rsidRPr="00C242A5">
        <w:rPr>
          <w:lang w:eastAsia="zh-CN"/>
        </w:rPr>
        <w:t>-2</w:t>
      </w:r>
      <w:r w:rsidRPr="00C242A5">
        <w:rPr>
          <w:lang w:val="en-US" w:eastAsia="zh-CN"/>
        </w:rPr>
        <w:t> </w:t>
      </w:r>
      <w:r w:rsidRPr="00C242A5">
        <w:rPr>
          <w:rFonts w:hint="eastAsia"/>
          <w:lang w:val="fr-CH" w:eastAsia="zh-CN"/>
        </w:rPr>
        <w:t>0</w:t>
      </w:r>
      <w:r w:rsidRPr="00C242A5">
        <w:rPr>
          <w:lang w:val="fr-CH" w:eastAsia="zh-CN"/>
        </w:rPr>
        <w:t>10 MHz</w:t>
      </w:r>
      <w:r w:rsidRPr="00C242A5">
        <w:rPr>
          <w:lang w:val="fr-CH" w:eastAsia="zh-CN"/>
        </w:rPr>
        <w:t>和</w:t>
      </w:r>
      <w:r w:rsidRPr="00C242A5">
        <w:rPr>
          <w:rFonts w:hint="eastAsia"/>
          <w:lang w:val="fr-CH" w:eastAsia="zh-CN"/>
        </w:rPr>
        <w:t>2</w:t>
      </w:r>
      <w:r w:rsidRPr="00C242A5">
        <w:rPr>
          <w:lang w:val="en-US" w:eastAsia="zh-CN"/>
        </w:rPr>
        <w:t> 170-2 200 MHz</w:t>
      </w:r>
      <w:r w:rsidRPr="00C242A5">
        <w:rPr>
          <w:rFonts w:hint="eastAsia"/>
          <w:lang w:eastAsia="zh-CN"/>
        </w:rPr>
        <w:t>频段</w:t>
      </w:r>
      <w:r w:rsidRPr="00C242A5">
        <w:rPr>
          <w:lang w:eastAsia="zh-CN"/>
        </w:rPr>
        <w:t>纳入</w:t>
      </w:r>
      <w:r w:rsidRPr="00C242A5">
        <w:rPr>
          <w:lang w:eastAsia="zh-CN"/>
        </w:rPr>
        <w:t>ITU-R M.1036-4</w:t>
      </w:r>
      <w:r w:rsidRPr="00C242A5">
        <w:rPr>
          <w:rFonts w:hint="eastAsia"/>
          <w:lang w:eastAsia="zh-CN"/>
        </w:rPr>
        <w:t>建议书</w:t>
      </w:r>
      <w:r w:rsidRPr="00C242A5">
        <w:rPr>
          <w:lang w:eastAsia="zh-CN"/>
        </w:rPr>
        <w:t>修订</w:t>
      </w:r>
      <w:r w:rsidR="003B2F62">
        <w:rPr>
          <w:rFonts w:hint="eastAsia"/>
          <w:lang w:eastAsia="zh-CN"/>
        </w:rPr>
        <w:t>版</w:t>
      </w:r>
      <w:r w:rsidRPr="00C242A5">
        <w:rPr>
          <w:rFonts w:hint="eastAsia"/>
          <w:lang w:eastAsia="zh-CN"/>
        </w:rPr>
        <w:t>。</w:t>
      </w:r>
      <w:r w:rsidRPr="00C242A5">
        <w:rPr>
          <w:lang w:eastAsia="zh-CN"/>
        </w:rPr>
        <w:t>第</w:t>
      </w:r>
      <w:r w:rsidRPr="00C242A5">
        <w:rPr>
          <w:rFonts w:hint="eastAsia"/>
          <w:lang w:eastAsia="zh-CN"/>
        </w:rPr>
        <w:t>4</w:t>
      </w:r>
      <w:r w:rsidRPr="00C242A5">
        <w:rPr>
          <w:rFonts w:hint="eastAsia"/>
          <w:lang w:eastAsia="zh-CN"/>
        </w:rPr>
        <w:t>研究组</w:t>
      </w:r>
      <w:r w:rsidRPr="00C242A5">
        <w:rPr>
          <w:lang w:eastAsia="zh-CN"/>
        </w:rPr>
        <w:t>在向第</w:t>
      </w:r>
      <w:r w:rsidRPr="00C242A5">
        <w:rPr>
          <w:rFonts w:hint="eastAsia"/>
          <w:lang w:eastAsia="zh-CN"/>
        </w:rPr>
        <w:t>5</w:t>
      </w:r>
      <w:r w:rsidRPr="00C242A5">
        <w:rPr>
          <w:rFonts w:hint="eastAsia"/>
          <w:lang w:eastAsia="zh-CN"/>
        </w:rPr>
        <w:t>研究组</w:t>
      </w:r>
      <w:r w:rsidRPr="00C242A5">
        <w:rPr>
          <w:lang w:eastAsia="zh-CN"/>
        </w:rPr>
        <w:t>发出的联络声明（</w:t>
      </w:r>
      <w:hyperlink r:id="rId10" w:history="1">
        <w:r w:rsidRPr="00830B5F">
          <w:rPr>
            <w:rStyle w:val="Hyperlink"/>
            <w:rFonts w:hint="eastAsia"/>
            <w:spacing w:val="-4"/>
            <w:szCs w:val="28"/>
            <w:lang w:val="en-US" w:eastAsia="zh-CN"/>
          </w:rPr>
          <w:t>5/</w:t>
        </w:r>
        <w:r w:rsidRPr="00830B5F">
          <w:rPr>
            <w:rStyle w:val="Hyperlink"/>
            <w:spacing w:val="-4"/>
            <w:szCs w:val="28"/>
            <w:lang w:val="en-US" w:eastAsia="zh-CN"/>
          </w:rPr>
          <w:t>212</w:t>
        </w:r>
      </w:hyperlink>
      <w:r w:rsidRPr="00C242A5">
        <w:rPr>
          <w:rFonts w:hint="eastAsia"/>
          <w:lang w:eastAsia="zh-CN"/>
        </w:rPr>
        <w:t>号</w:t>
      </w:r>
      <w:r w:rsidRPr="00C242A5">
        <w:rPr>
          <w:lang w:eastAsia="zh-CN"/>
        </w:rPr>
        <w:t>文件）</w:t>
      </w:r>
      <w:r w:rsidRPr="00C242A5">
        <w:rPr>
          <w:rFonts w:hint="eastAsia"/>
          <w:lang w:eastAsia="zh-CN"/>
        </w:rPr>
        <w:t>中</w:t>
      </w:r>
      <w:r w:rsidRPr="00C242A5">
        <w:rPr>
          <w:lang w:eastAsia="zh-CN"/>
        </w:rPr>
        <w:t>亦对此观点表示支持。</w:t>
      </w:r>
    </w:p>
    <w:p w:rsidR="00EA2332" w:rsidRDefault="00EA2332" w:rsidP="00F544CE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A83DE1">
        <w:rPr>
          <w:rFonts w:hint="eastAsia"/>
          <w:lang w:eastAsia="zh-CN"/>
        </w:rPr>
        <w:t>结论</w:t>
      </w:r>
    </w:p>
    <w:p w:rsidR="00EA2332" w:rsidRDefault="005A15E7" w:rsidP="00F544CE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RRC</w:t>
      </w:r>
      <w:r>
        <w:rPr>
          <w:rFonts w:hint="eastAsia"/>
          <w:lang w:val="en-US" w:eastAsia="zh-CN"/>
        </w:rPr>
        <w:t>主管</w:t>
      </w:r>
      <w:r>
        <w:rPr>
          <w:lang w:val="en-US" w:eastAsia="zh-CN"/>
        </w:rPr>
        <w:t>部门认为，将</w:t>
      </w:r>
      <w:r>
        <w:rPr>
          <w:rFonts w:hint="eastAsia"/>
          <w:lang w:val="en-US" w:eastAsia="zh-CN"/>
        </w:rPr>
        <w:t>B6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B7</w:t>
      </w:r>
      <w:r>
        <w:rPr>
          <w:rFonts w:hint="eastAsia"/>
          <w:lang w:val="en-US" w:eastAsia="zh-CN"/>
        </w:rPr>
        <w:t>频率</w:t>
      </w:r>
      <w:r>
        <w:rPr>
          <w:lang w:val="en-US" w:eastAsia="zh-CN"/>
        </w:rPr>
        <w:t>安排纳入</w:t>
      </w:r>
      <w:r>
        <w:rPr>
          <w:rFonts w:hint="eastAsia"/>
          <w:lang w:val="en-US" w:eastAsia="zh-CN"/>
        </w:rPr>
        <w:t>ITU-R M.</w:t>
      </w:r>
      <w:r>
        <w:rPr>
          <w:lang w:val="en-US" w:eastAsia="zh-CN"/>
        </w:rPr>
        <w:t>1036-4</w:t>
      </w:r>
      <w:r>
        <w:rPr>
          <w:rFonts w:hint="eastAsia"/>
          <w:lang w:val="en-US" w:eastAsia="zh-CN"/>
        </w:rPr>
        <w:t>建议</w:t>
      </w:r>
      <w:r>
        <w:rPr>
          <w:lang w:val="en-US" w:eastAsia="zh-CN"/>
        </w:rPr>
        <w:t>书修正草案并扩展</w:t>
      </w:r>
      <w:r>
        <w:rPr>
          <w:rFonts w:hint="eastAsia"/>
          <w:lang w:val="en-US" w:eastAsia="zh-CN"/>
        </w:rPr>
        <w:t>B3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现有频率安排为时尚早。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CC</w:t>
      </w:r>
      <w:r>
        <w:rPr>
          <w:rFonts w:hint="eastAsia"/>
          <w:lang w:val="en-US" w:eastAsia="zh-CN"/>
        </w:rPr>
        <w:t>主管</w:t>
      </w:r>
      <w:r>
        <w:rPr>
          <w:lang w:val="en-US" w:eastAsia="zh-CN"/>
        </w:rPr>
        <w:t>部门因此建议按照本文件后附资料所示，</w:t>
      </w:r>
      <w:r w:rsidR="00912DBA">
        <w:rPr>
          <w:rFonts w:hint="eastAsia"/>
          <w:lang w:val="en-US" w:eastAsia="zh-CN"/>
        </w:rPr>
        <w:t>使</w:t>
      </w:r>
      <w:r>
        <w:rPr>
          <w:rFonts w:hint="eastAsia"/>
          <w:lang w:val="en-US" w:eastAsia="zh-CN"/>
        </w:rPr>
        <w:t>ITU-R M.</w:t>
      </w:r>
      <w:r>
        <w:rPr>
          <w:lang w:val="en-US" w:eastAsia="zh-CN"/>
        </w:rPr>
        <w:t>1036-4</w:t>
      </w:r>
      <w:r>
        <w:rPr>
          <w:rFonts w:hint="eastAsia"/>
          <w:lang w:val="en-US" w:eastAsia="zh-CN"/>
        </w:rPr>
        <w:t>建议书</w:t>
      </w:r>
      <w:r>
        <w:rPr>
          <w:lang w:val="en-US" w:eastAsia="zh-CN"/>
        </w:rPr>
        <w:t>修订草案第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节</w:t>
      </w:r>
      <w:r>
        <w:rPr>
          <w:lang w:val="en-US" w:eastAsia="zh-CN"/>
        </w:rPr>
        <w:t>保持</w:t>
      </w:r>
      <w:r>
        <w:rPr>
          <w:rFonts w:hint="eastAsia"/>
          <w:lang w:val="en-US" w:eastAsia="zh-CN"/>
        </w:rPr>
        <w:t>不变</w:t>
      </w:r>
      <w:r>
        <w:rPr>
          <w:lang w:val="en-US" w:eastAsia="zh-CN"/>
        </w:rPr>
        <w:t>。</w:t>
      </w:r>
    </w:p>
    <w:p w:rsidR="00EA2332" w:rsidRDefault="005A15E7" w:rsidP="00D8214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</w:t>
      </w:r>
      <w:r>
        <w:rPr>
          <w:lang w:eastAsia="zh-CN"/>
        </w:rPr>
        <w:t>到只有在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探讨</w:t>
      </w:r>
      <w:r>
        <w:rPr>
          <w:lang w:eastAsia="zh-CN"/>
        </w:rPr>
        <w:t>了在</w:t>
      </w:r>
      <w:r>
        <w:rPr>
          <w:lang w:val="en-US" w:eastAsia="zh-CN"/>
        </w:rPr>
        <w:t>1 980-2 010 MHz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2 170-2 200 MHz</w:t>
      </w:r>
      <w:r>
        <w:rPr>
          <w:rFonts w:hint="eastAsia"/>
          <w:lang w:val="en-US" w:eastAsia="zh-CN"/>
        </w:rPr>
        <w:t>频段</w:t>
      </w:r>
      <w:r>
        <w:rPr>
          <w:lang w:val="en-US" w:eastAsia="zh-CN"/>
        </w:rPr>
        <w:t>同时建设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卫星</w:t>
      </w:r>
      <w:r>
        <w:rPr>
          <w:lang w:val="en-US" w:eastAsia="zh-CN"/>
        </w:rPr>
        <w:t>和地面部分</w:t>
      </w:r>
      <w:r w:rsidR="00912DBA">
        <w:rPr>
          <w:rFonts w:hint="eastAsia"/>
          <w:lang w:val="en-US" w:eastAsia="zh-CN"/>
        </w:rPr>
        <w:t>的</w:t>
      </w:r>
      <w:r>
        <w:rPr>
          <w:lang w:val="en-US" w:eastAsia="zh-CN"/>
        </w:rPr>
        <w:t>可行性后，才可能对</w:t>
      </w:r>
      <w:r>
        <w:rPr>
          <w:lang w:val="en-US" w:eastAsia="zh-CN"/>
        </w:rPr>
        <w:t>1 980-2 010 MHz</w:t>
      </w:r>
      <w:r>
        <w:rPr>
          <w:rFonts w:hint="eastAsia"/>
          <w:lang w:val="en-US" w:eastAsia="zh-CN"/>
        </w:rPr>
        <w:t>和</w:t>
      </w:r>
      <w:r w:rsidR="00531E07">
        <w:rPr>
          <w:lang w:val="en-US" w:eastAsia="zh-CN"/>
        </w:rPr>
        <w:t>2 170-2 200 MHz</w:t>
      </w:r>
      <w:r>
        <w:rPr>
          <w:rFonts w:hint="eastAsia"/>
          <w:lang w:val="en-US" w:eastAsia="zh-CN"/>
        </w:rPr>
        <w:t>频段</w:t>
      </w:r>
      <w:r>
        <w:rPr>
          <w:lang w:val="en-US" w:eastAsia="zh-CN"/>
        </w:rPr>
        <w:t>的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地面</w:t>
      </w:r>
      <w:r>
        <w:rPr>
          <w:lang w:val="en-US" w:eastAsia="zh-CN"/>
        </w:rPr>
        <w:t>部分的频率安排进行审议</w:t>
      </w:r>
      <w:r>
        <w:rPr>
          <w:rFonts w:hint="eastAsia"/>
          <w:lang w:val="en-US" w:eastAsia="zh-CN"/>
        </w:rPr>
        <w:t>。</w:t>
      </w:r>
    </w:p>
    <w:p w:rsidR="00EA2332" w:rsidRDefault="00EA2332" w:rsidP="00F544C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A2332" w:rsidRDefault="005A15E7" w:rsidP="00F544CE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后附</w:t>
      </w:r>
      <w:r>
        <w:rPr>
          <w:lang w:eastAsia="zh-CN"/>
        </w:rPr>
        <w:t>资料</w:t>
      </w:r>
    </w:p>
    <w:p w:rsidR="00EA2332" w:rsidRPr="005E5EFC" w:rsidRDefault="008205C5" w:rsidP="00F544CE">
      <w:pPr>
        <w:pStyle w:val="RecNo"/>
        <w:rPr>
          <w:lang w:val="en-US" w:eastAsia="zh-CN"/>
        </w:rPr>
      </w:pPr>
      <w:r w:rsidRPr="00B41B36">
        <w:rPr>
          <w:lang w:eastAsia="zh-CN"/>
        </w:rPr>
        <w:t>ITU-R M.1036-4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修订草案</w:t>
      </w:r>
    </w:p>
    <w:p w:rsidR="00EA2332" w:rsidRPr="005E5EFC" w:rsidRDefault="005A15E7" w:rsidP="00505A62">
      <w:pPr>
        <w:pStyle w:val="Rectitle"/>
        <w:rPr>
          <w:lang w:val="en-US" w:eastAsia="zh-CN"/>
        </w:rPr>
      </w:pPr>
      <w:r>
        <w:rPr>
          <w:rFonts w:hint="eastAsia"/>
          <w:lang w:eastAsia="zh-CN"/>
        </w:rPr>
        <w:t>在</w:t>
      </w:r>
      <w:r w:rsidR="008205C5" w:rsidRPr="00B4629F">
        <w:rPr>
          <w:rFonts w:hint="eastAsia"/>
          <w:lang w:eastAsia="zh-CN"/>
        </w:rPr>
        <w:t>《无线电规则》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RR</w:t>
      </w:r>
      <w:r>
        <w:rPr>
          <w:rFonts w:hint="eastAsia"/>
          <w:lang w:eastAsia="zh-CN"/>
        </w:rPr>
        <w:t>）</w:t>
      </w:r>
      <w:r w:rsidRPr="00505A62">
        <w:rPr>
          <w:lang w:eastAsia="zh-CN"/>
        </w:rPr>
        <w:t>确定用于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的</w:t>
      </w:r>
      <w:r>
        <w:rPr>
          <w:lang w:eastAsia="zh-CN"/>
        </w:rPr>
        <w:t>频段部署</w:t>
      </w:r>
      <w:r w:rsidR="00904F4F">
        <w:rPr>
          <w:lang w:eastAsia="zh-CN"/>
        </w:rPr>
        <w:br/>
      </w:r>
      <w:r>
        <w:rPr>
          <w:lang w:eastAsia="zh-CN"/>
        </w:rPr>
        <w:t>国际移动电信（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）</w:t>
      </w:r>
      <w:r>
        <w:rPr>
          <w:lang w:eastAsia="zh-CN"/>
        </w:rPr>
        <w:t>地面部分的频率安排</w:t>
      </w:r>
    </w:p>
    <w:p w:rsidR="00EA2332" w:rsidRPr="005E5EFC" w:rsidRDefault="00EA2332" w:rsidP="00F544CE">
      <w:pPr>
        <w:pStyle w:val="Recdate"/>
        <w:rPr>
          <w:lang w:val="en-US" w:eastAsia="zh-CN"/>
        </w:rPr>
      </w:pPr>
    </w:p>
    <w:p w:rsidR="00EA2332" w:rsidRPr="00F01EBE" w:rsidRDefault="005A15E7" w:rsidP="00F544CE">
      <w:pPr>
        <w:rPr>
          <w:rFonts w:eastAsia="STKaiti"/>
          <w:lang w:val="en-US" w:eastAsia="ja-JP"/>
        </w:rPr>
      </w:pPr>
      <w:r w:rsidRPr="00F01EBE">
        <w:rPr>
          <w:rFonts w:eastAsia="STKaiti"/>
          <w:lang w:eastAsia="zh-CN"/>
        </w:rPr>
        <w:t>[</w:t>
      </w:r>
      <w:r w:rsidRPr="00F01EBE">
        <w:rPr>
          <w:rFonts w:eastAsia="STKaiti"/>
          <w:lang w:eastAsia="zh-CN"/>
        </w:rPr>
        <w:t>编者按：未对</w:t>
      </w:r>
      <w:r w:rsidRPr="00F01EBE">
        <w:rPr>
          <w:rFonts w:eastAsia="STKaiti"/>
          <w:lang w:eastAsia="zh-CN"/>
        </w:rPr>
        <w:t>ITU-R M1036-4</w:t>
      </w:r>
      <w:r w:rsidRPr="00F01EBE">
        <w:rPr>
          <w:rFonts w:eastAsia="STKaiti"/>
          <w:lang w:eastAsia="zh-CN"/>
        </w:rPr>
        <w:t>建议书修订草案的基本案文提出修改。</w:t>
      </w:r>
      <w:r w:rsidRPr="00F01EBE">
        <w:rPr>
          <w:rFonts w:eastAsia="STKaiti"/>
          <w:lang w:eastAsia="zh-CN"/>
        </w:rPr>
        <w:t>]</w:t>
      </w:r>
    </w:p>
    <w:p w:rsidR="00EA2332" w:rsidRPr="005E5EFC" w:rsidRDefault="00EA2332" w:rsidP="00F544CE">
      <w:pPr>
        <w:rPr>
          <w:szCs w:val="24"/>
          <w:lang w:val="en-US" w:eastAsia="zh-CN"/>
        </w:rPr>
      </w:pPr>
      <w:r>
        <w:rPr>
          <w:szCs w:val="24"/>
          <w:lang w:val="en-US" w:eastAsia="zh-CN"/>
        </w:rPr>
        <w:t>...</w:t>
      </w:r>
    </w:p>
    <w:p w:rsidR="00EA2332" w:rsidRPr="005E5EFC" w:rsidRDefault="008205C5" w:rsidP="00F544CE">
      <w:pPr>
        <w:pStyle w:val="AnnexNoTitle0"/>
        <w:rPr>
          <w:rFonts w:eastAsia="MS Mincho"/>
          <w:lang w:val="en-US" w:eastAsia="zh-CN"/>
        </w:rPr>
      </w:pPr>
      <w:r>
        <w:rPr>
          <w:rFonts w:eastAsiaTheme="minorEastAsia" w:hint="eastAsia"/>
          <w:lang w:val="en-US" w:eastAsia="zh-CN"/>
        </w:rPr>
        <w:t>附件</w:t>
      </w:r>
      <w:r w:rsidR="00EA2332" w:rsidRPr="005E5EFC">
        <w:rPr>
          <w:rFonts w:eastAsia="MS Mincho"/>
          <w:lang w:val="en-US" w:eastAsia="zh-CN"/>
        </w:rPr>
        <w:t>1</w:t>
      </w:r>
    </w:p>
    <w:p w:rsidR="00EA2332" w:rsidRPr="0015516E" w:rsidRDefault="005A15E7" w:rsidP="00F544CE">
      <w:pPr>
        <w:rPr>
          <w:rFonts w:eastAsia="STKaiti"/>
          <w:lang w:val="en-US" w:eastAsia="ja-JP"/>
        </w:rPr>
      </w:pPr>
      <w:r w:rsidRPr="0015516E">
        <w:rPr>
          <w:rFonts w:eastAsia="STKaiti"/>
          <w:lang w:eastAsia="zh-CN"/>
        </w:rPr>
        <w:t>[</w:t>
      </w:r>
      <w:r w:rsidRPr="0015516E">
        <w:rPr>
          <w:rFonts w:eastAsia="STKaiti"/>
          <w:lang w:eastAsia="zh-CN"/>
        </w:rPr>
        <w:t>编者按：仅为附件</w:t>
      </w:r>
      <w:r w:rsidRPr="0015516E">
        <w:rPr>
          <w:rFonts w:eastAsia="STKaiti"/>
          <w:lang w:eastAsia="zh-CN"/>
        </w:rPr>
        <w:t>1</w:t>
      </w:r>
      <w:r w:rsidRPr="0015516E">
        <w:rPr>
          <w:rFonts w:eastAsia="STKaiti"/>
          <w:lang w:eastAsia="zh-CN"/>
        </w:rPr>
        <w:t>第</w:t>
      </w:r>
      <w:r w:rsidRPr="0015516E">
        <w:rPr>
          <w:rFonts w:eastAsia="STKaiti"/>
          <w:lang w:eastAsia="zh-CN"/>
        </w:rPr>
        <w:t>3</w:t>
      </w:r>
      <w:r w:rsidRPr="0015516E">
        <w:rPr>
          <w:rFonts w:eastAsia="STKaiti"/>
          <w:lang w:eastAsia="zh-CN"/>
        </w:rPr>
        <w:t>节提交了有关</w:t>
      </w:r>
      <w:r w:rsidRPr="0015516E">
        <w:rPr>
          <w:rFonts w:eastAsia="STKaiti"/>
          <w:lang w:eastAsia="zh-CN"/>
        </w:rPr>
        <w:t>ITU-R M.1036-4</w:t>
      </w:r>
      <w:r w:rsidRPr="0015516E">
        <w:rPr>
          <w:rFonts w:eastAsia="STKaiti"/>
          <w:lang w:eastAsia="zh-CN"/>
        </w:rPr>
        <w:t>建议书修订草案提案</w:t>
      </w:r>
      <w:r w:rsidR="000A1BCE">
        <w:rPr>
          <w:rFonts w:eastAsia="STKaiti" w:hint="eastAsia"/>
          <w:lang w:eastAsia="zh-CN"/>
        </w:rPr>
        <w:t>。</w:t>
      </w:r>
      <w:r w:rsidRPr="0015516E">
        <w:rPr>
          <w:rFonts w:eastAsia="STKaiti"/>
          <w:lang w:eastAsia="zh-CN"/>
        </w:rPr>
        <w:t>]</w:t>
      </w:r>
    </w:p>
    <w:p w:rsidR="00EA2332" w:rsidRPr="002F1503" w:rsidRDefault="00EA2332" w:rsidP="002F1503">
      <w:pPr>
        <w:pStyle w:val="Proposal"/>
        <w:rPr>
          <w:lang w:eastAsia="zh-CN"/>
        </w:rPr>
      </w:pPr>
      <w:r w:rsidRPr="00887EC1">
        <w:rPr>
          <w:u w:val="single"/>
          <w:lang w:eastAsia="zh-CN"/>
        </w:rPr>
        <w:t>NOC</w:t>
      </w:r>
      <w:r>
        <w:rPr>
          <w:lang w:eastAsia="zh-CN"/>
        </w:rPr>
        <w:tab/>
      </w:r>
      <w:r w:rsidRPr="00887EC1">
        <w:rPr>
          <w:lang w:eastAsia="zh-CN"/>
        </w:rPr>
        <w:t>RCC/XA2/1</w:t>
      </w:r>
    </w:p>
    <w:p w:rsidR="00E032BC" w:rsidRDefault="00CA3497" w:rsidP="00E032BC">
      <w:pPr>
        <w:pStyle w:val="SectionNo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Pr="005E5EFC">
        <w:rPr>
          <w:lang w:val="en-US" w:eastAsia="zh-CN"/>
        </w:rPr>
        <w:t>3</w:t>
      </w:r>
      <w:r>
        <w:rPr>
          <w:rFonts w:hint="eastAsia"/>
          <w:lang w:val="en-US" w:eastAsia="zh-CN"/>
        </w:rPr>
        <w:t>节</w:t>
      </w:r>
    </w:p>
    <w:p w:rsidR="00CA3497" w:rsidRPr="005E5EFC" w:rsidRDefault="00CA3497" w:rsidP="00E032BC">
      <w:pPr>
        <w:pStyle w:val="Sectiontitle"/>
        <w:rPr>
          <w:lang w:val="en-US" w:eastAsia="zh-CN"/>
        </w:rPr>
      </w:pPr>
      <w:r w:rsidRPr="005E5EFC">
        <w:rPr>
          <w:lang w:val="en-US" w:eastAsia="zh-CN"/>
        </w:rPr>
        <w:t>1 710-2 200 MHz</w:t>
      </w:r>
      <w:r w:rsidR="00191E52" w:rsidRPr="00E032BC">
        <w:rPr>
          <w:rFonts w:hint="eastAsia"/>
          <w:lang w:eastAsia="zh-CN"/>
        </w:rPr>
        <w:t>频段</w:t>
      </w:r>
      <w:r w:rsidRPr="00E032BC">
        <w:rPr>
          <w:rFonts w:hint="eastAsia"/>
          <w:lang w:eastAsia="zh-CN"/>
        </w:rPr>
        <w:t>的频率安排</w:t>
      </w:r>
      <w:r w:rsidR="00191E52" w:rsidRPr="00716B8D">
        <w:rPr>
          <w:rStyle w:val="FootnoteReference"/>
          <w:b w:val="0"/>
          <w:bCs/>
        </w:rPr>
        <w:footnoteReference w:id="1"/>
      </w:r>
    </w:p>
    <w:p w:rsidR="00CA3497" w:rsidRPr="00E66661" w:rsidRDefault="00CA3497" w:rsidP="006939A1">
      <w:pPr>
        <w:ind w:firstLineChars="200" w:firstLine="480"/>
        <w:rPr>
          <w:lang w:eastAsia="zh-CN"/>
        </w:rPr>
      </w:pPr>
      <w:r w:rsidRPr="00E66661">
        <w:rPr>
          <w:lang w:val="en-US" w:eastAsia="zh-CN"/>
        </w:rPr>
        <w:t>表</w:t>
      </w:r>
      <w:r w:rsidRPr="00E66661">
        <w:rPr>
          <w:lang w:val="en-US" w:eastAsia="zh-CN"/>
        </w:rPr>
        <w:t>4</w:t>
      </w:r>
      <w:r w:rsidRPr="00E66661">
        <w:rPr>
          <w:lang w:val="en-US" w:eastAsia="zh-CN"/>
        </w:rPr>
        <w:t>和图</w:t>
      </w:r>
      <w:r w:rsidRPr="00E66661">
        <w:rPr>
          <w:lang w:val="en-US" w:eastAsia="zh-CN"/>
        </w:rPr>
        <w:t>4</w:t>
      </w:r>
      <w:r w:rsidRPr="00E66661">
        <w:rPr>
          <w:lang w:val="en-US" w:eastAsia="zh-CN"/>
        </w:rPr>
        <w:t>归纳</w:t>
      </w:r>
      <w:r w:rsidRPr="00E66661">
        <w:rPr>
          <w:lang w:eastAsia="zh-CN"/>
        </w:rPr>
        <w:t>了推荐在</w:t>
      </w:r>
      <w:r w:rsidRPr="00E66661">
        <w:rPr>
          <w:lang w:val="en-US" w:eastAsia="zh-CN"/>
        </w:rPr>
        <w:t>1 710-2 200 MHz</w:t>
      </w:r>
      <w:r w:rsidRPr="00E66661">
        <w:rPr>
          <w:lang w:val="en-US" w:eastAsia="zh-CN"/>
        </w:rPr>
        <w:t>频段内</w:t>
      </w:r>
      <w:r w:rsidRPr="00E66661">
        <w:rPr>
          <w:lang w:eastAsia="zh-CN"/>
        </w:rPr>
        <w:t>实施</w:t>
      </w:r>
      <w:r w:rsidRPr="00E66661">
        <w:rPr>
          <w:lang w:eastAsia="zh-CN"/>
        </w:rPr>
        <w:t>IMT</w:t>
      </w:r>
      <w:r w:rsidRPr="00E66661">
        <w:rPr>
          <w:lang w:eastAsia="zh-CN"/>
        </w:rPr>
        <w:t>时使用的频率安排，同时注意到上文附件</w:t>
      </w:r>
      <w:r w:rsidRPr="00E66661">
        <w:rPr>
          <w:lang w:eastAsia="zh-CN"/>
        </w:rPr>
        <w:t>1</w:t>
      </w:r>
      <w:r w:rsidRPr="00E66661">
        <w:rPr>
          <w:lang w:eastAsia="zh-CN"/>
        </w:rPr>
        <w:t>给出的指导原则。</w:t>
      </w:r>
    </w:p>
    <w:p w:rsidR="00CA3497" w:rsidRPr="00716B8D" w:rsidRDefault="00CA3497" w:rsidP="00F544CE">
      <w:pPr>
        <w:pStyle w:val="TableNo"/>
        <w:rPr>
          <w:lang w:eastAsia="zh-CN"/>
        </w:rPr>
      </w:pPr>
      <w:r w:rsidRPr="00716B8D">
        <w:rPr>
          <w:lang w:eastAsia="zh-CN"/>
        </w:rPr>
        <w:t>表</w:t>
      </w:r>
      <w:r w:rsidRPr="00716B8D">
        <w:rPr>
          <w:lang w:eastAsia="zh-CN"/>
        </w:rPr>
        <w:t>4</w:t>
      </w:r>
    </w:p>
    <w:p w:rsidR="00CA3497" w:rsidRPr="00716B8D" w:rsidRDefault="00CA3497" w:rsidP="00F544CE">
      <w:pPr>
        <w:pStyle w:val="Tabletitle"/>
        <w:rPr>
          <w:lang w:eastAsia="zh-CN"/>
        </w:rPr>
      </w:pPr>
      <w:r w:rsidRPr="00716B8D">
        <w:rPr>
          <w:lang w:eastAsia="zh-CN"/>
        </w:rPr>
        <w:t>1 710-2 200 MHz</w:t>
      </w:r>
      <w:r w:rsidRPr="00716B8D">
        <w:rPr>
          <w:lang w:eastAsia="zh-CN"/>
        </w:rPr>
        <w:t>频段内的频率安排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0"/>
        <w:gridCol w:w="1615"/>
        <w:gridCol w:w="1290"/>
        <w:gridCol w:w="1490"/>
        <w:gridCol w:w="1232"/>
        <w:gridCol w:w="1490"/>
      </w:tblGrid>
      <w:tr w:rsidR="00CA3497" w:rsidRPr="00E66661" w:rsidTr="002B23B6">
        <w:trPr>
          <w:trHeight w:val="567"/>
          <w:jc w:val="center"/>
        </w:trPr>
        <w:tc>
          <w:tcPr>
            <w:tcW w:w="2470" w:type="dxa"/>
            <w:vMerge w:val="restart"/>
            <w:vAlign w:val="center"/>
          </w:tcPr>
          <w:p w:rsidR="00CA3497" w:rsidRPr="002B23B6" w:rsidRDefault="00CA3497" w:rsidP="002B23B6">
            <w:pPr>
              <w:pStyle w:val="Tablehead"/>
              <w:spacing w:before="40" w:after="40"/>
            </w:pPr>
            <w:r w:rsidRPr="002B23B6">
              <w:t>频率安排</w:t>
            </w:r>
          </w:p>
        </w:tc>
        <w:tc>
          <w:tcPr>
            <w:tcW w:w="5627" w:type="dxa"/>
            <w:gridSpan w:val="4"/>
            <w:vAlign w:val="center"/>
          </w:tcPr>
          <w:p w:rsidR="00CA3497" w:rsidRPr="002B23B6" w:rsidRDefault="00CA3497" w:rsidP="002B23B6">
            <w:pPr>
              <w:pStyle w:val="Tablehead"/>
              <w:spacing w:before="40" w:after="40"/>
            </w:pPr>
            <w:r w:rsidRPr="002B23B6">
              <w:t>成对的频率安排</w:t>
            </w:r>
          </w:p>
        </w:tc>
        <w:tc>
          <w:tcPr>
            <w:tcW w:w="1490" w:type="dxa"/>
            <w:vMerge w:val="restart"/>
            <w:vAlign w:val="center"/>
          </w:tcPr>
          <w:p w:rsidR="00CA3497" w:rsidRPr="002B23B6" w:rsidRDefault="00CA3497" w:rsidP="002B23B6">
            <w:pPr>
              <w:pStyle w:val="Tablehead"/>
              <w:spacing w:before="40" w:after="40"/>
              <w:rPr>
                <w:lang w:eastAsia="zh-CN"/>
              </w:rPr>
            </w:pPr>
            <w:r w:rsidRPr="002B23B6">
              <w:rPr>
                <w:lang w:eastAsia="zh-CN"/>
              </w:rPr>
              <w:t>不成对的频谱</w:t>
            </w:r>
            <w:r w:rsidRPr="002B23B6">
              <w:rPr>
                <w:lang w:eastAsia="zh-CN"/>
              </w:rPr>
              <w:br/>
            </w:r>
            <w:r w:rsidRPr="002B23B6">
              <w:rPr>
                <w:lang w:eastAsia="zh-CN"/>
              </w:rPr>
              <w:t>（例如用于</w:t>
            </w:r>
            <w:r w:rsidRPr="002B23B6">
              <w:rPr>
                <w:lang w:eastAsia="zh-CN"/>
              </w:rPr>
              <w:t>TDD</w:t>
            </w:r>
            <w:r w:rsidRPr="002B23B6">
              <w:rPr>
                <w:lang w:eastAsia="zh-CN"/>
              </w:rPr>
              <w:t>）</w:t>
            </w:r>
            <w:r w:rsidRPr="002B23B6">
              <w:rPr>
                <w:lang w:eastAsia="zh-CN"/>
              </w:rPr>
              <w:br/>
            </w:r>
            <w:r w:rsidR="002B23B6">
              <w:rPr>
                <w:lang w:eastAsia="zh-CN"/>
              </w:rPr>
              <w:t>（</w:t>
            </w:r>
            <w:r w:rsidRPr="002B23B6">
              <w:rPr>
                <w:lang w:eastAsia="zh-CN"/>
              </w:rPr>
              <w:t>MHz</w:t>
            </w:r>
            <w:r w:rsidR="002B23B6">
              <w:rPr>
                <w:lang w:eastAsia="zh-CN"/>
              </w:rPr>
              <w:t>）</w:t>
            </w:r>
          </w:p>
        </w:tc>
      </w:tr>
      <w:tr w:rsidR="00CA3497" w:rsidRPr="00E66661" w:rsidTr="002B23B6">
        <w:trPr>
          <w:trHeight w:val="567"/>
          <w:jc w:val="center"/>
        </w:trPr>
        <w:tc>
          <w:tcPr>
            <w:tcW w:w="2470" w:type="dxa"/>
            <w:vMerge/>
            <w:vAlign w:val="center"/>
          </w:tcPr>
          <w:p w:rsidR="00CA3497" w:rsidRPr="00716B8D" w:rsidRDefault="00CA3497" w:rsidP="002B23B6">
            <w:pPr>
              <w:pStyle w:val="Tablehead"/>
              <w:spacing w:before="40" w:after="40"/>
              <w:rPr>
                <w:lang w:eastAsia="zh-CN"/>
              </w:rPr>
            </w:pPr>
          </w:p>
        </w:tc>
        <w:tc>
          <w:tcPr>
            <w:tcW w:w="1615" w:type="dxa"/>
            <w:vAlign w:val="center"/>
          </w:tcPr>
          <w:p w:rsidR="00CA3497" w:rsidRPr="00716B8D" w:rsidRDefault="00CA3497" w:rsidP="002B23B6">
            <w:pPr>
              <w:pStyle w:val="Tablehead"/>
              <w:spacing w:before="40" w:after="40"/>
            </w:pPr>
            <w:r w:rsidRPr="00716B8D">
              <w:t>移动台发射机</w:t>
            </w:r>
            <w:r w:rsidRPr="00716B8D">
              <w:br/>
              <w:t>(MHz)</w:t>
            </w:r>
          </w:p>
        </w:tc>
        <w:tc>
          <w:tcPr>
            <w:tcW w:w="1290" w:type="dxa"/>
            <w:vAlign w:val="center"/>
          </w:tcPr>
          <w:p w:rsidR="00CA3497" w:rsidRPr="00716B8D" w:rsidRDefault="00CA3497" w:rsidP="002B23B6">
            <w:pPr>
              <w:pStyle w:val="Tablehead"/>
              <w:spacing w:before="40" w:after="40"/>
            </w:pPr>
            <w:r w:rsidRPr="00716B8D">
              <w:t>中心间隔</w:t>
            </w:r>
            <w:r w:rsidRPr="00716B8D">
              <w:br/>
              <w:t>(MHz)</w:t>
            </w:r>
          </w:p>
        </w:tc>
        <w:tc>
          <w:tcPr>
            <w:tcW w:w="1490" w:type="dxa"/>
            <w:vAlign w:val="center"/>
          </w:tcPr>
          <w:p w:rsidR="00CA3497" w:rsidRPr="00716B8D" w:rsidRDefault="00CA3497" w:rsidP="002B23B6">
            <w:pPr>
              <w:pStyle w:val="Tablehead"/>
              <w:spacing w:before="40" w:after="40"/>
            </w:pPr>
            <w:r w:rsidRPr="00716B8D">
              <w:t>基站发射机</w:t>
            </w:r>
            <w:r w:rsidRPr="00716B8D">
              <w:br/>
              <w:t>(MHz)</w:t>
            </w:r>
          </w:p>
        </w:tc>
        <w:tc>
          <w:tcPr>
            <w:tcW w:w="1232" w:type="dxa"/>
            <w:vAlign w:val="center"/>
          </w:tcPr>
          <w:p w:rsidR="00CA3497" w:rsidRPr="00716B8D" w:rsidRDefault="00CA3497" w:rsidP="002B23B6">
            <w:pPr>
              <w:pStyle w:val="Tablehead"/>
              <w:spacing w:before="40" w:after="40"/>
            </w:pPr>
            <w:r w:rsidRPr="00716B8D">
              <w:t>双工间隔</w:t>
            </w:r>
            <w:r w:rsidRPr="00716B8D">
              <w:br/>
              <w:t>(MHz)</w:t>
            </w:r>
          </w:p>
        </w:tc>
        <w:tc>
          <w:tcPr>
            <w:tcW w:w="1490" w:type="dxa"/>
            <w:vMerge/>
            <w:vAlign w:val="center"/>
          </w:tcPr>
          <w:p w:rsidR="00CA3497" w:rsidRPr="00716B8D" w:rsidRDefault="00CA3497" w:rsidP="00F544CE">
            <w:pPr>
              <w:pStyle w:val="Tablehead"/>
            </w:pPr>
          </w:p>
        </w:tc>
      </w:tr>
      <w:tr w:rsidR="00CA3497" w:rsidRPr="002B23B6" w:rsidTr="00980095">
        <w:trPr>
          <w:trHeight w:val="437"/>
          <w:jc w:val="center"/>
        </w:trPr>
        <w:tc>
          <w:tcPr>
            <w:tcW w:w="247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B1</w:t>
            </w:r>
          </w:p>
        </w:tc>
        <w:tc>
          <w:tcPr>
            <w:tcW w:w="1615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1 920-1 980</w:t>
            </w:r>
          </w:p>
        </w:tc>
        <w:tc>
          <w:tcPr>
            <w:tcW w:w="129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130</w:t>
            </w:r>
          </w:p>
        </w:tc>
        <w:tc>
          <w:tcPr>
            <w:tcW w:w="149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2 110-2 170</w:t>
            </w:r>
          </w:p>
        </w:tc>
        <w:tc>
          <w:tcPr>
            <w:tcW w:w="1232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190</w:t>
            </w:r>
          </w:p>
        </w:tc>
        <w:tc>
          <w:tcPr>
            <w:tcW w:w="1490" w:type="dxa"/>
          </w:tcPr>
          <w:p w:rsidR="00CA3497" w:rsidRPr="002B23B6" w:rsidRDefault="009620BE" w:rsidP="009620BE">
            <w:pPr>
              <w:pStyle w:val="TableText0"/>
              <w:jc w:val="center"/>
            </w:pPr>
            <w:r>
              <w:t>1 880-1 920</w:t>
            </w:r>
            <w:r>
              <w:rPr>
                <w:rFonts w:hint="eastAsia"/>
                <w:lang w:eastAsia="zh-CN"/>
              </w:rPr>
              <w:t>；</w:t>
            </w:r>
            <w:r w:rsidR="00CA3497" w:rsidRPr="002B23B6">
              <w:br/>
              <w:t>2 010-2 025</w:t>
            </w:r>
          </w:p>
        </w:tc>
      </w:tr>
      <w:tr w:rsidR="00CA3497" w:rsidRPr="002B23B6" w:rsidTr="00980095">
        <w:trPr>
          <w:trHeight w:val="236"/>
          <w:jc w:val="center"/>
        </w:trPr>
        <w:tc>
          <w:tcPr>
            <w:tcW w:w="247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B2</w:t>
            </w:r>
          </w:p>
        </w:tc>
        <w:tc>
          <w:tcPr>
            <w:tcW w:w="1615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1 710-1 785</w:t>
            </w:r>
          </w:p>
        </w:tc>
        <w:tc>
          <w:tcPr>
            <w:tcW w:w="129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20</w:t>
            </w:r>
          </w:p>
        </w:tc>
        <w:tc>
          <w:tcPr>
            <w:tcW w:w="149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1 805-1 880</w:t>
            </w:r>
          </w:p>
        </w:tc>
        <w:tc>
          <w:tcPr>
            <w:tcW w:w="1232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95</w:t>
            </w:r>
          </w:p>
        </w:tc>
        <w:tc>
          <w:tcPr>
            <w:tcW w:w="149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无</w:t>
            </w:r>
          </w:p>
        </w:tc>
      </w:tr>
      <w:tr w:rsidR="00CA3497" w:rsidRPr="002B23B6" w:rsidTr="00980095">
        <w:trPr>
          <w:trHeight w:val="210"/>
          <w:jc w:val="center"/>
        </w:trPr>
        <w:tc>
          <w:tcPr>
            <w:tcW w:w="247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B3</w:t>
            </w:r>
          </w:p>
        </w:tc>
        <w:tc>
          <w:tcPr>
            <w:tcW w:w="1615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1 850-1 910</w:t>
            </w:r>
          </w:p>
        </w:tc>
        <w:tc>
          <w:tcPr>
            <w:tcW w:w="129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20</w:t>
            </w:r>
          </w:p>
        </w:tc>
        <w:tc>
          <w:tcPr>
            <w:tcW w:w="149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1 930-1 990</w:t>
            </w:r>
          </w:p>
        </w:tc>
        <w:tc>
          <w:tcPr>
            <w:tcW w:w="1232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80</w:t>
            </w:r>
          </w:p>
        </w:tc>
        <w:tc>
          <w:tcPr>
            <w:tcW w:w="149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1 910-1 930</w:t>
            </w:r>
          </w:p>
        </w:tc>
      </w:tr>
      <w:tr w:rsidR="00CA3497" w:rsidRPr="002B23B6" w:rsidTr="00980095">
        <w:trPr>
          <w:trHeight w:val="437"/>
          <w:jc w:val="center"/>
        </w:trPr>
        <w:tc>
          <w:tcPr>
            <w:tcW w:w="247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B4</w:t>
            </w:r>
            <w:r w:rsidRPr="002B23B6">
              <w:t>（与</w:t>
            </w:r>
            <w:r w:rsidRPr="002B23B6">
              <w:t>B1</w:t>
            </w:r>
            <w:r w:rsidRPr="002B23B6">
              <w:t>和</w:t>
            </w:r>
            <w:r w:rsidRPr="002B23B6">
              <w:t>B2</w:t>
            </w:r>
            <w:r w:rsidRPr="002B23B6">
              <w:t>协调）</w:t>
            </w:r>
          </w:p>
        </w:tc>
        <w:tc>
          <w:tcPr>
            <w:tcW w:w="1615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1 710-1 785</w:t>
            </w:r>
            <w:r w:rsidRPr="002B23B6">
              <w:br/>
              <w:t>1 920-1 980</w:t>
            </w:r>
          </w:p>
        </w:tc>
        <w:tc>
          <w:tcPr>
            <w:tcW w:w="129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20</w:t>
            </w:r>
            <w:r w:rsidRPr="002B23B6">
              <w:br/>
              <w:t>130</w:t>
            </w:r>
          </w:p>
        </w:tc>
        <w:tc>
          <w:tcPr>
            <w:tcW w:w="1490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1 805-1 880</w:t>
            </w:r>
            <w:r w:rsidRPr="002B23B6">
              <w:br/>
              <w:t>2 110-2 170</w:t>
            </w:r>
          </w:p>
        </w:tc>
        <w:tc>
          <w:tcPr>
            <w:tcW w:w="1232" w:type="dxa"/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95</w:t>
            </w:r>
            <w:r w:rsidRPr="002B23B6">
              <w:br/>
              <w:t>190</w:t>
            </w:r>
          </w:p>
        </w:tc>
        <w:tc>
          <w:tcPr>
            <w:tcW w:w="1490" w:type="dxa"/>
          </w:tcPr>
          <w:p w:rsidR="00CA3497" w:rsidRPr="002B23B6" w:rsidRDefault="009620BE" w:rsidP="002B23B6">
            <w:pPr>
              <w:pStyle w:val="TableText0"/>
              <w:jc w:val="center"/>
            </w:pPr>
            <w:r>
              <w:t>1 900-1 920</w:t>
            </w:r>
            <w:r>
              <w:rPr>
                <w:rFonts w:hint="eastAsia"/>
                <w:lang w:eastAsia="zh-CN"/>
              </w:rPr>
              <w:t>；</w:t>
            </w:r>
            <w:r w:rsidR="00CA3497" w:rsidRPr="002B23B6">
              <w:br/>
              <w:t>2 010-2 025</w:t>
            </w:r>
          </w:p>
        </w:tc>
      </w:tr>
      <w:tr w:rsidR="00CA3497" w:rsidRPr="002B23B6" w:rsidTr="00C11991">
        <w:trPr>
          <w:trHeight w:val="464"/>
          <w:jc w:val="center"/>
        </w:trPr>
        <w:tc>
          <w:tcPr>
            <w:tcW w:w="2470" w:type="dxa"/>
            <w:tcBorders>
              <w:bottom w:val="single" w:sz="4" w:space="0" w:color="auto"/>
            </w:tcBorders>
          </w:tcPr>
          <w:p w:rsidR="00CA3497" w:rsidRPr="002B23B6" w:rsidRDefault="00CA3497" w:rsidP="002B23B6">
            <w:pPr>
              <w:pStyle w:val="TableText0"/>
              <w:jc w:val="center"/>
              <w:rPr>
                <w:lang w:eastAsia="zh-CN"/>
              </w:rPr>
            </w:pPr>
            <w:r w:rsidRPr="002B23B6">
              <w:rPr>
                <w:lang w:eastAsia="zh-CN"/>
              </w:rPr>
              <w:t>B6</w:t>
            </w:r>
            <w:r w:rsidRPr="002B23B6">
              <w:rPr>
                <w:lang w:eastAsia="zh-CN"/>
              </w:rPr>
              <w:t>（与</w:t>
            </w:r>
            <w:r w:rsidRPr="002B23B6">
              <w:rPr>
                <w:lang w:eastAsia="zh-CN"/>
              </w:rPr>
              <w:t>B3</w:t>
            </w:r>
            <w:r w:rsidRPr="002B23B6">
              <w:rPr>
                <w:lang w:eastAsia="zh-CN"/>
              </w:rPr>
              <w:t>协调及与</w:t>
            </w:r>
            <w:r w:rsidRPr="002B23B6">
              <w:rPr>
                <w:lang w:eastAsia="zh-CN"/>
              </w:rPr>
              <w:t>B1</w:t>
            </w:r>
            <w:r w:rsidRPr="002B23B6">
              <w:rPr>
                <w:lang w:eastAsia="zh-CN"/>
              </w:rPr>
              <w:t>和</w:t>
            </w:r>
            <w:r w:rsidRPr="002B23B6">
              <w:rPr>
                <w:lang w:eastAsia="zh-CN"/>
              </w:rPr>
              <w:t>B2</w:t>
            </w:r>
            <w:r w:rsidRPr="002B23B6">
              <w:rPr>
                <w:lang w:eastAsia="zh-CN"/>
              </w:rPr>
              <w:t>的一部分协调）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1 850-1 910</w:t>
            </w:r>
            <w:r w:rsidRPr="002B23B6">
              <w:br/>
              <w:t>1 710-1 770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20</w:t>
            </w:r>
            <w:r w:rsidRPr="002B23B6">
              <w:br/>
              <w:t>340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1 930-1 990</w:t>
            </w:r>
            <w:r w:rsidRPr="002B23B6">
              <w:br/>
              <w:t>2 110-2 170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80</w:t>
            </w:r>
            <w:r w:rsidRPr="002B23B6">
              <w:br/>
              <w:t>400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CA3497" w:rsidRPr="002B23B6" w:rsidRDefault="00CA3497" w:rsidP="002B23B6">
            <w:pPr>
              <w:pStyle w:val="TableText0"/>
              <w:jc w:val="center"/>
            </w:pPr>
            <w:r w:rsidRPr="002B23B6">
              <w:t>1 910-1 930</w:t>
            </w:r>
          </w:p>
        </w:tc>
      </w:tr>
      <w:tr w:rsidR="007C2D8F" w:rsidRPr="002B23B6" w:rsidTr="009E5379">
        <w:trPr>
          <w:trHeight w:val="464"/>
          <w:jc w:val="center"/>
        </w:trPr>
        <w:tc>
          <w:tcPr>
            <w:tcW w:w="95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D8F" w:rsidRPr="002B23B6" w:rsidRDefault="007C2D8F" w:rsidP="007C2D8F">
            <w:pPr>
              <w:pStyle w:val="TableText0"/>
            </w:pPr>
            <w:r w:rsidRPr="00E66661">
              <w:rPr>
                <w:rFonts w:eastAsia="KaiTi_GB2312"/>
                <w:lang w:eastAsia="zh-CN"/>
              </w:rPr>
              <w:t>表</w:t>
            </w:r>
            <w:r w:rsidRPr="00E66661">
              <w:rPr>
                <w:rFonts w:eastAsia="KaiTi_GB2312"/>
                <w:lang w:eastAsia="zh-CN"/>
              </w:rPr>
              <w:t>4</w:t>
            </w:r>
            <w:r w:rsidRPr="00E66661">
              <w:rPr>
                <w:rFonts w:eastAsia="KaiTi_GB2312"/>
                <w:lang w:eastAsia="zh-CN"/>
              </w:rPr>
              <w:t>注：</w:t>
            </w:r>
          </w:p>
        </w:tc>
      </w:tr>
      <w:tr w:rsidR="007C2D8F" w:rsidRPr="002B23B6" w:rsidTr="003A7375">
        <w:trPr>
          <w:trHeight w:val="464"/>
          <w:jc w:val="center"/>
        </w:trPr>
        <w:tc>
          <w:tcPr>
            <w:tcW w:w="95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2D8F" w:rsidRPr="00E66661" w:rsidRDefault="007C2D8F" w:rsidP="00B172C6">
            <w:pPr>
              <w:pStyle w:val="Note"/>
              <w:rPr>
                <w:lang w:val="en-US" w:eastAsia="zh-CN"/>
              </w:rPr>
            </w:pPr>
            <w:r w:rsidRPr="00E66661">
              <w:rPr>
                <w:lang w:val="en-US" w:eastAsia="zh-CN"/>
              </w:rPr>
              <w:lastRenderedPageBreak/>
              <w:t>注</w:t>
            </w:r>
            <w:r w:rsidRPr="00E66661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 xml:space="preserve"> </w:t>
            </w:r>
            <w:r w:rsidRPr="00E66661"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 xml:space="preserve"> </w:t>
            </w:r>
            <w:r w:rsidRPr="00E66661">
              <w:rPr>
                <w:lang w:val="en-US" w:eastAsia="zh-CN"/>
              </w:rPr>
              <w:t>在</w:t>
            </w:r>
            <w:r w:rsidRPr="00E66661">
              <w:rPr>
                <w:lang w:val="en-US" w:eastAsia="zh-CN"/>
              </w:rPr>
              <w:t>1 710-2 025</w:t>
            </w:r>
            <w:r w:rsidRPr="00E66661">
              <w:rPr>
                <w:lang w:val="en-US" w:eastAsia="zh-CN"/>
              </w:rPr>
              <w:t>和</w:t>
            </w:r>
            <w:r w:rsidRPr="00E66661">
              <w:rPr>
                <w:lang w:val="en-US" w:eastAsia="zh-CN"/>
              </w:rPr>
              <w:t>2 110-2 200 MHz</w:t>
            </w:r>
            <w:r w:rsidRPr="00E66661">
              <w:rPr>
                <w:lang w:val="en-US" w:eastAsia="zh-CN"/>
              </w:rPr>
              <w:t>频段内，包括</w:t>
            </w:r>
            <w:r w:rsidRPr="00E66661">
              <w:rPr>
                <w:lang w:val="en-US" w:eastAsia="zh-CN"/>
              </w:rPr>
              <w:t>IMT</w:t>
            </w:r>
            <w:r w:rsidRPr="00E66661">
              <w:rPr>
                <w:lang w:val="en-US" w:eastAsia="zh-CN"/>
              </w:rPr>
              <w:t>在内的公众移动蜂窝系统已采用三种基本的频率安排（</w:t>
            </w:r>
            <w:r w:rsidRPr="00E66661">
              <w:rPr>
                <w:lang w:val="en-US" w:eastAsia="zh-CN"/>
              </w:rPr>
              <w:t>B1</w:t>
            </w:r>
            <w:r w:rsidRPr="00E66661">
              <w:rPr>
                <w:lang w:val="en-US" w:eastAsia="zh-CN"/>
              </w:rPr>
              <w:t>、</w:t>
            </w:r>
            <w:r w:rsidRPr="00E66661">
              <w:rPr>
                <w:lang w:val="en-US" w:eastAsia="zh-CN"/>
              </w:rPr>
              <w:t>B2</w:t>
            </w:r>
            <w:r w:rsidRPr="00E66661">
              <w:rPr>
                <w:lang w:val="en-US" w:eastAsia="zh-CN"/>
              </w:rPr>
              <w:t>和</w:t>
            </w:r>
            <w:r w:rsidRPr="00E66661">
              <w:rPr>
                <w:lang w:val="en-US" w:eastAsia="zh-CN"/>
              </w:rPr>
              <w:t>B3</w:t>
            </w:r>
            <w:r w:rsidRPr="00E66661">
              <w:rPr>
                <w:lang w:val="en-US" w:eastAsia="zh-CN"/>
              </w:rPr>
              <w:t>）。根据这三种安排推荐了不同的组合安排，如</w:t>
            </w:r>
            <w:r w:rsidRPr="00E66661">
              <w:rPr>
                <w:lang w:val="en-US" w:eastAsia="zh-CN"/>
              </w:rPr>
              <w:t>B4</w:t>
            </w:r>
            <w:r w:rsidRPr="00E66661">
              <w:rPr>
                <w:lang w:val="en-US" w:eastAsia="zh-CN"/>
              </w:rPr>
              <w:t>和</w:t>
            </w:r>
            <w:r w:rsidRPr="00E66661">
              <w:rPr>
                <w:lang w:val="en-US" w:eastAsia="zh-CN"/>
              </w:rPr>
              <w:t>B5</w:t>
            </w:r>
            <w:r w:rsidRPr="00E66661">
              <w:rPr>
                <w:lang w:val="en-US" w:eastAsia="zh-CN"/>
              </w:rPr>
              <w:t>所述。</w:t>
            </w:r>
            <w:r w:rsidRPr="00E66661">
              <w:rPr>
                <w:lang w:val="en-US" w:eastAsia="zh-CN"/>
              </w:rPr>
              <w:t>B1</w:t>
            </w:r>
            <w:r w:rsidRPr="00E66661">
              <w:rPr>
                <w:lang w:val="en-US" w:eastAsia="zh-CN"/>
              </w:rPr>
              <w:t>安排和</w:t>
            </w:r>
            <w:r w:rsidRPr="00E66661">
              <w:rPr>
                <w:lang w:val="en-US" w:eastAsia="zh-CN"/>
              </w:rPr>
              <w:t>B2</w:t>
            </w:r>
            <w:r w:rsidRPr="00E66661">
              <w:rPr>
                <w:lang w:val="en-US" w:eastAsia="zh-CN"/>
              </w:rPr>
              <w:t>安排纯属互补性的，而</w:t>
            </w:r>
            <w:r w:rsidRPr="00E66661">
              <w:rPr>
                <w:lang w:val="en-US" w:eastAsia="zh-CN"/>
              </w:rPr>
              <w:t>B3</w:t>
            </w:r>
            <w:r w:rsidRPr="00E66661">
              <w:rPr>
                <w:lang w:val="en-US" w:eastAsia="zh-CN"/>
              </w:rPr>
              <w:t>安排则与</w:t>
            </w:r>
            <w:r w:rsidRPr="00E66661">
              <w:rPr>
                <w:lang w:val="en-US" w:eastAsia="zh-CN"/>
              </w:rPr>
              <w:t>B1</w:t>
            </w:r>
            <w:r w:rsidRPr="00E66661">
              <w:rPr>
                <w:lang w:val="en-US" w:eastAsia="zh-CN"/>
              </w:rPr>
              <w:t>和</w:t>
            </w:r>
            <w:r w:rsidRPr="00E66661">
              <w:rPr>
                <w:lang w:val="en-US" w:eastAsia="zh-CN"/>
              </w:rPr>
              <w:t>B2</w:t>
            </w:r>
            <w:r w:rsidRPr="00E66661">
              <w:rPr>
                <w:lang w:val="en-US" w:eastAsia="zh-CN"/>
              </w:rPr>
              <w:t>安排部分重叠。</w:t>
            </w:r>
          </w:p>
          <w:p w:rsidR="007C2D8F" w:rsidRDefault="007C2D8F" w:rsidP="006F180D">
            <w:pPr>
              <w:pStyle w:val="Note"/>
              <w:ind w:firstLineChars="200" w:firstLine="480"/>
              <w:rPr>
                <w:lang w:val="en-US" w:eastAsia="zh-CN"/>
              </w:rPr>
            </w:pPr>
            <w:r w:rsidRPr="00E66661">
              <w:rPr>
                <w:lang w:val="en-US" w:eastAsia="zh-CN"/>
              </w:rPr>
              <w:t>对于实施了</w:t>
            </w:r>
            <w:r w:rsidRPr="00E66661">
              <w:rPr>
                <w:lang w:val="en-US" w:eastAsia="zh-CN"/>
              </w:rPr>
              <w:t>B1</w:t>
            </w:r>
            <w:r w:rsidRPr="00E66661">
              <w:rPr>
                <w:lang w:val="en-US" w:eastAsia="zh-CN"/>
              </w:rPr>
              <w:t>安排的国家，可在成对的</w:t>
            </w:r>
            <w:r w:rsidRPr="00E66661">
              <w:rPr>
                <w:lang w:val="en-US" w:eastAsia="zh-CN"/>
              </w:rPr>
              <w:t>IMT</w:t>
            </w:r>
            <w:r w:rsidRPr="00E66661">
              <w:rPr>
                <w:lang w:val="en-US" w:eastAsia="zh-CN"/>
              </w:rPr>
              <w:t>操作中用</w:t>
            </w:r>
            <w:r w:rsidRPr="00E66661">
              <w:rPr>
                <w:lang w:val="en-US" w:eastAsia="zh-CN"/>
              </w:rPr>
              <w:t>B4</w:t>
            </w:r>
            <w:r w:rsidRPr="00E66661">
              <w:rPr>
                <w:lang w:val="en-US" w:eastAsia="zh-CN"/>
              </w:rPr>
              <w:t>来优化频谱的使用。</w:t>
            </w:r>
          </w:p>
          <w:p w:rsidR="007C2D8F" w:rsidRPr="00E66661" w:rsidRDefault="007C2D8F" w:rsidP="005E149A">
            <w:pPr>
              <w:pStyle w:val="Note"/>
              <w:ind w:firstLineChars="200" w:firstLine="480"/>
              <w:rPr>
                <w:lang w:val="en-US" w:eastAsia="zh-CN"/>
              </w:rPr>
            </w:pPr>
            <w:r w:rsidRPr="00E66661">
              <w:rPr>
                <w:lang w:val="en-US" w:eastAsia="zh-CN"/>
              </w:rPr>
              <w:t>对于实施了</w:t>
            </w:r>
            <w:r w:rsidRPr="00E66661">
              <w:rPr>
                <w:lang w:val="en-US" w:eastAsia="zh-CN"/>
              </w:rPr>
              <w:t>B3</w:t>
            </w:r>
            <w:r w:rsidRPr="00E66661">
              <w:rPr>
                <w:lang w:val="en-US" w:eastAsia="zh-CN"/>
              </w:rPr>
              <w:t>安排的国家，</w:t>
            </w:r>
            <w:r w:rsidRPr="00E66661">
              <w:rPr>
                <w:lang w:val="en-US" w:eastAsia="zh-CN"/>
              </w:rPr>
              <w:t>B1</w:t>
            </w:r>
            <w:r w:rsidRPr="00E66661">
              <w:rPr>
                <w:lang w:val="en-US" w:eastAsia="zh-CN"/>
              </w:rPr>
              <w:t>安排可与</w:t>
            </w:r>
            <w:r w:rsidRPr="00E66661">
              <w:rPr>
                <w:lang w:val="en-US" w:eastAsia="zh-CN"/>
              </w:rPr>
              <w:t>B2</w:t>
            </w:r>
            <w:r w:rsidRPr="00E66661">
              <w:rPr>
                <w:lang w:val="en-US" w:eastAsia="zh-CN"/>
              </w:rPr>
              <w:t>安排相结合。因此推荐用</w:t>
            </w:r>
            <w:r w:rsidRPr="00E66661">
              <w:rPr>
                <w:lang w:val="en-US" w:eastAsia="zh-CN"/>
              </w:rPr>
              <w:t>B5</w:t>
            </w:r>
            <w:r w:rsidRPr="00E66661">
              <w:rPr>
                <w:lang w:val="en-US" w:eastAsia="zh-CN"/>
              </w:rPr>
              <w:t>安排来优化频谱的使用：</w:t>
            </w:r>
          </w:p>
          <w:p w:rsidR="007C2D8F" w:rsidRPr="00E66661" w:rsidRDefault="007C2D8F" w:rsidP="006F180D">
            <w:pPr>
              <w:pStyle w:val="Note"/>
              <w:ind w:left="284" w:hanging="284"/>
              <w:rPr>
                <w:lang w:val="en-US" w:eastAsia="zh-CN"/>
              </w:rPr>
            </w:pPr>
            <w:r w:rsidRPr="00E66661">
              <w:rPr>
                <w:lang w:val="en-US" w:eastAsia="zh-CN"/>
              </w:rPr>
              <w:t>–</w:t>
            </w:r>
            <w:r w:rsidRPr="00E66661">
              <w:rPr>
                <w:lang w:val="en-US" w:eastAsia="zh-CN"/>
              </w:rPr>
              <w:tab/>
            </w:r>
            <w:r w:rsidRPr="00E66661">
              <w:rPr>
                <w:lang w:val="en-US" w:eastAsia="zh-CN"/>
              </w:rPr>
              <w:t>在实施了</w:t>
            </w:r>
            <w:r w:rsidRPr="00E66661">
              <w:rPr>
                <w:lang w:val="en-US" w:eastAsia="zh-CN"/>
              </w:rPr>
              <w:t>B3</w:t>
            </w:r>
            <w:r w:rsidRPr="00E66661">
              <w:rPr>
                <w:lang w:val="en-US" w:eastAsia="zh-CN"/>
              </w:rPr>
              <w:t>的国家以及在该频段内部署</w:t>
            </w:r>
            <w:r w:rsidRPr="00E66661">
              <w:rPr>
                <w:lang w:val="en-US" w:eastAsia="zh-CN"/>
              </w:rPr>
              <w:t>IMT</w:t>
            </w:r>
            <w:r w:rsidRPr="00E66661">
              <w:rPr>
                <w:lang w:val="en-US" w:eastAsia="zh-CN"/>
              </w:rPr>
              <w:t>的初级阶段</w:t>
            </w:r>
            <w:r w:rsidRPr="00E66661">
              <w:rPr>
                <w:lang w:val="en-US" w:eastAsia="zh-CN"/>
              </w:rPr>
              <w:t>1 770-1 850 MHz</w:t>
            </w:r>
            <w:r w:rsidRPr="00E66661">
              <w:rPr>
                <w:lang w:val="en-US" w:eastAsia="zh-CN"/>
              </w:rPr>
              <w:t>频段不可用的国家，</w:t>
            </w:r>
            <w:r w:rsidRPr="00E66661">
              <w:rPr>
                <w:lang w:val="en-US" w:eastAsia="zh-CN"/>
              </w:rPr>
              <w:t>B5</w:t>
            </w:r>
            <w:r w:rsidRPr="00E66661">
              <w:rPr>
                <w:lang w:val="en-US" w:eastAsia="zh-CN"/>
              </w:rPr>
              <w:t>可让</w:t>
            </w:r>
            <w:r w:rsidRPr="00E66661">
              <w:rPr>
                <w:lang w:val="en-US" w:eastAsia="zh-CN"/>
              </w:rPr>
              <w:t>IMT</w:t>
            </w:r>
            <w:r w:rsidRPr="00E66661">
              <w:rPr>
                <w:lang w:val="en-US" w:eastAsia="zh-CN"/>
              </w:rPr>
              <w:noBreakHyphen/>
              <w:t>2000</w:t>
            </w:r>
            <w:r w:rsidRPr="00E66661">
              <w:rPr>
                <w:lang w:val="en-US" w:eastAsia="zh-CN"/>
              </w:rPr>
              <w:t>操作的频谱利用率达到最大化。</w:t>
            </w:r>
          </w:p>
          <w:p w:rsidR="007C2D8F" w:rsidRPr="002B23B6" w:rsidRDefault="007C2D8F" w:rsidP="00134BCC">
            <w:pPr>
              <w:pStyle w:val="Note"/>
              <w:rPr>
                <w:lang w:eastAsia="zh-CN"/>
              </w:rPr>
            </w:pPr>
            <w:r w:rsidRPr="00E66661">
              <w:rPr>
                <w:lang w:val="en-US" w:eastAsia="zh-CN"/>
              </w:rPr>
              <w:t>注</w:t>
            </w:r>
            <w:r w:rsidRPr="00E66661">
              <w:rPr>
                <w:lang w:val="en-US" w:eastAsia="zh-CN"/>
              </w:rPr>
              <w:t>2</w:t>
            </w:r>
            <w:r>
              <w:rPr>
                <w:lang w:val="en-US" w:eastAsia="zh-CN"/>
              </w:rPr>
              <w:t xml:space="preserve"> </w:t>
            </w:r>
            <w:r w:rsidRPr="00E66661"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 xml:space="preserve"> </w:t>
            </w:r>
            <w:r w:rsidRPr="00E66661">
              <w:rPr>
                <w:lang w:val="en-US" w:eastAsia="zh-CN"/>
              </w:rPr>
              <w:t>在不成对的频段内可引入</w:t>
            </w:r>
            <w:r w:rsidRPr="00E66661">
              <w:rPr>
                <w:lang w:val="en-US" w:eastAsia="zh-CN"/>
              </w:rPr>
              <w:t>TDD</w:t>
            </w:r>
            <w:r w:rsidRPr="00E66661">
              <w:rPr>
                <w:lang w:val="en-US" w:eastAsia="zh-CN"/>
              </w:rPr>
              <w:t>，在某些条件下，在成对频率安排的上行链路频段内和</w:t>
            </w:r>
            <w:r w:rsidRPr="00E66661">
              <w:rPr>
                <w:lang w:val="en-US" w:eastAsia="zh-CN"/>
              </w:rPr>
              <w:t>/</w:t>
            </w:r>
            <w:r w:rsidRPr="00E66661">
              <w:rPr>
                <w:lang w:val="en-US" w:eastAsia="zh-CN"/>
              </w:rPr>
              <w:t>或在成对频段的中心间隔内也可引入</w:t>
            </w:r>
            <w:r w:rsidRPr="00E66661">
              <w:rPr>
                <w:lang w:val="en-US" w:eastAsia="zh-CN"/>
              </w:rPr>
              <w:t>TDD</w:t>
            </w:r>
            <w:r w:rsidRPr="00E66661">
              <w:rPr>
                <w:lang w:val="en-US" w:eastAsia="zh-CN"/>
              </w:rPr>
              <w:t>。</w:t>
            </w:r>
          </w:p>
        </w:tc>
      </w:tr>
      <w:tr w:rsidR="007C2D8F" w:rsidRPr="002B23B6" w:rsidTr="00935033">
        <w:trPr>
          <w:trHeight w:val="464"/>
          <w:jc w:val="center"/>
        </w:trPr>
        <w:tc>
          <w:tcPr>
            <w:tcW w:w="95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2D8F" w:rsidRPr="002B23B6" w:rsidRDefault="007C2D8F" w:rsidP="00134BCC">
            <w:pPr>
              <w:pStyle w:val="Note"/>
              <w:rPr>
                <w:lang w:eastAsia="zh-CN"/>
              </w:rPr>
            </w:pPr>
            <w:r w:rsidRPr="00E66661">
              <w:rPr>
                <w:lang w:val="en-US" w:eastAsia="zh-CN"/>
              </w:rPr>
              <w:t>注</w:t>
            </w:r>
            <w:r w:rsidRPr="00E66661">
              <w:rPr>
                <w:lang w:val="en-US" w:eastAsia="zh-CN"/>
              </w:rPr>
              <w:t>3</w:t>
            </w:r>
            <w:r>
              <w:rPr>
                <w:lang w:val="en-US" w:eastAsia="zh-CN"/>
              </w:rPr>
              <w:t xml:space="preserve"> </w:t>
            </w:r>
            <w:r w:rsidRPr="00E66661">
              <w:rPr>
                <w:lang w:val="en-US" w:eastAsia="zh-CN"/>
              </w:rPr>
              <w:t>–</w:t>
            </w:r>
            <w:r>
              <w:rPr>
                <w:lang w:val="en-US" w:eastAsia="zh-CN"/>
              </w:rPr>
              <w:t xml:space="preserve"> </w:t>
            </w:r>
            <w:r w:rsidRPr="00E66661">
              <w:rPr>
                <w:lang w:val="en-US" w:eastAsia="zh-CN"/>
              </w:rPr>
              <w:t>若在终端内采用可选</w:t>
            </w:r>
            <w:r w:rsidRPr="00E66661">
              <w:rPr>
                <w:lang w:val="en-US" w:eastAsia="zh-CN"/>
              </w:rPr>
              <w:t>/</w:t>
            </w:r>
            <w:r w:rsidRPr="00E66661">
              <w:rPr>
                <w:lang w:val="en-US" w:eastAsia="zh-CN"/>
              </w:rPr>
              <w:t>可变双工技术作为管理不同频率安排的最有效方式，则相邻国家可选择选项</w:t>
            </w:r>
            <w:r w:rsidRPr="00E66661">
              <w:rPr>
                <w:lang w:val="en-US" w:eastAsia="zh-CN"/>
              </w:rPr>
              <w:t>B5</w:t>
            </w:r>
            <w:r w:rsidRPr="00E66661">
              <w:rPr>
                <w:lang w:val="en-US" w:eastAsia="zh-CN"/>
              </w:rPr>
              <w:t>这个事实对终端的复杂性并无影响。这个问题需要进一步研究。</w:t>
            </w:r>
          </w:p>
        </w:tc>
      </w:tr>
    </w:tbl>
    <w:p w:rsidR="00CA3497" w:rsidRDefault="00CA3497" w:rsidP="00F544CE">
      <w:pPr>
        <w:pStyle w:val="FigureNo"/>
        <w:rPr>
          <w:lang w:val="en-US" w:eastAsia="zh-CN"/>
        </w:rPr>
      </w:pPr>
      <w:r w:rsidRPr="00E66661">
        <w:rPr>
          <w:rFonts w:hAnsi="SimSun"/>
          <w:lang w:val="en-US" w:eastAsia="zh-CN"/>
        </w:rPr>
        <w:t>图</w:t>
      </w:r>
      <w:r w:rsidRPr="00E66661">
        <w:rPr>
          <w:lang w:val="en-US" w:eastAsia="zh-CN"/>
        </w:rPr>
        <w:t>4</w:t>
      </w:r>
    </w:p>
    <w:p w:rsidR="00CA3497" w:rsidRPr="00DD586E" w:rsidRDefault="00CA3497" w:rsidP="00F544CE">
      <w:pPr>
        <w:pStyle w:val="FigureNo"/>
        <w:spacing w:before="0"/>
        <w:rPr>
          <w:rFonts w:ascii="Calibri" w:hAnsi="Calibri"/>
          <w:lang w:val="en-US" w:eastAsia="zh-CN"/>
        </w:rPr>
      </w:pPr>
      <w:r w:rsidRPr="00E66661">
        <w:rPr>
          <w:lang w:val="en-US" w:eastAsia="zh-CN"/>
        </w:rPr>
        <w:t>（参见表</w:t>
      </w:r>
      <w:r w:rsidRPr="00E66661">
        <w:rPr>
          <w:lang w:val="en-US" w:eastAsia="zh-CN"/>
        </w:rPr>
        <w:t>4</w:t>
      </w:r>
      <w:r w:rsidRPr="00E66661">
        <w:rPr>
          <w:lang w:val="en-US" w:eastAsia="zh-CN"/>
        </w:rPr>
        <w:t>的注）</w:t>
      </w:r>
    </w:p>
    <w:p w:rsidR="00CA3497" w:rsidRPr="00DD586E" w:rsidRDefault="00B172C6" w:rsidP="00F544CE">
      <w:pPr>
        <w:pStyle w:val="Figure"/>
        <w:rPr>
          <w:rFonts w:ascii="Calibri" w:hAnsi="Calibri"/>
          <w:lang w:val="en-US" w:eastAsia="zh-CN"/>
        </w:rPr>
      </w:pPr>
      <w:r>
        <w:object w:dxaOrig="6947" w:dyaOrig="4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05pt;height:273.05pt" o:ole="">
            <v:imagedata r:id="rId11" o:title=""/>
          </v:shape>
          <o:OLEObject Type="Embed" ProgID="CorelDRAW.Graphic.14" ShapeID="_x0000_i1030" DrawAspect="Content" ObjectID="_1506871596" r:id="rId12"/>
        </w:object>
      </w:r>
    </w:p>
    <w:p w:rsidR="005E217F" w:rsidRPr="00493C28" w:rsidRDefault="00C84884" w:rsidP="000A1BCE">
      <w:pPr>
        <w:rPr>
          <w:rFonts w:eastAsia="STKaiti"/>
          <w:lang w:eastAsia="zh-CN"/>
        </w:rPr>
      </w:pPr>
      <w:r w:rsidRPr="00493C28">
        <w:rPr>
          <w:rFonts w:eastAsia="STKaiti"/>
          <w:lang w:eastAsia="zh-CN"/>
        </w:rPr>
        <w:t>[</w:t>
      </w:r>
      <w:r w:rsidRPr="00493C28">
        <w:rPr>
          <w:rFonts w:eastAsia="STKaiti"/>
          <w:lang w:eastAsia="zh-CN"/>
        </w:rPr>
        <w:t>编者按</w:t>
      </w:r>
      <w:r w:rsidR="005E217F" w:rsidRPr="00493C28">
        <w:rPr>
          <w:rFonts w:eastAsia="STKaiti"/>
          <w:lang w:eastAsia="zh-CN"/>
        </w:rPr>
        <w:t>：未对</w:t>
      </w:r>
      <w:r w:rsidR="005E217F" w:rsidRPr="00493C28">
        <w:rPr>
          <w:rFonts w:eastAsia="STKaiti"/>
          <w:lang w:eastAsia="zh-CN"/>
        </w:rPr>
        <w:t>ITU-R M.1036-4</w:t>
      </w:r>
      <w:r w:rsidR="005E217F" w:rsidRPr="00493C28">
        <w:rPr>
          <w:rFonts w:eastAsia="STKaiti"/>
          <w:lang w:eastAsia="zh-CN"/>
        </w:rPr>
        <w:t>建议书修订草案后续章节提出修改建议</w:t>
      </w:r>
      <w:r w:rsidR="000A1BCE">
        <w:rPr>
          <w:rFonts w:eastAsia="STKaiti" w:hint="eastAsia"/>
          <w:lang w:eastAsia="zh-CN"/>
        </w:rPr>
        <w:t>。</w:t>
      </w:r>
      <w:r w:rsidR="005E217F" w:rsidRPr="00493C28">
        <w:rPr>
          <w:rFonts w:eastAsia="STKaiti"/>
          <w:lang w:val="en-US" w:eastAsia="zh-CN"/>
        </w:rPr>
        <w:t>]</w:t>
      </w:r>
    </w:p>
    <w:p w:rsidR="00B172C6" w:rsidRDefault="00B172C6" w:rsidP="00B172C6">
      <w:pPr>
        <w:pStyle w:val="Reasons"/>
      </w:pPr>
      <w:r>
        <w:t>...</w:t>
      </w:r>
    </w:p>
    <w:p w:rsidR="00EA2332" w:rsidRDefault="00EA2332" w:rsidP="00F544CE">
      <w:pPr>
        <w:pStyle w:val="Reasons"/>
        <w:spacing w:before="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A2332" w:rsidSect="009447A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4B" w:rsidRDefault="00E4054B">
      <w:r>
        <w:separator/>
      </w:r>
    </w:p>
  </w:endnote>
  <w:endnote w:type="continuationSeparator" w:id="0">
    <w:p w:rsidR="00E4054B" w:rsidRDefault="00E4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Pr="00877D12" w:rsidRDefault="00AE59AF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362160">
      <w:rPr>
        <w:noProof/>
        <w:lang w:val="fr-FR"/>
      </w:rPr>
      <w:t>P:\CHI\ITU-R\CONF-R\AR15\PLEN\000\021ADD01C.docx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2160">
      <w:rPr>
        <w:noProof/>
      </w:rPr>
      <w:t>20.10.15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2160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Pr="0010570E" w:rsidRDefault="00362160" w:rsidP="00401E7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P:\CHI\ITU-R\CONF-R\AR15\PLEN\000\021ADD01C.docx</w:t>
    </w:r>
    <w:r>
      <w:fldChar w:fldCharType="end"/>
    </w:r>
    <w:r w:rsidR="00F50C16">
      <w:rPr>
        <w:lang w:val="en-US"/>
      </w:rPr>
      <w:t xml:space="preserve"> (387</w:t>
    </w:r>
    <w:r w:rsidR="00EA2332">
      <w:rPr>
        <w:lang w:val="en-US"/>
      </w:rPr>
      <w:t>943</w:t>
    </w:r>
    <w:r w:rsidR="00AE59AF">
      <w:rPr>
        <w:lang w:val="en-US"/>
      </w:rPr>
      <w:t>)</w:t>
    </w:r>
    <w:r w:rsidR="00AE59AF">
      <w:tab/>
    </w:r>
    <w:r w:rsidR="00AE59AF">
      <w:fldChar w:fldCharType="begin"/>
    </w:r>
    <w:r w:rsidR="00AE59AF">
      <w:instrText xml:space="preserve"> SAVEDATE \@ DD.MM.YY </w:instrText>
    </w:r>
    <w:r w:rsidR="00AE59AF">
      <w:fldChar w:fldCharType="separate"/>
    </w:r>
    <w:r>
      <w:t>20.10.15</w:t>
    </w:r>
    <w:r w:rsidR="00AE59AF">
      <w:fldChar w:fldCharType="end"/>
    </w:r>
    <w:r w:rsidR="00AE59AF">
      <w:tab/>
    </w:r>
    <w:r w:rsidR="00AE59AF">
      <w:fldChar w:fldCharType="begin"/>
    </w:r>
    <w:r w:rsidR="00AE59AF">
      <w:instrText xml:space="preserve"> PRINTDATE \@ DD.MM.YY </w:instrText>
    </w:r>
    <w:r w:rsidR="00AE59AF">
      <w:fldChar w:fldCharType="separate"/>
    </w:r>
    <w:r>
      <w:t>20.10.15</w:t>
    </w:r>
    <w:r w:rsidR="00AE59A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Default="00362160" w:rsidP="00401E7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P:\CHI\ITU-R\CONF-R\AR15\PLEN\000\021ADD01C.docx</w:t>
    </w:r>
    <w:r>
      <w:fldChar w:fldCharType="end"/>
    </w:r>
    <w:r w:rsidR="00EA2332">
      <w:rPr>
        <w:lang w:val="en-US"/>
      </w:rPr>
      <w:t xml:space="preserve"> (387943</w:t>
    </w:r>
    <w:r w:rsidR="00AE59AF">
      <w:rPr>
        <w:lang w:val="en-US"/>
      </w:rPr>
      <w:t>)</w:t>
    </w:r>
    <w:r w:rsidR="00AE59AF">
      <w:tab/>
    </w:r>
    <w:r w:rsidR="00AE59AF">
      <w:fldChar w:fldCharType="begin"/>
    </w:r>
    <w:r w:rsidR="00AE59AF">
      <w:instrText xml:space="preserve"> SAVEDATE \@ DD.MM.YY </w:instrText>
    </w:r>
    <w:r w:rsidR="00AE59AF">
      <w:fldChar w:fldCharType="separate"/>
    </w:r>
    <w:r>
      <w:t>20.10.15</w:t>
    </w:r>
    <w:r w:rsidR="00AE59AF">
      <w:fldChar w:fldCharType="end"/>
    </w:r>
    <w:r w:rsidR="00AE59AF">
      <w:tab/>
    </w:r>
    <w:r w:rsidR="00AE59AF">
      <w:fldChar w:fldCharType="begin"/>
    </w:r>
    <w:r w:rsidR="00AE59AF">
      <w:instrText xml:space="preserve"> PRINTDATE \@ DD.MM.YY </w:instrText>
    </w:r>
    <w:r w:rsidR="00AE59AF">
      <w:fldChar w:fldCharType="separate"/>
    </w:r>
    <w:r>
      <w:t>20.10.15</w:t>
    </w:r>
    <w:r w:rsidR="00AE59A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4B" w:rsidRDefault="00E4054B">
      <w:r>
        <w:rPr>
          <w:b/>
        </w:rPr>
        <w:t>_______________</w:t>
      </w:r>
    </w:p>
  </w:footnote>
  <w:footnote w:type="continuationSeparator" w:id="0">
    <w:p w:rsidR="00E4054B" w:rsidRDefault="00E4054B">
      <w:r>
        <w:continuationSeparator/>
      </w:r>
    </w:p>
  </w:footnote>
  <w:footnote w:id="1">
    <w:p w:rsidR="00191E52" w:rsidRDefault="00191E52" w:rsidP="00191E52">
      <w:pPr>
        <w:pStyle w:val="FootnoteText"/>
        <w:keepLines w:val="0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="0084537B">
        <w:rPr>
          <w:lang w:eastAsia="zh-CN"/>
        </w:rPr>
        <w:t>2 025-2 110 MHz</w:t>
      </w:r>
      <w:r>
        <w:rPr>
          <w:rFonts w:hint="eastAsia"/>
          <w:lang w:eastAsia="zh-CN"/>
        </w:rPr>
        <w:t>频段不属于此频率安排部分。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Default="00AE59AF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62160">
      <w:rPr>
        <w:noProof/>
        <w:lang w:val="en-US"/>
      </w:rPr>
      <w:t>3</w:t>
    </w:r>
    <w:r>
      <w:rPr>
        <w:lang w:val="en-US"/>
      </w:rPr>
      <w:fldChar w:fldCharType="end"/>
    </w:r>
  </w:p>
  <w:p w:rsidR="00AE59AF" w:rsidRPr="009447A3" w:rsidRDefault="00AE59AF" w:rsidP="00EA2332">
    <w:pPr>
      <w:pStyle w:val="Header"/>
      <w:rPr>
        <w:lang w:val="en-US"/>
      </w:rPr>
    </w:pPr>
    <w:r>
      <w:rPr>
        <w:lang w:val="en-US"/>
      </w:rPr>
      <w:t>RA15/PLEN/</w:t>
    </w:r>
    <w:r w:rsidR="00EA2332">
      <w:rPr>
        <w:lang w:val="en-US"/>
      </w:rPr>
      <w:t>21</w:t>
    </w:r>
    <w:r w:rsidR="00C0792F">
      <w:rPr>
        <w:lang w:val="en-US"/>
      </w:rPr>
      <w:t>(Add.1)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4101577"/>
    <w:multiLevelType w:val="hybridMultilevel"/>
    <w:tmpl w:val="5F966D4C"/>
    <w:lvl w:ilvl="0" w:tplc="01D254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612E"/>
    <w:multiLevelType w:val="hybridMultilevel"/>
    <w:tmpl w:val="04101AEE"/>
    <w:lvl w:ilvl="0" w:tplc="BA4EBAF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23DD9"/>
    <w:multiLevelType w:val="hybridMultilevel"/>
    <w:tmpl w:val="C1D49032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3877"/>
    <w:multiLevelType w:val="multilevel"/>
    <w:tmpl w:val="ED1AC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47198D"/>
    <w:multiLevelType w:val="hybridMultilevel"/>
    <w:tmpl w:val="354A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33149"/>
    <w:multiLevelType w:val="hybridMultilevel"/>
    <w:tmpl w:val="D4823E9E"/>
    <w:lvl w:ilvl="0" w:tplc="9D20533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11D21"/>
    <w:multiLevelType w:val="hybridMultilevel"/>
    <w:tmpl w:val="799822C8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2688"/>
    <w:multiLevelType w:val="hybridMultilevel"/>
    <w:tmpl w:val="15A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F23889"/>
    <w:multiLevelType w:val="hybridMultilevel"/>
    <w:tmpl w:val="E78C8524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01B51"/>
    <w:multiLevelType w:val="hybridMultilevel"/>
    <w:tmpl w:val="37A64BB0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F217E"/>
    <w:multiLevelType w:val="hybridMultilevel"/>
    <w:tmpl w:val="0DBA15F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B070268"/>
    <w:multiLevelType w:val="hybridMultilevel"/>
    <w:tmpl w:val="E604E07E"/>
    <w:lvl w:ilvl="0" w:tplc="26528020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B6728"/>
    <w:multiLevelType w:val="multilevel"/>
    <w:tmpl w:val="56B26A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42734C3"/>
    <w:multiLevelType w:val="multilevel"/>
    <w:tmpl w:val="C6C05B0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5DBD5B9B"/>
    <w:multiLevelType w:val="hybridMultilevel"/>
    <w:tmpl w:val="1E4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738DD"/>
    <w:multiLevelType w:val="hybridMultilevel"/>
    <w:tmpl w:val="59F8EDAC"/>
    <w:lvl w:ilvl="0" w:tplc="8876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0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8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C942A2"/>
    <w:multiLevelType w:val="hybridMultilevel"/>
    <w:tmpl w:val="E7D8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5F4E"/>
    <w:multiLevelType w:val="hybridMultilevel"/>
    <w:tmpl w:val="DFB0F0E0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0C0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45FEE"/>
    <w:multiLevelType w:val="hybridMultilevel"/>
    <w:tmpl w:val="E812A2FA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761BF"/>
    <w:multiLevelType w:val="hybridMultilevel"/>
    <w:tmpl w:val="5B0A245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21AE"/>
    <w:multiLevelType w:val="hybridMultilevel"/>
    <w:tmpl w:val="8C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F2878"/>
    <w:multiLevelType w:val="hybridMultilevel"/>
    <w:tmpl w:val="56985B12"/>
    <w:lvl w:ilvl="0" w:tplc="B71E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A2AE7"/>
    <w:multiLevelType w:val="hybridMultilevel"/>
    <w:tmpl w:val="46F8F8E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36888"/>
    <w:multiLevelType w:val="hybridMultilevel"/>
    <w:tmpl w:val="F514832E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00013"/>
    <w:multiLevelType w:val="hybridMultilevel"/>
    <w:tmpl w:val="1C7888D6"/>
    <w:lvl w:ilvl="0" w:tplc="1AEE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7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16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4"/>
  </w:num>
  <w:num w:numId="10">
    <w:abstractNumId w:val="28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1"/>
  </w:num>
  <w:num w:numId="20">
    <w:abstractNumId w:val="26"/>
  </w:num>
  <w:num w:numId="21">
    <w:abstractNumId w:val="30"/>
  </w:num>
  <w:num w:numId="22">
    <w:abstractNumId w:val="27"/>
  </w:num>
  <w:num w:numId="23">
    <w:abstractNumId w:val="32"/>
  </w:num>
  <w:num w:numId="24">
    <w:abstractNumId w:val="23"/>
  </w:num>
  <w:num w:numId="25">
    <w:abstractNumId w:val="18"/>
  </w:num>
  <w:num w:numId="26">
    <w:abstractNumId w:val="19"/>
  </w:num>
  <w:num w:numId="27">
    <w:abstractNumId w:val="15"/>
  </w:num>
  <w:num w:numId="28">
    <w:abstractNumId w:val="10"/>
  </w:num>
  <w:num w:numId="29">
    <w:abstractNumId w:val="31"/>
  </w:num>
  <w:num w:numId="30">
    <w:abstractNumId w:val="8"/>
  </w:num>
  <w:num w:numId="31">
    <w:abstractNumId w:val="25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6"/>
    <w:rsid w:val="000024A6"/>
    <w:rsid w:val="00002C36"/>
    <w:rsid w:val="00011E09"/>
    <w:rsid w:val="00017CF3"/>
    <w:rsid w:val="00021857"/>
    <w:rsid w:val="00025C06"/>
    <w:rsid w:val="00026535"/>
    <w:rsid w:val="00034B06"/>
    <w:rsid w:val="000515B8"/>
    <w:rsid w:val="00051B5E"/>
    <w:rsid w:val="0007344D"/>
    <w:rsid w:val="00087525"/>
    <w:rsid w:val="0009263A"/>
    <w:rsid w:val="00092BBE"/>
    <w:rsid w:val="000A1BCE"/>
    <w:rsid w:val="000A2972"/>
    <w:rsid w:val="000B1FB7"/>
    <w:rsid w:val="000D0C9F"/>
    <w:rsid w:val="000E3D6D"/>
    <w:rsid w:val="0010570E"/>
    <w:rsid w:val="00106139"/>
    <w:rsid w:val="0010677D"/>
    <w:rsid w:val="001213EE"/>
    <w:rsid w:val="001301C4"/>
    <w:rsid w:val="0013139F"/>
    <w:rsid w:val="001315AC"/>
    <w:rsid w:val="001348C0"/>
    <w:rsid w:val="00134BCC"/>
    <w:rsid w:val="00151C4D"/>
    <w:rsid w:val="0015516E"/>
    <w:rsid w:val="00180E6C"/>
    <w:rsid w:val="0018113F"/>
    <w:rsid w:val="00181706"/>
    <w:rsid w:val="001870C6"/>
    <w:rsid w:val="00190C22"/>
    <w:rsid w:val="0019114E"/>
    <w:rsid w:val="00191E52"/>
    <w:rsid w:val="001A41DD"/>
    <w:rsid w:val="001A50F9"/>
    <w:rsid w:val="001B225D"/>
    <w:rsid w:val="001B27DA"/>
    <w:rsid w:val="001D1EBD"/>
    <w:rsid w:val="001D55B3"/>
    <w:rsid w:val="001F1D01"/>
    <w:rsid w:val="0020352C"/>
    <w:rsid w:val="00213F8F"/>
    <w:rsid w:val="00233D2D"/>
    <w:rsid w:val="00265923"/>
    <w:rsid w:val="00273658"/>
    <w:rsid w:val="0028113C"/>
    <w:rsid w:val="0029307F"/>
    <w:rsid w:val="00293A01"/>
    <w:rsid w:val="002A6644"/>
    <w:rsid w:val="002A7849"/>
    <w:rsid w:val="002B23B6"/>
    <w:rsid w:val="002C2AE9"/>
    <w:rsid w:val="002D1476"/>
    <w:rsid w:val="002E7E12"/>
    <w:rsid w:val="002F1503"/>
    <w:rsid w:val="003034A0"/>
    <w:rsid w:val="00303C1B"/>
    <w:rsid w:val="00307B94"/>
    <w:rsid w:val="0032284B"/>
    <w:rsid w:val="00322A07"/>
    <w:rsid w:val="00327446"/>
    <w:rsid w:val="0033095A"/>
    <w:rsid w:val="003322FF"/>
    <w:rsid w:val="003420AB"/>
    <w:rsid w:val="0034290F"/>
    <w:rsid w:val="003532CB"/>
    <w:rsid w:val="00354793"/>
    <w:rsid w:val="00361654"/>
    <w:rsid w:val="00362160"/>
    <w:rsid w:val="003635EB"/>
    <w:rsid w:val="003709DC"/>
    <w:rsid w:val="00383BE7"/>
    <w:rsid w:val="003A0D27"/>
    <w:rsid w:val="003A5AF3"/>
    <w:rsid w:val="003A62E8"/>
    <w:rsid w:val="003B2F62"/>
    <w:rsid w:val="003B7252"/>
    <w:rsid w:val="003C22A0"/>
    <w:rsid w:val="003E5046"/>
    <w:rsid w:val="003F7FEA"/>
    <w:rsid w:val="00401E7A"/>
    <w:rsid w:val="00431168"/>
    <w:rsid w:val="00431B16"/>
    <w:rsid w:val="0046016A"/>
    <w:rsid w:val="00467A53"/>
    <w:rsid w:val="004844C1"/>
    <w:rsid w:val="004905BE"/>
    <w:rsid w:val="00493C28"/>
    <w:rsid w:val="004A1925"/>
    <w:rsid w:val="004A6F9D"/>
    <w:rsid w:val="004B1CDA"/>
    <w:rsid w:val="004B3F9B"/>
    <w:rsid w:val="004C5471"/>
    <w:rsid w:val="004D06D9"/>
    <w:rsid w:val="004D3956"/>
    <w:rsid w:val="004D7BB1"/>
    <w:rsid w:val="004E24A9"/>
    <w:rsid w:val="004E72AC"/>
    <w:rsid w:val="004F1ADB"/>
    <w:rsid w:val="004F3B2C"/>
    <w:rsid w:val="004F7315"/>
    <w:rsid w:val="00500775"/>
    <w:rsid w:val="00500EA4"/>
    <w:rsid w:val="00505A62"/>
    <w:rsid w:val="00511F1C"/>
    <w:rsid w:val="00513DB8"/>
    <w:rsid w:val="00515651"/>
    <w:rsid w:val="00516A55"/>
    <w:rsid w:val="00531E07"/>
    <w:rsid w:val="005326A4"/>
    <w:rsid w:val="00537C6E"/>
    <w:rsid w:val="00541AC7"/>
    <w:rsid w:val="00542998"/>
    <w:rsid w:val="00554CA9"/>
    <w:rsid w:val="00555E62"/>
    <w:rsid w:val="00556ACB"/>
    <w:rsid w:val="0056668A"/>
    <w:rsid w:val="00581C7E"/>
    <w:rsid w:val="00586689"/>
    <w:rsid w:val="005966BB"/>
    <w:rsid w:val="005A10DD"/>
    <w:rsid w:val="005A15E7"/>
    <w:rsid w:val="005B3B58"/>
    <w:rsid w:val="005C0A9E"/>
    <w:rsid w:val="005C5620"/>
    <w:rsid w:val="005C703C"/>
    <w:rsid w:val="005D3379"/>
    <w:rsid w:val="005E149A"/>
    <w:rsid w:val="005E217F"/>
    <w:rsid w:val="005F61C9"/>
    <w:rsid w:val="00603C37"/>
    <w:rsid w:val="006068C5"/>
    <w:rsid w:val="006340F3"/>
    <w:rsid w:val="00637543"/>
    <w:rsid w:val="00641B2D"/>
    <w:rsid w:val="0064251E"/>
    <w:rsid w:val="00645B0F"/>
    <w:rsid w:val="006462D9"/>
    <w:rsid w:val="0065024C"/>
    <w:rsid w:val="00654E4B"/>
    <w:rsid w:val="0067345C"/>
    <w:rsid w:val="00680682"/>
    <w:rsid w:val="00691C9A"/>
    <w:rsid w:val="006939A1"/>
    <w:rsid w:val="006B4D6D"/>
    <w:rsid w:val="006C372F"/>
    <w:rsid w:val="006D3A41"/>
    <w:rsid w:val="006E0582"/>
    <w:rsid w:val="006F180D"/>
    <w:rsid w:val="006F7E03"/>
    <w:rsid w:val="0070397F"/>
    <w:rsid w:val="0071075B"/>
    <w:rsid w:val="0071246B"/>
    <w:rsid w:val="00722BB8"/>
    <w:rsid w:val="00733BE9"/>
    <w:rsid w:val="00737A20"/>
    <w:rsid w:val="00750D0B"/>
    <w:rsid w:val="00756B1C"/>
    <w:rsid w:val="00767CE4"/>
    <w:rsid w:val="007718D4"/>
    <w:rsid w:val="007805A7"/>
    <w:rsid w:val="007820AD"/>
    <w:rsid w:val="00790C54"/>
    <w:rsid w:val="007979DD"/>
    <w:rsid w:val="007A5146"/>
    <w:rsid w:val="007B0038"/>
    <w:rsid w:val="007C2D8F"/>
    <w:rsid w:val="007D0390"/>
    <w:rsid w:val="008205C5"/>
    <w:rsid w:val="00823294"/>
    <w:rsid w:val="008321FD"/>
    <w:rsid w:val="00842DBC"/>
    <w:rsid w:val="00843275"/>
    <w:rsid w:val="00845350"/>
    <w:rsid w:val="0084537B"/>
    <w:rsid w:val="0085359C"/>
    <w:rsid w:val="008657F9"/>
    <w:rsid w:val="00867CC4"/>
    <w:rsid w:val="00877D12"/>
    <w:rsid w:val="008A2BCA"/>
    <w:rsid w:val="008B1239"/>
    <w:rsid w:val="008B36D6"/>
    <w:rsid w:val="008C5D21"/>
    <w:rsid w:val="008C5FFC"/>
    <w:rsid w:val="008E4F23"/>
    <w:rsid w:val="00900CB3"/>
    <w:rsid w:val="00901C20"/>
    <w:rsid w:val="00902029"/>
    <w:rsid w:val="0090424E"/>
    <w:rsid w:val="00904F4F"/>
    <w:rsid w:val="00912DBA"/>
    <w:rsid w:val="00921D7F"/>
    <w:rsid w:val="009263F9"/>
    <w:rsid w:val="009271CE"/>
    <w:rsid w:val="009323A5"/>
    <w:rsid w:val="00943EBD"/>
    <w:rsid w:val="00944560"/>
    <w:rsid w:val="009447A3"/>
    <w:rsid w:val="009464C5"/>
    <w:rsid w:val="00956FAA"/>
    <w:rsid w:val="0096122E"/>
    <w:rsid w:val="009620BE"/>
    <w:rsid w:val="00970B63"/>
    <w:rsid w:val="00971030"/>
    <w:rsid w:val="00976971"/>
    <w:rsid w:val="00992C77"/>
    <w:rsid w:val="00993FDF"/>
    <w:rsid w:val="009B2982"/>
    <w:rsid w:val="009B3C66"/>
    <w:rsid w:val="009B5639"/>
    <w:rsid w:val="009C1E4D"/>
    <w:rsid w:val="009C5007"/>
    <w:rsid w:val="009C5E4D"/>
    <w:rsid w:val="009D40A5"/>
    <w:rsid w:val="009D6097"/>
    <w:rsid w:val="009E67D8"/>
    <w:rsid w:val="00A05CE9"/>
    <w:rsid w:val="00A10097"/>
    <w:rsid w:val="00A10E6C"/>
    <w:rsid w:val="00A22D02"/>
    <w:rsid w:val="00A25028"/>
    <w:rsid w:val="00A314F0"/>
    <w:rsid w:val="00A3771D"/>
    <w:rsid w:val="00A6258F"/>
    <w:rsid w:val="00A65C37"/>
    <w:rsid w:val="00A72532"/>
    <w:rsid w:val="00A74BE9"/>
    <w:rsid w:val="00A76926"/>
    <w:rsid w:val="00A83DE1"/>
    <w:rsid w:val="00A8684F"/>
    <w:rsid w:val="00AA11D6"/>
    <w:rsid w:val="00AA2D52"/>
    <w:rsid w:val="00AB5728"/>
    <w:rsid w:val="00AC1BDA"/>
    <w:rsid w:val="00AC7472"/>
    <w:rsid w:val="00AE59AF"/>
    <w:rsid w:val="00AE6186"/>
    <w:rsid w:val="00AE7D05"/>
    <w:rsid w:val="00B16CF4"/>
    <w:rsid w:val="00B16DF9"/>
    <w:rsid w:val="00B172C6"/>
    <w:rsid w:val="00B37F0F"/>
    <w:rsid w:val="00B542A1"/>
    <w:rsid w:val="00B76D28"/>
    <w:rsid w:val="00B96E23"/>
    <w:rsid w:val="00BA3241"/>
    <w:rsid w:val="00BA6E53"/>
    <w:rsid w:val="00BB05B6"/>
    <w:rsid w:val="00BB63FE"/>
    <w:rsid w:val="00BD2389"/>
    <w:rsid w:val="00BE3704"/>
    <w:rsid w:val="00BE5003"/>
    <w:rsid w:val="00C0792F"/>
    <w:rsid w:val="00C110BB"/>
    <w:rsid w:val="00C11991"/>
    <w:rsid w:val="00C12A03"/>
    <w:rsid w:val="00C139AE"/>
    <w:rsid w:val="00C1771E"/>
    <w:rsid w:val="00C23D1B"/>
    <w:rsid w:val="00C242A5"/>
    <w:rsid w:val="00C368B4"/>
    <w:rsid w:val="00C51997"/>
    <w:rsid w:val="00C84884"/>
    <w:rsid w:val="00C84EEC"/>
    <w:rsid w:val="00C84F85"/>
    <w:rsid w:val="00C85D99"/>
    <w:rsid w:val="00C91E32"/>
    <w:rsid w:val="00C92CC1"/>
    <w:rsid w:val="00CA3497"/>
    <w:rsid w:val="00CB0E0D"/>
    <w:rsid w:val="00CB7C6C"/>
    <w:rsid w:val="00CC783E"/>
    <w:rsid w:val="00CC7F70"/>
    <w:rsid w:val="00CF0F21"/>
    <w:rsid w:val="00D268CB"/>
    <w:rsid w:val="00D471A9"/>
    <w:rsid w:val="00D471DD"/>
    <w:rsid w:val="00D67351"/>
    <w:rsid w:val="00D73A35"/>
    <w:rsid w:val="00D82143"/>
    <w:rsid w:val="00D95B28"/>
    <w:rsid w:val="00DA08AF"/>
    <w:rsid w:val="00DA57F6"/>
    <w:rsid w:val="00DB7D1E"/>
    <w:rsid w:val="00DF206B"/>
    <w:rsid w:val="00E032BC"/>
    <w:rsid w:val="00E125BF"/>
    <w:rsid w:val="00E25EBB"/>
    <w:rsid w:val="00E36A89"/>
    <w:rsid w:val="00E4054B"/>
    <w:rsid w:val="00E42FD3"/>
    <w:rsid w:val="00E4581F"/>
    <w:rsid w:val="00E52BF3"/>
    <w:rsid w:val="00E57960"/>
    <w:rsid w:val="00E57A8C"/>
    <w:rsid w:val="00E82129"/>
    <w:rsid w:val="00E86E94"/>
    <w:rsid w:val="00E9108F"/>
    <w:rsid w:val="00E9153A"/>
    <w:rsid w:val="00EA2332"/>
    <w:rsid w:val="00EB584D"/>
    <w:rsid w:val="00EF19BC"/>
    <w:rsid w:val="00F01EBE"/>
    <w:rsid w:val="00F02583"/>
    <w:rsid w:val="00F308E5"/>
    <w:rsid w:val="00F314BB"/>
    <w:rsid w:val="00F31D0F"/>
    <w:rsid w:val="00F40FCF"/>
    <w:rsid w:val="00F435E9"/>
    <w:rsid w:val="00F451F5"/>
    <w:rsid w:val="00F45909"/>
    <w:rsid w:val="00F47EC6"/>
    <w:rsid w:val="00F50C16"/>
    <w:rsid w:val="00F544CE"/>
    <w:rsid w:val="00F81161"/>
    <w:rsid w:val="00F8133B"/>
    <w:rsid w:val="00F82321"/>
    <w:rsid w:val="00F82A62"/>
    <w:rsid w:val="00F936F5"/>
    <w:rsid w:val="00FA00F9"/>
    <w:rsid w:val="00FB4E64"/>
    <w:rsid w:val="00FE2874"/>
    <w:rsid w:val="00FE35B3"/>
    <w:rsid w:val="00FF6392"/>
    <w:rsid w:val="00FF7A70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BEA31AB-8879-4A60-88EB-7878943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F7A70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F7A7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F7A7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F7A7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F7A7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42A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uiPriority w:val="99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FF7A70"/>
  </w:style>
  <w:style w:type="paragraph" w:customStyle="1" w:styleId="AppendixNo">
    <w:name w:val="Appendix_No"/>
    <w:basedOn w:val="AnnexNo"/>
    <w:next w:val="Annexref"/>
    <w:uiPriority w:val="99"/>
    <w:rsid w:val="00FF7A70"/>
  </w:style>
  <w:style w:type="paragraph" w:customStyle="1" w:styleId="Appendixref">
    <w:name w:val="Appendix_ref"/>
    <w:basedOn w:val="Annexref"/>
    <w:next w:val="Annextitle"/>
    <w:uiPriority w:val="99"/>
    <w:rsid w:val="00FF7A70"/>
  </w:style>
  <w:style w:type="paragraph" w:customStyle="1" w:styleId="Appendixtitle">
    <w:name w:val="Appendix_title"/>
    <w:basedOn w:val="Annextitle"/>
    <w:next w:val="Normal"/>
    <w:uiPriority w:val="99"/>
    <w:rsid w:val="00FF7A70"/>
  </w:style>
  <w:style w:type="character" w:customStyle="1" w:styleId="Artdef">
    <w:name w:val="Art_def"/>
    <w:basedOn w:val="DefaultParagraphFont"/>
    <w:uiPriority w:val="99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uiPriority w:val="99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542A1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uiPriority w:val="99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uiPriority w:val="99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FF7A70"/>
  </w:style>
  <w:style w:type="character" w:styleId="EndnoteReference">
    <w:name w:val="endnote reference"/>
    <w:basedOn w:val="DefaultParagraphFont"/>
    <w:uiPriority w:val="99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B542A1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FF7A70"/>
    <w:pPr>
      <w:ind w:left="1871" w:hanging="737"/>
    </w:pPr>
  </w:style>
  <w:style w:type="paragraph" w:customStyle="1" w:styleId="enumlev3">
    <w:name w:val="enumlev3"/>
    <w:basedOn w:val="enumlev2"/>
    <w:uiPriority w:val="99"/>
    <w:rsid w:val="00FF7A70"/>
    <w:pPr>
      <w:ind w:left="2268" w:hanging="397"/>
    </w:pPr>
  </w:style>
  <w:style w:type="paragraph" w:customStyle="1" w:styleId="Equation">
    <w:name w:val="Equation"/>
    <w:basedOn w:val="Normal"/>
    <w:uiPriority w:val="99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FF7A70"/>
    <w:pPr>
      <w:ind w:left="1134"/>
    </w:pPr>
  </w:style>
  <w:style w:type="paragraph" w:customStyle="1" w:styleId="Equationlegend">
    <w:name w:val="Equation_legend"/>
    <w:basedOn w:val="NormalIndent"/>
    <w:uiPriority w:val="99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uiPriority w:val="99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uiPriority w:val="99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3,FC,Ref,de nota al pie,Appel note de bas de p + 11 pt,Italic,Appel note de bas de p1,Appel note de bas de p2,Appel note de bas de p3,Footnote,Style 12,Style 124,o,fr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qFormat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uiPriority w:val="99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uiPriority w:val="99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qFormat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uiPriority w:val="99"/>
    <w:rsid w:val="00FF7A70"/>
  </w:style>
  <w:style w:type="paragraph" w:styleId="Index2">
    <w:name w:val="index 2"/>
    <w:basedOn w:val="Normal"/>
    <w:next w:val="Normal"/>
    <w:uiPriority w:val="99"/>
    <w:rsid w:val="00FF7A70"/>
    <w:pPr>
      <w:ind w:left="283"/>
    </w:pPr>
  </w:style>
  <w:style w:type="paragraph" w:styleId="Index3">
    <w:name w:val="index 3"/>
    <w:basedOn w:val="Normal"/>
    <w:next w:val="Normal"/>
    <w:uiPriority w:val="99"/>
    <w:rsid w:val="00FF7A70"/>
    <w:pPr>
      <w:ind w:left="566"/>
    </w:pPr>
  </w:style>
  <w:style w:type="paragraph" w:styleId="Index4">
    <w:name w:val="index 4"/>
    <w:basedOn w:val="Normal"/>
    <w:next w:val="Normal"/>
    <w:uiPriority w:val="99"/>
    <w:rsid w:val="00FF7A70"/>
    <w:pPr>
      <w:ind w:left="849"/>
    </w:pPr>
  </w:style>
  <w:style w:type="paragraph" w:styleId="Index5">
    <w:name w:val="index 5"/>
    <w:basedOn w:val="Normal"/>
    <w:next w:val="Normal"/>
    <w:uiPriority w:val="99"/>
    <w:rsid w:val="00FF7A70"/>
    <w:pPr>
      <w:ind w:left="1132"/>
    </w:pPr>
  </w:style>
  <w:style w:type="paragraph" w:styleId="Index6">
    <w:name w:val="index 6"/>
    <w:basedOn w:val="Normal"/>
    <w:next w:val="Normal"/>
    <w:uiPriority w:val="99"/>
    <w:rsid w:val="00FF7A70"/>
    <w:pPr>
      <w:ind w:left="1415"/>
    </w:pPr>
  </w:style>
  <w:style w:type="paragraph" w:styleId="Index7">
    <w:name w:val="index 7"/>
    <w:basedOn w:val="Normal"/>
    <w:next w:val="Normal"/>
    <w:uiPriority w:val="99"/>
    <w:rsid w:val="00FF7A70"/>
    <w:pPr>
      <w:ind w:left="1698"/>
    </w:pPr>
  </w:style>
  <w:style w:type="paragraph" w:styleId="IndexHeading">
    <w:name w:val="index heading"/>
    <w:basedOn w:val="Normal"/>
    <w:next w:val="Index1"/>
    <w:uiPriority w:val="99"/>
    <w:rsid w:val="00FF7A70"/>
  </w:style>
  <w:style w:type="character" w:styleId="LineNumber">
    <w:name w:val="line number"/>
    <w:basedOn w:val="DefaultParagraphFont"/>
    <w:uiPriority w:val="99"/>
    <w:rsid w:val="00FF7A70"/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FF7A70"/>
    <w:pPr>
      <w:spacing w:before="280"/>
    </w:pPr>
  </w:style>
  <w:style w:type="character" w:customStyle="1" w:styleId="NormalaftertitleChar">
    <w:name w:val="Normal after title Char"/>
    <w:link w:val="Normalaftertitle"/>
    <w:uiPriority w:val="99"/>
    <w:locked/>
    <w:rsid w:val="00B542A1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uiPriority w:val="99"/>
    <w:rsid w:val="00FF7A70"/>
  </w:style>
  <w:style w:type="paragraph" w:customStyle="1" w:styleId="PartNo">
    <w:name w:val="Part_No"/>
    <w:basedOn w:val="AnnexNo"/>
    <w:next w:val="Normal"/>
    <w:uiPriority w:val="99"/>
    <w:rsid w:val="00FF7A70"/>
  </w:style>
  <w:style w:type="paragraph" w:customStyle="1" w:styleId="Partref">
    <w:name w:val="Part_ref"/>
    <w:basedOn w:val="Annexref"/>
    <w:next w:val="Normal"/>
    <w:uiPriority w:val="99"/>
    <w:rsid w:val="00FF7A70"/>
  </w:style>
  <w:style w:type="paragraph" w:customStyle="1" w:styleId="Parttitle">
    <w:name w:val="Part_title"/>
    <w:basedOn w:val="Annextitle"/>
    <w:next w:val="Normalaftertitle"/>
    <w:uiPriority w:val="99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F7A70"/>
  </w:style>
  <w:style w:type="paragraph" w:customStyle="1" w:styleId="QuestionNo">
    <w:name w:val="Question_No"/>
    <w:basedOn w:val="RecNo"/>
    <w:next w:val="Normal"/>
    <w:uiPriority w:val="99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uiPriority w:val="99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uiPriority w:val="99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FF7A70"/>
    <w:rPr>
      <w:b w:val="0"/>
      <w:i/>
    </w:rPr>
  </w:style>
  <w:style w:type="paragraph" w:customStyle="1" w:styleId="Section3">
    <w:name w:val="Section_3"/>
    <w:basedOn w:val="Section1"/>
    <w:uiPriority w:val="99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uiPriority w:val="99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uiPriority w:val="22"/>
    <w:qFormat/>
    <w:rsid w:val="00FF7A70"/>
    <w:rPr>
      <w:b/>
      <w:bCs/>
    </w:rPr>
  </w:style>
  <w:style w:type="character" w:customStyle="1" w:styleId="Tablefreq">
    <w:name w:val="Table_freq"/>
    <w:basedOn w:val="DefaultParagraphFont"/>
    <w:uiPriority w:val="99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rsid w:val="00B542A1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uiPriority w:val="99"/>
    <w:rsid w:val="00FF7A70"/>
    <w:pPr>
      <w:spacing w:before="120"/>
    </w:pPr>
  </w:style>
  <w:style w:type="paragraph" w:customStyle="1" w:styleId="TableNo">
    <w:name w:val="Table_No"/>
    <w:basedOn w:val="Normal"/>
    <w:next w:val="Tabletitle"/>
    <w:link w:val="TableNo0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uiPriority w:val="99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uiPriority w:val="99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uiPriority w:val="99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FF7A70"/>
    <w:pPr>
      <w:spacing w:before="120"/>
    </w:pPr>
  </w:style>
  <w:style w:type="paragraph" w:styleId="TOC3">
    <w:name w:val="toc 3"/>
    <w:basedOn w:val="TOC2"/>
    <w:uiPriority w:val="39"/>
    <w:rsid w:val="00FF7A70"/>
  </w:style>
  <w:style w:type="paragraph" w:styleId="TOC4">
    <w:name w:val="toc 4"/>
    <w:basedOn w:val="TOC3"/>
    <w:uiPriority w:val="39"/>
    <w:rsid w:val="00FF7A70"/>
  </w:style>
  <w:style w:type="paragraph" w:styleId="TOC5">
    <w:name w:val="toc 5"/>
    <w:basedOn w:val="TOC4"/>
    <w:uiPriority w:val="39"/>
    <w:rsid w:val="00FF7A70"/>
  </w:style>
  <w:style w:type="paragraph" w:styleId="TOC6">
    <w:name w:val="toc 6"/>
    <w:basedOn w:val="TOC4"/>
    <w:uiPriority w:val="39"/>
    <w:rsid w:val="00FF7A70"/>
  </w:style>
  <w:style w:type="paragraph" w:styleId="TOC7">
    <w:name w:val="toc 7"/>
    <w:basedOn w:val="TOC4"/>
    <w:uiPriority w:val="39"/>
    <w:rsid w:val="00FF7A70"/>
  </w:style>
  <w:style w:type="paragraph" w:styleId="TOC8">
    <w:name w:val="toc 8"/>
    <w:basedOn w:val="TOC4"/>
    <w:uiPriority w:val="39"/>
    <w:rsid w:val="00FF7A70"/>
  </w:style>
  <w:style w:type="paragraph" w:customStyle="1" w:styleId="Agendaitem">
    <w:name w:val="Agenda_item"/>
    <w:basedOn w:val="Title3"/>
    <w:next w:val="Normalaftertitle"/>
    <w:qFormat/>
    <w:rsid w:val="00B542A1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B542A1"/>
  </w:style>
  <w:style w:type="paragraph" w:customStyle="1" w:styleId="Part1">
    <w:name w:val="Part_1"/>
    <w:basedOn w:val="Subsection1"/>
    <w:next w:val="Normalaftertitle"/>
    <w:qFormat/>
    <w:rsid w:val="00B542A1"/>
  </w:style>
  <w:style w:type="paragraph" w:customStyle="1" w:styleId="Normalend">
    <w:name w:val="Normal_end"/>
    <w:basedOn w:val="Normal"/>
    <w:qFormat/>
    <w:rsid w:val="00B542A1"/>
  </w:style>
  <w:style w:type="paragraph" w:customStyle="1" w:styleId="ApptoAnnex">
    <w:name w:val="App_to_Annex"/>
    <w:basedOn w:val="AppendixNo"/>
    <w:qFormat/>
    <w:rsid w:val="00B542A1"/>
  </w:style>
  <w:style w:type="paragraph" w:customStyle="1" w:styleId="AppArttitle">
    <w:name w:val="App_Art_title"/>
    <w:basedOn w:val="Arttitle"/>
    <w:qFormat/>
    <w:rsid w:val="00B542A1"/>
  </w:style>
  <w:style w:type="paragraph" w:customStyle="1" w:styleId="AppArtNo">
    <w:name w:val="App_Art_No"/>
    <w:basedOn w:val="ArtNo"/>
    <w:qFormat/>
    <w:rsid w:val="00B542A1"/>
  </w:style>
  <w:style w:type="paragraph" w:customStyle="1" w:styleId="Committee">
    <w:name w:val="Committee"/>
    <w:basedOn w:val="Normal"/>
    <w:qFormat/>
    <w:rsid w:val="00B542A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B542A1"/>
  </w:style>
  <w:style w:type="paragraph" w:customStyle="1" w:styleId="Char">
    <w:name w:val="Char"/>
    <w:basedOn w:val="Normal"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rFonts w:ascii="Arial" w:eastAsia="Times New Roman" w:hAnsi="Arial"/>
      <w:sz w:val="20"/>
      <w:lang w:val="fr-FR" w:eastAsia="zh-CN"/>
    </w:rPr>
  </w:style>
  <w:style w:type="character" w:styleId="Hyperlink">
    <w:name w:val="Hyperlink"/>
    <w:basedOn w:val="DefaultParagraphFont"/>
    <w:uiPriority w:val="99"/>
    <w:rsid w:val="00B542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jc w:val="both"/>
      <w:textAlignment w:val="auto"/>
    </w:pPr>
    <w:rPr>
      <w:rFonts w:eastAsia="Times New Roman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B542A1"/>
    <w:pPr>
      <w:widowControl w:val="0"/>
      <w:spacing w:before="240" w:line="360" w:lineRule="atLeast"/>
      <w:ind w:left="0" w:firstLine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542A1"/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42A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B542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2A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ascii="Calibri" w:eastAsia="Times New Roman" w:hAnsi="Calibri" w:cs="Arial"/>
      <w:sz w:val="22"/>
      <w:szCs w:val="22"/>
      <w:lang w:val="en-US" w:eastAsia="zh-CN"/>
    </w:rPr>
  </w:style>
  <w:style w:type="paragraph" w:styleId="BodyText2">
    <w:name w:val="Body Text 2"/>
    <w:basedOn w:val="Normal"/>
    <w:link w:val="BodyText2Char"/>
    <w:rsid w:val="00B542A1"/>
    <w:pPr>
      <w:widowControl w:val="0"/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  <w:spacing w:line="360" w:lineRule="atLeast"/>
      <w:jc w:val="both"/>
    </w:pPr>
    <w:rPr>
      <w:rFonts w:eastAsia="Times New Roman"/>
      <w:szCs w:val="22"/>
    </w:rPr>
  </w:style>
  <w:style w:type="character" w:customStyle="1" w:styleId="BodyText2Char">
    <w:name w:val="Body Text 2 Char"/>
    <w:basedOn w:val="DefaultParagraphFont"/>
    <w:link w:val="BodyText2"/>
    <w:rsid w:val="00B542A1"/>
    <w:rPr>
      <w:rFonts w:ascii="Times New Roman" w:eastAsia="Times New Roman" w:hAnsi="Times New Roman"/>
      <w:sz w:val="24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ref">
    <w:name w:val="href"/>
    <w:rsid w:val="002E7E12"/>
    <w:rPr>
      <w:rFonts w:cs="Times New Roman"/>
    </w:rPr>
  </w:style>
  <w:style w:type="paragraph" w:customStyle="1" w:styleId="AnnexNotitle">
    <w:name w:val="Annex_No &amp; title"/>
    <w:basedOn w:val="Normal"/>
    <w:next w:val="Normal"/>
    <w:rsid w:val="0013139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rsid w:val="0028113C"/>
    <w:rPr>
      <w:rFonts w:ascii="STKaiti" w:eastAsia="STKaiti" w:hAnsi="STKaiti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0"/>
    <w:rsid w:val="00EA233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="Times New Roman"/>
      <w:b/>
      <w:sz w:val="28"/>
      <w:lang w:val="fr-FR"/>
    </w:rPr>
  </w:style>
  <w:style w:type="paragraph" w:customStyle="1" w:styleId="Tablefin">
    <w:name w:val="Table_fin"/>
    <w:basedOn w:val="Normal"/>
    <w:next w:val="Normal"/>
    <w:rsid w:val="00EA233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Times New Roman"/>
      <w:sz w:val="20"/>
    </w:rPr>
  </w:style>
  <w:style w:type="character" w:customStyle="1" w:styleId="TableNo0">
    <w:name w:val="Table_No Знак"/>
    <w:link w:val="TableNo"/>
    <w:locked/>
    <w:rsid w:val="00EA2332"/>
    <w:rPr>
      <w:rFonts w:ascii="Times New Roman" w:hAnsi="Times New Roman"/>
      <w:caps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EA2332"/>
    <w:rPr>
      <w:rFonts w:ascii="Times New Roman Bold" w:hAnsi="Times New Roman Bold"/>
      <w:b/>
      <w:sz w:val="28"/>
      <w:lang w:val="en-GB" w:eastAsia="en-US"/>
    </w:rPr>
  </w:style>
  <w:style w:type="paragraph" w:customStyle="1" w:styleId="Blanc">
    <w:name w:val="Blanc"/>
    <w:basedOn w:val="Normal"/>
    <w:next w:val="Tabletext"/>
    <w:rsid w:val="00CA3497"/>
    <w:pPr>
      <w:keepNext/>
      <w:keepLines/>
      <w:tabs>
        <w:tab w:val="clear" w:pos="1134"/>
        <w:tab w:val="clear" w:pos="1871"/>
        <w:tab w:val="clear" w:pos="2268"/>
      </w:tabs>
      <w:spacing w:before="0" w:line="340" w:lineRule="exact"/>
      <w:jc w:val="both"/>
    </w:pPr>
    <w:rPr>
      <w:sz w:val="16"/>
    </w:rPr>
  </w:style>
  <w:style w:type="character" w:customStyle="1" w:styleId="FigureNoChar">
    <w:name w:val="Figure_No Char"/>
    <w:link w:val="FigureNo"/>
    <w:locked/>
    <w:rsid w:val="00CA3497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locked/>
    <w:rsid w:val="00CA3497"/>
    <w:rPr>
      <w:rFonts w:ascii="Times New Roman Bold" w:hAnsi="Times New Roman Bold"/>
      <w:b/>
      <w:lang w:val="en-GB" w:eastAsia="en-US"/>
    </w:rPr>
  </w:style>
  <w:style w:type="paragraph" w:customStyle="1" w:styleId="TableText0">
    <w:name w:val="Table_Text"/>
    <w:basedOn w:val="Normal"/>
    <w:rsid w:val="00CA349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SG05-C-02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C-0194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D5EC-0305-4888-ABE3-B556919D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46</TotalTime>
  <Pages>1</Pages>
  <Words>1829</Words>
  <Characters>2475</Characters>
  <Application>Microsoft Office Word</Application>
  <DocSecurity>0</DocSecurity>
  <Lines>144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Xu, Hui</dc:creator>
  <cp:lastModifiedBy>Zheng, Bingyue</cp:lastModifiedBy>
  <cp:revision>35</cp:revision>
  <cp:lastPrinted>2015-10-20T16:38:00Z</cp:lastPrinted>
  <dcterms:created xsi:type="dcterms:W3CDTF">2015-10-20T14:18:00Z</dcterms:created>
  <dcterms:modified xsi:type="dcterms:W3CDTF">2015-10-20T16:39:00Z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