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271C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271CE">
            <w:pPr>
              <w:jc w:val="right"/>
              <w:rPr>
                <w:lang w:eastAsia="zh-CN"/>
              </w:rPr>
            </w:pPr>
            <w:bookmarkStart w:id="0" w:name="ditulogo"/>
            <w:bookmarkStart w:id="1" w:name="dtemplate"/>
            <w:bookmarkEnd w:id="0"/>
            <w:bookmarkEnd w:id="1"/>
            <w:r>
              <w:rPr>
                <w:noProof/>
                <w:lang w:val="en-US" w:eastAsia="zh-CN"/>
              </w:rPr>
              <w:drawing>
                <wp:inline distT="0" distB="0" distL="0" distR="0" wp14:anchorId="5E0E8163" wp14:editId="6D86997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271C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271C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271C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271CE">
            <w:pPr>
              <w:spacing w:before="0"/>
              <w:rPr>
                <w:rFonts w:ascii="Verdana" w:hAnsi="Verdana"/>
                <w:sz w:val="20"/>
                <w:lang w:eastAsia="zh-CN"/>
              </w:rPr>
            </w:pPr>
          </w:p>
        </w:tc>
      </w:tr>
      <w:tr w:rsidR="00943EBD" w:rsidRPr="00877D12">
        <w:trPr>
          <w:cantSplit/>
          <w:trHeight w:val="23"/>
        </w:trPr>
        <w:tc>
          <w:tcPr>
            <w:tcW w:w="6468" w:type="dxa"/>
            <w:vMerge w:val="restart"/>
          </w:tcPr>
          <w:p w:rsidR="00943EBD" w:rsidRPr="00026535" w:rsidRDefault="00026535" w:rsidP="009271CE">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rsidR="00943EBD" w:rsidRPr="00877D12" w:rsidRDefault="00943EBD" w:rsidP="002F3F57">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w:t>
            </w:r>
            <w:r w:rsidR="002F3F57">
              <w:rPr>
                <w:rFonts w:ascii="Verdana" w:hAnsi="Verdana"/>
                <w:b/>
                <w:sz w:val="20"/>
              </w:rPr>
              <w:t>20</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2F3F57">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0E5BFC">
              <w:rPr>
                <w:rFonts w:ascii="Verdana" w:hAnsi="Verdana"/>
                <w:b/>
                <w:sz w:val="20"/>
                <w:lang w:eastAsia="zh-CN"/>
              </w:rPr>
              <w:t>10</w:t>
            </w:r>
            <w:r w:rsidRPr="00877D12">
              <w:rPr>
                <w:rFonts w:ascii="Verdana" w:hAnsi="Verdana"/>
                <w:b/>
                <w:sz w:val="20"/>
                <w:lang w:eastAsia="zh-CN"/>
              </w:rPr>
              <w:t>月</w:t>
            </w:r>
            <w:r w:rsidR="002F3F57">
              <w:rPr>
                <w:rFonts w:ascii="Verdana" w:hAnsi="Verdana"/>
                <w:b/>
                <w:sz w:val="20"/>
                <w:lang w:eastAsia="zh-CN"/>
              </w:rPr>
              <w:t>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9271CE">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2F3F57" w:rsidRPr="00877D12">
        <w:trPr>
          <w:cantSplit/>
        </w:trPr>
        <w:tc>
          <w:tcPr>
            <w:tcW w:w="10031" w:type="dxa"/>
            <w:gridSpan w:val="2"/>
          </w:tcPr>
          <w:p w:rsidR="002F3F57" w:rsidRPr="00096B29" w:rsidRDefault="00DF197E" w:rsidP="00096B29">
            <w:pPr>
              <w:pStyle w:val="Source"/>
            </w:pPr>
            <w:bookmarkStart w:id="7" w:name="dsource" w:colFirst="0" w:colLast="0"/>
            <w:bookmarkEnd w:id="6"/>
            <w:proofErr w:type="spellStart"/>
            <w:r w:rsidRPr="00096B29">
              <w:rPr>
                <w:rFonts w:hint="eastAsia"/>
              </w:rPr>
              <w:t>埃及（阿拉伯共和国</w:t>
            </w:r>
            <w:proofErr w:type="spellEnd"/>
            <w:r w:rsidRPr="00096B29">
              <w:t>）</w:t>
            </w:r>
          </w:p>
        </w:tc>
      </w:tr>
      <w:bookmarkEnd w:id="7"/>
      <w:tr w:rsidR="002F3F57" w:rsidRPr="00877D12">
        <w:trPr>
          <w:cantSplit/>
        </w:trPr>
        <w:tc>
          <w:tcPr>
            <w:tcW w:w="10031" w:type="dxa"/>
            <w:gridSpan w:val="2"/>
          </w:tcPr>
          <w:p w:rsidR="002F3F57" w:rsidRDefault="00DF197E" w:rsidP="006E4FEB">
            <w:pPr>
              <w:pStyle w:val="ResNo"/>
              <w:rPr>
                <w:lang w:eastAsia="zh-CN"/>
              </w:rPr>
            </w:pPr>
            <w:r>
              <w:rPr>
                <w:lang w:eastAsia="zh-CN"/>
              </w:rPr>
              <w:t>ITU-R</w:t>
            </w:r>
            <w:r>
              <w:rPr>
                <w:rFonts w:hint="eastAsia"/>
                <w:lang w:eastAsia="zh-CN"/>
              </w:rPr>
              <w:t>新决议草</w:t>
            </w:r>
            <w:r>
              <w:rPr>
                <w:lang w:eastAsia="zh-CN"/>
              </w:rPr>
              <w:t>案</w:t>
            </w:r>
            <w:r w:rsidR="002F3F57">
              <w:rPr>
                <w:rFonts w:eastAsia="Calibri"/>
                <w:lang w:eastAsia="zh-CN"/>
              </w:rPr>
              <w:t>[</w:t>
            </w:r>
            <w:proofErr w:type="spellStart"/>
            <w:r w:rsidR="00EB35D2" w:rsidRPr="006E4FEB">
              <w:rPr>
                <w:rFonts w:hint="eastAsia"/>
              </w:rPr>
              <w:t>未经授权的服务提供</w:t>
            </w:r>
            <w:proofErr w:type="spellEnd"/>
            <w:r w:rsidR="002F3F57">
              <w:rPr>
                <w:rFonts w:eastAsia="Calibri"/>
                <w:lang w:eastAsia="zh-CN"/>
              </w:rPr>
              <w:t>]</w:t>
            </w:r>
          </w:p>
        </w:tc>
      </w:tr>
      <w:tr w:rsidR="002F3F57" w:rsidRPr="00877D12">
        <w:trPr>
          <w:cantSplit/>
        </w:trPr>
        <w:tc>
          <w:tcPr>
            <w:tcW w:w="10031" w:type="dxa"/>
            <w:gridSpan w:val="2"/>
          </w:tcPr>
          <w:p w:rsidR="002F3F57" w:rsidRDefault="002F3F57" w:rsidP="006E4FEB">
            <w:pPr>
              <w:pStyle w:val="Restitle"/>
              <w:rPr>
                <w:lang w:eastAsia="zh-CN"/>
              </w:rPr>
            </w:pPr>
            <w:r>
              <w:rPr>
                <w:lang w:eastAsia="zh-CN"/>
              </w:rPr>
              <w:t>[</w:t>
            </w:r>
            <w:proofErr w:type="spellStart"/>
            <w:r w:rsidR="00DF197E" w:rsidRPr="006E4FEB">
              <w:rPr>
                <w:rFonts w:hint="eastAsia"/>
              </w:rPr>
              <w:t>防止未经授权服务提供的指导原则</w:t>
            </w:r>
            <w:proofErr w:type="spellEnd"/>
            <w:r>
              <w:rPr>
                <w:lang w:eastAsia="zh-CN"/>
              </w:rPr>
              <w:t>]</w:t>
            </w:r>
          </w:p>
        </w:tc>
      </w:tr>
      <w:tr w:rsidR="002F3F57" w:rsidRPr="00C347B7">
        <w:trPr>
          <w:cantSplit/>
        </w:trPr>
        <w:tc>
          <w:tcPr>
            <w:tcW w:w="10031" w:type="dxa"/>
            <w:gridSpan w:val="2"/>
          </w:tcPr>
          <w:p w:rsidR="002F3F57" w:rsidRPr="00C347B7" w:rsidRDefault="002F3F57" w:rsidP="002F3F57">
            <w:pPr>
              <w:pStyle w:val="Restitle"/>
              <w:rPr>
                <w:rFonts w:ascii="Times New Roman" w:hAnsi="Times New Roman"/>
                <w:b w:val="0"/>
                <w:i/>
                <w:iCs/>
                <w:sz w:val="24"/>
                <w:lang w:eastAsia="zh-CN"/>
              </w:rPr>
            </w:pPr>
          </w:p>
        </w:tc>
      </w:tr>
    </w:tbl>
    <w:p w:rsidR="008E04FB" w:rsidRDefault="008E04FB" w:rsidP="00E36096">
      <w:pPr>
        <w:rPr>
          <w:lang w:val="fr-CH" w:eastAsia="zh-CN" w:bidi="ar-EG"/>
        </w:rPr>
      </w:pPr>
    </w:p>
    <w:p w:rsidR="00E36096" w:rsidRDefault="00E36096" w:rsidP="00E36096">
      <w:pPr>
        <w:rPr>
          <w:lang w:val="fr-CH" w:eastAsia="zh-CN" w:bidi="ar-EG"/>
        </w:rPr>
      </w:pPr>
    </w:p>
    <w:p w:rsidR="002F3F57" w:rsidRPr="00DF197E" w:rsidRDefault="002F3F57" w:rsidP="002F3F57">
      <w:pPr>
        <w:pStyle w:val="Headingb"/>
        <w:rPr>
          <w:lang w:val="en-US" w:eastAsia="zh-CN" w:bidi="ar-EG"/>
        </w:rPr>
      </w:pPr>
      <w:r>
        <w:rPr>
          <w:rFonts w:hint="eastAsia"/>
          <w:lang w:val="fr-CH" w:eastAsia="zh-CN" w:bidi="ar-EG"/>
        </w:rPr>
        <w:t>背景</w:t>
      </w:r>
    </w:p>
    <w:p w:rsidR="00120E20" w:rsidRDefault="00DF197E" w:rsidP="00120E20">
      <w:pPr>
        <w:ind w:firstLineChars="200" w:firstLine="480"/>
        <w:rPr>
          <w:lang w:eastAsia="zh-CN" w:bidi="ar-EG"/>
        </w:rPr>
      </w:pPr>
      <w:r w:rsidRPr="00DF197E">
        <w:rPr>
          <w:lang w:eastAsia="zh-CN" w:bidi="ar-EG"/>
        </w:rPr>
        <w:t>任何国家提供卫星固定和移动</w:t>
      </w:r>
      <w:r>
        <w:rPr>
          <w:rFonts w:hint="eastAsia"/>
          <w:lang w:eastAsia="zh-CN" w:bidi="ar-EG"/>
        </w:rPr>
        <w:t>业</w:t>
      </w:r>
      <w:r w:rsidRPr="00DF197E">
        <w:rPr>
          <w:lang w:eastAsia="zh-CN" w:bidi="ar-EG"/>
        </w:rPr>
        <w:t>务都受到国家监管体系</w:t>
      </w:r>
      <w:r>
        <w:rPr>
          <w:rFonts w:hint="eastAsia"/>
          <w:lang w:eastAsia="zh-CN" w:bidi="ar-EG"/>
        </w:rPr>
        <w:t>的规范</w:t>
      </w:r>
      <w:r w:rsidRPr="00DF197E">
        <w:rPr>
          <w:lang w:eastAsia="zh-CN" w:bidi="ar-EG"/>
        </w:rPr>
        <w:t>，</w:t>
      </w:r>
      <w:r>
        <w:rPr>
          <w:rFonts w:hint="eastAsia"/>
          <w:lang w:eastAsia="zh-CN" w:bidi="ar-EG"/>
        </w:rPr>
        <w:t>该</w:t>
      </w:r>
      <w:r>
        <w:rPr>
          <w:lang w:eastAsia="zh-CN" w:bidi="ar-EG"/>
        </w:rPr>
        <w:t>体系以</w:t>
      </w:r>
      <w:r w:rsidRPr="00DF197E">
        <w:rPr>
          <w:lang w:eastAsia="zh-CN" w:bidi="ar-EG"/>
        </w:rPr>
        <w:t>国家法</w:t>
      </w:r>
      <w:r>
        <w:rPr>
          <w:rFonts w:hint="eastAsia"/>
          <w:lang w:eastAsia="zh-CN" w:bidi="ar-EG"/>
        </w:rPr>
        <w:t>律</w:t>
      </w:r>
      <w:r w:rsidRPr="00DF197E">
        <w:rPr>
          <w:lang w:eastAsia="zh-CN" w:bidi="ar-EG"/>
        </w:rPr>
        <w:t>和</w:t>
      </w:r>
      <w:r>
        <w:rPr>
          <w:rFonts w:hint="eastAsia"/>
          <w:lang w:eastAsia="zh-CN" w:bidi="ar-EG"/>
        </w:rPr>
        <w:t>登陆权管理机构</w:t>
      </w:r>
      <w:r>
        <w:rPr>
          <w:lang w:eastAsia="zh-CN" w:bidi="ar-EG"/>
        </w:rPr>
        <w:t>为依据，</w:t>
      </w:r>
      <w:r w:rsidRPr="00DF197E">
        <w:rPr>
          <w:lang w:eastAsia="zh-CN" w:bidi="ar-EG"/>
        </w:rPr>
        <w:t>管辖其境内的电信服务提供。</w:t>
      </w:r>
    </w:p>
    <w:p w:rsidR="002F3F57" w:rsidRDefault="00926A47" w:rsidP="00926A47">
      <w:pPr>
        <w:ind w:firstLineChars="200" w:firstLine="480"/>
        <w:rPr>
          <w:lang w:eastAsia="zh-CN" w:bidi="ar-EG"/>
        </w:rPr>
      </w:pPr>
      <w:r>
        <w:rPr>
          <w:rFonts w:hint="eastAsia"/>
          <w:lang w:eastAsia="zh-CN" w:bidi="ar-EG"/>
        </w:rPr>
        <w:t>以</w:t>
      </w:r>
      <w:r w:rsidRPr="00DF197E">
        <w:rPr>
          <w:lang w:eastAsia="zh-CN" w:bidi="ar-EG"/>
        </w:rPr>
        <w:t>许可的形式</w:t>
      </w:r>
      <w:r>
        <w:rPr>
          <w:rFonts w:hint="eastAsia"/>
          <w:lang w:eastAsia="zh-CN" w:bidi="ar-EG"/>
        </w:rPr>
        <w:t>公布的</w:t>
      </w:r>
      <w:r w:rsidR="00DF197E" w:rsidRPr="00DF197E">
        <w:rPr>
          <w:lang w:eastAsia="zh-CN" w:bidi="ar-EG"/>
        </w:rPr>
        <w:t>技术和监管条件</w:t>
      </w:r>
      <w:r>
        <w:rPr>
          <w:rFonts w:hint="eastAsia"/>
          <w:lang w:eastAsia="zh-CN" w:bidi="ar-EG"/>
        </w:rPr>
        <w:t>旨在利</w:t>
      </w:r>
      <w:r w:rsidR="00DF197E" w:rsidRPr="00DF197E">
        <w:rPr>
          <w:lang w:eastAsia="zh-CN" w:bidi="ar-EG"/>
        </w:rPr>
        <w:t>用分配给卫星服务的频率带宽，</w:t>
      </w:r>
      <w:r>
        <w:rPr>
          <w:rFonts w:hint="eastAsia"/>
          <w:lang w:eastAsia="zh-CN" w:bidi="ar-EG"/>
        </w:rPr>
        <w:t>并</w:t>
      </w:r>
      <w:r w:rsidRPr="00DF197E">
        <w:rPr>
          <w:lang w:eastAsia="zh-CN" w:bidi="ar-EG"/>
        </w:rPr>
        <w:t>根据</w:t>
      </w:r>
      <w:r>
        <w:rPr>
          <w:rFonts w:hint="eastAsia"/>
          <w:lang w:eastAsia="zh-CN" w:bidi="ar-EG"/>
        </w:rPr>
        <w:t>相关</w:t>
      </w:r>
      <w:r>
        <w:rPr>
          <w:lang w:eastAsia="zh-CN" w:bidi="ar-EG"/>
        </w:rPr>
        <w:t>的《</w:t>
      </w:r>
      <w:r w:rsidRPr="00DF197E">
        <w:rPr>
          <w:lang w:eastAsia="zh-CN" w:bidi="ar-EG"/>
        </w:rPr>
        <w:t>无线电规则</w:t>
      </w:r>
      <w:r>
        <w:rPr>
          <w:lang w:eastAsia="zh-CN" w:bidi="ar-EG"/>
        </w:rPr>
        <w:t>》</w:t>
      </w:r>
      <w:r w:rsidRPr="00DF197E">
        <w:rPr>
          <w:lang w:eastAsia="zh-CN" w:bidi="ar-EG"/>
        </w:rPr>
        <w:t>在一定轨位</w:t>
      </w:r>
      <w:r w:rsidR="00DF197E" w:rsidRPr="00DF197E">
        <w:rPr>
          <w:lang w:eastAsia="zh-CN" w:bidi="ar-EG"/>
        </w:rPr>
        <w:t>投入使用</w:t>
      </w:r>
      <w:r>
        <w:rPr>
          <w:rFonts w:hint="eastAsia"/>
          <w:lang w:eastAsia="zh-CN" w:bidi="ar-EG"/>
        </w:rPr>
        <w:t>并发出</w:t>
      </w:r>
      <w:r w:rsidRPr="00DF197E">
        <w:rPr>
          <w:lang w:eastAsia="zh-CN" w:bidi="ar-EG"/>
        </w:rPr>
        <w:t>通知</w:t>
      </w:r>
      <w:r w:rsidR="00DF197E" w:rsidRPr="00DF197E">
        <w:rPr>
          <w:lang w:eastAsia="zh-CN" w:bidi="ar-EG"/>
        </w:rPr>
        <w:t>，这</w:t>
      </w:r>
      <w:r>
        <w:rPr>
          <w:rFonts w:hint="eastAsia"/>
          <w:lang w:eastAsia="zh-CN" w:bidi="ar-EG"/>
        </w:rPr>
        <w:t>使它</w:t>
      </w:r>
      <w:r>
        <w:rPr>
          <w:lang w:eastAsia="zh-CN" w:bidi="ar-EG"/>
        </w:rPr>
        <w:t>因遵守《</w:t>
      </w:r>
      <w:r w:rsidRPr="00DF197E">
        <w:rPr>
          <w:lang w:eastAsia="zh-CN" w:bidi="ar-EG"/>
        </w:rPr>
        <w:t>无线电规则</w:t>
      </w:r>
      <w:r>
        <w:rPr>
          <w:lang w:eastAsia="zh-CN" w:bidi="ar-EG"/>
        </w:rPr>
        <w:t>》</w:t>
      </w:r>
      <w:r>
        <w:rPr>
          <w:rFonts w:hint="eastAsia"/>
          <w:lang w:eastAsia="zh-CN" w:bidi="ar-EG"/>
        </w:rPr>
        <w:t>而获得</w:t>
      </w:r>
      <w:r w:rsidR="00DF197E" w:rsidRPr="00DF197E">
        <w:rPr>
          <w:lang w:eastAsia="zh-CN" w:bidi="ar-EG"/>
        </w:rPr>
        <w:t>国际</w:t>
      </w:r>
      <w:r>
        <w:rPr>
          <w:rFonts w:hint="eastAsia"/>
          <w:lang w:eastAsia="zh-CN" w:bidi="ar-EG"/>
        </w:rPr>
        <w:t>认可</w:t>
      </w:r>
      <w:r w:rsidR="00DF197E" w:rsidRPr="00DF197E">
        <w:rPr>
          <w:lang w:eastAsia="zh-CN" w:bidi="ar-EG"/>
        </w:rPr>
        <w:t>。</w:t>
      </w:r>
    </w:p>
    <w:p w:rsidR="002F3F57" w:rsidRDefault="00926A47" w:rsidP="00AA3071">
      <w:pPr>
        <w:ind w:firstLineChars="200" w:firstLine="480"/>
        <w:rPr>
          <w:rFonts w:asciiTheme="majorBidi" w:hAnsiTheme="majorBidi" w:cstheme="majorBidi" w:hint="eastAsia"/>
          <w:szCs w:val="24"/>
          <w:lang w:eastAsia="zh-CN" w:bidi="ar-EG"/>
        </w:rPr>
      </w:pPr>
      <w:r>
        <w:rPr>
          <w:rFonts w:asciiTheme="majorBidi" w:hAnsiTheme="majorBidi" w:cstheme="majorBidi" w:hint="eastAsia"/>
          <w:szCs w:val="24"/>
          <w:lang w:eastAsia="zh-CN" w:bidi="ar-EG"/>
        </w:rPr>
        <w:t>有鉴于此，</w:t>
      </w:r>
      <w:r>
        <w:rPr>
          <w:lang w:eastAsia="zh-CN" w:bidi="ar-EG"/>
        </w:rPr>
        <w:t>《</w:t>
      </w:r>
      <w:r w:rsidRPr="00DF197E">
        <w:rPr>
          <w:lang w:eastAsia="zh-CN" w:bidi="ar-EG"/>
        </w:rPr>
        <w:t>无线电规则</w:t>
      </w:r>
      <w:r>
        <w:rPr>
          <w:lang w:eastAsia="zh-CN" w:bidi="ar-EG"/>
        </w:rPr>
        <w:t>》</w:t>
      </w:r>
      <w:r>
        <w:rPr>
          <w:rFonts w:hint="eastAsia"/>
          <w:lang w:eastAsia="zh-CN" w:bidi="ar-EG"/>
        </w:rPr>
        <w:t>第</w:t>
      </w:r>
      <w:r>
        <w:rPr>
          <w:rFonts w:hint="eastAsia"/>
          <w:lang w:eastAsia="zh-CN" w:bidi="ar-EG"/>
        </w:rPr>
        <w:t>18</w:t>
      </w:r>
      <w:r>
        <w:rPr>
          <w:rFonts w:hint="eastAsia"/>
          <w:lang w:eastAsia="zh-CN" w:bidi="ar-EG"/>
        </w:rPr>
        <w:t>条，尤其是</w:t>
      </w:r>
      <w:r>
        <w:rPr>
          <w:lang w:eastAsia="zh-CN" w:bidi="ar-EG"/>
        </w:rPr>
        <w:t>第</w:t>
      </w:r>
      <w:r>
        <w:rPr>
          <w:rFonts w:asciiTheme="majorBidi" w:hAnsiTheme="majorBidi" w:cstheme="majorBidi"/>
          <w:szCs w:val="24"/>
          <w:lang w:eastAsia="zh-CN" w:bidi="ar-EG"/>
        </w:rPr>
        <w:t>18.1</w:t>
      </w:r>
      <w:r>
        <w:rPr>
          <w:rFonts w:asciiTheme="majorBidi" w:hAnsiTheme="majorBidi" w:cstheme="majorBidi" w:hint="eastAsia"/>
          <w:szCs w:val="24"/>
          <w:lang w:eastAsia="zh-CN" w:bidi="ar-EG"/>
        </w:rPr>
        <w:t>款指出</w:t>
      </w:r>
      <w:r w:rsidR="00AA3071">
        <w:rPr>
          <w:rFonts w:asciiTheme="majorBidi" w:hAnsiTheme="majorBidi" w:cstheme="majorBidi" w:hint="eastAsia"/>
          <w:szCs w:val="24"/>
          <w:lang w:eastAsia="zh-CN" w:bidi="ar-EG"/>
        </w:rPr>
        <w:t>：</w:t>
      </w:r>
      <w:r w:rsidR="002F3F57" w:rsidRPr="002F3F57">
        <w:rPr>
          <w:rFonts w:ascii="SimSun" w:hAnsi="SimSun" w:cstheme="majorBidi"/>
          <w:szCs w:val="24"/>
          <w:lang w:eastAsia="zh-CN" w:bidi="ar-EG"/>
        </w:rPr>
        <w:t>“</w:t>
      </w:r>
      <w:r w:rsidR="002F3F57" w:rsidRPr="002F3F57">
        <w:rPr>
          <w:rFonts w:ascii="STKaiti" w:eastAsia="STKaiti" w:hAnsi="STKaiti" w:cstheme="majorBidi" w:hint="eastAsia"/>
          <w:iCs/>
          <w:szCs w:val="24"/>
          <w:lang w:eastAsia="zh-CN" w:bidi="ar-EG"/>
        </w:rPr>
        <w:t>私人或任何企业，如果没有电台所属国政府或代表该政府按照本规则条款以某种适当的形式颁发的执照，不得设立或操作发射电台</w:t>
      </w:r>
      <w:r w:rsidR="002F3F57" w:rsidRPr="002F3F57">
        <w:rPr>
          <w:rFonts w:ascii="SimSun" w:hAnsi="SimSun" w:cstheme="majorBidi"/>
          <w:szCs w:val="24"/>
          <w:lang w:eastAsia="zh-CN" w:bidi="ar-EG"/>
        </w:rPr>
        <w:t>”</w:t>
      </w:r>
      <w:r w:rsidR="00FF2779">
        <w:rPr>
          <w:rFonts w:ascii="SimSun" w:hAnsi="SimSun" w:cstheme="majorBidi" w:hint="eastAsia"/>
          <w:szCs w:val="24"/>
          <w:lang w:eastAsia="zh-CN" w:bidi="ar-EG"/>
        </w:rPr>
        <w:t>。</w:t>
      </w:r>
    </w:p>
    <w:p w:rsidR="0027178A" w:rsidRDefault="00926A47" w:rsidP="0027178A">
      <w:pPr>
        <w:ind w:firstLineChars="200" w:firstLine="480"/>
        <w:rPr>
          <w:lang w:eastAsia="zh-CN" w:bidi="ar-EG"/>
        </w:rPr>
      </w:pPr>
      <w:r w:rsidRPr="00926A47">
        <w:rPr>
          <w:lang w:eastAsia="zh-CN" w:bidi="ar-EG"/>
        </w:rPr>
        <w:t>从根本上，</w:t>
      </w:r>
      <w:r>
        <w:rPr>
          <w:rFonts w:hint="eastAsia"/>
          <w:lang w:eastAsia="zh-CN" w:bidi="ar-EG"/>
        </w:rPr>
        <w:t>成</w:t>
      </w:r>
      <w:r w:rsidRPr="00926A47">
        <w:rPr>
          <w:lang w:eastAsia="zh-CN" w:bidi="ar-EG"/>
        </w:rPr>
        <w:t>员国能够通过控制港口，码头，海关和</w:t>
      </w:r>
      <w:r w:rsidRPr="00926A47">
        <w:rPr>
          <w:lang w:eastAsia="zh-CN" w:bidi="ar-EG"/>
        </w:rPr>
        <w:t>VSAT</w:t>
      </w:r>
      <w:r w:rsidRPr="00926A47">
        <w:rPr>
          <w:lang w:eastAsia="zh-CN" w:bidi="ar-EG"/>
        </w:rPr>
        <w:t>终端制造商执行其国家监管规定，以控制和监视在其领土上使用</w:t>
      </w:r>
      <w:r w:rsidR="0027178A">
        <w:rPr>
          <w:rFonts w:hint="eastAsia"/>
          <w:lang w:eastAsia="zh-CN" w:bidi="ar-EG"/>
        </w:rPr>
        <w:t>并根据</w:t>
      </w:r>
      <w:r w:rsidR="0027178A">
        <w:rPr>
          <w:lang w:eastAsia="zh-CN" w:bidi="ar-EG"/>
        </w:rPr>
        <w:t>其国内</w:t>
      </w:r>
      <w:r w:rsidR="0027178A" w:rsidRPr="00926A47">
        <w:rPr>
          <w:lang w:eastAsia="zh-CN" w:bidi="ar-EG"/>
        </w:rPr>
        <w:t>条款和条件</w:t>
      </w:r>
      <w:r w:rsidR="0027178A">
        <w:rPr>
          <w:lang w:eastAsia="zh-CN" w:bidi="ar-EG"/>
        </w:rPr>
        <w:t>与</w:t>
      </w:r>
      <w:r w:rsidR="0027178A" w:rsidRPr="00926A47">
        <w:rPr>
          <w:lang w:eastAsia="zh-CN" w:bidi="ar-EG"/>
        </w:rPr>
        <w:t>授权服务提供商绑定的</w:t>
      </w:r>
      <w:r w:rsidRPr="00926A47">
        <w:rPr>
          <w:lang w:eastAsia="zh-CN" w:bidi="ar-EG"/>
        </w:rPr>
        <w:t>VSAT</w:t>
      </w:r>
      <w:r w:rsidRPr="00926A47">
        <w:rPr>
          <w:lang w:eastAsia="zh-CN" w:bidi="ar-EG"/>
        </w:rPr>
        <w:t>终端。</w:t>
      </w:r>
    </w:p>
    <w:p w:rsidR="002F3F57" w:rsidRDefault="00926A47" w:rsidP="0027178A">
      <w:pPr>
        <w:ind w:firstLineChars="200" w:firstLine="480"/>
        <w:rPr>
          <w:lang w:eastAsia="zh-CN" w:bidi="ar-EG"/>
        </w:rPr>
      </w:pPr>
      <w:r w:rsidRPr="00926A47">
        <w:rPr>
          <w:lang w:eastAsia="zh-CN" w:bidi="ar-EG"/>
        </w:rPr>
        <w:t>然而，</w:t>
      </w:r>
      <w:r w:rsidR="0027178A">
        <w:rPr>
          <w:rFonts w:hint="eastAsia"/>
          <w:lang w:eastAsia="zh-CN" w:bidi="ar-EG"/>
        </w:rPr>
        <w:t>由于</w:t>
      </w:r>
      <w:r w:rsidRPr="00926A47">
        <w:rPr>
          <w:lang w:eastAsia="zh-CN" w:bidi="ar-EG"/>
        </w:rPr>
        <w:t>卫星技术的进步，</w:t>
      </w:r>
      <w:r w:rsidR="0027178A">
        <w:rPr>
          <w:rFonts w:hint="eastAsia"/>
          <w:lang w:eastAsia="zh-CN" w:bidi="ar-EG"/>
        </w:rPr>
        <w:t>人们</w:t>
      </w:r>
      <w:r w:rsidRPr="00926A47">
        <w:rPr>
          <w:lang w:eastAsia="zh-CN" w:bidi="ar-EG"/>
        </w:rPr>
        <w:t>注意到，</w:t>
      </w:r>
      <w:r w:rsidR="0027178A">
        <w:rPr>
          <w:rFonts w:hint="eastAsia"/>
          <w:lang w:eastAsia="zh-CN" w:bidi="ar-EG"/>
        </w:rPr>
        <w:t>部分</w:t>
      </w:r>
      <w:r w:rsidRPr="00926A47">
        <w:rPr>
          <w:lang w:eastAsia="zh-CN" w:bidi="ar-EG"/>
        </w:rPr>
        <w:t>实体（未</w:t>
      </w:r>
      <w:r w:rsidR="0027178A">
        <w:rPr>
          <w:rFonts w:hint="eastAsia"/>
          <w:lang w:eastAsia="zh-CN" w:bidi="ar-EG"/>
        </w:rPr>
        <w:t>获得</w:t>
      </w:r>
      <w:r w:rsidR="0027178A" w:rsidRPr="00926A47">
        <w:rPr>
          <w:lang w:eastAsia="zh-CN" w:bidi="ar-EG"/>
        </w:rPr>
        <w:t>在成员国境内</w:t>
      </w:r>
      <w:r w:rsidRPr="00926A47">
        <w:rPr>
          <w:lang w:eastAsia="zh-CN" w:bidi="ar-EG"/>
        </w:rPr>
        <w:t>提供服务</w:t>
      </w:r>
      <w:r w:rsidR="0027178A" w:rsidRPr="00926A47">
        <w:rPr>
          <w:lang w:eastAsia="zh-CN" w:bidi="ar-EG"/>
        </w:rPr>
        <w:t>的授权或许可</w:t>
      </w:r>
      <w:r w:rsidRPr="00926A47">
        <w:rPr>
          <w:lang w:eastAsia="zh-CN" w:bidi="ar-EG"/>
        </w:rPr>
        <w:t>）</w:t>
      </w:r>
      <w:r w:rsidR="0027178A">
        <w:rPr>
          <w:rFonts w:hint="eastAsia"/>
          <w:lang w:eastAsia="zh-CN" w:bidi="ar-EG"/>
        </w:rPr>
        <w:t>在</w:t>
      </w:r>
      <w:r w:rsidR="0027178A">
        <w:rPr>
          <w:lang w:eastAsia="zh-CN" w:bidi="ar-EG"/>
        </w:rPr>
        <w:t>未</w:t>
      </w:r>
      <w:r w:rsidR="0027178A" w:rsidRPr="00926A47">
        <w:rPr>
          <w:lang w:eastAsia="zh-CN" w:bidi="ar-EG"/>
        </w:rPr>
        <w:t>按照</w:t>
      </w:r>
      <w:r w:rsidR="0027178A">
        <w:rPr>
          <w:rFonts w:hint="eastAsia"/>
          <w:lang w:eastAsia="zh-CN" w:bidi="ar-EG"/>
        </w:rPr>
        <w:t>第</w:t>
      </w:r>
      <w:r w:rsidR="0027178A" w:rsidRPr="00926A47">
        <w:rPr>
          <w:lang w:eastAsia="zh-CN" w:bidi="ar-EG"/>
        </w:rPr>
        <w:t>18.1</w:t>
      </w:r>
      <w:r w:rsidR="0027178A">
        <w:rPr>
          <w:rFonts w:hint="eastAsia"/>
          <w:lang w:eastAsia="zh-CN" w:bidi="ar-EG"/>
        </w:rPr>
        <w:t>款</w:t>
      </w:r>
      <w:r w:rsidR="0027178A" w:rsidRPr="00926A47">
        <w:rPr>
          <w:lang w:eastAsia="zh-CN" w:bidi="ar-EG"/>
        </w:rPr>
        <w:t>授予</w:t>
      </w:r>
      <w:r w:rsidR="0027178A">
        <w:rPr>
          <w:rFonts w:hint="eastAsia"/>
          <w:lang w:eastAsia="zh-CN" w:bidi="ar-EG"/>
        </w:rPr>
        <w:t>充分许可</w:t>
      </w:r>
      <w:r w:rsidR="0027178A">
        <w:rPr>
          <w:lang w:eastAsia="zh-CN" w:bidi="ar-EG"/>
        </w:rPr>
        <w:t>的情况下，</w:t>
      </w:r>
      <w:r w:rsidR="0027178A" w:rsidRPr="00926A47">
        <w:rPr>
          <w:lang w:eastAsia="zh-CN" w:bidi="ar-EG"/>
        </w:rPr>
        <w:t>运营</w:t>
      </w:r>
      <w:r w:rsidR="0027178A" w:rsidRPr="00926A47">
        <w:rPr>
          <w:lang w:eastAsia="zh-CN" w:bidi="ar-EG"/>
        </w:rPr>
        <w:t>VSAT</w:t>
      </w:r>
      <w:r w:rsidR="0027178A" w:rsidRPr="00926A47">
        <w:rPr>
          <w:lang w:eastAsia="zh-CN" w:bidi="ar-EG"/>
        </w:rPr>
        <w:t>终端</w:t>
      </w:r>
      <w:r w:rsidR="0027178A">
        <w:rPr>
          <w:rFonts w:hint="eastAsia"/>
          <w:lang w:eastAsia="zh-CN" w:bidi="ar-EG"/>
        </w:rPr>
        <w:t>并</w:t>
      </w:r>
      <w:r w:rsidRPr="00926A47">
        <w:rPr>
          <w:lang w:eastAsia="zh-CN" w:bidi="ar-EG"/>
        </w:rPr>
        <w:t>从卫星网络获得电信服务。</w:t>
      </w:r>
    </w:p>
    <w:p w:rsidR="00DE6959" w:rsidRDefault="00DE6959">
      <w:pPr>
        <w:tabs>
          <w:tab w:val="clear" w:pos="1134"/>
          <w:tab w:val="clear" w:pos="1871"/>
          <w:tab w:val="clear" w:pos="2268"/>
        </w:tabs>
        <w:overflowPunct/>
        <w:autoSpaceDE/>
        <w:autoSpaceDN/>
        <w:adjustRightInd/>
        <w:spacing w:before="0"/>
        <w:textAlignment w:val="auto"/>
        <w:rPr>
          <w:lang w:eastAsia="zh-CN" w:bidi="ar-EG"/>
        </w:rPr>
      </w:pPr>
      <w:r>
        <w:rPr>
          <w:lang w:eastAsia="zh-CN" w:bidi="ar-EG"/>
        </w:rPr>
        <w:br w:type="page"/>
      </w:r>
    </w:p>
    <w:p w:rsidR="002F3F57" w:rsidRDefault="002F3F57" w:rsidP="002F3F57">
      <w:pPr>
        <w:pStyle w:val="Headingb"/>
        <w:rPr>
          <w:lang w:eastAsia="zh-CN" w:bidi="ar-EG"/>
        </w:rPr>
      </w:pPr>
      <w:r>
        <w:rPr>
          <w:rFonts w:hint="eastAsia"/>
          <w:lang w:eastAsia="zh-CN" w:bidi="ar-EG"/>
        </w:rPr>
        <w:lastRenderedPageBreak/>
        <w:t>提案</w:t>
      </w:r>
    </w:p>
    <w:p w:rsidR="0024492A" w:rsidRDefault="0024492A" w:rsidP="0024492A">
      <w:pPr>
        <w:ind w:firstLineChars="200" w:firstLine="480"/>
        <w:rPr>
          <w:rFonts w:asciiTheme="majorBidi" w:hAnsiTheme="majorBidi" w:cstheme="majorBidi"/>
          <w:szCs w:val="24"/>
          <w:lang w:eastAsia="zh-CN" w:bidi="ar-EG"/>
        </w:rPr>
      </w:pPr>
      <w:r w:rsidRPr="0027178A">
        <w:rPr>
          <w:rFonts w:asciiTheme="majorBidi" w:hAnsiTheme="majorBidi" w:cstheme="majorBidi"/>
          <w:szCs w:val="24"/>
          <w:lang w:eastAsia="zh-CN" w:bidi="ar-EG"/>
        </w:rPr>
        <w:t>可以</w:t>
      </w:r>
      <w:r>
        <w:rPr>
          <w:rFonts w:asciiTheme="majorBidi" w:hAnsiTheme="majorBidi" w:cstheme="majorBidi" w:hint="eastAsia"/>
          <w:szCs w:val="24"/>
          <w:lang w:eastAsia="zh-CN" w:bidi="ar-EG"/>
        </w:rPr>
        <w:t>认为</w:t>
      </w:r>
      <w:r w:rsidR="0027178A" w:rsidRPr="0027178A">
        <w:rPr>
          <w:rFonts w:asciiTheme="majorBidi" w:hAnsiTheme="majorBidi" w:cstheme="majorBidi"/>
          <w:szCs w:val="24"/>
          <w:lang w:eastAsia="zh-CN" w:bidi="ar-EG"/>
        </w:rPr>
        <w:t>这类型行</w:t>
      </w:r>
      <w:r>
        <w:rPr>
          <w:rFonts w:asciiTheme="majorBidi" w:hAnsiTheme="majorBidi" w:cstheme="majorBidi" w:hint="eastAsia"/>
          <w:szCs w:val="24"/>
          <w:lang w:eastAsia="zh-CN" w:bidi="ar-EG"/>
        </w:rPr>
        <w:t>动</w:t>
      </w:r>
      <w:r w:rsidR="0027178A" w:rsidRPr="0027178A">
        <w:rPr>
          <w:rFonts w:asciiTheme="majorBidi" w:hAnsiTheme="majorBidi" w:cstheme="majorBidi"/>
          <w:szCs w:val="24"/>
          <w:lang w:eastAsia="zh-CN" w:bidi="ar-EG"/>
        </w:rPr>
        <w:t>侵</w:t>
      </w:r>
      <w:r>
        <w:rPr>
          <w:rFonts w:asciiTheme="majorBidi" w:hAnsiTheme="majorBidi" w:cstheme="majorBidi" w:hint="eastAsia"/>
          <w:szCs w:val="24"/>
          <w:lang w:eastAsia="zh-CN" w:bidi="ar-EG"/>
        </w:rPr>
        <w:t>害了</w:t>
      </w:r>
      <w:r w:rsidR="0027178A" w:rsidRPr="0027178A">
        <w:rPr>
          <w:rFonts w:asciiTheme="majorBidi" w:hAnsiTheme="majorBidi" w:cstheme="majorBidi"/>
          <w:szCs w:val="24"/>
          <w:lang w:eastAsia="zh-CN" w:bidi="ar-EG"/>
        </w:rPr>
        <w:t>国家主权和</w:t>
      </w:r>
      <w:r>
        <w:rPr>
          <w:rFonts w:asciiTheme="majorBidi" w:hAnsiTheme="majorBidi" w:cstheme="majorBidi" w:hint="eastAsia"/>
          <w:szCs w:val="24"/>
          <w:lang w:eastAsia="zh-CN" w:bidi="ar-EG"/>
        </w:rPr>
        <w:t>《</w:t>
      </w:r>
      <w:r w:rsidR="0027178A" w:rsidRPr="0027178A">
        <w:rPr>
          <w:rFonts w:asciiTheme="majorBidi" w:hAnsiTheme="majorBidi" w:cstheme="majorBidi"/>
          <w:szCs w:val="24"/>
          <w:lang w:eastAsia="zh-CN" w:bidi="ar-EG"/>
        </w:rPr>
        <w:t>无线电规则</w:t>
      </w:r>
      <w:r>
        <w:rPr>
          <w:rFonts w:asciiTheme="majorBidi" w:hAnsiTheme="majorBidi" w:cstheme="majorBidi"/>
          <w:szCs w:val="24"/>
          <w:lang w:eastAsia="zh-CN" w:bidi="ar-EG"/>
        </w:rPr>
        <w:t>》</w:t>
      </w:r>
      <w:r w:rsidR="0027178A" w:rsidRPr="0027178A">
        <w:rPr>
          <w:rFonts w:asciiTheme="majorBidi" w:hAnsiTheme="majorBidi" w:cstheme="majorBidi"/>
          <w:szCs w:val="24"/>
          <w:lang w:eastAsia="zh-CN" w:bidi="ar-EG"/>
        </w:rPr>
        <w:t>，使</w:t>
      </w:r>
      <w:r w:rsidR="0027178A" w:rsidRPr="0027178A">
        <w:rPr>
          <w:rFonts w:asciiTheme="majorBidi" w:hAnsiTheme="majorBidi" w:cstheme="majorBidi"/>
          <w:szCs w:val="24"/>
          <w:lang w:eastAsia="zh-CN" w:bidi="ar-EG"/>
        </w:rPr>
        <w:t>VSAT</w:t>
      </w:r>
      <w:r w:rsidR="0027178A" w:rsidRPr="0027178A">
        <w:rPr>
          <w:rFonts w:asciiTheme="majorBidi" w:hAnsiTheme="majorBidi" w:cstheme="majorBidi"/>
          <w:szCs w:val="24"/>
          <w:lang w:eastAsia="zh-CN" w:bidi="ar-EG"/>
        </w:rPr>
        <w:t>终端</w:t>
      </w:r>
      <w:r>
        <w:rPr>
          <w:rFonts w:asciiTheme="majorBidi" w:hAnsiTheme="majorBidi" w:cstheme="majorBidi" w:hint="eastAsia"/>
          <w:szCs w:val="24"/>
          <w:lang w:eastAsia="zh-CN" w:bidi="ar-EG"/>
        </w:rPr>
        <w:t>得以</w:t>
      </w:r>
      <w:r w:rsidR="0027178A" w:rsidRPr="0027178A">
        <w:rPr>
          <w:rFonts w:asciiTheme="majorBidi" w:hAnsiTheme="majorBidi" w:cstheme="majorBidi"/>
          <w:szCs w:val="24"/>
          <w:lang w:eastAsia="zh-CN" w:bidi="ar-EG"/>
        </w:rPr>
        <w:t>走私</w:t>
      </w:r>
      <w:r>
        <w:rPr>
          <w:rFonts w:asciiTheme="majorBidi" w:hAnsiTheme="majorBidi" w:cstheme="majorBidi" w:hint="eastAsia"/>
          <w:szCs w:val="24"/>
          <w:lang w:eastAsia="zh-CN" w:bidi="ar-EG"/>
        </w:rPr>
        <w:t>入境成</w:t>
      </w:r>
      <w:r w:rsidRPr="0027178A">
        <w:rPr>
          <w:rFonts w:asciiTheme="majorBidi" w:hAnsiTheme="majorBidi" w:cstheme="majorBidi"/>
          <w:szCs w:val="24"/>
          <w:lang w:eastAsia="zh-CN" w:bidi="ar-EG"/>
        </w:rPr>
        <w:t>员国</w:t>
      </w:r>
      <w:r>
        <w:rPr>
          <w:rFonts w:asciiTheme="majorBidi" w:hAnsiTheme="majorBidi" w:cstheme="majorBidi" w:hint="eastAsia"/>
          <w:szCs w:val="24"/>
          <w:lang w:eastAsia="zh-CN" w:bidi="ar-EG"/>
        </w:rPr>
        <w:t>，未经</w:t>
      </w:r>
      <w:r w:rsidRPr="0027178A">
        <w:rPr>
          <w:rFonts w:asciiTheme="majorBidi" w:hAnsiTheme="majorBidi" w:cstheme="majorBidi"/>
          <w:szCs w:val="24"/>
          <w:lang w:eastAsia="zh-CN" w:bidi="ar-EG"/>
        </w:rPr>
        <w:t>授权</w:t>
      </w:r>
      <w:r>
        <w:rPr>
          <w:rFonts w:asciiTheme="majorBidi" w:hAnsiTheme="majorBidi" w:cstheme="majorBidi" w:hint="eastAsia"/>
          <w:szCs w:val="24"/>
          <w:lang w:eastAsia="zh-CN" w:bidi="ar-EG"/>
        </w:rPr>
        <w:t>的</w:t>
      </w:r>
      <w:r w:rsidRPr="0027178A">
        <w:rPr>
          <w:rFonts w:asciiTheme="majorBidi" w:hAnsiTheme="majorBidi" w:cstheme="majorBidi"/>
          <w:szCs w:val="24"/>
          <w:lang w:eastAsia="zh-CN" w:bidi="ar-EG"/>
        </w:rPr>
        <w:t>服务供应商直接或间接</w:t>
      </w:r>
      <w:r>
        <w:rPr>
          <w:rFonts w:asciiTheme="majorBidi" w:hAnsiTheme="majorBidi" w:cstheme="majorBidi" w:hint="eastAsia"/>
          <w:szCs w:val="24"/>
          <w:lang w:eastAsia="zh-CN" w:bidi="ar-EG"/>
        </w:rPr>
        <w:t>地与</w:t>
      </w:r>
      <w:r w:rsidRPr="0027178A">
        <w:rPr>
          <w:rFonts w:asciiTheme="majorBidi" w:hAnsiTheme="majorBidi" w:cstheme="majorBidi"/>
          <w:szCs w:val="24"/>
          <w:lang w:eastAsia="zh-CN" w:bidi="ar-EG"/>
        </w:rPr>
        <w:t>卫星运营商</w:t>
      </w:r>
      <w:r>
        <w:rPr>
          <w:rFonts w:asciiTheme="majorBidi" w:hAnsiTheme="majorBidi" w:cstheme="majorBidi" w:hint="eastAsia"/>
          <w:szCs w:val="24"/>
          <w:lang w:eastAsia="zh-CN" w:bidi="ar-EG"/>
        </w:rPr>
        <w:t>订立合同，通过</w:t>
      </w:r>
      <w:r w:rsidRPr="0027178A">
        <w:rPr>
          <w:rFonts w:asciiTheme="majorBidi" w:hAnsiTheme="majorBidi" w:cstheme="majorBidi"/>
          <w:szCs w:val="24"/>
          <w:lang w:eastAsia="zh-CN" w:bidi="ar-EG"/>
        </w:rPr>
        <w:t>卫星网络</w:t>
      </w:r>
      <w:r w:rsidR="0027178A" w:rsidRPr="0027178A">
        <w:rPr>
          <w:rFonts w:asciiTheme="majorBidi" w:hAnsiTheme="majorBidi" w:cstheme="majorBidi"/>
          <w:szCs w:val="24"/>
          <w:lang w:eastAsia="zh-CN" w:bidi="ar-EG"/>
        </w:rPr>
        <w:t>获得服务。</w:t>
      </w:r>
    </w:p>
    <w:p w:rsidR="00EB35D2" w:rsidRDefault="0027178A" w:rsidP="00EB35D2">
      <w:pPr>
        <w:ind w:firstLineChars="200" w:firstLine="480"/>
        <w:rPr>
          <w:rFonts w:asciiTheme="majorBidi" w:hAnsiTheme="majorBidi" w:cstheme="majorBidi"/>
          <w:szCs w:val="24"/>
          <w:lang w:eastAsia="zh-CN" w:bidi="ar-EG"/>
        </w:rPr>
      </w:pPr>
      <w:r w:rsidRPr="0027178A">
        <w:rPr>
          <w:rFonts w:asciiTheme="majorBidi" w:hAnsiTheme="majorBidi" w:cstheme="majorBidi"/>
          <w:szCs w:val="24"/>
          <w:lang w:eastAsia="zh-CN" w:bidi="ar-EG"/>
        </w:rPr>
        <w:t>考虑到</w:t>
      </w:r>
      <w:r w:rsidRPr="0027178A">
        <w:rPr>
          <w:rFonts w:asciiTheme="majorBidi" w:hAnsiTheme="majorBidi" w:cstheme="majorBidi"/>
          <w:szCs w:val="24"/>
          <w:lang w:eastAsia="zh-CN" w:bidi="ar-EG"/>
        </w:rPr>
        <w:t>VSAT</w:t>
      </w:r>
      <w:r w:rsidRPr="0027178A">
        <w:rPr>
          <w:rFonts w:asciiTheme="majorBidi" w:hAnsiTheme="majorBidi" w:cstheme="majorBidi"/>
          <w:szCs w:val="24"/>
          <w:lang w:eastAsia="zh-CN" w:bidi="ar-EG"/>
        </w:rPr>
        <w:t>终端</w:t>
      </w:r>
      <w:r w:rsidR="0024492A">
        <w:rPr>
          <w:rFonts w:asciiTheme="majorBidi" w:hAnsiTheme="majorBidi" w:cstheme="majorBidi" w:hint="eastAsia"/>
          <w:szCs w:val="24"/>
          <w:lang w:eastAsia="zh-CN" w:bidi="ar-EG"/>
        </w:rPr>
        <w:t>得到普及</w:t>
      </w:r>
      <w:r w:rsidRPr="0027178A">
        <w:rPr>
          <w:rFonts w:asciiTheme="majorBidi" w:hAnsiTheme="majorBidi" w:cstheme="majorBidi"/>
          <w:szCs w:val="24"/>
          <w:lang w:eastAsia="zh-CN" w:bidi="ar-EG"/>
        </w:rPr>
        <w:t>，</w:t>
      </w:r>
      <w:r w:rsidR="0024492A" w:rsidRPr="0027178A">
        <w:rPr>
          <w:rFonts w:asciiTheme="majorBidi" w:hAnsiTheme="majorBidi" w:cstheme="majorBidi"/>
          <w:szCs w:val="24"/>
          <w:lang w:eastAsia="zh-CN" w:bidi="ar-EG"/>
        </w:rPr>
        <w:t>发展中成员</w:t>
      </w:r>
      <w:r w:rsidR="0024492A">
        <w:rPr>
          <w:rFonts w:asciiTheme="majorBidi" w:hAnsiTheme="majorBidi" w:cstheme="majorBidi" w:hint="eastAsia"/>
          <w:szCs w:val="24"/>
          <w:lang w:eastAsia="zh-CN" w:bidi="ar-EG"/>
        </w:rPr>
        <w:t>国</w:t>
      </w:r>
      <w:r w:rsidR="0024492A">
        <w:rPr>
          <w:rFonts w:asciiTheme="majorBidi" w:hAnsiTheme="majorBidi" w:cstheme="majorBidi"/>
          <w:szCs w:val="24"/>
          <w:lang w:eastAsia="zh-CN" w:bidi="ar-EG"/>
        </w:rPr>
        <w:t>很难</w:t>
      </w:r>
      <w:r w:rsidRPr="0027178A">
        <w:rPr>
          <w:rFonts w:asciiTheme="majorBidi" w:hAnsiTheme="majorBidi" w:cstheme="majorBidi"/>
          <w:szCs w:val="24"/>
          <w:lang w:eastAsia="zh-CN" w:bidi="ar-EG"/>
        </w:rPr>
        <w:t>监测和</w:t>
      </w:r>
      <w:r w:rsidR="00EB35D2" w:rsidRPr="0027178A">
        <w:rPr>
          <w:rFonts w:asciiTheme="majorBidi" w:hAnsiTheme="majorBidi" w:cstheme="majorBidi"/>
          <w:szCs w:val="24"/>
          <w:lang w:eastAsia="zh-CN" w:bidi="ar-EG"/>
        </w:rPr>
        <w:t>定位这些</w:t>
      </w:r>
      <w:r w:rsidR="00EB35D2">
        <w:rPr>
          <w:rFonts w:asciiTheme="majorBidi" w:hAnsiTheme="majorBidi" w:cstheme="majorBidi" w:hint="eastAsia"/>
          <w:szCs w:val="24"/>
          <w:lang w:eastAsia="zh-CN" w:bidi="ar-EG"/>
        </w:rPr>
        <w:t>源于其境内</w:t>
      </w:r>
      <w:r w:rsidR="00EB35D2">
        <w:rPr>
          <w:rFonts w:asciiTheme="majorBidi" w:hAnsiTheme="majorBidi" w:cstheme="majorBidi"/>
          <w:szCs w:val="24"/>
          <w:lang w:eastAsia="zh-CN" w:bidi="ar-EG"/>
        </w:rPr>
        <w:t>的</w:t>
      </w:r>
      <w:r w:rsidRPr="0027178A">
        <w:rPr>
          <w:rFonts w:asciiTheme="majorBidi" w:hAnsiTheme="majorBidi" w:cstheme="majorBidi"/>
          <w:szCs w:val="24"/>
          <w:lang w:eastAsia="zh-CN" w:bidi="ar-EG"/>
        </w:rPr>
        <w:t>未经授权的</w:t>
      </w:r>
      <w:r w:rsidR="00EB35D2">
        <w:rPr>
          <w:rFonts w:asciiTheme="majorBidi" w:hAnsiTheme="majorBidi" w:cstheme="majorBidi" w:hint="eastAsia"/>
          <w:szCs w:val="24"/>
          <w:lang w:eastAsia="zh-CN" w:bidi="ar-EG"/>
        </w:rPr>
        <w:t>发射</w:t>
      </w:r>
      <w:r w:rsidRPr="0027178A">
        <w:rPr>
          <w:rFonts w:asciiTheme="majorBidi" w:hAnsiTheme="majorBidi" w:cstheme="majorBidi"/>
          <w:szCs w:val="24"/>
          <w:lang w:eastAsia="zh-CN" w:bidi="ar-EG"/>
        </w:rPr>
        <w:t>，另外</w:t>
      </w:r>
      <w:r w:rsidR="00EB35D2">
        <w:rPr>
          <w:rFonts w:asciiTheme="majorBidi" w:hAnsiTheme="majorBidi" w:cstheme="majorBidi" w:hint="eastAsia"/>
          <w:szCs w:val="24"/>
          <w:lang w:eastAsia="zh-CN" w:bidi="ar-EG"/>
        </w:rPr>
        <w:t>《</w:t>
      </w:r>
      <w:r w:rsidRPr="0027178A">
        <w:rPr>
          <w:rFonts w:asciiTheme="majorBidi" w:hAnsiTheme="majorBidi" w:cstheme="majorBidi"/>
          <w:szCs w:val="24"/>
          <w:lang w:eastAsia="zh-CN" w:bidi="ar-EG"/>
        </w:rPr>
        <w:t>无线电规则</w:t>
      </w:r>
      <w:r w:rsidR="00EB35D2">
        <w:rPr>
          <w:rFonts w:asciiTheme="majorBidi" w:hAnsiTheme="majorBidi" w:cstheme="majorBidi"/>
          <w:szCs w:val="24"/>
          <w:lang w:eastAsia="zh-CN" w:bidi="ar-EG"/>
        </w:rPr>
        <w:t>》</w:t>
      </w:r>
      <w:r w:rsidRPr="0027178A">
        <w:rPr>
          <w:rFonts w:asciiTheme="majorBidi" w:hAnsiTheme="majorBidi" w:cstheme="majorBidi"/>
          <w:szCs w:val="24"/>
          <w:lang w:eastAsia="zh-CN" w:bidi="ar-EG"/>
        </w:rPr>
        <w:t>并</w:t>
      </w:r>
      <w:r w:rsidR="00EB35D2">
        <w:rPr>
          <w:rFonts w:asciiTheme="majorBidi" w:hAnsiTheme="majorBidi" w:cstheme="majorBidi" w:hint="eastAsia"/>
          <w:szCs w:val="24"/>
          <w:lang w:eastAsia="zh-CN" w:bidi="ar-EG"/>
        </w:rPr>
        <w:t>未说明</w:t>
      </w:r>
      <w:r w:rsidR="00EB35D2" w:rsidRPr="0027178A">
        <w:rPr>
          <w:rFonts w:asciiTheme="majorBidi" w:hAnsiTheme="majorBidi" w:cstheme="majorBidi"/>
          <w:szCs w:val="24"/>
          <w:lang w:eastAsia="zh-CN" w:bidi="ar-EG"/>
        </w:rPr>
        <w:t>可能</w:t>
      </w:r>
      <w:r w:rsidRPr="0027178A">
        <w:rPr>
          <w:rFonts w:asciiTheme="majorBidi" w:hAnsiTheme="majorBidi" w:cstheme="majorBidi"/>
          <w:szCs w:val="24"/>
          <w:lang w:eastAsia="zh-CN" w:bidi="ar-EG"/>
        </w:rPr>
        <w:t>对这些</w:t>
      </w:r>
      <w:r w:rsidR="00EB35D2">
        <w:rPr>
          <w:rFonts w:asciiTheme="majorBidi" w:hAnsiTheme="majorBidi" w:cstheme="majorBidi" w:hint="eastAsia"/>
          <w:szCs w:val="24"/>
          <w:lang w:eastAsia="zh-CN" w:bidi="ar-EG"/>
        </w:rPr>
        <w:t>未经</w:t>
      </w:r>
      <w:r w:rsidR="00EB35D2" w:rsidRPr="0027178A">
        <w:rPr>
          <w:rFonts w:asciiTheme="majorBidi" w:hAnsiTheme="majorBidi" w:cstheme="majorBidi"/>
          <w:szCs w:val="24"/>
          <w:lang w:eastAsia="zh-CN" w:bidi="ar-EG"/>
        </w:rPr>
        <w:t>授权</w:t>
      </w:r>
      <w:r w:rsidR="00EB35D2">
        <w:rPr>
          <w:rFonts w:asciiTheme="majorBidi" w:hAnsiTheme="majorBidi" w:cstheme="majorBidi" w:hint="eastAsia"/>
          <w:szCs w:val="24"/>
          <w:lang w:eastAsia="zh-CN" w:bidi="ar-EG"/>
        </w:rPr>
        <w:t>的</w:t>
      </w:r>
      <w:r w:rsidR="00EB35D2" w:rsidRPr="0027178A">
        <w:rPr>
          <w:rFonts w:asciiTheme="majorBidi" w:hAnsiTheme="majorBidi" w:cstheme="majorBidi"/>
          <w:szCs w:val="24"/>
          <w:lang w:eastAsia="zh-CN" w:bidi="ar-EG"/>
        </w:rPr>
        <w:t>服务</w:t>
      </w:r>
      <w:r w:rsidRPr="0027178A">
        <w:rPr>
          <w:rFonts w:asciiTheme="majorBidi" w:hAnsiTheme="majorBidi" w:cstheme="majorBidi"/>
          <w:szCs w:val="24"/>
          <w:lang w:eastAsia="zh-CN" w:bidi="ar-EG"/>
        </w:rPr>
        <w:t>采取的行动。</w:t>
      </w:r>
    </w:p>
    <w:p w:rsidR="002F3F57" w:rsidRDefault="00EB35D2" w:rsidP="00EB35D2">
      <w:pPr>
        <w:ind w:firstLineChars="200" w:firstLine="480"/>
        <w:rPr>
          <w:rFonts w:asciiTheme="majorBidi" w:hAnsiTheme="majorBidi" w:cstheme="majorBidi"/>
          <w:szCs w:val="24"/>
          <w:lang w:eastAsia="zh-CN" w:bidi="ar-EG"/>
        </w:rPr>
      </w:pPr>
      <w:r>
        <w:rPr>
          <w:rFonts w:asciiTheme="majorBidi" w:hAnsiTheme="majorBidi" w:cstheme="majorBidi" w:hint="eastAsia"/>
          <w:szCs w:val="24"/>
          <w:lang w:eastAsia="zh-CN" w:bidi="ar-EG"/>
        </w:rPr>
        <w:t>因此</w:t>
      </w:r>
      <w:r w:rsidR="0027178A" w:rsidRPr="0027178A">
        <w:rPr>
          <w:rFonts w:asciiTheme="majorBidi" w:hAnsiTheme="majorBidi" w:cstheme="majorBidi"/>
          <w:szCs w:val="24"/>
          <w:lang w:eastAsia="zh-CN" w:bidi="ar-EG"/>
        </w:rPr>
        <w:t>，</w:t>
      </w:r>
      <w:r w:rsidRPr="0027178A">
        <w:rPr>
          <w:rFonts w:asciiTheme="majorBidi" w:hAnsiTheme="majorBidi" w:cstheme="majorBidi"/>
          <w:szCs w:val="24"/>
          <w:lang w:eastAsia="zh-CN" w:bidi="ar-EG"/>
        </w:rPr>
        <w:t>应</w:t>
      </w:r>
      <w:r>
        <w:rPr>
          <w:rFonts w:asciiTheme="majorBidi" w:hAnsiTheme="majorBidi" w:cstheme="majorBidi" w:hint="eastAsia"/>
          <w:szCs w:val="24"/>
          <w:lang w:eastAsia="zh-CN" w:bidi="ar-EG"/>
        </w:rPr>
        <w:t>通过</w:t>
      </w:r>
      <w:r w:rsidRPr="0027178A">
        <w:rPr>
          <w:rFonts w:asciiTheme="majorBidi" w:hAnsiTheme="majorBidi" w:cstheme="majorBidi"/>
          <w:szCs w:val="24"/>
          <w:lang w:eastAsia="zh-CN" w:bidi="ar-EG"/>
        </w:rPr>
        <w:t>制定</w:t>
      </w:r>
      <w:r w:rsidR="0027178A" w:rsidRPr="0027178A">
        <w:rPr>
          <w:rFonts w:asciiTheme="majorBidi" w:hAnsiTheme="majorBidi" w:cstheme="majorBidi"/>
          <w:szCs w:val="24"/>
          <w:lang w:eastAsia="zh-CN" w:bidi="ar-EG"/>
        </w:rPr>
        <w:t>ITU-R</w:t>
      </w:r>
      <w:r w:rsidR="0027178A" w:rsidRPr="0027178A">
        <w:rPr>
          <w:rFonts w:asciiTheme="majorBidi" w:hAnsiTheme="majorBidi" w:cstheme="majorBidi"/>
          <w:szCs w:val="24"/>
          <w:lang w:eastAsia="zh-CN" w:bidi="ar-EG"/>
        </w:rPr>
        <w:t>决议</w:t>
      </w:r>
      <w:r>
        <w:rPr>
          <w:rFonts w:asciiTheme="majorBidi" w:hAnsiTheme="majorBidi" w:cstheme="majorBidi" w:hint="eastAsia"/>
          <w:szCs w:val="24"/>
          <w:lang w:eastAsia="zh-CN" w:bidi="ar-EG"/>
        </w:rPr>
        <w:t>，</w:t>
      </w:r>
      <w:r w:rsidRPr="0027178A">
        <w:rPr>
          <w:rFonts w:asciiTheme="majorBidi" w:hAnsiTheme="majorBidi" w:cstheme="majorBidi"/>
          <w:szCs w:val="24"/>
          <w:lang w:eastAsia="zh-CN" w:bidi="ar-EG"/>
        </w:rPr>
        <w:t>指导</w:t>
      </w:r>
      <w:r>
        <w:rPr>
          <w:rFonts w:asciiTheme="majorBidi" w:hAnsiTheme="majorBidi" w:cstheme="majorBidi" w:hint="eastAsia"/>
          <w:szCs w:val="24"/>
          <w:lang w:eastAsia="zh-CN" w:bidi="ar-EG"/>
        </w:rPr>
        <w:t>以</w:t>
      </w:r>
      <w:r w:rsidRPr="0027178A">
        <w:rPr>
          <w:rFonts w:asciiTheme="majorBidi" w:hAnsiTheme="majorBidi" w:cstheme="majorBidi"/>
          <w:szCs w:val="24"/>
          <w:lang w:eastAsia="zh-CN" w:bidi="ar-EG"/>
        </w:rPr>
        <w:t>下附件包括</w:t>
      </w:r>
      <w:r>
        <w:rPr>
          <w:rFonts w:asciiTheme="majorBidi" w:hAnsiTheme="majorBidi" w:cstheme="majorBidi" w:hint="eastAsia"/>
          <w:szCs w:val="24"/>
          <w:lang w:eastAsia="zh-CN" w:bidi="ar-EG"/>
        </w:rPr>
        <w:t>的</w:t>
      </w:r>
      <w:r>
        <w:rPr>
          <w:rFonts w:asciiTheme="majorBidi" w:hAnsiTheme="majorBidi" w:cstheme="majorBidi"/>
          <w:szCs w:val="24"/>
          <w:lang w:eastAsia="zh-CN" w:bidi="ar-EG"/>
        </w:rPr>
        <w:t>有关</w:t>
      </w:r>
      <w:r w:rsidRPr="0027178A">
        <w:rPr>
          <w:rFonts w:asciiTheme="majorBidi" w:hAnsiTheme="majorBidi" w:cstheme="majorBidi"/>
          <w:szCs w:val="24"/>
          <w:lang w:eastAsia="zh-CN" w:bidi="ar-EG"/>
        </w:rPr>
        <w:t>防止</w:t>
      </w:r>
      <w:r>
        <w:rPr>
          <w:rFonts w:asciiTheme="majorBidi" w:hAnsiTheme="majorBidi" w:cstheme="majorBidi" w:hint="eastAsia"/>
          <w:szCs w:val="24"/>
          <w:lang w:eastAsia="zh-CN" w:bidi="ar-EG"/>
        </w:rPr>
        <w:t>从</w:t>
      </w:r>
      <w:r w:rsidRPr="0027178A">
        <w:rPr>
          <w:rFonts w:asciiTheme="majorBidi" w:hAnsiTheme="majorBidi" w:cstheme="majorBidi"/>
          <w:szCs w:val="24"/>
          <w:lang w:eastAsia="zh-CN" w:bidi="ar-EG"/>
        </w:rPr>
        <w:t>成员国</w:t>
      </w:r>
      <w:r>
        <w:rPr>
          <w:rFonts w:asciiTheme="majorBidi" w:hAnsiTheme="majorBidi" w:cstheme="majorBidi" w:hint="eastAsia"/>
          <w:szCs w:val="24"/>
          <w:lang w:eastAsia="zh-CN" w:bidi="ar-EG"/>
        </w:rPr>
        <w:t>境内</w:t>
      </w:r>
      <w:r>
        <w:rPr>
          <w:rFonts w:asciiTheme="majorBidi" w:hAnsiTheme="majorBidi" w:cstheme="majorBidi"/>
          <w:szCs w:val="24"/>
          <w:lang w:eastAsia="zh-CN" w:bidi="ar-EG"/>
        </w:rPr>
        <w:t>提供</w:t>
      </w:r>
      <w:r w:rsidRPr="0027178A">
        <w:rPr>
          <w:rFonts w:asciiTheme="majorBidi" w:hAnsiTheme="majorBidi" w:cstheme="majorBidi"/>
          <w:szCs w:val="24"/>
          <w:lang w:eastAsia="zh-CN" w:bidi="ar-EG"/>
        </w:rPr>
        <w:t>未经授权服务的研究</w:t>
      </w:r>
      <w:r>
        <w:rPr>
          <w:rFonts w:asciiTheme="majorBidi" w:hAnsiTheme="majorBidi" w:cstheme="majorBidi" w:hint="eastAsia"/>
          <w:szCs w:val="24"/>
          <w:lang w:eastAsia="zh-CN" w:bidi="ar-EG"/>
        </w:rPr>
        <w:t>工作</w:t>
      </w:r>
      <w:r w:rsidR="0027178A" w:rsidRPr="0027178A">
        <w:rPr>
          <w:rFonts w:asciiTheme="majorBidi" w:hAnsiTheme="majorBidi" w:cstheme="majorBidi"/>
          <w:szCs w:val="24"/>
          <w:lang w:eastAsia="zh-CN" w:bidi="ar-EG"/>
        </w:rPr>
        <w:t>。</w:t>
      </w:r>
    </w:p>
    <w:p w:rsidR="002F3F57" w:rsidRPr="00CC6875" w:rsidRDefault="002F3F57" w:rsidP="00345F08">
      <w:pPr>
        <w:spacing w:before="960"/>
        <w:rPr>
          <w:rFonts w:asciiTheme="majorBidi" w:hAnsiTheme="majorBidi" w:cstheme="majorBidi"/>
          <w:szCs w:val="24"/>
          <w:lang w:eastAsia="zh-CN" w:bidi="ar-EG"/>
        </w:rPr>
      </w:pPr>
      <w:r>
        <w:rPr>
          <w:rFonts w:asciiTheme="majorBidi" w:hAnsiTheme="majorBidi" w:cstheme="majorBidi" w:hint="eastAsia"/>
          <w:b/>
          <w:bCs/>
          <w:szCs w:val="24"/>
          <w:lang w:eastAsia="zh-CN" w:bidi="ar-EG"/>
        </w:rPr>
        <w:t>附件</w:t>
      </w:r>
      <w:r>
        <w:rPr>
          <w:rFonts w:asciiTheme="majorBidi" w:hAnsiTheme="majorBidi" w:cstheme="majorBidi"/>
          <w:b/>
          <w:bCs/>
          <w:szCs w:val="24"/>
          <w:lang w:eastAsia="zh-CN" w:bidi="ar-EG"/>
        </w:rPr>
        <w:t>：</w:t>
      </w:r>
      <w:r>
        <w:rPr>
          <w:rFonts w:asciiTheme="majorBidi" w:hAnsiTheme="majorBidi" w:cstheme="majorBidi"/>
          <w:szCs w:val="24"/>
          <w:lang w:eastAsia="zh-CN" w:bidi="ar-EG"/>
        </w:rPr>
        <w:t>1</w:t>
      </w:r>
      <w:r>
        <w:rPr>
          <w:rFonts w:asciiTheme="majorBidi" w:hAnsiTheme="majorBidi" w:cstheme="majorBidi" w:hint="eastAsia"/>
          <w:szCs w:val="24"/>
          <w:lang w:eastAsia="zh-CN" w:bidi="ar-EG"/>
        </w:rPr>
        <w:t>件</w:t>
      </w:r>
    </w:p>
    <w:p w:rsidR="002F3F57" w:rsidRDefault="002F3F57" w:rsidP="002F3F57">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2F3F57" w:rsidRPr="00CC6875" w:rsidRDefault="002F3F57" w:rsidP="002F3F57">
      <w:pPr>
        <w:pStyle w:val="AnnexNo"/>
        <w:rPr>
          <w:lang w:eastAsia="zh-CN"/>
        </w:rPr>
      </w:pPr>
      <w:r>
        <w:rPr>
          <w:rFonts w:hint="eastAsia"/>
          <w:lang w:eastAsia="zh-CN"/>
        </w:rPr>
        <w:lastRenderedPageBreak/>
        <w:t>附件</w:t>
      </w:r>
    </w:p>
    <w:p w:rsidR="002F3F57" w:rsidRDefault="00552F88" w:rsidP="002F3F57">
      <w:pPr>
        <w:pStyle w:val="ResNo"/>
        <w:rPr>
          <w:rFonts w:eastAsia="Calibri"/>
          <w:lang w:eastAsia="zh-CN"/>
        </w:rPr>
      </w:pPr>
      <w:r>
        <w:rPr>
          <w:lang w:eastAsia="zh-CN"/>
        </w:rPr>
        <w:t>ITU-R</w:t>
      </w:r>
      <w:r>
        <w:rPr>
          <w:rFonts w:hint="eastAsia"/>
          <w:lang w:eastAsia="zh-CN"/>
        </w:rPr>
        <w:t>新决议草</w:t>
      </w:r>
      <w:r>
        <w:rPr>
          <w:lang w:eastAsia="zh-CN"/>
        </w:rPr>
        <w:t>案</w:t>
      </w:r>
      <w:r>
        <w:rPr>
          <w:rFonts w:eastAsia="Calibri"/>
          <w:lang w:eastAsia="zh-CN"/>
        </w:rPr>
        <w:t>[</w:t>
      </w:r>
      <w:r>
        <w:rPr>
          <w:rFonts w:eastAsiaTheme="minorEastAsia" w:hint="eastAsia"/>
          <w:lang w:eastAsia="zh-CN"/>
        </w:rPr>
        <w:t>未经授权的服务提供</w:t>
      </w:r>
      <w:r>
        <w:rPr>
          <w:rFonts w:eastAsia="Calibri"/>
          <w:lang w:eastAsia="zh-CN"/>
        </w:rPr>
        <w:t>]</w:t>
      </w:r>
    </w:p>
    <w:p w:rsidR="002F3F57" w:rsidRDefault="00552F88" w:rsidP="00B76AAF">
      <w:pPr>
        <w:pStyle w:val="Restitle"/>
        <w:rPr>
          <w:lang w:eastAsia="zh-CN"/>
        </w:rPr>
      </w:pPr>
      <w:r>
        <w:rPr>
          <w:lang w:eastAsia="zh-CN"/>
        </w:rPr>
        <w:t>[</w:t>
      </w:r>
      <w:proofErr w:type="spellStart"/>
      <w:r w:rsidRPr="00B76AAF">
        <w:rPr>
          <w:rFonts w:hint="eastAsia"/>
        </w:rPr>
        <w:t>防止未经授权服务提供的指导原则</w:t>
      </w:r>
      <w:proofErr w:type="spellEnd"/>
      <w:r>
        <w:rPr>
          <w:lang w:eastAsia="zh-CN"/>
        </w:rPr>
        <w:t>]</w:t>
      </w:r>
    </w:p>
    <w:p w:rsidR="002F3F57" w:rsidRPr="002F3F57" w:rsidRDefault="002F3F57" w:rsidP="002F3F57">
      <w:pPr>
        <w:pStyle w:val="Normalaftertitle"/>
        <w:ind w:firstLineChars="200" w:firstLine="480"/>
        <w:rPr>
          <w:bCs/>
          <w:szCs w:val="24"/>
          <w:lang w:eastAsia="zh-CN"/>
        </w:rPr>
      </w:pPr>
      <w:r w:rsidRPr="002F3F57">
        <w:rPr>
          <w:rFonts w:hint="eastAsia"/>
          <w:bCs/>
          <w:szCs w:val="24"/>
          <w:lang w:eastAsia="zh-CN"/>
        </w:rPr>
        <w:t>无线电通信全会</w:t>
      </w:r>
      <w:r>
        <w:rPr>
          <w:rFonts w:hint="eastAsia"/>
          <w:bCs/>
          <w:szCs w:val="24"/>
          <w:lang w:eastAsia="zh-CN"/>
        </w:rPr>
        <w:t>，</w:t>
      </w:r>
    </w:p>
    <w:p w:rsidR="002F3F57" w:rsidRPr="002F3F57" w:rsidRDefault="002F3F57" w:rsidP="002F3F57">
      <w:pPr>
        <w:pStyle w:val="Call"/>
        <w:rPr>
          <w:lang w:eastAsia="zh-CN"/>
        </w:rPr>
      </w:pPr>
      <w:r w:rsidRPr="002F3F57">
        <w:rPr>
          <w:rFonts w:hint="eastAsia"/>
          <w:lang w:eastAsia="zh-CN"/>
        </w:rPr>
        <w:t>考虑到</w:t>
      </w:r>
    </w:p>
    <w:p w:rsidR="002F3F57" w:rsidRDefault="00C347B7" w:rsidP="002F3F57">
      <w:pPr>
        <w:rPr>
          <w:lang w:val="en-US" w:eastAsia="zh-CN"/>
        </w:rPr>
      </w:pPr>
      <w:r w:rsidRPr="009D3106">
        <w:rPr>
          <w:i/>
          <w:iCs/>
          <w:lang w:eastAsia="zh-CN"/>
        </w:rPr>
        <w:t>a</w:t>
      </w:r>
      <w:r w:rsidRPr="00BB0D95">
        <w:rPr>
          <w:rFonts w:hint="eastAsia"/>
          <w:i/>
          <w:iCs/>
          <w:lang w:eastAsia="zh-CN"/>
        </w:rPr>
        <w:t>)</w:t>
      </w:r>
      <w:r w:rsidR="002F3F57">
        <w:rPr>
          <w:lang w:eastAsia="zh-CN"/>
        </w:rPr>
        <w:tab/>
      </w:r>
      <w:r w:rsidR="002F3F57" w:rsidRPr="002F3F57">
        <w:rPr>
          <w:rFonts w:hint="eastAsia"/>
          <w:lang w:eastAsia="zh-CN"/>
        </w:rPr>
        <w:t>私人或任何企业，如果没有电台所属国政府或代表该政府按照本规则条款以某种适当的形式颁发的执照，不得设立或操作发射电台</w:t>
      </w:r>
      <w:r w:rsidR="002F3F57">
        <w:rPr>
          <w:rFonts w:hint="eastAsia"/>
          <w:lang w:eastAsia="zh-CN"/>
        </w:rPr>
        <w:t>；</w:t>
      </w:r>
    </w:p>
    <w:p w:rsidR="002F3F57" w:rsidRDefault="002F3F57" w:rsidP="002F3F57">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Pr>
          <w:rFonts w:hint="eastAsia"/>
          <w:lang w:eastAsia="zh-CN"/>
        </w:rPr>
        <w:t>空间电台应当装有保证随时按照本规则的规定要求停止发射时，通过遥控指令立即停止某无线电发射的装置；</w:t>
      </w:r>
    </w:p>
    <w:p w:rsidR="002F3F57" w:rsidRDefault="002F3F57" w:rsidP="00C347B7">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00C347B7" w:rsidRPr="009D3106">
        <w:rPr>
          <w:rFonts w:hint="eastAsia"/>
          <w:lang w:eastAsia="zh-CN"/>
        </w:rPr>
        <w:t>世界范围内对全球宽带通信业务的需求在持续增长，如对高密度卫星固定业务应用（</w:t>
      </w:r>
      <w:r w:rsidR="00C347B7" w:rsidRPr="009D3106">
        <w:rPr>
          <w:rFonts w:hint="eastAsia"/>
          <w:lang w:eastAsia="zh-CN"/>
        </w:rPr>
        <w:t>HDFSS</w:t>
      </w:r>
      <w:r w:rsidR="00C347B7" w:rsidRPr="009D3106">
        <w:rPr>
          <w:rFonts w:hint="eastAsia"/>
          <w:lang w:eastAsia="zh-CN"/>
        </w:rPr>
        <w:t>）的需求；</w:t>
      </w:r>
    </w:p>
    <w:p w:rsidR="002F3F57" w:rsidRDefault="002F3F57" w:rsidP="00EF7329">
      <w:pPr>
        <w:rPr>
          <w:rFonts w:asciiTheme="majorBidi" w:hAnsiTheme="majorBidi" w:cstheme="majorBidi"/>
          <w:szCs w:val="24"/>
          <w:lang w:eastAsia="zh-CN"/>
        </w:rPr>
      </w:pPr>
      <w:r w:rsidRPr="00C347B7">
        <w:rPr>
          <w:i/>
          <w:iCs/>
          <w:lang w:eastAsia="zh-CN"/>
        </w:rPr>
        <w:t>d)</w:t>
      </w:r>
      <w:r>
        <w:rPr>
          <w:rFonts w:asciiTheme="majorBidi" w:hAnsiTheme="majorBidi" w:cstheme="majorBidi"/>
          <w:szCs w:val="24"/>
          <w:lang w:eastAsia="zh-CN"/>
        </w:rPr>
        <w:tab/>
      </w:r>
      <w:r w:rsidR="00EF7329" w:rsidRPr="009D3106">
        <w:rPr>
          <w:rFonts w:hint="eastAsia"/>
          <w:lang w:eastAsia="zh-CN"/>
        </w:rPr>
        <w:t>HDFSS</w:t>
      </w:r>
      <w:r w:rsidR="00EF7329" w:rsidRPr="009D3106">
        <w:rPr>
          <w:rFonts w:hint="eastAsia"/>
          <w:lang w:eastAsia="zh-CN"/>
        </w:rPr>
        <w:t>系统</w:t>
      </w:r>
      <w:r w:rsidR="00EF7329">
        <w:rPr>
          <w:rFonts w:hint="eastAsia"/>
          <w:lang w:eastAsia="zh-CN"/>
        </w:rPr>
        <w:t>具</w:t>
      </w:r>
      <w:r w:rsidR="00EF7329" w:rsidRPr="009D3106">
        <w:rPr>
          <w:rFonts w:hint="eastAsia"/>
          <w:lang w:eastAsia="zh-CN"/>
        </w:rPr>
        <w:t>有灵活、快速和随处</w:t>
      </w:r>
      <w:r w:rsidR="00EF7329">
        <w:rPr>
          <w:rFonts w:hint="eastAsia"/>
          <w:lang w:eastAsia="zh-CN"/>
        </w:rPr>
        <w:t>部署具有成本优势的</w:t>
      </w:r>
      <w:r w:rsidR="00EF7329" w:rsidRPr="009D3106">
        <w:rPr>
          <w:rFonts w:hint="eastAsia"/>
          <w:lang w:eastAsia="zh-CN"/>
        </w:rPr>
        <w:t>大量地球站的特点，这些地球站使用小型天线</w:t>
      </w:r>
      <w:r w:rsidR="00EF7329">
        <w:rPr>
          <w:rFonts w:hint="eastAsia"/>
          <w:lang w:eastAsia="zh-CN"/>
        </w:rPr>
        <w:t>并</w:t>
      </w:r>
      <w:r w:rsidR="00EF7329" w:rsidRPr="009D3106">
        <w:rPr>
          <w:rFonts w:hint="eastAsia"/>
          <w:lang w:eastAsia="zh-CN"/>
        </w:rPr>
        <w:t>具有</w:t>
      </w:r>
      <w:r w:rsidR="00EF7329">
        <w:rPr>
          <w:rFonts w:hint="eastAsia"/>
          <w:lang w:eastAsia="zh-CN"/>
        </w:rPr>
        <w:t>共同</w:t>
      </w:r>
      <w:r w:rsidR="00EF7329" w:rsidRPr="009D3106">
        <w:rPr>
          <w:rFonts w:hint="eastAsia"/>
          <w:lang w:eastAsia="zh-CN"/>
        </w:rPr>
        <w:t>技术特性</w:t>
      </w:r>
      <w:r w:rsidR="00EF7329">
        <w:rPr>
          <w:rFonts w:hint="eastAsia"/>
          <w:lang w:eastAsia="zh-CN"/>
        </w:rPr>
        <w:t>；</w:t>
      </w:r>
    </w:p>
    <w:p w:rsidR="002F3F57" w:rsidRDefault="002F3F57" w:rsidP="00EF7329">
      <w:pPr>
        <w:rPr>
          <w:rFonts w:asciiTheme="majorBidi" w:hAnsiTheme="majorBidi" w:cstheme="majorBidi"/>
          <w:szCs w:val="24"/>
          <w:lang w:eastAsia="zh-CN"/>
        </w:rPr>
      </w:pPr>
      <w:r w:rsidRPr="00C347B7">
        <w:rPr>
          <w:i/>
          <w:iCs/>
          <w:lang w:eastAsia="zh-CN"/>
        </w:rPr>
        <w:t>e)</w:t>
      </w:r>
      <w:r>
        <w:rPr>
          <w:rFonts w:asciiTheme="majorBidi" w:hAnsiTheme="majorBidi" w:cstheme="majorBidi"/>
          <w:szCs w:val="24"/>
          <w:lang w:eastAsia="zh-CN"/>
        </w:rPr>
        <w:tab/>
      </w:r>
      <w:r w:rsidR="00EF7329" w:rsidRPr="009D3106">
        <w:rPr>
          <w:rFonts w:hint="eastAsia"/>
          <w:lang w:eastAsia="zh-CN"/>
        </w:rPr>
        <w:t>HDFSS</w:t>
      </w:r>
      <w:r w:rsidR="00EF7329" w:rsidRPr="009D3106">
        <w:rPr>
          <w:rFonts w:hint="eastAsia"/>
          <w:lang w:eastAsia="zh-CN"/>
        </w:rPr>
        <w:t>是一种先进的宽带通信应用概念，可以提供</w:t>
      </w:r>
      <w:r w:rsidR="00EF7329">
        <w:rPr>
          <w:rFonts w:hint="eastAsia"/>
          <w:lang w:eastAsia="zh-CN"/>
        </w:rPr>
        <w:t>多种由固定电信网支持的</w:t>
      </w:r>
      <w:r w:rsidR="00EF7329" w:rsidRPr="009D3106">
        <w:rPr>
          <w:rFonts w:hint="eastAsia"/>
          <w:lang w:eastAsia="zh-CN"/>
        </w:rPr>
        <w:t>宽带</w:t>
      </w:r>
      <w:r w:rsidR="00EF7329">
        <w:rPr>
          <w:rFonts w:hint="eastAsia"/>
          <w:lang w:eastAsia="zh-CN"/>
        </w:rPr>
        <w:t>通</w:t>
      </w:r>
      <w:r w:rsidR="00EF7329" w:rsidRPr="009D3106">
        <w:rPr>
          <w:rFonts w:hint="eastAsia"/>
          <w:lang w:eastAsia="zh-CN"/>
        </w:rPr>
        <w:t>信应用</w:t>
      </w:r>
      <w:r w:rsidR="00EF7329">
        <w:rPr>
          <w:rFonts w:hint="eastAsia"/>
          <w:lang w:eastAsia="zh-CN"/>
        </w:rPr>
        <w:t>（包括互联网）</w:t>
      </w:r>
      <w:r w:rsidR="00EF7329" w:rsidRPr="009D3106">
        <w:rPr>
          <w:rFonts w:hint="eastAsia"/>
          <w:lang w:eastAsia="zh-CN"/>
        </w:rPr>
        <w:t>的</w:t>
      </w:r>
      <w:r w:rsidR="00EF7329">
        <w:rPr>
          <w:rFonts w:hint="eastAsia"/>
          <w:lang w:eastAsia="zh-CN"/>
        </w:rPr>
        <w:t>接入</w:t>
      </w:r>
      <w:r w:rsidR="00EF7329" w:rsidRPr="009D3106">
        <w:rPr>
          <w:rFonts w:hint="eastAsia"/>
          <w:lang w:eastAsia="zh-CN"/>
        </w:rPr>
        <w:t>，因此可以</w:t>
      </w:r>
      <w:r w:rsidR="00EF7329">
        <w:rPr>
          <w:rFonts w:hint="eastAsia"/>
          <w:lang w:eastAsia="zh-CN"/>
        </w:rPr>
        <w:t>作为</w:t>
      </w:r>
      <w:r w:rsidR="00EF7329" w:rsidRPr="009D3106">
        <w:rPr>
          <w:rFonts w:hint="eastAsia"/>
          <w:lang w:eastAsia="zh-CN"/>
        </w:rPr>
        <w:t>其他电信系统</w:t>
      </w:r>
      <w:r w:rsidR="00EF7329">
        <w:rPr>
          <w:rFonts w:hint="eastAsia"/>
          <w:lang w:eastAsia="zh-CN"/>
        </w:rPr>
        <w:t>的补充</w:t>
      </w:r>
      <w:r w:rsidR="00EF7329" w:rsidRPr="009D3106">
        <w:rPr>
          <w:rFonts w:hint="eastAsia"/>
          <w:lang w:eastAsia="zh-CN"/>
        </w:rPr>
        <w:t>；</w:t>
      </w:r>
    </w:p>
    <w:p w:rsidR="002F3F57" w:rsidRDefault="002F3F57" w:rsidP="00EF7329">
      <w:pPr>
        <w:rPr>
          <w:rFonts w:asciiTheme="majorBidi" w:hAnsiTheme="majorBidi" w:cstheme="majorBidi"/>
          <w:szCs w:val="24"/>
          <w:lang w:eastAsia="zh-CN"/>
        </w:rPr>
      </w:pPr>
      <w:r w:rsidRPr="00C347B7">
        <w:rPr>
          <w:i/>
          <w:iCs/>
          <w:lang w:eastAsia="zh-CN"/>
        </w:rPr>
        <w:t>f)</w:t>
      </w:r>
      <w:r>
        <w:rPr>
          <w:rFonts w:asciiTheme="majorBidi" w:hAnsiTheme="majorBidi" w:cstheme="majorBidi"/>
          <w:szCs w:val="24"/>
          <w:lang w:eastAsia="zh-CN"/>
        </w:rPr>
        <w:tab/>
      </w:r>
      <w:r w:rsidR="00EF7329" w:rsidRPr="009D3106">
        <w:rPr>
          <w:rFonts w:hint="eastAsia"/>
          <w:lang w:eastAsia="zh-CN"/>
        </w:rPr>
        <w:t>与其他</w:t>
      </w:r>
      <w:r w:rsidR="00EF7329" w:rsidRPr="009D3106">
        <w:rPr>
          <w:rFonts w:hint="eastAsia"/>
          <w:lang w:eastAsia="zh-CN"/>
        </w:rPr>
        <w:t>FSS</w:t>
      </w:r>
      <w:r w:rsidR="00EF7329" w:rsidRPr="009D3106">
        <w:rPr>
          <w:rFonts w:hint="eastAsia"/>
          <w:lang w:eastAsia="zh-CN"/>
        </w:rPr>
        <w:t>系统一样，</w:t>
      </w:r>
      <w:r w:rsidR="00EF7329" w:rsidRPr="009D3106">
        <w:rPr>
          <w:rFonts w:hint="eastAsia"/>
          <w:lang w:eastAsia="zh-CN"/>
        </w:rPr>
        <w:t>HDFSS</w:t>
      </w:r>
      <w:r w:rsidR="00EF7329" w:rsidRPr="009D3106">
        <w:rPr>
          <w:rFonts w:hint="eastAsia"/>
          <w:lang w:eastAsia="zh-CN"/>
        </w:rPr>
        <w:t>为快速建立电信基础设施提供了很大的潜力；</w:t>
      </w:r>
    </w:p>
    <w:p w:rsidR="002F3F57" w:rsidRDefault="002F3F57" w:rsidP="00EF7329">
      <w:pPr>
        <w:rPr>
          <w:rFonts w:asciiTheme="majorBidi" w:hAnsiTheme="majorBidi" w:cstheme="majorBidi"/>
          <w:szCs w:val="24"/>
          <w:lang w:eastAsia="zh-CN"/>
        </w:rPr>
      </w:pPr>
      <w:r w:rsidRPr="00C347B7">
        <w:rPr>
          <w:i/>
          <w:iCs/>
          <w:lang w:eastAsia="zh-CN"/>
        </w:rPr>
        <w:t>g)</w:t>
      </w:r>
      <w:r>
        <w:rPr>
          <w:rFonts w:asciiTheme="majorBidi" w:hAnsiTheme="majorBidi" w:cstheme="majorBidi"/>
          <w:szCs w:val="24"/>
          <w:lang w:eastAsia="zh-CN"/>
        </w:rPr>
        <w:tab/>
      </w:r>
      <w:r w:rsidR="00EF7329" w:rsidRPr="009D3106">
        <w:rPr>
          <w:rFonts w:hint="eastAsia"/>
          <w:lang w:eastAsia="zh-CN"/>
        </w:rPr>
        <w:t>HDFSS</w:t>
      </w:r>
      <w:r w:rsidR="00EF7329">
        <w:rPr>
          <w:rFonts w:hint="eastAsia"/>
          <w:lang w:eastAsia="zh-CN"/>
        </w:rPr>
        <w:t>应用可由任何类型轨道的卫星提供，</w:t>
      </w:r>
    </w:p>
    <w:p w:rsidR="002F3F57" w:rsidRPr="00EF7329" w:rsidRDefault="00EF7329" w:rsidP="002F3F57">
      <w:pPr>
        <w:pStyle w:val="Call"/>
        <w:rPr>
          <w:rFonts w:asciiTheme="majorBidi" w:eastAsiaTheme="minorEastAsia" w:hAnsiTheme="majorBidi" w:cstheme="majorBidi"/>
          <w:szCs w:val="24"/>
          <w:lang w:eastAsia="zh-CN"/>
        </w:rPr>
      </w:pPr>
      <w:r w:rsidRPr="00EF7329">
        <w:rPr>
          <w:rFonts w:hint="eastAsia"/>
          <w:lang w:eastAsia="zh-CN"/>
        </w:rPr>
        <w:t>认识到</w:t>
      </w:r>
    </w:p>
    <w:p w:rsidR="002F3F57" w:rsidRDefault="002F3F57" w:rsidP="0076484D">
      <w:pPr>
        <w:rPr>
          <w:lang w:val="en-US" w:eastAsia="zh-CN"/>
        </w:rPr>
      </w:pPr>
      <w:r w:rsidRPr="00C347B7">
        <w:rPr>
          <w:i/>
          <w:iCs/>
          <w:lang w:eastAsia="zh-CN"/>
        </w:rPr>
        <w:t>a)</w:t>
      </w:r>
      <w:r>
        <w:rPr>
          <w:lang w:eastAsia="zh-CN"/>
        </w:rPr>
        <w:tab/>
      </w:r>
      <w:r w:rsidR="0076484D" w:rsidRPr="00590DE9">
        <w:rPr>
          <w:rFonts w:hint="eastAsia"/>
          <w:lang w:val="en-US" w:eastAsia="zh-CN"/>
        </w:rPr>
        <w:t>《组织法》承认每个国家管制其电信的主权权利；</w:t>
      </w:r>
    </w:p>
    <w:p w:rsidR="002F3F57" w:rsidRDefault="002F3F57" w:rsidP="0076484D">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0076484D" w:rsidRPr="00590DE9">
        <w:rPr>
          <w:rFonts w:hint="eastAsia"/>
          <w:lang w:val="en-US" w:eastAsia="zh-CN"/>
        </w:rPr>
        <w:t>《国际电信规则》“承认每个会员有权根据国内法律及其为此做出的决定，要求在其领土上操作和提供国际公众电信业务的主管部门及私营运营机构得到该会员的授权”，并规定“在本规则范围内，应按照各主管部门之间的相互协议提供和运营每个关系中的国际电信业务”；</w:t>
      </w:r>
    </w:p>
    <w:p w:rsidR="002F3F57" w:rsidRDefault="002F3F57" w:rsidP="0076484D">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0076484D" w:rsidRPr="00590DE9">
        <w:rPr>
          <w:rFonts w:hint="eastAsia"/>
          <w:lang w:val="en-US" w:eastAsia="zh-CN"/>
        </w:rPr>
        <w:t>第</w:t>
      </w:r>
      <w:r w:rsidR="0076484D" w:rsidRPr="006A223C">
        <w:rPr>
          <w:b/>
          <w:lang w:val="en-US" w:eastAsia="zh-CN"/>
        </w:rPr>
        <w:t>18</w:t>
      </w:r>
      <w:r w:rsidR="0076484D" w:rsidRPr="00590DE9">
        <w:rPr>
          <w:rFonts w:hint="eastAsia"/>
          <w:lang w:val="en-US" w:eastAsia="zh-CN"/>
        </w:rPr>
        <w:t>条规定了对在任何领土范围内的电台操作核发执照的机构；</w:t>
      </w:r>
    </w:p>
    <w:p w:rsidR="002F3F57" w:rsidRPr="002F3F57" w:rsidRDefault="002F3F57" w:rsidP="00552F88">
      <w:pPr>
        <w:rPr>
          <w:rFonts w:ascii="STKaiti" w:eastAsia="STKaiti" w:hAnsi="STKaiti"/>
          <w:lang w:eastAsia="zh-CN"/>
        </w:rPr>
      </w:pPr>
      <w:r w:rsidRPr="00C347B7">
        <w:rPr>
          <w:i/>
          <w:iCs/>
          <w:lang w:eastAsia="zh-CN"/>
        </w:rPr>
        <w:t>d)</w:t>
      </w:r>
      <w:r>
        <w:rPr>
          <w:lang w:eastAsia="zh-CN"/>
        </w:rPr>
        <w:tab/>
      </w:r>
      <w:r w:rsidR="008F0384" w:rsidRPr="00590DE9">
        <w:rPr>
          <w:rFonts w:hint="eastAsia"/>
          <w:lang w:val="en-US" w:eastAsia="zh-CN"/>
        </w:rPr>
        <w:t>每一</w:t>
      </w:r>
      <w:r w:rsidR="008F0384">
        <w:rPr>
          <w:rFonts w:hint="eastAsia"/>
          <w:lang w:val="en-US" w:eastAsia="zh-CN"/>
        </w:rPr>
        <w:t>成员国</w:t>
      </w:r>
      <w:r w:rsidR="008F0384" w:rsidRPr="00590DE9">
        <w:rPr>
          <w:rFonts w:hint="eastAsia"/>
          <w:lang w:val="en-US" w:eastAsia="zh-CN"/>
        </w:rPr>
        <w:t>有权决定参加这些系统并有权确定通过这些系统提供国际或国内电信业务的实体和机构的义务，使其符合</w:t>
      </w:r>
      <w:r w:rsidR="008F0384" w:rsidRPr="00552F88">
        <w:rPr>
          <w:rFonts w:ascii="KaiTi" w:eastAsia="KaiTi" w:hAnsi="KaiTi" w:hint="eastAsia"/>
          <w:lang w:val="en-US" w:eastAsia="zh-CN"/>
        </w:rPr>
        <w:t>允许在其领土上提供业务的主管部门</w:t>
      </w:r>
      <w:r w:rsidR="008F0384" w:rsidRPr="00590DE9">
        <w:rPr>
          <w:rFonts w:hint="eastAsia"/>
          <w:lang w:val="en-US" w:eastAsia="zh-CN"/>
        </w:rPr>
        <w:t>的法律、财政及规则要求</w:t>
      </w:r>
      <w:r w:rsidR="008F0384">
        <w:rPr>
          <w:rFonts w:hint="eastAsia"/>
          <w:iCs/>
          <w:lang w:eastAsia="zh-CN"/>
        </w:rPr>
        <w:t>；</w:t>
      </w:r>
    </w:p>
    <w:p w:rsidR="002F3F57" w:rsidRDefault="002F3F57" w:rsidP="008F0384">
      <w:pPr>
        <w:rPr>
          <w:rFonts w:asciiTheme="majorBidi" w:hAnsiTheme="majorBidi" w:cstheme="majorBidi"/>
          <w:szCs w:val="24"/>
          <w:lang w:eastAsia="zh-CN"/>
        </w:rPr>
      </w:pPr>
      <w:r w:rsidRPr="00C347B7">
        <w:rPr>
          <w:i/>
          <w:iCs/>
          <w:lang w:eastAsia="zh-CN"/>
        </w:rPr>
        <w:t>e)</w:t>
      </w:r>
      <w:r>
        <w:rPr>
          <w:rFonts w:asciiTheme="majorBidi" w:hAnsiTheme="majorBidi" w:cstheme="majorBidi"/>
          <w:szCs w:val="24"/>
          <w:lang w:eastAsia="zh-CN"/>
        </w:rPr>
        <w:tab/>
      </w:r>
      <w:r w:rsidR="008F0384" w:rsidRPr="009D3106">
        <w:rPr>
          <w:rFonts w:hint="eastAsia"/>
          <w:lang w:eastAsia="zh-CN"/>
        </w:rPr>
        <w:t>第</w:t>
      </w:r>
      <w:r w:rsidR="008F0384" w:rsidRPr="009D3106">
        <w:rPr>
          <w:rFonts w:hint="eastAsia"/>
          <w:b/>
          <w:bCs/>
          <w:lang w:eastAsia="zh-CN"/>
        </w:rPr>
        <w:t>5.516B</w:t>
      </w:r>
      <w:r w:rsidR="008F0384" w:rsidRPr="009D3106">
        <w:rPr>
          <w:rFonts w:hint="eastAsia"/>
          <w:lang w:eastAsia="zh-CN"/>
        </w:rPr>
        <w:t>款确定了</w:t>
      </w:r>
      <w:r w:rsidR="008F0384" w:rsidRPr="009D3106">
        <w:rPr>
          <w:rFonts w:hint="eastAsia"/>
          <w:lang w:eastAsia="zh-CN"/>
        </w:rPr>
        <w:t>HDFSS</w:t>
      </w:r>
      <w:r w:rsidR="008F0384" w:rsidRPr="009D3106">
        <w:rPr>
          <w:rFonts w:hint="eastAsia"/>
          <w:lang w:eastAsia="zh-CN"/>
        </w:rPr>
        <w:t>所用的频段；</w:t>
      </w:r>
    </w:p>
    <w:p w:rsidR="002F3F57" w:rsidRDefault="002F3F57" w:rsidP="008F0384">
      <w:pPr>
        <w:rPr>
          <w:rFonts w:asciiTheme="majorBidi" w:hAnsiTheme="majorBidi" w:cstheme="majorBidi"/>
          <w:szCs w:val="24"/>
          <w:lang w:eastAsia="zh-CN"/>
        </w:rPr>
      </w:pPr>
      <w:r w:rsidRPr="00C347B7">
        <w:rPr>
          <w:i/>
          <w:iCs/>
          <w:lang w:eastAsia="zh-CN"/>
        </w:rPr>
        <w:t>f)</w:t>
      </w:r>
      <w:r>
        <w:rPr>
          <w:rFonts w:asciiTheme="majorBidi" w:hAnsiTheme="majorBidi" w:cstheme="majorBidi"/>
          <w:szCs w:val="24"/>
          <w:lang w:eastAsia="zh-CN"/>
        </w:rPr>
        <w:tab/>
      </w:r>
      <w:r w:rsidR="008F0384" w:rsidRPr="009D3106">
        <w:rPr>
          <w:rFonts w:hint="eastAsia"/>
          <w:lang w:eastAsia="zh-CN"/>
        </w:rPr>
        <w:t>其中一些</w:t>
      </w:r>
      <w:r w:rsidR="008F0384">
        <w:rPr>
          <w:rFonts w:hint="eastAsia"/>
          <w:lang w:eastAsia="zh-CN"/>
        </w:rPr>
        <w:t>此类</w:t>
      </w:r>
      <w:r w:rsidR="008F0384" w:rsidRPr="009D3106">
        <w:rPr>
          <w:rFonts w:hint="eastAsia"/>
          <w:lang w:eastAsia="zh-CN"/>
        </w:rPr>
        <w:t>频段</w:t>
      </w:r>
      <w:r w:rsidR="008F0384">
        <w:rPr>
          <w:rFonts w:hint="eastAsia"/>
          <w:lang w:eastAsia="zh-CN"/>
        </w:rPr>
        <w:t>内</w:t>
      </w:r>
      <w:r w:rsidR="008F0384" w:rsidRPr="009D3106">
        <w:rPr>
          <w:rFonts w:hint="eastAsia"/>
          <w:lang w:eastAsia="zh-CN"/>
        </w:rPr>
        <w:t>，</w:t>
      </w:r>
      <w:r w:rsidR="008F0384" w:rsidRPr="009D3106">
        <w:rPr>
          <w:rFonts w:hint="eastAsia"/>
          <w:lang w:eastAsia="zh-CN"/>
        </w:rPr>
        <w:t>FSS</w:t>
      </w:r>
      <w:r w:rsidR="008F0384" w:rsidRPr="009D3106">
        <w:rPr>
          <w:rFonts w:hint="eastAsia"/>
          <w:lang w:eastAsia="zh-CN"/>
        </w:rPr>
        <w:t>划分与固定和移动业务划分及其他业务同为主要业务；</w:t>
      </w:r>
    </w:p>
    <w:p w:rsidR="002F3F57" w:rsidRDefault="002F3F57" w:rsidP="008F0384">
      <w:pPr>
        <w:rPr>
          <w:rFonts w:asciiTheme="majorBidi" w:hAnsiTheme="majorBidi" w:cstheme="majorBidi"/>
          <w:szCs w:val="24"/>
          <w:lang w:eastAsia="zh-CN"/>
        </w:rPr>
      </w:pPr>
      <w:r w:rsidRPr="00C347B7">
        <w:rPr>
          <w:i/>
          <w:iCs/>
          <w:lang w:eastAsia="zh-CN"/>
        </w:rPr>
        <w:t>g)</w:t>
      </w:r>
      <w:r>
        <w:rPr>
          <w:rFonts w:asciiTheme="majorBidi" w:hAnsiTheme="majorBidi" w:cstheme="majorBidi"/>
          <w:szCs w:val="24"/>
          <w:lang w:eastAsia="zh-CN"/>
        </w:rPr>
        <w:tab/>
      </w:r>
      <w:r w:rsidR="008F0384" w:rsidRPr="009D3106">
        <w:rPr>
          <w:rFonts w:hint="eastAsia"/>
          <w:lang w:eastAsia="zh-CN"/>
        </w:rPr>
        <w:t>这</w:t>
      </w:r>
      <w:r w:rsidR="008F0384">
        <w:rPr>
          <w:rFonts w:hint="eastAsia"/>
          <w:lang w:eastAsia="zh-CN"/>
        </w:rPr>
        <w:t>种</w:t>
      </w:r>
      <w:r w:rsidR="008F0384" w:rsidRPr="009D3106">
        <w:rPr>
          <w:rFonts w:hint="eastAsia"/>
          <w:lang w:eastAsia="zh-CN"/>
        </w:rPr>
        <w:t>安排</w:t>
      </w:r>
      <w:r w:rsidR="008F0384">
        <w:rPr>
          <w:rFonts w:hint="eastAsia"/>
          <w:lang w:eastAsia="zh-CN"/>
        </w:rPr>
        <w:t>不</w:t>
      </w:r>
      <w:r w:rsidR="008F0384" w:rsidRPr="009D3106">
        <w:rPr>
          <w:rFonts w:hint="eastAsia"/>
          <w:lang w:eastAsia="zh-CN"/>
        </w:rPr>
        <w:t>妨碍其他业务或其他</w:t>
      </w:r>
      <w:r w:rsidR="008F0384" w:rsidRPr="009D3106">
        <w:rPr>
          <w:rFonts w:hint="eastAsia"/>
          <w:lang w:eastAsia="zh-CN"/>
        </w:rPr>
        <w:t>FSS</w:t>
      </w:r>
      <w:r w:rsidR="008F0384">
        <w:rPr>
          <w:rFonts w:hint="eastAsia"/>
          <w:lang w:eastAsia="zh-CN"/>
        </w:rPr>
        <w:t>应用对</w:t>
      </w:r>
      <w:r w:rsidR="008F0384" w:rsidRPr="009D3106">
        <w:rPr>
          <w:rFonts w:hint="eastAsia"/>
          <w:lang w:eastAsia="zh-CN"/>
        </w:rPr>
        <w:t>这些频段</w:t>
      </w:r>
      <w:r w:rsidR="008F0384">
        <w:rPr>
          <w:rFonts w:hint="eastAsia"/>
          <w:lang w:eastAsia="zh-CN"/>
        </w:rPr>
        <w:t>的使用</w:t>
      </w:r>
      <w:r w:rsidR="008F0384" w:rsidRPr="009D3106">
        <w:rPr>
          <w:rFonts w:hint="eastAsia"/>
          <w:lang w:eastAsia="zh-CN"/>
        </w:rPr>
        <w:t>，也未在《无线电规则》中为</w:t>
      </w:r>
      <w:r w:rsidR="008F0384">
        <w:rPr>
          <w:rFonts w:hint="eastAsia"/>
          <w:lang w:eastAsia="zh-CN"/>
        </w:rPr>
        <w:t>这些</w:t>
      </w:r>
      <w:r w:rsidR="008F0384" w:rsidRPr="009D3106">
        <w:rPr>
          <w:rFonts w:hint="eastAsia"/>
          <w:lang w:eastAsia="zh-CN"/>
        </w:rPr>
        <w:t>频段</w:t>
      </w:r>
      <w:r w:rsidR="008F0384">
        <w:rPr>
          <w:rFonts w:hint="eastAsia"/>
          <w:lang w:eastAsia="zh-CN"/>
        </w:rPr>
        <w:t>的</w:t>
      </w:r>
      <w:r w:rsidR="008F0384" w:rsidRPr="009D3106">
        <w:rPr>
          <w:rFonts w:hint="eastAsia"/>
          <w:lang w:eastAsia="zh-CN"/>
        </w:rPr>
        <w:t>用</w:t>
      </w:r>
      <w:r w:rsidR="008F0384">
        <w:rPr>
          <w:rFonts w:hint="eastAsia"/>
          <w:lang w:eastAsia="zh-CN"/>
        </w:rPr>
        <w:t>户</w:t>
      </w:r>
      <w:r w:rsidR="008F0384" w:rsidRPr="009D3106">
        <w:rPr>
          <w:rFonts w:hint="eastAsia"/>
          <w:lang w:eastAsia="zh-CN"/>
        </w:rPr>
        <w:t>确定优先权；</w:t>
      </w:r>
    </w:p>
    <w:p w:rsidR="002F3F57" w:rsidRDefault="002F3F57" w:rsidP="008F0384">
      <w:pPr>
        <w:rPr>
          <w:rFonts w:asciiTheme="majorBidi" w:hAnsiTheme="majorBidi" w:cstheme="majorBidi"/>
          <w:szCs w:val="24"/>
          <w:lang w:eastAsia="zh-CN"/>
        </w:rPr>
      </w:pPr>
      <w:r w:rsidRPr="00C347B7">
        <w:rPr>
          <w:i/>
          <w:iCs/>
          <w:lang w:eastAsia="zh-CN"/>
        </w:rPr>
        <w:t>h)</w:t>
      </w:r>
      <w:r>
        <w:rPr>
          <w:rFonts w:asciiTheme="majorBidi" w:hAnsiTheme="majorBidi" w:cstheme="majorBidi"/>
          <w:szCs w:val="24"/>
          <w:lang w:eastAsia="zh-CN"/>
        </w:rPr>
        <w:tab/>
      </w:r>
      <w:r w:rsidR="008F0384" w:rsidRPr="009D3106">
        <w:rPr>
          <w:rFonts w:hint="eastAsia"/>
          <w:lang w:eastAsia="zh-CN"/>
        </w:rPr>
        <w:t>采用其他类型地球站和特性的许多</w:t>
      </w:r>
      <w:r w:rsidR="008F0384" w:rsidRPr="009D3106">
        <w:rPr>
          <w:rFonts w:hint="eastAsia"/>
          <w:lang w:eastAsia="zh-CN"/>
        </w:rPr>
        <w:t>FSS</w:t>
      </w:r>
      <w:r w:rsidR="008F0384" w:rsidRPr="009D3106">
        <w:rPr>
          <w:rFonts w:hint="eastAsia"/>
          <w:lang w:eastAsia="zh-CN"/>
        </w:rPr>
        <w:t>系统在第</w:t>
      </w:r>
      <w:r w:rsidR="008F0384" w:rsidRPr="009D3106">
        <w:rPr>
          <w:rFonts w:hint="eastAsia"/>
          <w:b/>
          <w:bCs/>
          <w:lang w:eastAsia="zh-CN"/>
        </w:rPr>
        <w:t>5.516B</w:t>
      </w:r>
      <w:r w:rsidR="008F0384" w:rsidRPr="009D3106">
        <w:rPr>
          <w:rFonts w:hint="eastAsia"/>
          <w:lang w:eastAsia="zh-CN"/>
        </w:rPr>
        <w:t>款为</w:t>
      </w:r>
      <w:r w:rsidR="008F0384" w:rsidRPr="009D3106">
        <w:rPr>
          <w:rFonts w:hint="eastAsia"/>
          <w:lang w:eastAsia="zh-CN"/>
        </w:rPr>
        <w:t>HDFSS</w:t>
      </w:r>
      <w:r w:rsidR="008F0384" w:rsidRPr="009D3106">
        <w:rPr>
          <w:rFonts w:hint="eastAsia"/>
          <w:lang w:eastAsia="zh-CN"/>
        </w:rPr>
        <w:t>确定的一些频段内已经投入使用或计划投入使用；</w:t>
      </w:r>
    </w:p>
    <w:p w:rsidR="002F3F57" w:rsidRDefault="002F3F57" w:rsidP="008F0384">
      <w:pPr>
        <w:rPr>
          <w:rFonts w:asciiTheme="majorBidi" w:hAnsiTheme="majorBidi" w:cstheme="majorBidi"/>
          <w:szCs w:val="24"/>
          <w:lang w:eastAsia="zh-CN"/>
        </w:rPr>
      </w:pPr>
      <w:proofErr w:type="spellStart"/>
      <w:r w:rsidRPr="00C347B7">
        <w:rPr>
          <w:i/>
          <w:iCs/>
          <w:lang w:eastAsia="zh-CN"/>
        </w:rPr>
        <w:lastRenderedPageBreak/>
        <w:t>i</w:t>
      </w:r>
      <w:proofErr w:type="spellEnd"/>
      <w:r w:rsidRPr="00C347B7">
        <w:rPr>
          <w:i/>
          <w:iCs/>
          <w:lang w:eastAsia="zh-CN"/>
        </w:rPr>
        <w:t>)</w:t>
      </w:r>
      <w:r>
        <w:rPr>
          <w:rFonts w:asciiTheme="majorBidi" w:hAnsiTheme="majorBidi" w:cstheme="majorBidi"/>
          <w:szCs w:val="24"/>
          <w:lang w:eastAsia="zh-CN"/>
        </w:rPr>
        <w:tab/>
      </w:r>
      <w:r w:rsidR="008F0384" w:rsidRPr="009D3106">
        <w:rPr>
          <w:rFonts w:hint="eastAsia"/>
          <w:lang w:eastAsia="zh-CN"/>
        </w:rPr>
        <w:t>这些频段内的</w:t>
      </w:r>
      <w:r w:rsidR="008F0384" w:rsidRPr="009D3106">
        <w:rPr>
          <w:rFonts w:hint="eastAsia"/>
          <w:lang w:eastAsia="zh-CN"/>
        </w:rPr>
        <w:t>HDFSS</w:t>
      </w:r>
      <w:r w:rsidR="008F0384">
        <w:rPr>
          <w:rFonts w:hint="eastAsia"/>
          <w:lang w:eastAsia="zh-CN"/>
        </w:rPr>
        <w:t>电台预计会在从城市、城郊到郊区的很大地理范围内大量部署，</w:t>
      </w:r>
    </w:p>
    <w:p w:rsidR="002F3F57" w:rsidRPr="008F0384" w:rsidRDefault="00EF7329" w:rsidP="008F0384">
      <w:pPr>
        <w:pStyle w:val="Call"/>
        <w:rPr>
          <w:lang w:eastAsia="zh-CN"/>
        </w:rPr>
      </w:pPr>
      <w:r w:rsidRPr="008F0384">
        <w:rPr>
          <w:rFonts w:hint="eastAsia"/>
          <w:lang w:eastAsia="zh-CN"/>
        </w:rPr>
        <w:t>注意到</w:t>
      </w:r>
    </w:p>
    <w:p w:rsidR="002F3F57" w:rsidRDefault="002F3F57" w:rsidP="008F0384">
      <w:pPr>
        <w:rPr>
          <w:rFonts w:asciiTheme="majorBidi" w:eastAsiaTheme="minorHAnsi" w:hAnsiTheme="majorBidi" w:cstheme="majorBidi"/>
          <w:szCs w:val="24"/>
          <w:lang w:eastAsia="zh-CN"/>
        </w:rPr>
      </w:pPr>
      <w:r w:rsidRPr="00C347B7">
        <w:rPr>
          <w:i/>
          <w:iCs/>
          <w:lang w:eastAsia="zh-CN"/>
        </w:rPr>
        <w:t>a)</w:t>
      </w:r>
      <w:r>
        <w:rPr>
          <w:rFonts w:asciiTheme="majorBidi" w:hAnsiTheme="majorBidi" w:cstheme="majorBidi"/>
          <w:szCs w:val="24"/>
          <w:lang w:eastAsia="zh-CN"/>
        </w:rPr>
        <w:tab/>
      </w:r>
      <w:r w:rsidR="008F0384" w:rsidRPr="009D3106">
        <w:rPr>
          <w:rFonts w:hint="eastAsia"/>
          <w:lang w:eastAsia="zh-CN"/>
        </w:rPr>
        <w:t>对于同为主要业务与地面业务共用频段的</w:t>
      </w:r>
      <w:r w:rsidR="008F0384" w:rsidRPr="009D3106">
        <w:rPr>
          <w:rFonts w:hint="eastAsia"/>
          <w:lang w:eastAsia="zh-CN"/>
        </w:rPr>
        <w:t>FSS</w:t>
      </w:r>
      <w:r w:rsidR="008F0384" w:rsidRPr="009D3106">
        <w:rPr>
          <w:rFonts w:hint="eastAsia"/>
          <w:lang w:eastAsia="zh-CN"/>
        </w:rPr>
        <w:t>地球站，《无线电规则》规定，如果</w:t>
      </w:r>
      <w:r w:rsidR="008F0384" w:rsidRPr="009D3106">
        <w:rPr>
          <w:rFonts w:hint="eastAsia"/>
          <w:lang w:eastAsia="zh-CN"/>
        </w:rPr>
        <w:t>FSS</w:t>
      </w:r>
      <w:r w:rsidR="008F0384" w:rsidRPr="009D3106">
        <w:rPr>
          <w:rFonts w:hint="eastAsia"/>
          <w:lang w:eastAsia="zh-CN"/>
        </w:rPr>
        <w:t>地球站的协调等值线延伸到了另一个主管部门的领土，则必须分别向无线电通信局</w:t>
      </w:r>
      <w:r w:rsidR="008F0384">
        <w:rPr>
          <w:rFonts w:hint="eastAsia"/>
          <w:lang w:eastAsia="zh-CN"/>
        </w:rPr>
        <w:t>进行</w:t>
      </w:r>
      <w:r w:rsidR="008F0384" w:rsidRPr="009D3106">
        <w:rPr>
          <w:rFonts w:hint="eastAsia"/>
          <w:lang w:eastAsia="zh-CN"/>
        </w:rPr>
        <w:t>通知；</w:t>
      </w:r>
    </w:p>
    <w:p w:rsidR="002F3F57" w:rsidRDefault="002F3F57" w:rsidP="008F0384">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008F0384" w:rsidRPr="009D3106">
        <w:rPr>
          <w:rFonts w:hint="eastAsia"/>
          <w:lang w:eastAsia="zh-CN"/>
        </w:rPr>
        <w:t>根据</w:t>
      </w:r>
      <w:r w:rsidR="008F0384" w:rsidRPr="009D3106">
        <w:rPr>
          <w:rFonts w:hint="eastAsia"/>
          <w:lang w:eastAsia="zh-CN"/>
        </w:rPr>
        <w:t>HDFSS</w:t>
      </w:r>
      <w:r w:rsidR="008F0384" w:rsidRPr="009D3106">
        <w:rPr>
          <w:rFonts w:hint="eastAsia"/>
          <w:lang w:eastAsia="zh-CN"/>
        </w:rPr>
        <w:t>地球站的一般特性，主管部门间就这些地球站与固定业务电台一个台址一个台址的个别协调不但困难，而且费时；</w:t>
      </w:r>
    </w:p>
    <w:p w:rsidR="002F3F57" w:rsidRDefault="002F3F57" w:rsidP="008F0384">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008F0384" w:rsidRPr="009D3106">
        <w:rPr>
          <w:rFonts w:hint="eastAsia"/>
          <w:lang w:eastAsia="zh-CN"/>
        </w:rPr>
        <w:t>为了</w:t>
      </w:r>
      <w:r w:rsidR="008F0384">
        <w:rPr>
          <w:rFonts w:hint="eastAsia"/>
          <w:lang w:eastAsia="zh-CN"/>
        </w:rPr>
        <w:t>最大限度地降低</w:t>
      </w:r>
      <w:r w:rsidR="008F0384" w:rsidRPr="009D3106">
        <w:rPr>
          <w:rFonts w:hint="eastAsia"/>
          <w:lang w:eastAsia="zh-CN"/>
        </w:rPr>
        <w:t>主管部门的负担，主管部门可以</w:t>
      </w:r>
      <w:r w:rsidR="008F0384">
        <w:rPr>
          <w:rFonts w:hint="eastAsia"/>
          <w:lang w:eastAsia="zh-CN"/>
        </w:rPr>
        <w:t>就</w:t>
      </w:r>
      <w:r w:rsidR="008F0384" w:rsidRPr="009D3106">
        <w:rPr>
          <w:rFonts w:hint="eastAsia"/>
          <w:lang w:eastAsia="zh-CN"/>
        </w:rPr>
        <w:t>给定卫星系统中大量相似的</w:t>
      </w:r>
      <w:r w:rsidR="008F0384" w:rsidRPr="009D3106">
        <w:rPr>
          <w:rFonts w:hint="eastAsia"/>
          <w:lang w:eastAsia="zh-CN"/>
        </w:rPr>
        <w:t>HDFSS</w:t>
      </w:r>
      <w:r w:rsidR="008F0384" w:rsidRPr="009D3106">
        <w:rPr>
          <w:rFonts w:hint="eastAsia"/>
          <w:lang w:eastAsia="zh-CN"/>
        </w:rPr>
        <w:t>地球站达成简化的协调程序和规定；</w:t>
      </w:r>
    </w:p>
    <w:p w:rsidR="002F3F57" w:rsidRDefault="002F3F57" w:rsidP="008F0384">
      <w:pPr>
        <w:rPr>
          <w:rFonts w:asciiTheme="majorBidi" w:hAnsiTheme="majorBidi" w:cstheme="majorBidi"/>
          <w:szCs w:val="24"/>
          <w:lang w:eastAsia="zh-CN"/>
        </w:rPr>
      </w:pPr>
      <w:r w:rsidRPr="00C347B7">
        <w:rPr>
          <w:i/>
          <w:iCs/>
          <w:lang w:eastAsia="zh-CN"/>
        </w:rPr>
        <w:t>d)</w:t>
      </w:r>
      <w:r>
        <w:rPr>
          <w:rFonts w:asciiTheme="majorBidi" w:hAnsiTheme="majorBidi" w:cstheme="majorBidi"/>
          <w:szCs w:val="24"/>
          <w:lang w:eastAsia="zh-CN"/>
        </w:rPr>
        <w:tab/>
      </w:r>
      <w:r w:rsidR="008F0384" w:rsidRPr="009D3106">
        <w:rPr>
          <w:rFonts w:hint="eastAsia"/>
          <w:lang w:eastAsia="zh-CN"/>
        </w:rPr>
        <w:t>HDFSS</w:t>
      </w:r>
      <w:r w:rsidR="008F0384" w:rsidRPr="009D3106">
        <w:rPr>
          <w:rFonts w:hint="eastAsia"/>
          <w:lang w:eastAsia="zh-CN"/>
        </w:rPr>
        <w:t>在世界范围内采用经协调的频段会促进</w:t>
      </w:r>
      <w:r w:rsidR="008F0384" w:rsidRPr="009D3106">
        <w:rPr>
          <w:rFonts w:hint="eastAsia"/>
          <w:lang w:eastAsia="zh-CN"/>
        </w:rPr>
        <w:t>HDFSS</w:t>
      </w:r>
      <w:r w:rsidR="008F0384" w:rsidRPr="009D3106">
        <w:rPr>
          <w:rFonts w:hint="eastAsia"/>
          <w:lang w:eastAsia="zh-CN"/>
        </w:rPr>
        <w:t>的实施，因此有助于最大限度地扩大全球使用和规模效益，</w:t>
      </w:r>
    </w:p>
    <w:p w:rsidR="002F3F57" w:rsidRPr="008F0384" w:rsidRDefault="008F0384" w:rsidP="008F0384">
      <w:pPr>
        <w:pStyle w:val="Call"/>
        <w:rPr>
          <w:rFonts w:asciiTheme="majorBidi" w:hAnsiTheme="majorBidi" w:cstheme="majorBidi"/>
          <w:color w:val="000000"/>
          <w:szCs w:val="24"/>
          <w:lang w:eastAsia="zh-CN"/>
        </w:rPr>
      </w:pPr>
      <w:r w:rsidRPr="008F0384">
        <w:rPr>
          <w:rFonts w:asciiTheme="majorBidi" w:hAnsiTheme="majorBidi" w:cstheme="majorBidi" w:hint="eastAsia"/>
          <w:color w:val="000000"/>
          <w:szCs w:val="24"/>
          <w:lang w:eastAsia="zh-CN"/>
        </w:rPr>
        <w:t>进一步认识到</w:t>
      </w:r>
    </w:p>
    <w:p w:rsidR="002F3F57" w:rsidRDefault="00DD4175" w:rsidP="008F0384">
      <w:pPr>
        <w:ind w:firstLineChars="200" w:firstLine="480"/>
        <w:rPr>
          <w:rFonts w:asciiTheme="majorBidi" w:hAnsiTheme="majorBidi" w:cstheme="majorBidi"/>
          <w:szCs w:val="24"/>
          <w:lang w:eastAsia="zh-CN"/>
        </w:rPr>
      </w:pPr>
      <w:r w:rsidRPr="009D3106">
        <w:rPr>
          <w:rFonts w:hint="eastAsia"/>
          <w:lang w:eastAsia="zh-CN"/>
        </w:rPr>
        <w:t>在</w:t>
      </w:r>
      <w:r w:rsidRPr="009D3106">
        <w:rPr>
          <w:rFonts w:hint="eastAsia"/>
          <w:lang w:eastAsia="zh-CN"/>
        </w:rPr>
        <w:t>FSS</w:t>
      </w:r>
      <w:r w:rsidRPr="009D3106">
        <w:rPr>
          <w:rFonts w:hint="eastAsia"/>
          <w:lang w:eastAsia="zh-CN"/>
        </w:rPr>
        <w:t>网和系统中实施的</w:t>
      </w:r>
      <w:r w:rsidRPr="009D3106">
        <w:rPr>
          <w:rFonts w:hint="eastAsia"/>
          <w:lang w:eastAsia="zh-CN"/>
        </w:rPr>
        <w:t>HDFSS</w:t>
      </w:r>
      <w:r w:rsidRPr="009D3106">
        <w:rPr>
          <w:rFonts w:hint="eastAsia"/>
          <w:lang w:eastAsia="zh-CN"/>
        </w:rPr>
        <w:t>应用须遵守《无线电规则》中适用</w:t>
      </w:r>
      <w:r>
        <w:rPr>
          <w:rFonts w:hint="eastAsia"/>
          <w:lang w:eastAsia="zh-CN"/>
        </w:rPr>
        <w:t>于</w:t>
      </w:r>
      <w:r w:rsidRPr="009D3106">
        <w:rPr>
          <w:rFonts w:hint="eastAsia"/>
          <w:lang w:eastAsia="zh-CN"/>
        </w:rPr>
        <w:t>FSS</w:t>
      </w:r>
      <w:r w:rsidRPr="009D3106">
        <w:rPr>
          <w:rFonts w:hint="eastAsia"/>
          <w:lang w:eastAsia="zh-CN"/>
        </w:rPr>
        <w:t>的所有条款，如按照第</w:t>
      </w:r>
      <w:r w:rsidRPr="009D3106">
        <w:rPr>
          <w:rFonts w:hint="eastAsia"/>
          <w:b/>
          <w:bCs/>
          <w:lang w:eastAsia="zh-CN"/>
        </w:rPr>
        <w:t>9</w:t>
      </w:r>
      <w:r w:rsidRPr="009D3106">
        <w:rPr>
          <w:rFonts w:hint="eastAsia"/>
          <w:lang w:eastAsia="zh-CN"/>
        </w:rPr>
        <w:t>和</w:t>
      </w:r>
      <w:r w:rsidRPr="009D3106">
        <w:rPr>
          <w:rFonts w:hint="eastAsia"/>
          <w:b/>
          <w:bCs/>
          <w:lang w:eastAsia="zh-CN"/>
        </w:rPr>
        <w:t>11</w:t>
      </w:r>
      <w:r w:rsidRPr="009D3106">
        <w:rPr>
          <w:rFonts w:hint="eastAsia"/>
          <w:lang w:eastAsia="zh-CN"/>
        </w:rPr>
        <w:t>条进行的协调和通知，包括与</w:t>
      </w:r>
      <w:r>
        <w:rPr>
          <w:rFonts w:hint="eastAsia"/>
          <w:lang w:eastAsia="zh-CN"/>
        </w:rPr>
        <w:t>其它国家</w:t>
      </w:r>
      <w:r w:rsidRPr="009D3106">
        <w:rPr>
          <w:rFonts w:hint="eastAsia"/>
          <w:lang w:eastAsia="zh-CN"/>
        </w:rPr>
        <w:t>的地面业务协调的任何要求以及第</w:t>
      </w:r>
      <w:r w:rsidRPr="009D3106">
        <w:rPr>
          <w:rFonts w:hint="eastAsia"/>
          <w:b/>
          <w:bCs/>
          <w:lang w:eastAsia="zh-CN"/>
        </w:rPr>
        <w:t>21</w:t>
      </w:r>
      <w:r w:rsidRPr="009D3106">
        <w:rPr>
          <w:rFonts w:hint="eastAsia"/>
          <w:lang w:eastAsia="zh-CN"/>
        </w:rPr>
        <w:t>和</w:t>
      </w:r>
      <w:r w:rsidRPr="009D3106">
        <w:rPr>
          <w:rFonts w:hint="eastAsia"/>
          <w:b/>
          <w:bCs/>
          <w:lang w:eastAsia="zh-CN"/>
        </w:rPr>
        <w:t>22</w:t>
      </w:r>
      <w:r w:rsidRPr="009D3106">
        <w:rPr>
          <w:rFonts w:hint="eastAsia"/>
          <w:lang w:eastAsia="zh-CN"/>
        </w:rPr>
        <w:t>条的条款，</w:t>
      </w:r>
    </w:p>
    <w:p w:rsidR="002F3F57" w:rsidRDefault="00E4585B" w:rsidP="00E4585B">
      <w:pPr>
        <w:pStyle w:val="Call"/>
        <w:rPr>
          <w:rFonts w:asciiTheme="majorBidi" w:hAnsiTheme="majorBidi" w:cstheme="majorBidi"/>
          <w:color w:val="000000"/>
          <w:szCs w:val="24"/>
          <w:lang w:val="en-US" w:eastAsia="zh-CN"/>
        </w:rPr>
      </w:pPr>
      <w:r w:rsidRPr="00D13299">
        <w:rPr>
          <w:rFonts w:hint="eastAsia"/>
          <w:lang w:eastAsia="zh-CN"/>
        </w:rPr>
        <w:t>提醒运营</w:t>
      </w:r>
      <w:r w:rsidRPr="00590DE9">
        <w:rPr>
          <w:rFonts w:hint="eastAsia"/>
          <w:lang w:eastAsia="zh-CN"/>
        </w:rPr>
        <w:t>机构</w:t>
      </w:r>
    </w:p>
    <w:p w:rsidR="002F3F57" w:rsidRDefault="00E4585B" w:rsidP="00E4585B">
      <w:pPr>
        <w:ind w:firstLineChars="200" w:firstLine="480"/>
        <w:rPr>
          <w:rFonts w:asciiTheme="majorBidi" w:hAnsiTheme="majorBidi" w:cstheme="majorBidi"/>
          <w:szCs w:val="24"/>
          <w:lang w:eastAsia="zh-CN"/>
        </w:rPr>
      </w:pPr>
      <w:r w:rsidRPr="00D13299">
        <w:rPr>
          <w:rFonts w:hint="eastAsia"/>
          <w:lang w:eastAsia="zh-CN"/>
        </w:rPr>
        <w:t>在订立有关在某个国家的领土上运营其系统的协议时，考虑该国在实施这种协议时因其现有国际业务量的可能下降而蒙受的任何潜在的收入损失</w:t>
      </w:r>
      <w:r>
        <w:rPr>
          <w:rFonts w:hint="eastAsia"/>
          <w:lang w:eastAsia="zh-CN"/>
        </w:rPr>
        <w:t>，</w:t>
      </w:r>
    </w:p>
    <w:p w:rsidR="002F3F57" w:rsidRDefault="00E4585B" w:rsidP="002F3F57">
      <w:pPr>
        <w:pStyle w:val="Call"/>
        <w:rPr>
          <w:lang w:eastAsia="zh-CN"/>
        </w:rPr>
      </w:pPr>
      <w:r>
        <w:rPr>
          <w:rFonts w:hint="eastAsia"/>
          <w:lang w:eastAsia="zh-CN"/>
        </w:rPr>
        <w:t>做出决议，请相关的</w:t>
      </w:r>
      <w:r w:rsidRPr="007F5856">
        <w:rPr>
          <w:rFonts w:ascii="Times New Roman" w:hAnsi="Times New Roman"/>
          <w:lang w:eastAsia="zh-CN"/>
        </w:rPr>
        <w:t>ITU-R</w:t>
      </w:r>
      <w:r>
        <w:rPr>
          <w:rFonts w:hint="eastAsia"/>
          <w:lang w:eastAsia="zh-CN"/>
        </w:rPr>
        <w:t>研究组</w:t>
      </w:r>
    </w:p>
    <w:p w:rsidR="002F3F57" w:rsidRDefault="002F3F57" w:rsidP="004D35DE">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00552F88" w:rsidRPr="00552F88">
        <w:rPr>
          <w:rFonts w:asciiTheme="majorBidi" w:hAnsiTheme="majorBidi" w:cstheme="majorBidi"/>
          <w:szCs w:val="24"/>
          <w:lang w:eastAsia="zh-CN"/>
        </w:rPr>
        <w:t>研究采取必要监管</w:t>
      </w:r>
      <w:r w:rsidR="00552F88">
        <w:rPr>
          <w:rFonts w:asciiTheme="majorBidi" w:hAnsiTheme="majorBidi" w:cstheme="majorBidi" w:hint="eastAsia"/>
          <w:szCs w:val="24"/>
          <w:lang w:eastAsia="zh-CN"/>
        </w:rPr>
        <w:t>措施</w:t>
      </w:r>
      <w:r w:rsidR="00552F88" w:rsidRPr="00552F88">
        <w:rPr>
          <w:rFonts w:asciiTheme="majorBidi" w:hAnsiTheme="majorBidi" w:cstheme="majorBidi"/>
          <w:szCs w:val="24"/>
          <w:lang w:eastAsia="zh-CN"/>
        </w:rPr>
        <w:t>的可行</w:t>
      </w:r>
      <w:r w:rsidR="00552F88">
        <w:rPr>
          <w:rFonts w:asciiTheme="majorBidi" w:hAnsiTheme="majorBidi" w:cstheme="majorBidi" w:hint="eastAsia"/>
          <w:szCs w:val="24"/>
          <w:lang w:eastAsia="zh-CN"/>
        </w:rPr>
        <w:t>方法</w:t>
      </w:r>
      <w:r w:rsidR="00552F88" w:rsidRPr="00552F88">
        <w:rPr>
          <w:rFonts w:asciiTheme="majorBidi" w:hAnsiTheme="majorBidi" w:cstheme="majorBidi"/>
          <w:szCs w:val="24"/>
          <w:lang w:eastAsia="zh-CN"/>
        </w:rPr>
        <w:t>，防止</w:t>
      </w:r>
      <w:r w:rsidR="004D35DE">
        <w:rPr>
          <w:rFonts w:asciiTheme="majorBidi" w:hAnsiTheme="majorBidi" w:cstheme="majorBidi" w:hint="eastAsia"/>
          <w:szCs w:val="24"/>
          <w:lang w:eastAsia="zh-CN"/>
        </w:rPr>
        <w:t>未经</w:t>
      </w:r>
      <w:r w:rsidR="004D35DE" w:rsidRPr="004D35DE">
        <w:rPr>
          <w:rFonts w:asciiTheme="majorBidi" w:hAnsiTheme="majorBidi" w:cstheme="majorBidi" w:hint="eastAsia"/>
          <w:szCs w:val="24"/>
          <w:lang w:eastAsia="zh-CN"/>
        </w:rPr>
        <w:t>在其领土上</w:t>
      </w:r>
      <w:r w:rsidR="004D35DE">
        <w:rPr>
          <w:rFonts w:asciiTheme="majorBidi" w:hAnsiTheme="majorBidi" w:cstheme="majorBidi" w:hint="eastAsia"/>
          <w:szCs w:val="24"/>
          <w:lang w:eastAsia="zh-CN"/>
        </w:rPr>
        <w:t>部署上述地球站</w:t>
      </w:r>
      <w:r w:rsidR="004D35DE">
        <w:rPr>
          <w:rFonts w:asciiTheme="majorBidi" w:hAnsiTheme="majorBidi" w:cstheme="majorBidi"/>
          <w:szCs w:val="24"/>
          <w:lang w:eastAsia="zh-CN"/>
        </w:rPr>
        <w:t>终端</w:t>
      </w:r>
      <w:r w:rsidR="004D35DE" w:rsidRPr="004D35DE">
        <w:rPr>
          <w:rFonts w:asciiTheme="majorBidi" w:hAnsiTheme="majorBidi" w:cstheme="majorBidi" w:hint="eastAsia"/>
          <w:szCs w:val="24"/>
          <w:lang w:eastAsia="zh-CN"/>
        </w:rPr>
        <w:t>的主管部门</w:t>
      </w:r>
      <w:r w:rsidR="004D35DE">
        <w:rPr>
          <w:rFonts w:asciiTheme="majorBidi" w:hAnsiTheme="majorBidi" w:cstheme="majorBidi" w:hint="eastAsia"/>
          <w:szCs w:val="24"/>
          <w:lang w:eastAsia="zh-CN"/>
        </w:rPr>
        <w:t>相关许可</w:t>
      </w:r>
      <w:r w:rsidR="004D35DE">
        <w:rPr>
          <w:rFonts w:asciiTheme="majorBidi" w:hAnsiTheme="majorBidi" w:cstheme="majorBidi"/>
          <w:szCs w:val="24"/>
          <w:lang w:eastAsia="zh-CN"/>
        </w:rPr>
        <w:t>情况下</w:t>
      </w:r>
      <w:r w:rsidR="004D35DE" w:rsidRPr="00552F88">
        <w:rPr>
          <w:rFonts w:asciiTheme="majorBidi" w:hAnsiTheme="majorBidi" w:cstheme="majorBidi"/>
          <w:szCs w:val="24"/>
          <w:lang w:eastAsia="zh-CN"/>
        </w:rPr>
        <w:t>的服务提供</w:t>
      </w:r>
      <w:r w:rsidR="004D35DE">
        <w:rPr>
          <w:rFonts w:asciiTheme="majorBidi" w:hAnsiTheme="majorBidi" w:cstheme="majorBidi" w:hint="eastAsia"/>
          <w:szCs w:val="24"/>
          <w:lang w:eastAsia="zh-CN"/>
        </w:rPr>
        <w:t>；</w:t>
      </w:r>
    </w:p>
    <w:p w:rsidR="002F3F57" w:rsidRDefault="002F3F57" w:rsidP="004D35DE">
      <w:pPr>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00E4585B">
        <w:rPr>
          <w:rFonts w:hint="eastAsia"/>
          <w:lang w:eastAsia="zh-CN"/>
        </w:rPr>
        <w:t>研究</w:t>
      </w:r>
      <w:r w:rsidR="004D35DE">
        <w:rPr>
          <w:rFonts w:hint="eastAsia"/>
          <w:lang w:eastAsia="zh-CN"/>
        </w:rPr>
        <w:t>监控站的技术特性、要求和性能，</w:t>
      </w:r>
      <w:r w:rsidR="004D35DE">
        <w:rPr>
          <w:lang w:eastAsia="zh-CN"/>
        </w:rPr>
        <w:t>以确定未经授权的地球站终端的地理位置</w:t>
      </w:r>
      <w:r w:rsidR="004D35DE">
        <w:rPr>
          <w:rFonts w:hint="eastAsia"/>
          <w:lang w:eastAsia="zh-CN"/>
        </w:rPr>
        <w:t>；</w:t>
      </w:r>
    </w:p>
    <w:p w:rsidR="000A474D" w:rsidRDefault="002F3F57" w:rsidP="00E4585B">
      <w:pPr>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sidR="00E4585B">
        <w:rPr>
          <w:rFonts w:hint="eastAsia"/>
          <w:lang w:eastAsia="zh-CN"/>
        </w:rPr>
        <w:t>按照上述研究酌情制定相关的</w:t>
      </w:r>
      <w:r w:rsidR="00E4585B" w:rsidRPr="003D0348">
        <w:rPr>
          <w:lang w:eastAsia="zh-CN"/>
        </w:rPr>
        <w:t>ITU-R</w:t>
      </w:r>
      <w:r w:rsidR="00E4585B">
        <w:rPr>
          <w:rFonts w:hint="eastAsia"/>
          <w:lang w:eastAsia="zh-CN"/>
        </w:rPr>
        <w:t>建议书和</w:t>
      </w:r>
      <w:r w:rsidR="00E4585B">
        <w:rPr>
          <w:lang w:eastAsia="zh-CN"/>
        </w:rPr>
        <w:t>/</w:t>
      </w:r>
      <w:r w:rsidR="00E4585B">
        <w:rPr>
          <w:rFonts w:hint="eastAsia"/>
          <w:lang w:eastAsia="zh-CN"/>
        </w:rPr>
        <w:t>或报告。</w:t>
      </w:r>
    </w:p>
    <w:p w:rsidR="00C347B7" w:rsidRDefault="00C347B7" w:rsidP="0032202E">
      <w:pPr>
        <w:pStyle w:val="Reasons"/>
        <w:rPr>
          <w:lang w:eastAsia="zh-CN"/>
        </w:rPr>
      </w:pPr>
    </w:p>
    <w:p w:rsidR="00C347B7" w:rsidRPr="00CA0A6F" w:rsidRDefault="00C347B7" w:rsidP="00CA0A6F">
      <w:pPr>
        <w:jc w:val="center"/>
      </w:pPr>
      <w:r>
        <w:t>______________</w:t>
      </w:r>
      <w:bookmarkStart w:id="8" w:name="_GoBack"/>
      <w:bookmarkEnd w:id="8"/>
    </w:p>
    <w:sectPr w:rsidR="00C347B7" w:rsidRPr="00CA0A6F"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C00ECD">
      <w:rPr>
        <w:noProof/>
        <w:lang w:val="fr-FR"/>
      </w:rPr>
      <w:t>P:\CHI\ITU-R\CONF-R\AR15\PLEN\000\020C.docx</w:t>
    </w:r>
    <w:r>
      <w:fldChar w:fldCharType="end"/>
    </w:r>
    <w:r w:rsidRPr="00877D12">
      <w:rPr>
        <w:lang w:val="fr-FR"/>
      </w:rPr>
      <w:tab/>
    </w:r>
    <w:r>
      <w:fldChar w:fldCharType="begin"/>
    </w:r>
    <w:r>
      <w:instrText xml:space="preserve"> SAVEDATE \@ DD.MM.YY </w:instrText>
    </w:r>
    <w:r>
      <w:fldChar w:fldCharType="separate"/>
    </w:r>
    <w:r w:rsidR="00C00ECD">
      <w:rPr>
        <w:noProof/>
      </w:rPr>
      <w:t>16.10.15</w:t>
    </w:r>
    <w:r>
      <w:fldChar w:fldCharType="end"/>
    </w:r>
    <w:r w:rsidRPr="00877D12">
      <w:rPr>
        <w:lang w:val="fr-FR"/>
      </w:rPr>
      <w:tab/>
    </w:r>
    <w:r>
      <w:fldChar w:fldCharType="begin"/>
    </w:r>
    <w:r>
      <w:instrText xml:space="preserve"> PRINTDATE \@ DD.MM.YY </w:instrText>
    </w:r>
    <w:r>
      <w:fldChar w:fldCharType="separate"/>
    </w:r>
    <w:r w:rsidR="00C00ECD">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FC" w:rsidRDefault="004D35DE" w:rsidP="00E43C14">
    <w:pPr>
      <w:pStyle w:val="Footer"/>
    </w:pPr>
    <w:fldSimple w:instr=" FILENAME \p  \* MERGEFORMAT ">
      <w:r w:rsidR="00C00ECD">
        <w:t>P:\CHI\ITU-R\CONF-R\AR15\PLEN\000\020C.docx</w:t>
      </w:r>
    </w:fldSimple>
    <w:r w:rsidR="000E5BFC">
      <w:rPr>
        <w:lang w:val="en-US"/>
      </w:rPr>
      <w:t xml:space="preserve"> (38</w:t>
    </w:r>
    <w:r w:rsidR="002F3F57">
      <w:rPr>
        <w:lang w:val="en-US"/>
      </w:rPr>
      <w:t>7861</w:t>
    </w:r>
    <w:r w:rsidR="000E5BFC">
      <w:rPr>
        <w:lang w:val="en-US"/>
      </w:rPr>
      <w:t>)</w:t>
    </w:r>
    <w:r w:rsidR="000E5BFC">
      <w:tab/>
    </w:r>
    <w:r w:rsidR="000E5BFC">
      <w:fldChar w:fldCharType="begin"/>
    </w:r>
    <w:r w:rsidR="000E5BFC">
      <w:instrText xml:space="preserve"> SAVEDATE \@ DD.MM.YY </w:instrText>
    </w:r>
    <w:r w:rsidR="000E5BFC">
      <w:fldChar w:fldCharType="separate"/>
    </w:r>
    <w:r w:rsidR="00C00ECD">
      <w:t>16.10.15</w:t>
    </w:r>
    <w:r w:rsidR="000E5BFC">
      <w:fldChar w:fldCharType="end"/>
    </w:r>
    <w:r w:rsidR="000E5BFC">
      <w:tab/>
    </w:r>
    <w:r w:rsidR="000E5BFC">
      <w:fldChar w:fldCharType="begin"/>
    </w:r>
    <w:r w:rsidR="000E5BFC">
      <w:instrText xml:space="preserve"> PRINTDATE \@ DD.MM.YY </w:instrText>
    </w:r>
    <w:r w:rsidR="000E5BFC">
      <w:fldChar w:fldCharType="separate"/>
    </w:r>
    <w:r w:rsidR="00C00ECD">
      <w:t>16.10.15</w:t>
    </w:r>
    <w:r w:rsidR="000E5BF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4D35DE" w:rsidP="002F3F57">
    <w:pPr>
      <w:pStyle w:val="Footer"/>
    </w:pPr>
    <w:fldSimple w:instr=" FILENAME \p  \* MERGEFORMAT ">
      <w:r w:rsidR="00C00ECD">
        <w:t>P:\CHI\ITU-R\CONF-R\AR15\PLEN\000\020C.docx</w:t>
      </w:r>
    </w:fldSimple>
    <w:r w:rsidR="004A1925">
      <w:rPr>
        <w:lang w:val="en-US"/>
      </w:rPr>
      <w:t xml:space="preserve"> (38</w:t>
    </w:r>
    <w:r w:rsidR="002F3F57">
      <w:rPr>
        <w:lang w:val="en-US"/>
      </w:rPr>
      <w:t>7861</w:t>
    </w:r>
    <w:r w:rsidR="00AE59AF">
      <w:rPr>
        <w:lang w:val="en-US"/>
      </w:rPr>
      <w:t>)</w:t>
    </w:r>
    <w:r w:rsidR="00AE59AF">
      <w:tab/>
    </w:r>
    <w:r w:rsidR="00AE59AF">
      <w:fldChar w:fldCharType="begin"/>
    </w:r>
    <w:r w:rsidR="00AE59AF">
      <w:instrText xml:space="preserve"> SAVEDATE \@ DD.MM.YY </w:instrText>
    </w:r>
    <w:r w:rsidR="00AE59AF">
      <w:fldChar w:fldCharType="separate"/>
    </w:r>
    <w:r w:rsidR="00C00ECD">
      <w:t>16.10.15</w:t>
    </w:r>
    <w:r w:rsidR="00AE59AF">
      <w:fldChar w:fldCharType="end"/>
    </w:r>
    <w:r w:rsidR="00AE59AF">
      <w:tab/>
    </w:r>
    <w:r w:rsidR="00AE59AF">
      <w:fldChar w:fldCharType="begin"/>
    </w:r>
    <w:r w:rsidR="00AE59AF">
      <w:instrText xml:space="preserve"> PRINTDATE \@ DD.MM.YY </w:instrText>
    </w:r>
    <w:r w:rsidR="00AE59AF">
      <w:fldChar w:fldCharType="separate"/>
    </w:r>
    <w:r w:rsidR="00C00ECD">
      <w:t>16.10.15</w:t>
    </w:r>
    <w:r w:rsidR="00AE59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E59A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00ECD">
      <w:rPr>
        <w:noProof/>
        <w:lang w:val="en-US"/>
      </w:rPr>
      <w:t>4</w:t>
    </w:r>
    <w:r>
      <w:rPr>
        <w:lang w:val="en-US"/>
      </w:rPr>
      <w:fldChar w:fldCharType="end"/>
    </w:r>
  </w:p>
  <w:p w:rsidR="00AE59AF" w:rsidRPr="009447A3" w:rsidRDefault="00AE59AF" w:rsidP="006677C6">
    <w:pPr>
      <w:pStyle w:val="Header"/>
      <w:rPr>
        <w:lang w:val="en-US"/>
      </w:rPr>
    </w:pPr>
    <w:r>
      <w:rPr>
        <w:lang w:val="en-US"/>
      </w:rPr>
      <w:t>RA15/PLEN/</w:t>
    </w:r>
    <w:r w:rsidR="006677C6">
      <w:rPr>
        <w:lang w:val="en-US"/>
      </w:rPr>
      <w:t>20</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10C2A"/>
    <w:rsid w:val="00017CF3"/>
    <w:rsid w:val="00021857"/>
    <w:rsid w:val="00025C06"/>
    <w:rsid w:val="00026535"/>
    <w:rsid w:val="00034B06"/>
    <w:rsid w:val="000515B8"/>
    <w:rsid w:val="0007344D"/>
    <w:rsid w:val="00087525"/>
    <w:rsid w:val="0009263A"/>
    <w:rsid w:val="00096B29"/>
    <w:rsid w:val="00097F10"/>
    <w:rsid w:val="000A2972"/>
    <w:rsid w:val="000A474D"/>
    <w:rsid w:val="000A4E2B"/>
    <w:rsid w:val="000B1FB7"/>
    <w:rsid w:val="000D0C9F"/>
    <w:rsid w:val="000E3D6D"/>
    <w:rsid w:val="000E5BFC"/>
    <w:rsid w:val="0010570E"/>
    <w:rsid w:val="00106139"/>
    <w:rsid w:val="0010677D"/>
    <w:rsid w:val="00120E20"/>
    <w:rsid w:val="001213EE"/>
    <w:rsid w:val="0013139F"/>
    <w:rsid w:val="001348C0"/>
    <w:rsid w:val="00151C4D"/>
    <w:rsid w:val="00180E6C"/>
    <w:rsid w:val="00181706"/>
    <w:rsid w:val="0019114E"/>
    <w:rsid w:val="001A41DD"/>
    <w:rsid w:val="001A50F9"/>
    <w:rsid w:val="001B225D"/>
    <w:rsid w:val="001B27DA"/>
    <w:rsid w:val="001D1EBD"/>
    <w:rsid w:val="001D55B3"/>
    <w:rsid w:val="001F1D01"/>
    <w:rsid w:val="0020352C"/>
    <w:rsid w:val="00213F8F"/>
    <w:rsid w:val="0024492A"/>
    <w:rsid w:val="00265923"/>
    <w:rsid w:val="0027178A"/>
    <w:rsid w:val="0028113C"/>
    <w:rsid w:val="00293A01"/>
    <w:rsid w:val="002A6644"/>
    <w:rsid w:val="002A7849"/>
    <w:rsid w:val="002C2AE9"/>
    <w:rsid w:val="002D1476"/>
    <w:rsid w:val="002E7E12"/>
    <w:rsid w:val="002F3F57"/>
    <w:rsid w:val="003034A0"/>
    <w:rsid w:val="00307B94"/>
    <w:rsid w:val="0032284B"/>
    <w:rsid w:val="00322A07"/>
    <w:rsid w:val="00327446"/>
    <w:rsid w:val="0033095A"/>
    <w:rsid w:val="003322FF"/>
    <w:rsid w:val="00334C42"/>
    <w:rsid w:val="003420AB"/>
    <w:rsid w:val="00345F08"/>
    <w:rsid w:val="003532CB"/>
    <w:rsid w:val="00361654"/>
    <w:rsid w:val="003709DC"/>
    <w:rsid w:val="0037583A"/>
    <w:rsid w:val="003A0D27"/>
    <w:rsid w:val="003A5AF3"/>
    <w:rsid w:val="003A62E8"/>
    <w:rsid w:val="003B7252"/>
    <w:rsid w:val="003C22A0"/>
    <w:rsid w:val="003E5046"/>
    <w:rsid w:val="003F7FEA"/>
    <w:rsid w:val="00414285"/>
    <w:rsid w:val="00431B16"/>
    <w:rsid w:val="0046130E"/>
    <w:rsid w:val="00467A53"/>
    <w:rsid w:val="004844C1"/>
    <w:rsid w:val="004A02BA"/>
    <w:rsid w:val="004A1925"/>
    <w:rsid w:val="004B1CDA"/>
    <w:rsid w:val="004B3F9B"/>
    <w:rsid w:val="004C5471"/>
    <w:rsid w:val="004D06D9"/>
    <w:rsid w:val="004D35DE"/>
    <w:rsid w:val="004D7BB1"/>
    <w:rsid w:val="004E24A9"/>
    <w:rsid w:val="004F1ADB"/>
    <w:rsid w:val="004F3B2C"/>
    <w:rsid w:val="004F7315"/>
    <w:rsid w:val="00500775"/>
    <w:rsid w:val="00500EA4"/>
    <w:rsid w:val="00513DB8"/>
    <w:rsid w:val="00515651"/>
    <w:rsid w:val="005326A4"/>
    <w:rsid w:val="00537C6E"/>
    <w:rsid w:val="00541AC7"/>
    <w:rsid w:val="00552F88"/>
    <w:rsid w:val="00554CA9"/>
    <w:rsid w:val="00555E62"/>
    <w:rsid w:val="00556ACB"/>
    <w:rsid w:val="0056668A"/>
    <w:rsid w:val="00586689"/>
    <w:rsid w:val="005966BB"/>
    <w:rsid w:val="005A10DD"/>
    <w:rsid w:val="005B3B58"/>
    <w:rsid w:val="005C0A9E"/>
    <w:rsid w:val="005C5620"/>
    <w:rsid w:val="005D3379"/>
    <w:rsid w:val="005F61C9"/>
    <w:rsid w:val="00603C37"/>
    <w:rsid w:val="006068C5"/>
    <w:rsid w:val="006340F3"/>
    <w:rsid w:val="00637543"/>
    <w:rsid w:val="00645B0F"/>
    <w:rsid w:val="006462D9"/>
    <w:rsid w:val="00654E4B"/>
    <w:rsid w:val="006677C6"/>
    <w:rsid w:val="0067345C"/>
    <w:rsid w:val="00680682"/>
    <w:rsid w:val="006C372F"/>
    <w:rsid w:val="006D3A41"/>
    <w:rsid w:val="006E4FEB"/>
    <w:rsid w:val="0070397F"/>
    <w:rsid w:val="0071075B"/>
    <w:rsid w:val="0071246B"/>
    <w:rsid w:val="00722BB8"/>
    <w:rsid w:val="00733BE9"/>
    <w:rsid w:val="00737A20"/>
    <w:rsid w:val="00750D0B"/>
    <w:rsid w:val="00756B1C"/>
    <w:rsid w:val="007640E9"/>
    <w:rsid w:val="0076484D"/>
    <w:rsid w:val="00767CE4"/>
    <w:rsid w:val="007718D4"/>
    <w:rsid w:val="007805A7"/>
    <w:rsid w:val="00790C54"/>
    <w:rsid w:val="007A5146"/>
    <w:rsid w:val="007B0038"/>
    <w:rsid w:val="007C1EE7"/>
    <w:rsid w:val="007D0390"/>
    <w:rsid w:val="007F5856"/>
    <w:rsid w:val="00803829"/>
    <w:rsid w:val="00823294"/>
    <w:rsid w:val="008321FD"/>
    <w:rsid w:val="00842DBC"/>
    <w:rsid w:val="00843275"/>
    <w:rsid w:val="00845350"/>
    <w:rsid w:val="0085359C"/>
    <w:rsid w:val="008625AF"/>
    <w:rsid w:val="00867CC4"/>
    <w:rsid w:val="00870A19"/>
    <w:rsid w:val="00877D12"/>
    <w:rsid w:val="008A2BCA"/>
    <w:rsid w:val="008B1239"/>
    <w:rsid w:val="008B36D6"/>
    <w:rsid w:val="008C5D21"/>
    <w:rsid w:val="008C5FFC"/>
    <w:rsid w:val="008E04FB"/>
    <w:rsid w:val="008F0384"/>
    <w:rsid w:val="00900CB3"/>
    <w:rsid w:val="00901C20"/>
    <w:rsid w:val="0090424E"/>
    <w:rsid w:val="009261EB"/>
    <w:rsid w:val="009263F9"/>
    <w:rsid w:val="00926A47"/>
    <w:rsid w:val="009271CE"/>
    <w:rsid w:val="00933F48"/>
    <w:rsid w:val="00943EBD"/>
    <w:rsid w:val="00944560"/>
    <w:rsid w:val="009447A3"/>
    <w:rsid w:val="009464C5"/>
    <w:rsid w:val="00956FAA"/>
    <w:rsid w:val="0096122E"/>
    <w:rsid w:val="00970B63"/>
    <w:rsid w:val="00971030"/>
    <w:rsid w:val="00993FDF"/>
    <w:rsid w:val="009B3C66"/>
    <w:rsid w:val="009B5639"/>
    <w:rsid w:val="009C1E4D"/>
    <w:rsid w:val="009C7DD4"/>
    <w:rsid w:val="009D6097"/>
    <w:rsid w:val="009E67D8"/>
    <w:rsid w:val="00A05CE9"/>
    <w:rsid w:val="00A22D02"/>
    <w:rsid w:val="00A25028"/>
    <w:rsid w:val="00A314F0"/>
    <w:rsid w:val="00A6258F"/>
    <w:rsid w:val="00A65C37"/>
    <w:rsid w:val="00A72532"/>
    <w:rsid w:val="00A74BE9"/>
    <w:rsid w:val="00A8684F"/>
    <w:rsid w:val="00AA11D6"/>
    <w:rsid w:val="00AA2D52"/>
    <w:rsid w:val="00AA3071"/>
    <w:rsid w:val="00AC1BDA"/>
    <w:rsid w:val="00AE59AF"/>
    <w:rsid w:val="00AE7D05"/>
    <w:rsid w:val="00B04441"/>
    <w:rsid w:val="00B16CF4"/>
    <w:rsid w:val="00B16DF9"/>
    <w:rsid w:val="00B37F0F"/>
    <w:rsid w:val="00B426AD"/>
    <w:rsid w:val="00B50F29"/>
    <w:rsid w:val="00B542A1"/>
    <w:rsid w:val="00B576E6"/>
    <w:rsid w:val="00B76AAF"/>
    <w:rsid w:val="00B76D28"/>
    <w:rsid w:val="00B96E23"/>
    <w:rsid w:val="00BA3241"/>
    <w:rsid w:val="00BA6E53"/>
    <w:rsid w:val="00BB05B6"/>
    <w:rsid w:val="00BB63FE"/>
    <w:rsid w:val="00BD2389"/>
    <w:rsid w:val="00BD7408"/>
    <w:rsid w:val="00BE3704"/>
    <w:rsid w:val="00BE5003"/>
    <w:rsid w:val="00BF5235"/>
    <w:rsid w:val="00C00ECD"/>
    <w:rsid w:val="00C12A03"/>
    <w:rsid w:val="00C139AE"/>
    <w:rsid w:val="00C1771E"/>
    <w:rsid w:val="00C347B7"/>
    <w:rsid w:val="00C368B4"/>
    <w:rsid w:val="00C84EEC"/>
    <w:rsid w:val="00C84F85"/>
    <w:rsid w:val="00C85D99"/>
    <w:rsid w:val="00C91E32"/>
    <w:rsid w:val="00C92CC1"/>
    <w:rsid w:val="00C9750A"/>
    <w:rsid w:val="00CA0A6F"/>
    <w:rsid w:val="00CB0E0D"/>
    <w:rsid w:val="00CB7C6C"/>
    <w:rsid w:val="00CC783E"/>
    <w:rsid w:val="00CF7283"/>
    <w:rsid w:val="00D471A9"/>
    <w:rsid w:val="00D67351"/>
    <w:rsid w:val="00D73A35"/>
    <w:rsid w:val="00D95B28"/>
    <w:rsid w:val="00DA08AF"/>
    <w:rsid w:val="00DB7D1E"/>
    <w:rsid w:val="00DC53FA"/>
    <w:rsid w:val="00DD4175"/>
    <w:rsid w:val="00DE6959"/>
    <w:rsid w:val="00DF197E"/>
    <w:rsid w:val="00DF206B"/>
    <w:rsid w:val="00E125BF"/>
    <w:rsid w:val="00E25EBB"/>
    <w:rsid w:val="00E36096"/>
    <w:rsid w:val="00E42FD3"/>
    <w:rsid w:val="00E43C14"/>
    <w:rsid w:val="00E4585B"/>
    <w:rsid w:val="00E52BF3"/>
    <w:rsid w:val="00E57960"/>
    <w:rsid w:val="00E82129"/>
    <w:rsid w:val="00EB35D2"/>
    <w:rsid w:val="00EF19BC"/>
    <w:rsid w:val="00EF7329"/>
    <w:rsid w:val="00F314BB"/>
    <w:rsid w:val="00F31D0F"/>
    <w:rsid w:val="00F40FCF"/>
    <w:rsid w:val="00F435E9"/>
    <w:rsid w:val="00F451F5"/>
    <w:rsid w:val="00F45909"/>
    <w:rsid w:val="00F47EC6"/>
    <w:rsid w:val="00F50C16"/>
    <w:rsid w:val="00F82321"/>
    <w:rsid w:val="00F869E9"/>
    <w:rsid w:val="00FA00F9"/>
    <w:rsid w:val="00FA747F"/>
    <w:rsid w:val="00FB4E64"/>
    <w:rsid w:val="00FC5C90"/>
    <w:rsid w:val="00FE35B3"/>
    <w:rsid w:val="00FF2779"/>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3BEA31AB-8879-4A60-88EB-78789433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uiPriority w:val="99"/>
    <w:rsid w:val="0028113C"/>
    <w:rPr>
      <w:rFonts w:ascii="STKaiti" w:eastAsia="STKaiti" w:hAnsi="STKaiti"/>
      <w:sz w:val="24"/>
      <w:lang w:val="en-GB" w:eastAsia="en-US"/>
    </w:rPr>
  </w:style>
  <w:style w:type="character" w:customStyle="1" w:styleId="RestitleChar">
    <w:name w:val="Res_title Char"/>
    <w:basedOn w:val="DefaultParagraphFont"/>
    <w:link w:val="Restitle"/>
    <w:locked/>
    <w:rsid w:val="002F3F5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D568-45D8-4B69-9CD3-583764E4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17</TotalTime>
  <Pages>1</Pages>
  <Words>2004</Words>
  <Characters>2190</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Xu, Hui</cp:lastModifiedBy>
  <cp:revision>24</cp:revision>
  <cp:lastPrinted>2015-10-16T09:40:00Z</cp:lastPrinted>
  <dcterms:created xsi:type="dcterms:W3CDTF">2015-10-16T09:22:00Z</dcterms:created>
  <dcterms:modified xsi:type="dcterms:W3CDTF">2015-10-16T09:41:00Z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