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FC76B5">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FC76B5">
            <w:pPr>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FC76B5">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FC76B5">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FC76B5">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FC76B5">
            <w:pPr>
              <w:spacing w:before="0"/>
              <w:rPr>
                <w:rFonts w:ascii="Verdana" w:hAnsi="Verdana"/>
                <w:sz w:val="20"/>
                <w:lang w:eastAsia="zh-CN"/>
              </w:rPr>
            </w:pPr>
          </w:p>
        </w:tc>
      </w:tr>
      <w:tr w:rsidR="00943EBD" w:rsidRPr="00877D12">
        <w:trPr>
          <w:cantSplit/>
          <w:trHeight w:val="23"/>
        </w:trPr>
        <w:tc>
          <w:tcPr>
            <w:tcW w:w="6468" w:type="dxa"/>
            <w:vMerge w:val="restart"/>
          </w:tcPr>
          <w:p w:rsidR="00943EBD" w:rsidRPr="00727FFA" w:rsidRDefault="00727FFA" w:rsidP="00FC76B5">
            <w:pPr>
              <w:tabs>
                <w:tab w:val="left" w:pos="851"/>
              </w:tabs>
              <w:spacing w:before="0"/>
              <w:rPr>
                <w:rFonts w:ascii="Verdana" w:hAnsi="Verdana"/>
                <w:b/>
                <w:bCs/>
                <w:sz w:val="20"/>
                <w:lang w:eastAsia="zh-CN"/>
              </w:rPr>
            </w:pPr>
            <w:bookmarkStart w:id="3" w:name="dnum" w:colFirst="1" w:colLast="1"/>
            <w:bookmarkStart w:id="4" w:name="dmeeting" w:colFirst="0" w:colLast="0"/>
            <w:bookmarkEnd w:id="2"/>
            <w:r w:rsidRPr="00727FFA">
              <w:rPr>
                <w:rFonts w:ascii="Verdana" w:hAnsi="Verdana" w:hint="eastAsia"/>
                <w:b/>
                <w:bCs/>
                <w:sz w:val="20"/>
                <w:lang w:eastAsia="zh-CN"/>
              </w:rPr>
              <w:t>全体</w:t>
            </w:r>
            <w:r w:rsidRPr="00727FFA">
              <w:rPr>
                <w:rFonts w:ascii="Verdana" w:hAnsi="Verdana"/>
                <w:b/>
                <w:bCs/>
                <w:sz w:val="20"/>
                <w:lang w:eastAsia="zh-CN"/>
              </w:rPr>
              <w:t>会议</w:t>
            </w:r>
          </w:p>
        </w:tc>
        <w:tc>
          <w:tcPr>
            <w:tcW w:w="3563" w:type="dxa"/>
          </w:tcPr>
          <w:p w:rsidR="00943EBD" w:rsidRPr="00877D12" w:rsidRDefault="00943EBD" w:rsidP="0034283F">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34283F">
              <w:rPr>
                <w:rFonts w:ascii="Verdana" w:hAnsi="Verdana"/>
                <w:b/>
                <w:sz w:val="20"/>
              </w:rPr>
              <w:t>RA15/PLEN/15-</w:t>
            </w:r>
            <w:r w:rsidR="0034283F">
              <w:rPr>
                <w:rFonts w:ascii="Verdana" w:hAnsi="Verdana"/>
                <w:b/>
                <w:sz w:val="20"/>
              </w:rPr>
              <w:t>C</w:t>
            </w:r>
          </w:p>
        </w:tc>
      </w:tr>
      <w:tr w:rsidR="00943EBD" w:rsidRPr="00877D12">
        <w:trPr>
          <w:cantSplit/>
          <w:trHeight w:val="23"/>
        </w:trPr>
        <w:tc>
          <w:tcPr>
            <w:tcW w:w="6468" w:type="dxa"/>
            <w:vMerge/>
          </w:tcPr>
          <w:p w:rsidR="00943EBD" w:rsidRPr="00877D12" w:rsidRDefault="00943EBD" w:rsidP="00FC76B5">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34283F">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34283F">
              <w:rPr>
                <w:rFonts w:ascii="Verdana" w:hAnsi="Verdana"/>
                <w:b/>
                <w:sz w:val="20"/>
                <w:lang w:eastAsia="zh-CN"/>
              </w:rPr>
              <w:t>10</w:t>
            </w:r>
            <w:r w:rsidRPr="00877D12">
              <w:rPr>
                <w:rFonts w:ascii="Verdana" w:hAnsi="Verdana"/>
                <w:b/>
                <w:sz w:val="20"/>
                <w:lang w:eastAsia="zh-CN"/>
              </w:rPr>
              <w:t>月</w:t>
            </w:r>
            <w:r w:rsidR="0034283F">
              <w:rPr>
                <w:rFonts w:ascii="Verdana" w:hAnsi="Verdana"/>
                <w:b/>
                <w:sz w:val="20"/>
                <w:lang w:eastAsia="zh-CN"/>
              </w:rPr>
              <w:t>8</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FC76B5">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445EA7" w:rsidP="00FC76B5">
            <w:pPr>
              <w:tabs>
                <w:tab w:val="left" w:pos="993"/>
              </w:tabs>
              <w:spacing w:before="0"/>
              <w:rPr>
                <w:rFonts w:ascii="Verdana" w:hAnsi="Verdana"/>
                <w:b/>
                <w:sz w:val="20"/>
                <w:lang w:eastAsia="zh-CN"/>
              </w:rPr>
            </w:pPr>
            <w:r>
              <w:rPr>
                <w:rFonts w:ascii="Verdana" w:hAnsi="Verdana" w:hint="eastAsia"/>
                <w:b/>
                <w:sz w:val="20"/>
                <w:lang w:eastAsia="zh-CN"/>
              </w:rPr>
              <w:t>原文：</w:t>
            </w:r>
            <w:r>
              <w:rPr>
                <w:rFonts w:ascii="Verdana" w:hAnsi="Verdana"/>
                <w:b/>
                <w:sz w:val="20"/>
                <w:lang w:eastAsia="zh-CN"/>
              </w:rPr>
              <w:t>阿拉伯文</w:t>
            </w:r>
          </w:p>
        </w:tc>
      </w:tr>
      <w:tr w:rsidR="00943EBD" w:rsidRPr="00877D12">
        <w:trPr>
          <w:cantSplit/>
        </w:trPr>
        <w:tc>
          <w:tcPr>
            <w:tcW w:w="10031" w:type="dxa"/>
            <w:gridSpan w:val="2"/>
          </w:tcPr>
          <w:p w:rsidR="00943EBD" w:rsidRPr="00877D12" w:rsidRDefault="00943EBD" w:rsidP="00FC76B5">
            <w:pPr>
              <w:pStyle w:val="Source"/>
              <w:rPr>
                <w:lang w:eastAsia="zh-CN"/>
              </w:rPr>
            </w:pPr>
            <w:bookmarkStart w:id="7" w:name="dsource" w:colFirst="0" w:colLast="0"/>
            <w:bookmarkEnd w:id="6"/>
          </w:p>
        </w:tc>
      </w:tr>
      <w:tr w:rsidR="00943EBD" w:rsidRPr="00877D12">
        <w:trPr>
          <w:cantSplit/>
        </w:trPr>
        <w:tc>
          <w:tcPr>
            <w:tcW w:w="10031" w:type="dxa"/>
            <w:gridSpan w:val="2"/>
          </w:tcPr>
          <w:p w:rsidR="00943EBD" w:rsidRPr="00877D12" w:rsidRDefault="000E178B" w:rsidP="00FC76B5">
            <w:pPr>
              <w:pStyle w:val="ResNo"/>
              <w:rPr>
                <w:lang w:eastAsia="zh-CN"/>
              </w:rPr>
            </w:pPr>
            <w:bookmarkStart w:id="8" w:name="dtitle1" w:colFirst="0" w:colLast="0"/>
            <w:bookmarkEnd w:id="7"/>
            <w:r>
              <w:rPr>
                <w:rFonts w:hint="eastAsia"/>
                <w:lang w:eastAsia="zh-CN"/>
              </w:rPr>
              <w:t>阿拉伯国家</w:t>
            </w:r>
            <w:r>
              <w:rPr>
                <w:rStyle w:val="FootnoteReference"/>
                <w:lang w:eastAsia="zh-CN"/>
              </w:rPr>
              <w:footnoteReference w:id="1"/>
            </w:r>
          </w:p>
        </w:tc>
      </w:tr>
      <w:tr w:rsidR="00943EBD" w:rsidRPr="00877D12">
        <w:trPr>
          <w:cantSplit/>
        </w:trPr>
        <w:tc>
          <w:tcPr>
            <w:tcW w:w="10031" w:type="dxa"/>
            <w:gridSpan w:val="2"/>
          </w:tcPr>
          <w:p w:rsidR="00943EBD" w:rsidRPr="00877D12" w:rsidRDefault="00943EBD" w:rsidP="00FC76B5">
            <w:pPr>
              <w:pStyle w:val="Title2"/>
              <w:rPr>
                <w:lang w:eastAsia="zh-CN"/>
              </w:rPr>
            </w:pPr>
            <w:bookmarkStart w:id="9" w:name="dtitle2" w:colFirst="0" w:colLast="0"/>
            <w:bookmarkEnd w:id="8"/>
          </w:p>
        </w:tc>
      </w:tr>
      <w:tr w:rsidR="00943EBD" w:rsidRPr="00877D12">
        <w:trPr>
          <w:cantSplit/>
        </w:trPr>
        <w:tc>
          <w:tcPr>
            <w:tcW w:w="10031" w:type="dxa"/>
            <w:gridSpan w:val="2"/>
          </w:tcPr>
          <w:p w:rsidR="00943EBD" w:rsidRPr="00877D12" w:rsidRDefault="00943EBD" w:rsidP="00FC76B5">
            <w:pPr>
              <w:pStyle w:val="Title3"/>
              <w:rPr>
                <w:lang w:eastAsia="zh-CN"/>
              </w:rPr>
            </w:pPr>
            <w:bookmarkStart w:id="10" w:name="dtitle3" w:colFirst="0" w:colLast="0"/>
            <w:bookmarkEnd w:id="9"/>
          </w:p>
        </w:tc>
      </w:tr>
    </w:tbl>
    <w:bookmarkEnd w:id="10"/>
    <w:p w:rsidR="00970B63" w:rsidRDefault="000E178B" w:rsidP="00FC76B5">
      <w:pPr>
        <w:pStyle w:val="Normalaftertitle"/>
        <w:ind w:firstLineChars="200" w:firstLine="480"/>
        <w:rPr>
          <w:lang w:eastAsia="zh-CN"/>
        </w:rPr>
      </w:pPr>
      <w:r>
        <w:rPr>
          <w:rFonts w:hint="eastAsia"/>
          <w:lang w:eastAsia="zh-CN"/>
        </w:rPr>
        <w:t>废止有关允许学术界、大学及其相关研究机构参加</w:t>
      </w:r>
      <w:r>
        <w:rPr>
          <w:lang w:eastAsia="zh-CN"/>
        </w:rPr>
        <w:t>ITU-R</w:t>
      </w:r>
      <w:r>
        <w:rPr>
          <w:rFonts w:hint="eastAsia"/>
          <w:lang w:eastAsia="zh-CN"/>
        </w:rPr>
        <w:t>的工作的</w:t>
      </w:r>
      <w:r w:rsidR="00FA47AE" w:rsidRPr="00D274E4">
        <w:rPr>
          <w:lang w:eastAsia="zh-CN"/>
        </w:rPr>
        <w:t>ITU-R</w:t>
      </w:r>
      <w:r w:rsidR="00FA47AE">
        <w:rPr>
          <w:rFonts w:hint="eastAsia"/>
          <w:lang w:eastAsia="zh-CN"/>
        </w:rPr>
        <w:t>第</w:t>
      </w:r>
      <w:r w:rsidR="00FA47AE">
        <w:rPr>
          <w:rFonts w:hint="eastAsia"/>
          <w:lang w:eastAsia="zh-CN"/>
        </w:rPr>
        <w:t>63</w:t>
      </w:r>
      <w:r>
        <w:rPr>
          <w:rFonts w:hint="eastAsia"/>
          <w:lang w:eastAsia="zh-CN"/>
        </w:rPr>
        <w:t>号决议</w:t>
      </w:r>
    </w:p>
    <w:p w:rsidR="001A50F9" w:rsidRDefault="001A50F9" w:rsidP="00FC76B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E46AD9" w:rsidRDefault="00E46AD9" w:rsidP="00FC76B5">
      <w:pPr>
        <w:pStyle w:val="Headingb"/>
        <w:rPr>
          <w:rStyle w:val="href"/>
        </w:rPr>
      </w:pPr>
      <w:bookmarkStart w:id="11" w:name="_Toc219521770"/>
      <w:bookmarkStart w:id="12" w:name="_Toc348252498"/>
      <w:r>
        <w:rPr>
          <w:rStyle w:val="href"/>
          <w:rFonts w:hint="eastAsia"/>
        </w:rPr>
        <w:lastRenderedPageBreak/>
        <w:t>引言</w:t>
      </w:r>
    </w:p>
    <w:p w:rsidR="00E46AD9" w:rsidRDefault="00FC76B5" w:rsidP="00FC76B5">
      <w:pPr>
        <w:pStyle w:val="enumlev1"/>
        <w:rPr>
          <w:rStyle w:val="href"/>
        </w:rPr>
      </w:pPr>
      <w:r w:rsidRPr="00FC76B5">
        <w:rPr>
          <w:rStyle w:val="href"/>
        </w:rPr>
        <w:t>•</w:t>
      </w:r>
      <w:r>
        <w:rPr>
          <w:rStyle w:val="href"/>
        </w:rPr>
        <w:tab/>
      </w:r>
      <w:r w:rsidR="00E46AD9">
        <w:rPr>
          <w:rStyle w:val="href"/>
          <w:rFonts w:hint="eastAsia"/>
        </w:rPr>
        <w:t>世界电信标准化全会通过了</w:t>
      </w:r>
      <w:r w:rsidR="00885D65">
        <w:rPr>
          <w:rStyle w:val="href"/>
          <w:rFonts w:hint="eastAsia"/>
        </w:rPr>
        <w:t>关于</w:t>
      </w:r>
      <w:r w:rsidR="00885D65" w:rsidRPr="006B7CF0">
        <w:rPr>
          <w:rFonts w:hint="eastAsia"/>
          <w:lang w:eastAsia="zh-CN"/>
        </w:rPr>
        <w:t>接纳学术界</w:t>
      </w:r>
      <w:r w:rsidR="00885D65">
        <w:rPr>
          <w:rFonts w:hint="eastAsia"/>
          <w:lang w:eastAsia="zh-CN"/>
        </w:rPr>
        <w:t>、大学以及相关的研究机构</w:t>
      </w:r>
      <w:r w:rsidR="00885D65" w:rsidRPr="006B7CF0">
        <w:rPr>
          <w:rFonts w:hint="eastAsia"/>
          <w:lang w:eastAsia="zh-CN"/>
        </w:rPr>
        <w:t>参加</w:t>
      </w:r>
      <w:r w:rsidR="00885D65">
        <w:rPr>
          <w:rFonts w:hint="eastAsia"/>
          <w:lang w:eastAsia="zh-CN"/>
        </w:rPr>
        <w:t>国际电联电信标准化部门</w:t>
      </w:r>
      <w:r w:rsidR="00885D65" w:rsidRPr="006B7CF0">
        <w:rPr>
          <w:rFonts w:hint="eastAsia"/>
          <w:lang w:eastAsia="zh-CN"/>
        </w:rPr>
        <w:t>的工作</w:t>
      </w:r>
      <w:r w:rsidR="00885D65">
        <w:rPr>
          <w:rFonts w:hint="eastAsia"/>
          <w:lang w:eastAsia="zh-CN"/>
        </w:rPr>
        <w:t>的</w:t>
      </w:r>
      <w:r w:rsidR="00E46AD9">
        <w:rPr>
          <w:rStyle w:val="href"/>
          <w:rFonts w:hint="eastAsia"/>
        </w:rPr>
        <w:t>第</w:t>
      </w:r>
      <w:r w:rsidR="00E46AD9">
        <w:rPr>
          <w:rStyle w:val="href"/>
          <w:rFonts w:hint="eastAsia"/>
        </w:rPr>
        <w:t>71</w:t>
      </w:r>
      <w:r w:rsidR="00E46AD9">
        <w:rPr>
          <w:rStyle w:val="href"/>
          <w:rFonts w:hint="eastAsia"/>
        </w:rPr>
        <w:t>号决议</w:t>
      </w:r>
      <w:r w:rsidR="00885D65" w:rsidRPr="00FC76B5">
        <w:rPr>
          <w:rFonts w:hint="eastAsia"/>
          <w:iCs/>
          <w:lang w:eastAsia="zh-CN"/>
        </w:rPr>
        <w:t>（</w:t>
      </w:r>
      <w:r w:rsidR="00885D65" w:rsidRPr="00FC76B5">
        <w:rPr>
          <w:rFonts w:asciiTheme="majorBidi" w:hAnsiTheme="majorBidi" w:cstheme="majorBidi"/>
          <w:iCs/>
          <w:lang w:eastAsia="zh-CN"/>
        </w:rPr>
        <w:t>2008</w:t>
      </w:r>
      <w:r w:rsidR="00885D65" w:rsidRPr="00FC76B5">
        <w:rPr>
          <w:rFonts w:hint="eastAsia"/>
          <w:iCs/>
          <w:lang w:eastAsia="zh-CN"/>
        </w:rPr>
        <w:t>年，约翰内斯堡）</w:t>
      </w:r>
      <w:r w:rsidR="00885D65">
        <w:rPr>
          <w:rStyle w:val="href"/>
          <w:rFonts w:hint="eastAsia"/>
        </w:rPr>
        <w:t>。该决议责成电信标准化局主任在同电信标准化顾问组磋商后，研究并就如何促进</w:t>
      </w:r>
      <w:r w:rsidR="00885D65">
        <w:rPr>
          <w:rStyle w:val="href"/>
          <w:rFonts w:hint="eastAsia"/>
        </w:rPr>
        <w:t>ITU-T</w:t>
      </w:r>
      <w:r w:rsidR="00885D65">
        <w:rPr>
          <w:rStyle w:val="href"/>
          <w:rFonts w:hint="eastAsia"/>
        </w:rPr>
        <w:t>同学术界的合作事宜提出建议，同时邀请理事会考虑接纳学术机构以部门成员或部门准成员身份参与</w:t>
      </w:r>
      <w:r w:rsidR="00885D65">
        <w:rPr>
          <w:rStyle w:val="href"/>
          <w:rFonts w:hint="eastAsia"/>
        </w:rPr>
        <w:t>ITU-T</w:t>
      </w:r>
      <w:r w:rsidR="00885D65">
        <w:rPr>
          <w:rStyle w:val="href"/>
          <w:rFonts w:hint="eastAsia"/>
        </w:rPr>
        <w:t>的工作，并降低其会费。</w:t>
      </w:r>
    </w:p>
    <w:p w:rsidR="00885D65" w:rsidRDefault="00FC76B5" w:rsidP="00FC76B5">
      <w:pPr>
        <w:pStyle w:val="enumlev1"/>
        <w:rPr>
          <w:rStyle w:val="href"/>
        </w:rPr>
      </w:pPr>
      <w:r w:rsidRPr="00FC76B5">
        <w:rPr>
          <w:rStyle w:val="href"/>
        </w:rPr>
        <w:t>•</w:t>
      </w:r>
      <w:r>
        <w:rPr>
          <w:rStyle w:val="href"/>
        </w:rPr>
        <w:tab/>
      </w:r>
      <w:r w:rsidR="00885D65">
        <w:rPr>
          <w:rStyle w:val="href"/>
          <w:rFonts w:hint="eastAsia"/>
        </w:rPr>
        <w:t>全权代表大会（</w:t>
      </w:r>
      <w:r w:rsidR="00885D65">
        <w:rPr>
          <w:rStyle w:val="href"/>
          <w:rFonts w:hint="eastAsia"/>
        </w:rPr>
        <w:t>2010</w:t>
      </w:r>
      <w:r w:rsidR="00885D65">
        <w:rPr>
          <w:rStyle w:val="href"/>
          <w:rFonts w:hint="eastAsia"/>
        </w:rPr>
        <w:t>年，瓜达拉哈拉）通过了有关接纳学术界、</w:t>
      </w:r>
      <w:r w:rsidR="00885D65">
        <w:rPr>
          <w:rFonts w:hint="eastAsia"/>
          <w:lang w:eastAsia="zh-CN"/>
        </w:rPr>
        <w:t>大学以及相关的研究机构</w:t>
      </w:r>
      <w:r w:rsidR="00885D65" w:rsidRPr="006B7CF0">
        <w:rPr>
          <w:rFonts w:hint="eastAsia"/>
          <w:lang w:eastAsia="zh-CN"/>
        </w:rPr>
        <w:t>参加</w:t>
      </w:r>
      <w:r w:rsidR="00885D65">
        <w:rPr>
          <w:rFonts w:hint="eastAsia"/>
          <w:lang w:eastAsia="zh-CN"/>
        </w:rPr>
        <w:t>国际电联三个部门</w:t>
      </w:r>
      <w:r w:rsidR="000A0622">
        <w:rPr>
          <w:rFonts w:hint="eastAsia"/>
          <w:lang w:eastAsia="zh-CN"/>
        </w:rPr>
        <w:t>工作的</w:t>
      </w:r>
      <w:r w:rsidR="00885D65">
        <w:rPr>
          <w:rStyle w:val="href"/>
          <w:rFonts w:hint="eastAsia"/>
        </w:rPr>
        <w:t>第</w:t>
      </w:r>
      <w:r w:rsidR="00885D65">
        <w:rPr>
          <w:rStyle w:val="href"/>
          <w:rFonts w:hint="eastAsia"/>
        </w:rPr>
        <w:t>169</w:t>
      </w:r>
      <w:r w:rsidR="00885D65">
        <w:rPr>
          <w:rStyle w:val="href"/>
          <w:rFonts w:hint="eastAsia"/>
        </w:rPr>
        <w:t>号决议。按照该决议，学术机构首次获准参与国际电联的工作，该措施试行至</w:t>
      </w:r>
      <w:r w:rsidR="00885D65">
        <w:rPr>
          <w:rStyle w:val="href"/>
          <w:rFonts w:hint="eastAsia"/>
        </w:rPr>
        <w:t>2014</w:t>
      </w:r>
      <w:r w:rsidR="00885D65">
        <w:rPr>
          <w:rStyle w:val="href"/>
          <w:rFonts w:hint="eastAsia"/>
        </w:rPr>
        <w:t>年全权代表大会。</w:t>
      </w:r>
    </w:p>
    <w:p w:rsidR="0044077A" w:rsidRDefault="00FC76B5" w:rsidP="00FC76B5">
      <w:pPr>
        <w:pStyle w:val="enumlev1"/>
        <w:rPr>
          <w:rStyle w:val="href"/>
        </w:rPr>
      </w:pPr>
      <w:r w:rsidRPr="00FC76B5">
        <w:rPr>
          <w:rStyle w:val="href"/>
        </w:rPr>
        <w:t>•</w:t>
      </w:r>
      <w:r>
        <w:rPr>
          <w:rStyle w:val="href"/>
        </w:rPr>
        <w:tab/>
      </w:r>
      <w:r w:rsidR="0044077A">
        <w:rPr>
          <w:rStyle w:val="href"/>
          <w:rFonts w:hint="eastAsia"/>
        </w:rPr>
        <w:t>按照第</w:t>
      </w:r>
      <w:r w:rsidR="0044077A">
        <w:rPr>
          <w:rStyle w:val="href"/>
          <w:rFonts w:hint="eastAsia"/>
        </w:rPr>
        <w:t>169</w:t>
      </w:r>
      <w:r w:rsidR="0044077A">
        <w:rPr>
          <w:rStyle w:val="href"/>
          <w:rFonts w:hint="eastAsia"/>
        </w:rPr>
        <w:t>号决议（</w:t>
      </w:r>
      <w:r w:rsidR="0044077A">
        <w:rPr>
          <w:rStyle w:val="href"/>
          <w:rFonts w:hint="eastAsia"/>
        </w:rPr>
        <w:t>2010</w:t>
      </w:r>
      <w:r w:rsidR="0044077A">
        <w:rPr>
          <w:rStyle w:val="href"/>
          <w:rFonts w:hint="eastAsia"/>
        </w:rPr>
        <w:t>年，瓜达拉哈拉），无线电通信全会（</w:t>
      </w:r>
      <w:r w:rsidR="0044077A">
        <w:rPr>
          <w:rStyle w:val="href"/>
          <w:rFonts w:hint="eastAsia"/>
        </w:rPr>
        <w:t>RA-12</w:t>
      </w:r>
      <w:r w:rsidR="0044077A">
        <w:rPr>
          <w:rStyle w:val="href"/>
          <w:rFonts w:hint="eastAsia"/>
        </w:rPr>
        <w:t>）</w:t>
      </w:r>
      <w:r w:rsidR="000A0622">
        <w:rPr>
          <w:rStyle w:val="href"/>
          <w:rFonts w:hint="eastAsia"/>
        </w:rPr>
        <w:t>和世界电信标准化全会分别就接纳学术界参与</w:t>
      </w:r>
      <w:r w:rsidR="000A0622">
        <w:rPr>
          <w:rStyle w:val="href"/>
          <w:rFonts w:hint="eastAsia"/>
        </w:rPr>
        <w:t>ITU-R</w:t>
      </w:r>
      <w:r w:rsidR="000A0622">
        <w:rPr>
          <w:rStyle w:val="href"/>
          <w:rFonts w:hint="eastAsia"/>
        </w:rPr>
        <w:t>和</w:t>
      </w:r>
      <w:r w:rsidR="000A0622">
        <w:rPr>
          <w:rStyle w:val="href"/>
          <w:rFonts w:hint="eastAsia"/>
        </w:rPr>
        <w:t>ITU-T</w:t>
      </w:r>
      <w:r w:rsidR="000A0622">
        <w:rPr>
          <w:rStyle w:val="href"/>
          <w:rFonts w:hint="eastAsia"/>
        </w:rPr>
        <w:t>工作事宜</w:t>
      </w:r>
      <w:r w:rsidR="0044077A">
        <w:rPr>
          <w:rStyle w:val="href"/>
          <w:rFonts w:hint="eastAsia"/>
        </w:rPr>
        <w:t>通过了</w:t>
      </w:r>
      <w:r w:rsidR="000A0622">
        <w:rPr>
          <w:rStyle w:val="href"/>
          <w:rFonts w:hint="eastAsia"/>
        </w:rPr>
        <w:t>ITU-R</w:t>
      </w:r>
      <w:r w:rsidR="0044077A">
        <w:rPr>
          <w:rStyle w:val="href"/>
          <w:rFonts w:hint="eastAsia"/>
        </w:rPr>
        <w:t>第</w:t>
      </w:r>
      <w:r w:rsidR="0044077A">
        <w:rPr>
          <w:rStyle w:val="href"/>
          <w:rFonts w:hint="eastAsia"/>
        </w:rPr>
        <w:t>63</w:t>
      </w:r>
      <w:r w:rsidR="0044077A">
        <w:rPr>
          <w:rStyle w:val="href"/>
          <w:rFonts w:hint="eastAsia"/>
        </w:rPr>
        <w:t>号决议</w:t>
      </w:r>
      <w:r w:rsidR="000A0622">
        <w:rPr>
          <w:rStyle w:val="href"/>
          <w:rFonts w:hint="eastAsia"/>
        </w:rPr>
        <w:t>和经修订的第</w:t>
      </w:r>
      <w:r w:rsidR="000A0622">
        <w:rPr>
          <w:rStyle w:val="href"/>
          <w:rFonts w:hint="eastAsia"/>
        </w:rPr>
        <w:t>71</w:t>
      </w:r>
      <w:r w:rsidR="000A0622">
        <w:rPr>
          <w:rStyle w:val="href"/>
          <w:rFonts w:hint="eastAsia"/>
        </w:rPr>
        <w:t>号决议（</w:t>
      </w:r>
      <w:r w:rsidR="000A0622">
        <w:rPr>
          <w:rStyle w:val="href"/>
          <w:rFonts w:hint="eastAsia"/>
        </w:rPr>
        <w:t>2012</w:t>
      </w:r>
      <w:r w:rsidR="000A0622">
        <w:rPr>
          <w:rStyle w:val="href"/>
          <w:rFonts w:hint="eastAsia"/>
        </w:rPr>
        <w:t>年，迪拜，修订版）。</w:t>
      </w:r>
    </w:p>
    <w:p w:rsidR="000A0622" w:rsidRDefault="00FC76B5" w:rsidP="00FC76B5">
      <w:pPr>
        <w:pStyle w:val="enumlev1"/>
        <w:rPr>
          <w:rStyle w:val="href"/>
        </w:rPr>
      </w:pPr>
      <w:r w:rsidRPr="00FC76B5">
        <w:rPr>
          <w:rStyle w:val="href"/>
        </w:rPr>
        <w:t>•</w:t>
      </w:r>
      <w:r>
        <w:rPr>
          <w:rStyle w:val="href"/>
        </w:rPr>
        <w:tab/>
      </w:r>
      <w:r w:rsidR="000A0622">
        <w:rPr>
          <w:rStyle w:val="href"/>
          <w:rFonts w:hint="eastAsia"/>
        </w:rPr>
        <w:t>全权代表大会通过了有关接纳学术界</w:t>
      </w:r>
      <w:r w:rsidR="000A0622" w:rsidRPr="006B7CF0">
        <w:rPr>
          <w:rFonts w:hint="eastAsia"/>
          <w:lang w:eastAsia="zh-CN"/>
        </w:rPr>
        <w:t>参加</w:t>
      </w:r>
      <w:r w:rsidR="000A0622">
        <w:rPr>
          <w:rFonts w:hint="eastAsia"/>
          <w:lang w:eastAsia="zh-CN"/>
        </w:rPr>
        <w:t>国际电联工作的</w:t>
      </w:r>
      <w:r w:rsidR="000A0622">
        <w:rPr>
          <w:rStyle w:val="href"/>
          <w:rFonts w:hint="eastAsia"/>
        </w:rPr>
        <w:t>经修订</w:t>
      </w:r>
      <w:r w:rsidR="000A0622">
        <w:rPr>
          <w:rFonts w:hint="eastAsia"/>
          <w:lang w:eastAsia="zh-CN"/>
        </w:rPr>
        <w:t>的</w:t>
      </w:r>
      <w:r w:rsidR="000A0622">
        <w:rPr>
          <w:rStyle w:val="href"/>
          <w:rFonts w:hint="eastAsia"/>
        </w:rPr>
        <w:t>第</w:t>
      </w:r>
      <w:r w:rsidR="000A0622">
        <w:rPr>
          <w:rStyle w:val="href"/>
          <w:rFonts w:hint="eastAsia"/>
        </w:rPr>
        <w:t>169</w:t>
      </w:r>
      <w:r w:rsidR="000A0622">
        <w:rPr>
          <w:rStyle w:val="href"/>
          <w:rFonts w:hint="eastAsia"/>
        </w:rPr>
        <w:t>号决议（</w:t>
      </w:r>
      <w:r w:rsidR="000A0622">
        <w:rPr>
          <w:rStyle w:val="href"/>
          <w:rFonts w:hint="eastAsia"/>
        </w:rPr>
        <w:t>2014</w:t>
      </w:r>
      <w:r w:rsidR="000A0622">
        <w:rPr>
          <w:rStyle w:val="href"/>
          <w:rFonts w:hint="eastAsia"/>
        </w:rPr>
        <w:t>年，釜山，修订版）。按照该决议，学术机构获准参与国际电联的一般性工作，其身份为国际电联三个部门的部门成员，鉴于以下决议内容：</w:t>
      </w:r>
    </w:p>
    <w:p w:rsidR="00885D65" w:rsidRDefault="00FC76B5" w:rsidP="00FC76B5">
      <w:pPr>
        <w:pStyle w:val="enumlev2"/>
        <w:rPr>
          <w:rStyle w:val="href"/>
        </w:rPr>
      </w:pPr>
      <w:r w:rsidRPr="00FC76B5">
        <w:rPr>
          <w:rStyle w:val="href"/>
        </w:rPr>
        <w:t>–</w:t>
      </w:r>
      <w:r>
        <w:rPr>
          <w:rStyle w:val="href"/>
        </w:rPr>
        <w:tab/>
      </w:r>
      <w:r>
        <w:rPr>
          <w:rStyle w:val="href"/>
          <w:rFonts w:hint="eastAsia"/>
        </w:rPr>
        <w:t>按照</w:t>
      </w:r>
      <w:r>
        <w:rPr>
          <w:rStyle w:val="href"/>
        </w:rPr>
        <w:t>本决议条款，在无需对国际电联《</w:t>
      </w:r>
      <w:r>
        <w:rPr>
          <w:rStyle w:val="href"/>
          <w:rFonts w:hint="eastAsia"/>
        </w:rPr>
        <w:t>组织法</w:t>
      </w:r>
      <w:r>
        <w:rPr>
          <w:rStyle w:val="href"/>
        </w:rPr>
        <w:t>》</w:t>
      </w:r>
      <w:r>
        <w:rPr>
          <w:rStyle w:val="href"/>
          <w:rFonts w:hint="eastAsia"/>
        </w:rPr>
        <w:t>第</w:t>
      </w:r>
      <w:r>
        <w:rPr>
          <w:rStyle w:val="href"/>
          <w:rFonts w:hint="eastAsia"/>
        </w:rPr>
        <w:t>2</w:t>
      </w:r>
      <w:r>
        <w:rPr>
          <w:rStyle w:val="href"/>
          <w:rFonts w:hint="eastAsia"/>
        </w:rPr>
        <w:t>条</w:t>
      </w:r>
      <w:r>
        <w:rPr>
          <w:rStyle w:val="href"/>
        </w:rPr>
        <w:t>和第</w:t>
      </w:r>
      <w:r>
        <w:rPr>
          <w:rStyle w:val="href"/>
          <w:rFonts w:hint="eastAsia"/>
        </w:rPr>
        <w:t>3</w:t>
      </w:r>
      <w:r>
        <w:rPr>
          <w:rStyle w:val="href"/>
          <w:rFonts w:hint="eastAsia"/>
        </w:rPr>
        <w:t>条</w:t>
      </w:r>
      <w:r>
        <w:rPr>
          <w:rStyle w:val="href"/>
        </w:rPr>
        <w:t>、国际电联《</w:t>
      </w:r>
      <w:r>
        <w:rPr>
          <w:rStyle w:val="href"/>
          <w:rFonts w:hint="eastAsia"/>
        </w:rPr>
        <w:t>公约</w:t>
      </w:r>
      <w:r>
        <w:rPr>
          <w:rStyle w:val="href"/>
        </w:rPr>
        <w:t>》</w:t>
      </w:r>
      <w:r>
        <w:rPr>
          <w:rStyle w:val="href"/>
          <w:rFonts w:hint="eastAsia"/>
        </w:rPr>
        <w:t>第</w:t>
      </w:r>
      <w:r>
        <w:rPr>
          <w:rStyle w:val="href"/>
          <w:rFonts w:hint="eastAsia"/>
        </w:rPr>
        <w:t>19</w:t>
      </w:r>
      <w:r>
        <w:rPr>
          <w:rStyle w:val="href"/>
          <w:rFonts w:hint="eastAsia"/>
        </w:rPr>
        <w:t>条</w:t>
      </w:r>
      <w:r>
        <w:rPr>
          <w:rStyle w:val="href"/>
        </w:rPr>
        <w:t>或《</w:t>
      </w:r>
      <w:r>
        <w:rPr>
          <w:rStyle w:val="href"/>
          <w:rFonts w:hint="eastAsia"/>
        </w:rPr>
        <w:t>公约</w:t>
      </w:r>
      <w:r>
        <w:rPr>
          <w:rStyle w:val="href"/>
        </w:rPr>
        <w:t>》</w:t>
      </w:r>
      <w:r>
        <w:rPr>
          <w:rStyle w:val="href"/>
          <w:rFonts w:hint="eastAsia"/>
        </w:rPr>
        <w:t>其它</w:t>
      </w:r>
      <w:r>
        <w:rPr>
          <w:rStyle w:val="href"/>
        </w:rPr>
        <w:t>条款进行任何修正的前提下，继续接纳学术成员参加三个部门的工作；</w:t>
      </w:r>
    </w:p>
    <w:p w:rsidR="00C33C6F" w:rsidRDefault="00FC76B5" w:rsidP="00136029">
      <w:pPr>
        <w:pStyle w:val="enumlev2"/>
        <w:rPr>
          <w:rStyle w:val="href"/>
        </w:rPr>
      </w:pPr>
      <w:r w:rsidRPr="00FC76B5">
        <w:rPr>
          <w:rStyle w:val="href"/>
        </w:rPr>
        <w:t>–</w:t>
      </w:r>
      <w:r>
        <w:rPr>
          <w:rStyle w:val="href"/>
        </w:rPr>
        <w:tab/>
      </w:r>
      <w:r>
        <w:rPr>
          <w:rStyle w:val="href"/>
          <w:rFonts w:hint="eastAsia"/>
        </w:rPr>
        <w:t>将</w:t>
      </w:r>
      <w:r>
        <w:rPr>
          <w:rStyle w:val="href"/>
        </w:rPr>
        <w:t>为参加国际电联活动</w:t>
      </w:r>
      <w:r>
        <w:rPr>
          <w:rStyle w:val="href"/>
          <w:rFonts w:hint="eastAsia"/>
        </w:rPr>
        <w:t>而</w:t>
      </w:r>
      <w:r>
        <w:rPr>
          <w:rStyle w:val="href"/>
        </w:rPr>
        <w:t>支付国际电联财务费用的会费水平设定如下：发达国家的组织的会费为部门成员会费单位的</w:t>
      </w:r>
      <w:r>
        <w:rPr>
          <w:rStyle w:val="href"/>
          <w:rFonts w:hint="eastAsia"/>
        </w:rPr>
        <w:t>十六</w:t>
      </w:r>
      <w:r>
        <w:rPr>
          <w:rStyle w:val="href"/>
        </w:rPr>
        <w:t>分之一，发展中国家的组织的会费为部门成员</w:t>
      </w:r>
      <w:r>
        <w:rPr>
          <w:rStyle w:val="href"/>
          <w:rFonts w:hint="eastAsia"/>
        </w:rPr>
        <w:t>会费</w:t>
      </w:r>
      <w:r>
        <w:rPr>
          <w:rStyle w:val="href"/>
        </w:rPr>
        <w:t>单位的三十二分之一，而且这一财务会费水平亦适用于现已参加国</w:t>
      </w:r>
      <w:r w:rsidR="00136029">
        <w:rPr>
          <w:rStyle w:val="href"/>
          <w:rFonts w:hint="eastAsia"/>
        </w:rPr>
        <w:t>际</w:t>
      </w:r>
      <w:r>
        <w:rPr>
          <w:rStyle w:val="href"/>
        </w:rPr>
        <w:t>电联和今后参加的学术成员</w:t>
      </w:r>
      <w:r w:rsidR="00136029">
        <w:rPr>
          <w:rStyle w:val="href"/>
          <w:rFonts w:hint="eastAsia"/>
        </w:rPr>
        <w:t>；</w:t>
      </w:r>
    </w:p>
    <w:p w:rsidR="00C33C6F" w:rsidRPr="00DD2723" w:rsidRDefault="00C33C6F" w:rsidP="00FC76B5">
      <w:pPr>
        <w:pStyle w:val="Headingb"/>
        <w:rPr>
          <w:rStyle w:val="href"/>
          <w:b w:val="0"/>
          <w:bCs/>
        </w:rPr>
      </w:pPr>
      <w:r w:rsidRPr="00FC76B5">
        <w:rPr>
          <w:rStyle w:val="href"/>
          <w:rFonts w:hint="eastAsia"/>
        </w:rPr>
        <w:t>提案</w:t>
      </w:r>
    </w:p>
    <w:p w:rsidR="00E738A1" w:rsidRDefault="00C33C6F" w:rsidP="00FC76B5">
      <w:pPr>
        <w:ind w:firstLineChars="200" w:firstLine="480"/>
        <w:rPr>
          <w:rStyle w:val="href"/>
        </w:rPr>
      </w:pPr>
      <w:r>
        <w:rPr>
          <w:rStyle w:val="href"/>
          <w:rFonts w:hint="eastAsia"/>
        </w:rPr>
        <w:t>阿拉伯国家提议废止</w:t>
      </w:r>
      <w:r>
        <w:rPr>
          <w:rStyle w:val="href"/>
          <w:rFonts w:hint="eastAsia"/>
        </w:rPr>
        <w:t>ITU-R</w:t>
      </w:r>
      <w:r>
        <w:rPr>
          <w:rStyle w:val="href"/>
          <w:rFonts w:hint="eastAsia"/>
        </w:rPr>
        <w:t>第</w:t>
      </w:r>
      <w:r>
        <w:rPr>
          <w:rStyle w:val="href"/>
          <w:rFonts w:hint="eastAsia"/>
        </w:rPr>
        <w:t>63</w:t>
      </w:r>
      <w:r>
        <w:rPr>
          <w:rStyle w:val="href"/>
          <w:rFonts w:hint="eastAsia"/>
        </w:rPr>
        <w:t>号决议，因为全权代表大会第</w:t>
      </w:r>
      <w:r>
        <w:rPr>
          <w:rStyle w:val="href"/>
          <w:rFonts w:hint="eastAsia"/>
        </w:rPr>
        <w:t>169</w:t>
      </w:r>
      <w:r>
        <w:rPr>
          <w:rStyle w:val="href"/>
          <w:rFonts w:hint="eastAsia"/>
        </w:rPr>
        <w:t>号决议（</w:t>
      </w:r>
      <w:r>
        <w:rPr>
          <w:rStyle w:val="href"/>
          <w:rFonts w:hint="eastAsia"/>
        </w:rPr>
        <w:t>2014</w:t>
      </w:r>
      <w:r>
        <w:rPr>
          <w:rStyle w:val="href"/>
          <w:rFonts w:hint="eastAsia"/>
        </w:rPr>
        <w:t>年，釜山，修订版）所述甚详，且已涵盖国际电联三个部门，同时因为学术机构的成员身份已转为正式成员，亦涵盖国际电联三个部门。我们提议与其对第</w:t>
      </w:r>
      <w:r>
        <w:rPr>
          <w:rStyle w:val="href"/>
          <w:rFonts w:hint="eastAsia"/>
        </w:rPr>
        <w:t>63</w:t>
      </w:r>
      <w:r>
        <w:rPr>
          <w:rStyle w:val="href"/>
          <w:rFonts w:hint="eastAsia"/>
        </w:rPr>
        <w:t>号决议按照全权代表大会（</w:t>
      </w:r>
      <w:r>
        <w:rPr>
          <w:rStyle w:val="href"/>
          <w:rFonts w:hint="eastAsia"/>
        </w:rPr>
        <w:t>2014</w:t>
      </w:r>
      <w:r>
        <w:rPr>
          <w:rStyle w:val="href"/>
          <w:rFonts w:hint="eastAsia"/>
        </w:rPr>
        <w:t>年，釜山）的输出进行修改，不如废止该决议，从而节省时间、精力和翻译费用。</w:t>
      </w:r>
      <w:bookmarkEnd w:id="11"/>
      <w:bookmarkEnd w:id="12"/>
    </w:p>
    <w:p w:rsidR="00727FFA" w:rsidRDefault="00727FFA" w:rsidP="0032202E">
      <w:pPr>
        <w:pStyle w:val="Reasons"/>
        <w:rPr>
          <w:lang w:eastAsia="zh-CN"/>
        </w:rPr>
      </w:pPr>
    </w:p>
    <w:p w:rsidR="00727FFA" w:rsidRDefault="00727FFA">
      <w:pPr>
        <w:jc w:val="center"/>
      </w:pPr>
      <w:r>
        <w:t>______________</w:t>
      </w:r>
    </w:p>
    <w:p w:rsidR="00727FFA" w:rsidRPr="00970B63" w:rsidRDefault="00727FFA" w:rsidP="00FC76B5">
      <w:pPr>
        <w:ind w:firstLineChars="200" w:firstLine="480"/>
        <w:rPr>
          <w:lang w:eastAsia="zh-CN"/>
        </w:rPr>
      </w:pPr>
      <w:bookmarkStart w:id="13" w:name="_GoBack"/>
      <w:bookmarkEnd w:id="13"/>
    </w:p>
    <w:sectPr w:rsidR="00727FFA" w:rsidRPr="00970B63"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BB7" w:rsidRDefault="00395BB7">
      <w:r>
        <w:separator/>
      </w:r>
    </w:p>
  </w:endnote>
  <w:endnote w:type="continuationSeparator" w:id="0">
    <w:p w:rsidR="00395BB7" w:rsidRDefault="0039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3357C0">
      <w:rPr>
        <w:noProof/>
        <w:lang w:val="fr-FR"/>
      </w:rPr>
      <w:t>P:\CHI\ITU-R\CONF-R\AR15\PLEN\000\015C.docx</w:t>
    </w:r>
    <w:r>
      <w:fldChar w:fldCharType="end"/>
    </w:r>
    <w:r w:rsidRPr="00877D12">
      <w:rPr>
        <w:lang w:val="fr-FR"/>
      </w:rPr>
      <w:tab/>
    </w:r>
    <w:r>
      <w:fldChar w:fldCharType="begin"/>
    </w:r>
    <w:r>
      <w:instrText xml:space="preserve"> SAVEDATE \@ DD.MM.YY </w:instrText>
    </w:r>
    <w:r>
      <w:fldChar w:fldCharType="separate"/>
    </w:r>
    <w:r w:rsidR="003357C0">
      <w:rPr>
        <w:noProof/>
      </w:rPr>
      <w:t>15.10.15</w:t>
    </w:r>
    <w:r>
      <w:fldChar w:fldCharType="end"/>
    </w:r>
    <w:r w:rsidRPr="00877D12">
      <w:rPr>
        <w:lang w:val="fr-FR"/>
      </w:rPr>
      <w:tab/>
    </w:r>
    <w:r>
      <w:fldChar w:fldCharType="begin"/>
    </w:r>
    <w:r>
      <w:instrText xml:space="preserve"> PRINTDATE \@ DD.MM.YY </w:instrText>
    </w:r>
    <w:r>
      <w:fldChar w:fldCharType="separate"/>
    </w:r>
    <w:r w:rsidR="003357C0">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6462D9" w:rsidRDefault="00586689" w:rsidP="006462D9">
    <w:pPr>
      <w:pStyle w:val="Footer"/>
      <w:rPr>
        <w:lang w:val="en-US"/>
      </w:rPr>
    </w:pPr>
    <w:r>
      <w:fldChar w:fldCharType="begin"/>
    </w:r>
    <w:r w:rsidRPr="006462D9">
      <w:rPr>
        <w:lang w:val="en-US"/>
      </w:rPr>
      <w:instrText xml:space="preserve"> FILENAME \p  \* MERGEFORMAT </w:instrText>
    </w:r>
    <w:r>
      <w:fldChar w:fldCharType="separate"/>
    </w:r>
    <w:r w:rsidR="003357C0">
      <w:rPr>
        <w:lang w:val="en-US"/>
      </w:rPr>
      <w:t>P:\CHI\ITU-R\CONF-R\AR15\PLEN\000\015C.docx</w:t>
    </w:r>
    <w:r>
      <w:fldChar w:fldCharType="end"/>
    </w:r>
    <w:r w:rsidR="00727FFA">
      <w:t xml:space="preserve"> (387619)</w:t>
    </w:r>
    <w:r w:rsidRPr="006462D9">
      <w:rPr>
        <w:lang w:val="en-US"/>
      </w:rPr>
      <w:tab/>
    </w:r>
    <w:r>
      <w:fldChar w:fldCharType="begin"/>
    </w:r>
    <w:r>
      <w:instrText xml:space="preserve"> SAVEDATE \@ DD.MM.YY </w:instrText>
    </w:r>
    <w:r>
      <w:fldChar w:fldCharType="separate"/>
    </w:r>
    <w:r w:rsidR="003357C0">
      <w:t>15.10.15</w:t>
    </w:r>
    <w:r>
      <w:fldChar w:fldCharType="end"/>
    </w:r>
    <w:r w:rsidRPr="006462D9">
      <w:rPr>
        <w:lang w:val="en-US"/>
      </w:rPr>
      <w:tab/>
    </w:r>
    <w:r>
      <w:fldChar w:fldCharType="begin"/>
    </w:r>
    <w:r>
      <w:instrText xml:space="preserve"> PRINTDATE \@ DD.MM.YY </w:instrText>
    </w:r>
    <w:r>
      <w:fldChar w:fldCharType="separate"/>
    </w:r>
    <w:r w:rsidR="003357C0">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Default="003357C0" w:rsidP="006462D9">
    <w:pPr>
      <w:pStyle w:val="Footer"/>
    </w:pPr>
    <w:r>
      <w:fldChar w:fldCharType="begin"/>
    </w:r>
    <w:r>
      <w:instrText xml:space="preserve"> FILENAME \p  \* MERGEFORMAT </w:instrText>
    </w:r>
    <w:r>
      <w:fldChar w:fldCharType="separate"/>
    </w:r>
    <w:r>
      <w:t>P:\CHI\ITU-R\CONF-R\AR15\PLEN\000\015C.docx</w:t>
    </w:r>
    <w:r>
      <w:fldChar w:fldCharType="end"/>
    </w:r>
    <w:r w:rsidR="00727FFA">
      <w:t xml:space="preserve"> (387619)</w:t>
    </w:r>
    <w:r w:rsidR="003322FF">
      <w:tab/>
    </w:r>
    <w:r w:rsidR="003322FF">
      <w:fldChar w:fldCharType="begin"/>
    </w:r>
    <w:r w:rsidR="003322FF">
      <w:instrText xml:space="preserve"> SAVEDATE \@ DD.MM.YY </w:instrText>
    </w:r>
    <w:r w:rsidR="003322FF">
      <w:fldChar w:fldCharType="separate"/>
    </w:r>
    <w:r>
      <w:t>15.10.15</w:t>
    </w:r>
    <w:r w:rsidR="003322FF">
      <w:fldChar w:fldCharType="end"/>
    </w:r>
    <w:r w:rsidR="003322FF">
      <w:tab/>
    </w:r>
    <w:r w:rsidR="003322FF">
      <w:fldChar w:fldCharType="begin"/>
    </w:r>
    <w:r w:rsidR="003322FF">
      <w:instrText xml:space="preserve"> PRINTDATE \@ DD.MM.YY </w:instrText>
    </w:r>
    <w:r w:rsidR="003322FF">
      <w:fldChar w:fldCharType="separate"/>
    </w:r>
    <w:r>
      <w:t>15.10.15</w:t>
    </w:r>
    <w:r w:rsidR="003322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BB7" w:rsidRDefault="00395BB7">
      <w:r>
        <w:rPr>
          <w:b/>
        </w:rPr>
        <w:t>_______________</w:t>
      </w:r>
    </w:p>
  </w:footnote>
  <w:footnote w:type="continuationSeparator" w:id="0">
    <w:p w:rsidR="00395BB7" w:rsidRDefault="00395BB7">
      <w:r>
        <w:continuationSeparator/>
      </w:r>
    </w:p>
  </w:footnote>
  <w:footnote w:id="1">
    <w:p w:rsidR="000E178B" w:rsidRDefault="000E178B" w:rsidP="00FC76B5">
      <w:pPr>
        <w:pStyle w:val="FootnoteText"/>
        <w:rPr>
          <w:lang w:eastAsia="zh-CN"/>
        </w:rPr>
      </w:pPr>
      <w:r>
        <w:rPr>
          <w:rStyle w:val="FootnoteReference"/>
        </w:rPr>
        <w:footnoteRef/>
      </w:r>
      <w:r w:rsidR="00FC76B5">
        <w:rPr>
          <w:lang w:eastAsia="zh-CN"/>
        </w:rPr>
        <w:tab/>
      </w:r>
      <w:r w:rsidR="00885726" w:rsidRPr="008A73FA">
        <w:rPr>
          <w:rFonts w:hint="eastAsia"/>
          <w:lang w:eastAsia="zh-CN"/>
        </w:rPr>
        <w:t>该阿拉伯国家提案完成于</w:t>
      </w:r>
      <w:r w:rsidRPr="008A73FA">
        <w:rPr>
          <w:rFonts w:hint="eastAsia"/>
          <w:lang w:eastAsia="zh-CN"/>
        </w:rPr>
        <w:t>2015</w:t>
      </w:r>
      <w:r w:rsidRPr="008A73FA">
        <w:rPr>
          <w:rFonts w:hint="eastAsia"/>
          <w:lang w:eastAsia="zh-CN"/>
        </w:rPr>
        <w:t>年</w:t>
      </w:r>
      <w:r w:rsidRPr="008A73FA">
        <w:rPr>
          <w:rFonts w:hint="eastAsia"/>
          <w:lang w:eastAsia="zh-CN"/>
        </w:rPr>
        <w:t>8</w:t>
      </w:r>
      <w:r w:rsidRPr="008A73FA">
        <w:rPr>
          <w:rFonts w:hint="eastAsia"/>
          <w:lang w:eastAsia="zh-CN"/>
        </w:rPr>
        <w:t>月</w:t>
      </w:r>
      <w:r w:rsidRPr="008A73FA">
        <w:rPr>
          <w:rFonts w:hint="eastAsia"/>
          <w:lang w:eastAsia="zh-CN"/>
        </w:rPr>
        <w:t>22</w:t>
      </w:r>
      <w:r w:rsidRPr="008A73FA">
        <w:rPr>
          <w:rFonts w:hint="eastAsia"/>
          <w:lang w:eastAsia="zh-CN"/>
        </w:rPr>
        <w:t>日至</w:t>
      </w:r>
      <w:r w:rsidRPr="008A73FA">
        <w:rPr>
          <w:rFonts w:hint="eastAsia"/>
          <w:lang w:eastAsia="zh-CN"/>
        </w:rPr>
        <w:t>27</w:t>
      </w:r>
      <w:r w:rsidRPr="008A73FA">
        <w:rPr>
          <w:rFonts w:hint="eastAsia"/>
          <w:lang w:eastAsia="zh-CN"/>
        </w:rPr>
        <w:t>日在摩洛哥王国拉巴特召开的第</w:t>
      </w:r>
      <w:r w:rsidRPr="008A73FA">
        <w:rPr>
          <w:rFonts w:hint="eastAsia"/>
          <w:lang w:eastAsia="zh-CN"/>
        </w:rPr>
        <w:t>20</w:t>
      </w:r>
      <w:r w:rsidRPr="008A73FA">
        <w:rPr>
          <w:rFonts w:hint="eastAsia"/>
          <w:lang w:eastAsia="zh-CN"/>
        </w:rPr>
        <w:t>次</w:t>
      </w:r>
      <w:r w:rsidRPr="008A73FA">
        <w:rPr>
          <w:rFonts w:hint="eastAsia"/>
          <w:lang w:eastAsia="zh-CN"/>
        </w:rPr>
        <w:t>ASMG</w:t>
      </w:r>
      <w:r w:rsidRPr="008A73FA">
        <w:rPr>
          <w:rFonts w:hint="eastAsia"/>
          <w:lang w:eastAsia="zh-CN"/>
        </w:rPr>
        <w:t>会议上。以下列出支持此提案的</w:t>
      </w:r>
      <w:r w:rsidRPr="008A73FA">
        <w:rPr>
          <w:rFonts w:hint="eastAsia"/>
          <w:lang w:eastAsia="zh-CN"/>
        </w:rPr>
        <w:t>ASMG</w:t>
      </w:r>
      <w:r w:rsidRPr="008A73FA">
        <w:rPr>
          <w:rFonts w:hint="eastAsia"/>
          <w:lang w:eastAsia="zh-CN"/>
        </w:rPr>
        <w:t>成员国：</w:t>
      </w:r>
      <w:r w:rsidRPr="008A73FA">
        <w:rPr>
          <w:rStyle w:val="Emphasis"/>
          <w:rFonts w:ascii="Arial" w:hAnsi="Arial" w:cs="Arial"/>
          <w:color w:val="auto"/>
          <w:lang w:eastAsia="zh-CN"/>
        </w:rPr>
        <w:t>约旦</w:t>
      </w:r>
      <w:r w:rsidRPr="008A73FA">
        <w:rPr>
          <w:rFonts w:ascii="Arial" w:hAnsi="Arial" w:cs="Arial"/>
          <w:lang w:eastAsia="zh-CN"/>
        </w:rPr>
        <w:t>哈希姆王</w:t>
      </w:r>
      <w:r w:rsidRPr="008A73FA">
        <w:rPr>
          <w:rFonts w:ascii="SimSun" w:hAnsi="SimSun" w:cs="SimSun" w:hint="eastAsia"/>
          <w:lang w:eastAsia="zh-CN"/>
        </w:rPr>
        <w:t>国、阿拉伯联合酋长国、巴林王国、突尼斯、吉布提、沙特阿拉伯</w:t>
      </w:r>
      <w:r w:rsidR="0034283F">
        <w:rPr>
          <w:rFonts w:ascii="SimSun" w:hAnsi="SimSun" w:cs="SimSun" w:hint="eastAsia"/>
          <w:lang w:eastAsia="zh-CN"/>
        </w:rPr>
        <w:t>王</w:t>
      </w:r>
      <w:r w:rsidR="0034283F">
        <w:rPr>
          <w:rFonts w:ascii="SimSun" w:hAnsi="SimSun" w:cs="SimSun"/>
          <w:lang w:eastAsia="zh-CN"/>
        </w:rPr>
        <w:t>国</w:t>
      </w:r>
      <w:r w:rsidRPr="008A73FA">
        <w:rPr>
          <w:rFonts w:ascii="SimSun" w:hAnsi="SimSun" w:cs="SimSun" w:hint="eastAsia"/>
          <w:lang w:eastAsia="zh-CN"/>
        </w:rPr>
        <w:t>、苏丹共和国、阿曼苏丹国、巴勒斯坦、卡塔尔、科威特、黎巴嫩、阿拉伯埃及共和国、</w:t>
      </w:r>
      <w:r w:rsidR="00885726" w:rsidRPr="008A73FA">
        <w:rPr>
          <w:rFonts w:hint="eastAsia"/>
          <w:lang w:eastAsia="zh-CN"/>
        </w:rPr>
        <w:t>摩洛哥王国和毛里塔尼亚伊斯兰共和国。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3357C0">
      <w:rPr>
        <w:noProof/>
        <w:lang w:val="en-US"/>
      </w:rPr>
      <w:t>2</w:t>
    </w:r>
    <w:r>
      <w:rPr>
        <w:lang w:val="en-US"/>
      </w:rPr>
      <w:fldChar w:fldCharType="end"/>
    </w:r>
  </w:p>
  <w:p w:rsidR="00586689" w:rsidRPr="009447A3" w:rsidRDefault="003357C0" w:rsidP="003357C0">
    <w:pPr>
      <w:pStyle w:val="Header"/>
      <w:rPr>
        <w:lang w:val="en-US"/>
      </w:rPr>
    </w:pPr>
    <w:r>
      <w:t>RA15/PLEN/15-</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7B2685E"/>
    <w:multiLevelType w:val="hybridMultilevel"/>
    <w:tmpl w:val="4C54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BB7"/>
    <w:rsid w:val="000A0622"/>
    <w:rsid w:val="000C1E4F"/>
    <w:rsid w:val="000E178B"/>
    <w:rsid w:val="000E795C"/>
    <w:rsid w:val="00136029"/>
    <w:rsid w:val="001A41DD"/>
    <w:rsid w:val="001A50F9"/>
    <w:rsid w:val="001B225D"/>
    <w:rsid w:val="00213F8F"/>
    <w:rsid w:val="003322FF"/>
    <w:rsid w:val="003357C0"/>
    <w:rsid w:val="0034283F"/>
    <w:rsid w:val="00395BB7"/>
    <w:rsid w:val="0044077A"/>
    <w:rsid w:val="00445EA7"/>
    <w:rsid w:val="004844C1"/>
    <w:rsid w:val="00541AC7"/>
    <w:rsid w:val="00586689"/>
    <w:rsid w:val="005C5620"/>
    <w:rsid w:val="00637543"/>
    <w:rsid w:val="00645B0F"/>
    <w:rsid w:val="006462D9"/>
    <w:rsid w:val="0071246B"/>
    <w:rsid w:val="00727FFA"/>
    <w:rsid w:val="00756B1C"/>
    <w:rsid w:val="00845350"/>
    <w:rsid w:val="00877D12"/>
    <w:rsid w:val="00885726"/>
    <w:rsid w:val="00885D65"/>
    <w:rsid w:val="008A73FA"/>
    <w:rsid w:val="008B1239"/>
    <w:rsid w:val="00943EBD"/>
    <w:rsid w:val="009447A3"/>
    <w:rsid w:val="00970B63"/>
    <w:rsid w:val="009C1E4D"/>
    <w:rsid w:val="00A05CE9"/>
    <w:rsid w:val="00A314F0"/>
    <w:rsid w:val="00B16DF9"/>
    <w:rsid w:val="00BD2389"/>
    <w:rsid w:val="00BE5003"/>
    <w:rsid w:val="00C33C6F"/>
    <w:rsid w:val="00C9108A"/>
    <w:rsid w:val="00D471A9"/>
    <w:rsid w:val="00D92FAF"/>
    <w:rsid w:val="00DD2723"/>
    <w:rsid w:val="00E46AD9"/>
    <w:rsid w:val="00E738A1"/>
    <w:rsid w:val="00F451F5"/>
    <w:rsid w:val="00FA47AE"/>
    <w:rsid w:val="00FB4E64"/>
    <w:rsid w:val="00FC76B5"/>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F855A54-F3BF-443D-8269-3B3E3472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href">
    <w:name w:val="href"/>
    <w:basedOn w:val="DefaultParagraphFont"/>
    <w:qFormat/>
    <w:rsid w:val="00FA47AE"/>
    <w:rPr>
      <w:lang w:eastAsia="zh-CN"/>
    </w:rPr>
  </w:style>
  <w:style w:type="character" w:customStyle="1" w:styleId="ResNoChar">
    <w:name w:val="Res_No Char"/>
    <w:basedOn w:val="DefaultParagraphFont"/>
    <w:link w:val="ResNo"/>
    <w:rsid w:val="00FA47AE"/>
    <w:rPr>
      <w:rFonts w:ascii="Times New Roman" w:hAnsi="Times New Roman"/>
      <w:caps/>
      <w:sz w:val="28"/>
      <w:lang w:val="en-GB" w:eastAsia="en-US"/>
    </w:rPr>
  </w:style>
  <w:style w:type="character" w:styleId="Emphasis">
    <w:name w:val="Emphasis"/>
    <w:basedOn w:val="DefaultParagraphFont"/>
    <w:uiPriority w:val="20"/>
    <w:qFormat/>
    <w:rsid w:val="000E178B"/>
    <w:rPr>
      <w:i w:val="0"/>
      <w:iCs w:val="0"/>
      <w:color w:val="CC0000"/>
    </w:rPr>
  </w:style>
  <w:style w:type="paragraph" w:styleId="ListParagraph">
    <w:name w:val="List Paragraph"/>
    <w:basedOn w:val="Normal"/>
    <w:uiPriority w:val="34"/>
    <w:qFormat/>
    <w:rsid w:val="00885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9F908-5CBC-4AA7-BB4D-C7EE8920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26</TotalTime>
  <Pages>1</Pages>
  <Words>870</Words>
  <Characters>994</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Document /1004-E  For: _x000d_Document date: 30 March 2007_x000d_Saved by PCW43981 at 15:42:54 on 05.04.2007</dc:description>
  <cp:lastModifiedBy>Zheng, Bingyue</cp:lastModifiedBy>
  <cp:revision>8</cp:revision>
  <cp:lastPrinted>2015-10-15T15:08:00Z</cp:lastPrinted>
  <dcterms:created xsi:type="dcterms:W3CDTF">2015-10-14T09:10:00Z</dcterms:created>
  <dcterms:modified xsi:type="dcterms:W3CDTF">2015-10-15T15:10:00Z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