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r w:rsidRPr="00F9134D">
              <w:rPr>
                <w:rtl/>
              </w:rPr>
              <w:t>الجلسة العامة</w:t>
            </w:r>
          </w:p>
        </w:tc>
        <w:tc>
          <w:tcPr>
            <w:tcW w:w="1686" w:type="pct"/>
            <w:vAlign w:val="center"/>
          </w:tcPr>
          <w:p w:rsidR="001952E0" w:rsidRPr="00F9134D" w:rsidRDefault="001952E0" w:rsidP="004118FD">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7E24ED">
              <w:rPr>
                <w:lang w:bidi="ar-SY"/>
              </w:rPr>
              <w:t>RA15/</w:t>
            </w:r>
            <w:r w:rsidR="004118FD">
              <w:rPr>
                <w:lang w:bidi="ar-SY"/>
              </w:rPr>
              <w:t>PLEN</w:t>
            </w:r>
            <w:r w:rsidR="007E24ED">
              <w:rPr>
                <w:lang w:bidi="ar-SY"/>
              </w:rPr>
              <w:t>/</w:t>
            </w:r>
            <w:r w:rsidR="000F173E">
              <w:rPr>
                <w:lang w:bidi="ar-SY"/>
              </w:rPr>
              <w:t>15</w:t>
            </w:r>
            <w:r w:rsidRPr="00F9134D">
              <w:rPr>
                <w:lang w:bidi="ar-SY"/>
              </w:rPr>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E25478" w:rsidP="00E25478">
            <w:pPr>
              <w:pStyle w:val="Firstpageheader"/>
              <w:framePr w:hSpace="0" w:wrap="auto" w:vAnchor="margin" w:xAlign="left" w:yAlign="inline"/>
              <w:rPr>
                <w:rFonts w:hint="eastAsia"/>
                <w:rtl/>
              </w:rPr>
            </w:pPr>
            <w:r>
              <w:rPr>
                <w:lang w:bidi="ar-SY"/>
              </w:rPr>
              <w:t>8</w:t>
            </w:r>
            <w:r w:rsidR="001952E0" w:rsidRPr="00F9134D">
              <w:rPr>
                <w:rFonts w:hint="cs"/>
                <w:rtl/>
              </w:rPr>
              <w:t xml:space="preserve"> </w:t>
            </w:r>
            <w:r>
              <w:rPr>
                <w:rFonts w:hint="cs"/>
                <w:rtl/>
              </w:rPr>
              <w:t>أكتوبر</w:t>
            </w:r>
            <w:r w:rsidR="001952E0" w:rsidRPr="00F9134D">
              <w:rPr>
                <w:rFonts w:hint="cs"/>
                <w:rtl/>
              </w:rPr>
              <w:t xml:space="preserve"> </w:t>
            </w:r>
            <w:r w:rsidR="001952E0" w:rsidRPr="00F9134D">
              <w:rPr>
                <w:lang w:bidi="ar-SY"/>
              </w:rPr>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1952E0" w:rsidP="005554A1">
            <w:pPr>
              <w:pStyle w:val="Firstpageheader"/>
              <w:framePr w:hSpace="0" w:wrap="auto" w:vAnchor="margin" w:xAlign="left" w:yAlign="inline"/>
              <w:rPr>
                <w:rFonts w:hint="eastAsia"/>
                <w:lang w:bidi="ar-SY"/>
              </w:rPr>
            </w:pPr>
            <w:r w:rsidRPr="00F9134D">
              <w:rPr>
                <w:rFonts w:hint="cs"/>
                <w:rtl/>
              </w:rPr>
              <w:t xml:space="preserve">الأصل: </w:t>
            </w:r>
            <w:r w:rsidR="005554A1">
              <w:rPr>
                <w:rFonts w:hint="cs"/>
                <w:rtl/>
              </w:rPr>
              <w:t>بالعربية</w:t>
            </w:r>
          </w:p>
        </w:tc>
      </w:tr>
      <w:tr w:rsidR="001952E0" w:rsidRPr="001952E0" w:rsidTr="001D17A2">
        <w:trPr>
          <w:cantSplit/>
          <w:jc w:val="center"/>
        </w:trPr>
        <w:tc>
          <w:tcPr>
            <w:tcW w:w="5000" w:type="pct"/>
            <w:gridSpan w:val="2"/>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5000" w:type="pct"/>
            <w:gridSpan w:val="2"/>
          </w:tcPr>
          <w:p w:rsidR="001952E0" w:rsidRPr="001952E0" w:rsidRDefault="000611EB" w:rsidP="007B3D3E">
            <w:pPr>
              <w:pStyle w:val="Source"/>
              <w:spacing w:after="0"/>
              <w:rPr>
                <w:rtl/>
              </w:rPr>
            </w:pPr>
            <w:r w:rsidRPr="008204AC">
              <w:rPr>
                <w:rFonts w:ascii="Calibri" w:eastAsia="SimSun" w:hAnsi="Calibri"/>
                <w:rtl/>
              </w:rPr>
              <w:t>الدول العربية</w:t>
            </w:r>
            <w:r>
              <w:rPr>
                <w:rStyle w:val="FootnoteReference"/>
                <w:rFonts w:eastAsia="SimSun"/>
                <w:rtl/>
              </w:rPr>
              <w:footnoteReference w:id="1"/>
            </w:r>
          </w:p>
        </w:tc>
      </w:tr>
      <w:tr w:rsidR="001952E0" w:rsidRPr="001952E0" w:rsidTr="001D17A2">
        <w:trPr>
          <w:cantSplit/>
          <w:jc w:val="center"/>
        </w:trPr>
        <w:tc>
          <w:tcPr>
            <w:tcW w:w="5000" w:type="pct"/>
            <w:gridSpan w:val="2"/>
          </w:tcPr>
          <w:p w:rsidR="001952E0" w:rsidRPr="00980DC9" w:rsidRDefault="001952E0" w:rsidP="00796ABD">
            <w:pPr>
              <w:pStyle w:val="Title1"/>
              <w:rPr>
                <w:rtl/>
              </w:rPr>
            </w:pPr>
          </w:p>
        </w:tc>
      </w:tr>
      <w:tr w:rsidR="001952E0" w:rsidRPr="001952E0" w:rsidTr="001D17A2">
        <w:trPr>
          <w:cantSplit/>
          <w:jc w:val="center"/>
        </w:trPr>
        <w:tc>
          <w:tcPr>
            <w:tcW w:w="5000" w:type="pct"/>
            <w:gridSpan w:val="2"/>
          </w:tcPr>
          <w:p w:rsidR="001952E0" w:rsidRPr="001952E0" w:rsidRDefault="001952E0" w:rsidP="008A2584">
            <w:pPr>
              <w:pStyle w:val="Title2"/>
              <w:spacing w:before="480"/>
              <w:rPr>
                <w:rFonts w:hint="cs"/>
                <w:lang w:val="en-GB" w:bidi="ar-EG"/>
              </w:rPr>
            </w:pPr>
          </w:p>
        </w:tc>
      </w:tr>
    </w:tbl>
    <w:p w:rsidR="00C51DAD" w:rsidRPr="008A2584" w:rsidRDefault="008A2584" w:rsidP="002E6BA5">
      <w:pPr>
        <w:rPr>
          <w:spacing w:val="4"/>
        </w:rPr>
      </w:pPr>
      <w:r w:rsidRPr="008A2584">
        <w:rPr>
          <w:rFonts w:hint="cs"/>
          <w:spacing w:val="4"/>
          <w:rtl/>
        </w:rPr>
        <w:t>بحذف القرار</w:t>
      </w:r>
      <w:r w:rsidRPr="008A2584">
        <w:rPr>
          <w:rFonts w:hint="eastAsia"/>
          <w:spacing w:val="4"/>
          <w:rtl/>
        </w:rPr>
        <w:t> </w:t>
      </w:r>
      <w:r w:rsidRPr="008A2584">
        <w:rPr>
          <w:spacing w:val="4"/>
        </w:rPr>
        <w:t>ITU</w:t>
      </w:r>
      <w:r w:rsidRPr="008A2584">
        <w:rPr>
          <w:spacing w:val="4"/>
        </w:rPr>
        <w:noBreakHyphen/>
        <w:t>R 63</w:t>
      </w:r>
      <w:r w:rsidRPr="008A2584">
        <w:rPr>
          <w:rFonts w:hint="cs"/>
          <w:spacing w:val="4"/>
          <w:rtl/>
        </w:rPr>
        <w:t xml:space="preserve"> حول</w:t>
      </w:r>
      <w:r w:rsidRPr="008A2584">
        <w:rPr>
          <w:rFonts w:hint="eastAsia"/>
          <w:spacing w:val="4"/>
          <w:rtl/>
        </w:rPr>
        <w:t> </w:t>
      </w:r>
      <w:r w:rsidRPr="008A2584">
        <w:rPr>
          <w:rFonts w:hint="cs"/>
          <w:spacing w:val="4"/>
          <w:rtl/>
        </w:rPr>
        <w:t>السماح للهيئات الأكاديمية والجامعات ومؤسسات</w:t>
      </w:r>
      <w:r w:rsidRPr="008A2584">
        <w:rPr>
          <w:rFonts w:hint="eastAsia"/>
          <w:spacing w:val="4"/>
        </w:rPr>
        <w:t> </w:t>
      </w:r>
      <w:r w:rsidRPr="008A2584">
        <w:rPr>
          <w:rFonts w:hint="cs"/>
          <w:spacing w:val="4"/>
          <w:rtl/>
        </w:rPr>
        <w:t>البحوث المرتبطة بها بالمشاركة في</w:t>
      </w:r>
      <w:r w:rsidRPr="008A2584">
        <w:rPr>
          <w:rFonts w:hint="eastAsia"/>
          <w:spacing w:val="4"/>
          <w:rtl/>
        </w:rPr>
        <w:t> </w:t>
      </w:r>
      <w:r w:rsidRPr="008A2584">
        <w:rPr>
          <w:rFonts w:hint="cs"/>
          <w:spacing w:val="4"/>
          <w:rtl/>
        </w:rPr>
        <w:t>أعمال قطاع الاتصالات</w:t>
      </w:r>
      <w:r w:rsidR="00013FDC">
        <w:rPr>
          <w:rFonts w:hint="cs"/>
          <w:spacing w:val="4"/>
          <w:rtl/>
        </w:rPr>
        <w:t xml:space="preserve"> الراديوية</w:t>
      </w:r>
      <w:r w:rsidR="002E6BA5">
        <w:rPr>
          <w:rFonts w:hint="cs"/>
          <w:spacing w:val="4"/>
          <w:rtl/>
        </w:rPr>
        <w:t>.</w:t>
      </w:r>
    </w:p>
    <w:p w:rsidR="00F9134D" w:rsidRDefault="00F9134D" w:rsidP="00F9134D">
      <w:pPr>
        <w:rPr>
          <w:rFonts w:hint="cs"/>
          <w:rtl/>
          <w:lang w:bidi="ar-EG"/>
        </w:rPr>
      </w:pPr>
      <w:r>
        <w:rPr>
          <w:rtl/>
          <w:lang w:bidi="ar-SY"/>
        </w:rPr>
        <w:br w:type="page"/>
      </w:r>
    </w:p>
    <w:p w:rsidR="00796ABD" w:rsidRDefault="00796ABD" w:rsidP="00796ABD">
      <w:pPr>
        <w:pStyle w:val="Headingb"/>
        <w:rPr>
          <w:lang w:bidi="ar-AE"/>
        </w:rPr>
      </w:pPr>
      <w:r w:rsidRPr="00796ABD">
        <w:rPr>
          <w:rFonts w:hint="cs"/>
          <w:rtl/>
          <w:lang w:bidi="ar-AE"/>
        </w:rPr>
        <w:lastRenderedPageBreak/>
        <w:t>تمهيد</w:t>
      </w:r>
    </w:p>
    <w:p w:rsidR="00796ABD" w:rsidRPr="00796ABD" w:rsidRDefault="00BD3B26" w:rsidP="00310F17">
      <w:pPr>
        <w:pStyle w:val="enumlev1"/>
      </w:pPr>
      <w:r>
        <w:rPr>
          <w:rFonts w:cs="Times New Roman"/>
          <w:sz w:val="24"/>
          <w:szCs w:val="32"/>
          <w:rtl/>
        </w:rPr>
        <w:t>•</w:t>
      </w:r>
      <w:r w:rsidR="00796ABD">
        <w:tab/>
      </w:r>
      <w:r w:rsidR="00796ABD" w:rsidRPr="00796ABD">
        <w:rPr>
          <w:rFonts w:hint="cs"/>
          <w:rtl/>
        </w:rPr>
        <w:t>اعتمدت الجمعية العالمية لتقييس الاتصالات القرار رقم</w:t>
      </w:r>
      <w:r w:rsidR="005554A1">
        <w:rPr>
          <w:rFonts w:hint="eastAsia"/>
          <w:rtl/>
        </w:rPr>
        <w:t> </w:t>
      </w:r>
      <w:r w:rsidR="00796ABD" w:rsidRPr="00796ABD">
        <w:t>71</w:t>
      </w:r>
      <w:r w:rsidR="00796ABD" w:rsidRPr="00796ABD">
        <w:rPr>
          <w:rtl/>
        </w:rPr>
        <w:t xml:space="preserve"> </w:t>
      </w:r>
      <w:r w:rsidR="00796ABD" w:rsidRPr="00796ABD">
        <w:rPr>
          <w:rFonts w:hint="cs"/>
          <w:rtl/>
        </w:rPr>
        <w:t xml:space="preserve">(جوهانسبرغ، </w:t>
      </w:r>
      <w:r w:rsidR="00796ABD" w:rsidRPr="00796ABD">
        <w:t>2008</w:t>
      </w:r>
      <w:r w:rsidR="00796ABD" w:rsidRPr="00796ABD">
        <w:rPr>
          <w:rFonts w:hint="cs"/>
          <w:rtl/>
        </w:rPr>
        <w:t>)</w:t>
      </w:r>
      <w:r w:rsidR="00980DC9">
        <w:rPr>
          <w:rFonts w:hint="cs"/>
          <w:rtl/>
        </w:rPr>
        <w:t xml:space="preserve"> </w:t>
      </w:r>
      <w:r w:rsidR="00AB4C4A">
        <w:rPr>
          <w:rFonts w:hint="cs"/>
          <w:rtl/>
        </w:rPr>
        <w:t xml:space="preserve">حول </w:t>
      </w:r>
      <w:r w:rsidR="00796ABD" w:rsidRPr="00796ABD">
        <w:rPr>
          <w:rtl/>
        </w:rPr>
        <w:t>السماح للهيئات الأكاديمية والجامعات ومؤسسات البحوث المرتبطة بها</w:t>
      </w:r>
      <w:r w:rsidR="00796ABD" w:rsidRPr="00796ABD">
        <w:rPr>
          <w:rFonts w:hint="cs"/>
          <w:rtl/>
        </w:rPr>
        <w:t xml:space="preserve"> </w:t>
      </w:r>
      <w:r w:rsidR="00796ABD" w:rsidRPr="00796ABD">
        <w:rPr>
          <w:rtl/>
        </w:rPr>
        <w:t>بالمشاركة في عمل قطاع</w:t>
      </w:r>
      <w:r w:rsidR="00AB4C4A">
        <w:rPr>
          <w:rFonts w:hint="cs"/>
          <w:rtl/>
        </w:rPr>
        <w:t xml:space="preserve"> تقييس الاتصالات</w:t>
      </w:r>
      <w:bookmarkStart w:id="1" w:name="_GoBack"/>
      <w:bookmarkEnd w:id="1"/>
      <w:r w:rsidR="00796ABD" w:rsidRPr="00796ABD">
        <w:rPr>
          <w:rFonts w:hint="cs"/>
          <w:rtl/>
        </w:rPr>
        <w:t xml:space="preserve"> وكلف القرار مدير </w:t>
      </w:r>
      <w:r w:rsidR="00310F17">
        <w:rPr>
          <w:rFonts w:hint="cs"/>
          <w:rtl/>
        </w:rPr>
        <w:t xml:space="preserve">مكتب </w:t>
      </w:r>
      <w:r w:rsidR="00796ABD" w:rsidRPr="00796ABD">
        <w:rPr>
          <w:rFonts w:hint="cs"/>
          <w:rtl/>
        </w:rPr>
        <w:t xml:space="preserve">تقييس الاتصالات باستكشاف آليات متنوعة يوصي بها بالتشاور مع الفريق الاستشاري </w:t>
      </w:r>
      <w:r w:rsidR="00310F17">
        <w:rPr>
          <w:rFonts w:hint="cs"/>
          <w:rtl/>
        </w:rPr>
        <w:t>لتقييس</w:t>
      </w:r>
      <w:r w:rsidR="00796ABD" w:rsidRPr="00796ABD">
        <w:rPr>
          <w:rFonts w:hint="cs"/>
          <w:rtl/>
        </w:rPr>
        <w:t xml:space="preserve"> الاتصالات لتشجيع التعاون بين قطاع </w:t>
      </w:r>
      <w:r w:rsidR="00310F17">
        <w:rPr>
          <w:rFonts w:hint="cs"/>
          <w:rtl/>
        </w:rPr>
        <w:t>تقييس الاتصالات</w:t>
      </w:r>
      <w:r w:rsidR="00796ABD" w:rsidRPr="00796ABD">
        <w:rPr>
          <w:rFonts w:hint="cs"/>
          <w:rtl/>
        </w:rPr>
        <w:t xml:space="preserve"> والهيئات الأكاديمية، ودعا المجلس إلى النظر في السماح للهيئات الأكاديمية بالمشاركة في</w:t>
      </w:r>
      <w:r w:rsidR="005554A1">
        <w:rPr>
          <w:rFonts w:hint="eastAsia"/>
          <w:rtl/>
        </w:rPr>
        <w:t> </w:t>
      </w:r>
      <w:r w:rsidR="00796ABD" w:rsidRPr="00796ABD">
        <w:rPr>
          <w:rFonts w:hint="cs"/>
          <w:rtl/>
        </w:rPr>
        <w:t>عمل قطاع تقييس الاتصالات باعتبارها أعضاء قطاع أو منتسبين على أساس قدر منخفض من المساهمة المالية.</w:t>
      </w:r>
    </w:p>
    <w:p w:rsidR="00796ABD" w:rsidRPr="00796ABD" w:rsidRDefault="00BD3B26" w:rsidP="00980DC9">
      <w:pPr>
        <w:pStyle w:val="enumlev1"/>
        <w:rPr>
          <w:rtl/>
        </w:rPr>
      </w:pPr>
      <w:r>
        <w:rPr>
          <w:rFonts w:cs="Times New Roman"/>
          <w:rtl/>
        </w:rPr>
        <w:t>•</w:t>
      </w:r>
      <w:r w:rsidR="00796ABD">
        <w:tab/>
      </w:r>
      <w:r w:rsidR="00796ABD" w:rsidRPr="00796ABD">
        <w:rPr>
          <w:rFonts w:hint="cs"/>
          <w:rtl/>
        </w:rPr>
        <w:t xml:space="preserve">اعتمد مؤتمر المندوبين المفوضين (غوادالاخارا، </w:t>
      </w:r>
      <w:r w:rsidR="00796ABD" w:rsidRPr="00796ABD">
        <w:t>2010</w:t>
      </w:r>
      <w:r w:rsidR="00796ABD" w:rsidRPr="00796ABD">
        <w:rPr>
          <w:rFonts w:hint="cs"/>
          <w:rtl/>
        </w:rPr>
        <w:t>)، القرار رقم</w:t>
      </w:r>
      <w:r w:rsidR="005554A1">
        <w:rPr>
          <w:rFonts w:hint="eastAsia"/>
          <w:rtl/>
        </w:rPr>
        <w:t> </w:t>
      </w:r>
      <w:r w:rsidR="00796ABD" w:rsidRPr="00796ABD">
        <w:t>169</w:t>
      </w:r>
      <w:r w:rsidR="00796ABD" w:rsidRPr="00796ABD">
        <w:rPr>
          <w:rFonts w:hint="cs"/>
          <w:rtl/>
        </w:rPr>
        <w:t xml:space="preserve"> حول "</w:t>
      </w:r>
      <w:bookmarkStart w:id="2" w:name="_Toc280260336"/>
      <w:r w:rsidR="00796ABD" w:rsidRPr="00796ABD">
        <w:rPr>
          <w:rtl/>
        </w:rPr>
        <w:t>السماح للهيئات الأكاديمية والجامعات ومؤسسات البحوث المرتبطة بها</w:t>
      </w:r>
      <w:r w:rsidR="00796ABD" w:rsidRPr="00796ABD">
        <w:rPr>
          <w:rFonts w:hint="cs"/>
          <w:rtl/>
        </w:rPr>
        <w:t xml:space="preserve"> </w:t>
      </w:r>
      <w:r w:rsidR="00796ABD" w:rsidRPr="00796ABD">
        <w:rPr>
          <w:rtl/>
        </w:rPr>
        <w:t>بالمشاركة في أعمال قطاعات الاتحاد الثلاثة</w:t>
      </w:r>
      <w:bookmarkEnd w:id="2"/>
      <w:r w:rsidR="00796ABD" w:rsidRPr="00796ABD">
        <w:rPr>
          <w:rFonts w:hint="cs"/>
          <w:rtl/>
        </w:rPr>
        <w:t>" وبموجب هذا القرار تم السماح للهيئات الأكاديمية بالمشاركة في أعمال الاتحاد الدولي للاتصالات لأول مرة وذلك لفترة تجريبية حتى مؤتمر المندوبين المفوضين لعام</w:t>
      </w:r>
      <w:r w:rsidR="005554A1">
        <w:rPr>
          <w:rFonts w:hint="eastAsia"/>
          <w:rtl/>
        </w:rPr>
        <w:t> </w:t>
      </w:r>
      <w:r w:rsidR="00796ABD" w:rsidRPr="00796ABD">
        <w:t>2014</w:t>
      </w:r>
      <w:r w:rsidR="00796ABD" w:rsidRPr="00796ABD">
        <w:rPr>
          <w:rFonts w:hint="cs"/>
          <w:rtl/>
        </w:rPr>
        <w:t>.</w:t>
      </w:r>
    </w:p>
    <w:p w:rsidR="00796ABD" w:rsidRPr="00796ABD" w:rsidRDefault="00BD3B26" w:rsidP="002C5CC1">
      <w:pPr>
        <w:pStyle w:val="enumlev1"/>
        <w:rPr>
          <w:rtl/>
        </w:rPr>
      </w:pPr>
      <w:r>
        <w:rPr>
          <w:rFonts w:cs="Times New Roman"/>
          <w:rtl/>
        </w:rPr>
        <w:t>•</w:t>
      </w:r>
      <w:r w:rsidR="00796ABD">
        <w:tab/>
      </w:r>
      <w:r w:rsidR="00796ABD" w:rsidRPr="00796ABD">
        <w:rPr>
          <w:rFonts w:hint="cs"/>
          <w:rtl/>
        </w:rPr>
        <w:t xml:space="preserve">وبناءً على القرار </w:t>
      </w:r>
      <w:r w:rsidR="00796ABD" w:rsidRPr="00796ABD">
        <w:t>169</w:t>
      </w:r>
      <w:r w:rsidR="00796ABD" w:rsidRPr="00796ABD">
        <w:rPr>
          <w:rFonts w:hint="cs"/>
          <w:rtl/>
        </w:rPr>
        <w:t xml:space="preserve"> (غوادالاخارا، </w:t>
      </w:r>
      <w:r w:rsidR="00796ABD" w:rsidRPr="00796ABD">
        <w:t>2010</w:t>
      </w:r>
      <w:r w:rsidR="00796ABD" w:rsidRPr="00796ABD">
        <w:rPr>
          <w:rFonts w:hint="cs"/>
          <w:rtl/>
        </w:rPr>
        <w:t>)، اعتمدت الجمعية العالمية للاتصالات الراديوية لعام</w:t>
      </w:r>
      <w:r w:rsidR="002C5CC1">
        <w:rPr>
          <w:rFonts w:hint="eastAsia"/>
          <w:rtl/>
        </w:rPr>
        <w:t> </w:t>
      </w:r>
      <w:r w:rsidR="00796ABD" w:rsidRPr="00796ABD">
        <w:t>2012</w:t>
      </w:r>
      <w:r w:rsidR="00796ABD" w:rsidRPr="00796ABD">
        <w:rPr>
          <w:rFonts w:hint="cs"/>
          <w:rtl/>
        </w:rPr>
        <w:t xml:space="preserve"> القرار</w:t>
      </w:r>
      <w:r w:rsidR="00B73D23">
        <w:rPr>
          <w:rFonts w:hint="eastAsia"/>
          <w:rtl/>
        </w:rPr>
        <w:t> </w:t>
      </w:r>
      <w:r w:rsidR="00796ABD" w:rsidRPr="00796ABD">
        <w:rPr>
          <w:rFonts w:hint="cs"/>
          <w:rtl/>
        </w:rPr>
        <w:t>رقم</w:t>
      </w:r>
      <w:r w:rsidR="005554A1">
        <w:rPr>
          <w:rFonts w:hint="eastAsia"/>
          <w:rtl/>
        </w:rPr>
        <w:t> </w:t>
      </w:r>
      <w:r w:rsidR="00796ABD" w:rsidRPr="00796ABD">
        <w:t>ITU</w:t>
      </w:r>
      <w:r w:rsidR="005554A1">
        <w:noBreakHyphen/>
      </w:r>
      <w:r w:rsidR="00796ABD" w:rsidRPr="00796ABD">
        <w:t>R 63</w:t>
      </w:r>
      <w:r w:rsidR="00796ABD" w:rsidRPr="00796ABD">
        <w:rPr>
          <w:rFonts w:hint="cs"/>
          <w:rtl/>
        </w:rPr>
        <w:t>، واعتمدت الجمعية العالمية لتقييس الاتصالات القرار المراجع رقم</w:t>
      </w:r>
      <w:r w:rsidR="005554A1">
        <w:rPr>
          <w:rFonts w:hint="eastAsia"/>
          <w:rtl/>
        </w:rPr>
        <w:t> </w:t>
      </w:r>
      <w:r w:rsidR="00796ABD" w:rsidRPr="00796ABD">
        <w:t>71</w:t>
      </w:r>
      <w:r w:rsidR="004118FD">
        <w:rPr>
          <w:rFonts w:hint="eastAsia"/>
          <w:rtl/>
        </w:rPr>
        <w:t> </w:t>
      </w:r>
      <w:r w:rsidR="00796ABD" w:rsidRPr="00796ABD">
        <w:rPr>
          <w:rFonts w:hint="cs"/>
          <w:rtl/>
        </w:rPr>
        <w:t>(المراج</w:t>
      </w:r>
      <w:r w:rsidR="002C5CC1">
        <w:rPr>
          <w:rFonts w:hint="cs"/>
          <w:rtl/>
        </w:rPr>
        <w:t>َ</w:t>
      </w:r>
      <w:r w:rsidR="00796ABD" w:rsidRPr="00796ABD">
        <w:rPr>
          <w:rFonts w:hint="cs"/>
          <w:rtl/>
        </w:rPr>
        <w:t xml:space="preserve">ع في دبي، </w:t>
      </w:r>
      <w:r w:rsidR="00796ABD" w:rsidRPr="00796ABD">
        <w:t>2012</w:t>
      </w:r>
      <w:r w:rsidR="00796ABD" w:rsidRPr="00796ABD">
        <w:rPr>
          <w:rFonts w:hint="cs"/>
          <w:rtl/>
        </w:rPr>
        <w:t>) حول</w:t>
      </w:r>
      <w:r w:rsidR="005554A1">
        <w:rPr>
          <w:rFonts w:hint="eastAsia"/>
          <w:rtl/>
        </w:rPr>
        <w:t> </w:t>
      </w:r>
      <w:r w:rsidR="00796ABD" w:rsidRPr="00796ABD">
        <w:rPr>
          <w:rFonts w:hint="cs"/>
          <w:rtl/>
        </w:rPr>
        <w:t>السماح للهيئات الأكاديمية بالمشاركة في أعمال قطاعي الاتصا</w:t>
      </w:r>
      <w:r w:rsidR="005554A1">
        <w:rPr>
          <w:rFonts w:hint="cs"/>
          <w:rtl/>
        </w:rPr>
        <w:t>لات الراديوية وتقييس الاتصالات.</w:t>
      </w:r>
    </w:p>
    <w:p w:rsidR="00796ABD" w:rsidRPr="00796ABD" w:rsidRDefault="00BD3B26" w:rsidP="00CF75CE">
      <w:pPr>
        <w:pStyle w:val="enumlev1"/>
        <w:rPr>
          <w:rtl/>
        </w:rPr>
      </w:pPr>
      <w:r>
        <w:rPr>
          <w:rFonts w:cs="Times New Roman"/>
          <w:rtl/>
        </w:rPr>
        <w:t>•</w:t>
      </w:r>
      <w:r w:rsidR="00796ABD">
        <w:tab/>
      </w:r>
      <w:r w:rsidR="00796ABD" w:rsidRPr="00796ABD">
        <w:rPr>
          <w:rFonts w:hint="cs"/>
          <w:rtl/>
        </w:rPr>
        <w:t xml:space="preserve">اعتمد مؤتمر المندوبين المفوضين القرار المراجع رقم </w:t>
      </w:r>
      <w:r w:rsidR="00796ABD" w:rsidRPr="00796ABD">
        <w:t>169</w:t>
      </w:r>
      <w:r w:rsidR="00796ABD" w:rsidRPr="00796ABD">
        <w:rPr>
          <w:rFonts w:hint="cs"/>
          <w:rtl/>
        </w:rPr>
        <w:t xml:space="preserve"> (المراج</w:t>
      </w:r>
      <w:r w:rsidR="00F27851">
        <w:rPr>
          <w:rFonts w:hint="cs"/>
          <w:rtl/>
        </w:rPr>
        <w:t>َ</w:t>
      </w:r>
      <w:r w:rsidR="00796ABD" w:rsidRPr="00796ABD">
        <w:rPr>
          <w:rFonts w:hint="cs"/>
          <w:rtl/>
        </w:rPr>
        <w:t xml:space="preserve">ع في بوسان، </w:t>
      </w:r>
      <w:r w:rsidR="00796ABD" w:rsidRPr="00796ABD">
        <w:t>2014</w:t>
      </w:r>
      <w:r w:rsidR="00796ABD" w:rsidRPr="00796ABD">
        <w:rPr>
          <w:rFonts w:hint="cs"/>
          <w:rtl/>
        </w:rPr>
        <w:t xml:space="preserve">) حول </w:t>
      </w:r>
      <w:r w:rsidR="00796ABD" w:rsidRPr="00796ABD">
        <w:rPr>
          <w:rFonts w:hint="cs"/>
          <w:rtl/>
          <w:lang w:bidi="ar-SA"/>
        </w:rPr>
        <w:t>"</w:t>
      </w:r>
      <w:r w:rsidR="00796ABD" w:rsidRPr="00796ABD">
        <w:rPr>
          <w:rtl/>
          <w:lang w:bidi="ar-SA"/>
        </w:rPr>
        <w:t>السماح للهيئات الأكاديمية</w:t>
      </w:r>
      <w:r w:rsidR="00796ABD" w:rsidRPr="00796ABD">
        <w:rPr>
          <w:rFonts w:hint="cs"/>
          <w:rtl/>
          <w:lang w:bidi="ar-SA"/>
        </w:rPr>
        <w:t xml:space="preserve"> </w:t>
      </w:r>
      <w:r w:rsidR="00796ABD" w:rsidRPr="00796ABD">
        <w:rPr>
          <w:rtl/>
          <w:lang w:bidi="ar-SA"/>
        </w:rPr>
        <w:t>بالمشاركة في أعمال الاتحاد</w:t>
      </w:r>
      <w:r w:rsidR="00796ABD" w:rsidRPr="00796ABD">
        <w:rPr>
          <w:rFonts w:hint="cs"/>
          <w:rtl/>
          <w:lang w:bidi="ar-SA"/>
        </w:rPr>
        <w:t>"</w:t>
      </w:r>
      <w:r w:rsidR="00796ABD" w:rsidRPr="00796ABD">
        <w:rPr>
          <w:rFonts w:hint="cs"/>
          <w:rtl/>
        </w:rPr>
        <w:t xml:space="preserve"> وبموجب هذا القرار تم السماح للهيئات الأكاديمية بالمشاركة في </w:t>
      </w:r>
      <w:r w:rsidR="00CF75CE">
        <w:rPr>
          <w:rFonts w:hint="cs"/>
          <w:rtl/>
        </w:rPr>
        <w:t>أ</w:t>
      </w:r>
      <w:r w:rsidR="00796ABD" w:rsidRPr="00796ABD">
        <w:rPr>
          <w:rFonts w:hint="cs"/>
          <w:rtl/>
        </w:rPr>
        <w:t>عمال الاتحاد بشكل عام والانضمام كأعضاء في الا</w:t>
      </w:r>
      <w:r w:rsidR="005554A1">
        <w:rPr>
          <w:rFonts w:hint="cs"/>
          <w:rtl/>
        </w:rPr>
        <w:t>تحاد (بقطاعاته الثلاثة) حيث قرر</w:t>
      </w:r>
      <w:r w:rsidR="001463FB">
        <w:rPr>
          <w:rFonts w:hint="cs"/>
          <w:rtl/>
        </w:rPr>
        <w:t>:</w:t>
      </w:r>
    </w:p>
    <w:p w:rsidR="00796ABD" w:rsidRPr="00796ABD" w:rsidRDefault="00980DC9" w:rsidP="00CF75CE">
      <w:pPr>
        <w:pStyle w:val="enumlev2"/>
        <w:rPr>
          <w:lang w:bidi="ar-SY"/>
        </w:rPr>
      </w:pPr>
      <w:r>
        <w:rPr>
          <w:rFonts w:hint="cs"/>
          <w:rtl/>
        </w:rPr>
        <w:t>-</w:t>
      </w:r>
      <w:r w:rsidR="00796ABD">
        <w:tab/>
      </w:r>
      <w:r w:rsidR="00796ABD" w:rsidRPr="00796ABD">
        <w:rPr>
          <w:rFonts w:hint="cs"/>
          <w:rtl/>
        </w:rPr>
        <w:t xml:space="preserve">استمرار </w:t>
      </w:r>
      <w:r w:rsidR="00796ABD" w:rsidRPr="00796ABD">
        <w:rPr>
          <w:rtl/>
        </w:rPr>
        <w:t xml:space="preserve">السماح للهيئات الأكاديمية بالمشاركة في أعمال </w:t>
      </w:r>
      <w:r w:rsidR="00796ABD" w:rsidRPr="00796ABD">
        <w:rPr>
          <w:rFonts w:hint="cs"/>
          <w:rtl/>
        </w:rPr>
        <w:t>الاتحاد</w:t>
      </w:r>
      <w:r w:rsidR="00796ABD" w:rsidRPr="00796ABD">
        <w:rPr>
          <w:rtl/>
        </w:rPr>
        <w:t xml:space="preserve"> بموجب أحكام هذا القرار دون الحاجة </w:t>
      </w:r>
      <w:r w:rsidR="00796ABD" w:rsidRPr="00796ABD">
        <w:rPr>
          <w:rFonts w:hint="cs"/>
          <w:rtl/>
        </w:rPr>
        <w:t>إلى</w:t>
      </w:r>
      <w:r w:rsidR="005554A1">
        <w:rPr>
          <w:rFonts w:hint="eastAsia"/>
          <w:rtl/>
        </w:rPr>
        <w:t> </w:t>
      </w:r>
      <w:r w:rsidR="00796ABD" w:rsidRPr="00796ABD">
        <w:rPr>
          <w:rtl/>
        </w:rPr>
        <w:t>أي</w:t>
      </w:r>
      <w:r w:rsidR="00B73D23">
        <w:rPr>
          <w:rFonts w:hint="cs"/>
          <w:rtl/>
        </w:rPr>
        <w:t> </w:t>
      </w:r>
      <w:r w:rsidR="00796ABD" w:rsidRPr="00796ABD">
        <w:rPr>
          <w:rtl/>
        </w:rPr>
        <w:t>تعديلات في </w:t>
      </w:r>
      <w:r w:rsidR="00796ABD" w:rsidRPr="00796ABD">
        <w:rPr>
          <w:rFonts w:hint="cs"/>
          <w:rtl/>
        </w:rPr>
        <w:t>ا</w:t>
      </w:r>
      <w:r w:rsidR="00796ABD" w:rsidRPr="00796ABD">
        <w:rPr>
          <w:rtl/>
        </w:rPr>
        <w:t>لمادتين</w:t>
      </w:r>
      <w:r w:rsidR="00796ABD" w:rsidRPr="00796ABD">
        <w:rPr>
          <w:rFonts w:hint="cs"/>
          <w:rtl/>
        </w:rPr>
        <w:t> </w:t>
      </w:r>
      <w:r w:rsidR="00796ABD" w:rsidRPr="00796ABD">
        <w:rPr>
          <w:lang w:bidi="ar-SY"/>
        </w:rPr>
        <w:t>2</w:t>
      </w:r>
      <w:r w:rsidR="00796ABD" w:rsidRPr="00796ABD">
        <w:rPr>
          <w:rtl/>
        </w:rPr>
        <w:t xml:space="preserve"> و</w:t>
      </w:r>
      <w:r w:rsidR="00796ABD" w:rsidRPr="00796ABD">
        <w:rPr>
          <w:lang w:bidi="ar-SY"/>
        </w:rPr>
        <w:t>3</w:t>
      </w:r>
      <w:r w:rsidR="00796ABD" w:rsidRPr="00796ABD">
        <w:rPr>
          <w:rtl/>
        </w:rPr>
        <w:t xml:space="preserve"> من دستور الاتحاد</w:t>
      </w:r>
      <w:r w:rsidR="00796ABD" w:rsidRPr="00796ABD">
        <w:rPr>
          <w:rFonts w:hint="cs"/>
          <w:rtl/>
        </w:rPr>
        <w:t xml:space="preserve"> والمادة</w:t>
      </w:r>
      <w:r w:rsidR="005554A1">
        <w:rPr>
          <w:rFonts w:hint="eastAsia"/>
          <w:rtl/>
        </w:rPr>
        <w:t> </w:t>
      </w:r>
      <w:r w:rsidR="00796ABD" w:rsidRPr="00796ABD">
        <w:rPr>
          <w:lang w:bidi="ar-SY"/>
        </w:rPr>
        <w:t>19</w:t>
      </w:r>
      <w:r w:rsidR="00796ABD" w:rsidRPr="00796ABD">
        <w:rPr>
          <w:rFonts w:hint="cs"/>
          <w:rtl/>
        </w:rPr>
        <w:t xml:space="preserve"> من اتفاقية الاتحاد أو أي حكم آخر من</w:t>
      </w:r>
      <w:r w:rsidR="005554A1">
        <w:rPr>
          <w:rFonts w:hint="eastAsia"/>
          <w:rtl/>
        </w:rPr>
        <w:t> </w:t>
      </w:r>
      <w:r w:rsidR="00796ABD" w:rsidRPr="00796ABD">
        <w:rPr>
          <w:rFonts w:hint="cs"/>
          <w:rtl/>
        </w:rPr>
        <w:t>أحكام</w:t>
      </w:r>
      <w:r w:rsidR="005554A1">
        <w:rPr>
          <w:rFonts w:hint="eastAsia"/>
          <w:rtl/>
        </w:rPr>
        <w:t> </w:t>
      </w:r>
      <w:r w:rsidR="00796ABD" w:rsidRPr="00796ABD">
        <w:rPr>
          <w:rFonts w:hint="cs"/>
          <w:rtl/>
        </w:rPr>
        <w:t>الاتفاقية</w:t>
      </w:r>
      <w:r w:rsidR="001463FB">
        <w:rPr>
          <w:rFonts w:hint="cs"/>
          <w:rtl/>
          <w:lang w:bidi="ar-AE"/>
        </w:rPr>
        <w:t>.</w:t>
      </w:r>
    </w:p>
    <w:p w:rsidR="00796ABD" w:rsidRPr="004118FD" w:rsidRDefault="00980DC9" w:rsidP="00CF75CE">
      <w:pPr>
        <w:pStyle w:val="enumlev2"/>
        <w:rPr>
          <w:rtl/>
        </w:rPr>
      </w:pPr>
      <w:r>
        <w:rPr>
          <w:rFonts w:hint="cs"/>
          <w:rtl/>
        </w:rPr>
        <w:t>-</w:t>
      </w:r>
      <w:r w:rsidR="00796ABD">
        <w:tab/>
      </w:r>
      <w:r w:rsidR="00796ABD" w:rsidRPr="00796ABD">
        <w:rPr>
          <w:rFonts w:hint="cs"/>
          <w:rtl/>
        </w:rPr>
        <w:t xml:space="preserve">أن </w:t>
      </w:r>
      <w:r w:rsidR="00796ABD" w:rsidRPr="00796ABD">
        <w:rPr>
          <w:rtl/>
        </w:rPr>
        <w:t>تحدد قيمة المساهمة الما</w:t>
      </w:r>
      <w:r w:rsidR="00796ABD" w:rsidRPr="00796ABD">
        <w:rPr>
          <w:rFonts w:hint="cs"/>
          <w:rtl/>
        </w:rPr>
        <w:t>ل</w:t>
      </w:r>
      <w:r w:rsidR="00796ABD" w:rsidRPr="00796ABD">
        <w:rPr>
          <w:rtl/>
        </w:rPr>
        <w:t xml:space="preserve">ية </w:t>
      </w:r>
      <w:r w:rsidR="00796ABD" w:rsidRPr="00796ABD">
        <w:rPr>
          <w:rFonts w:hint="cs"/>
          <w:rtl/>
        </w:rPr>
        <w:t>للمشاركة في الاتحاد بمقدار جزء من ستة عشر جزءاً من قيمة وحدة مساهمة أعضاء القطاعات بالنسبة للمنظمات من البلدان المتقدمة وبمقدار جزء من اثنين وثلاثين جزءاً من قيمة وحدة مساهمة أعضاء القطاعات بالنسبة للمنظمات من البلدان النامية وأن يطبق مستوى المساهمة المالية هذا على الهيئات الأكاديمية التي تشارك بالفعل في الاتحاد وعلى ما</w:t>
      </w:r>
      <w:r w:rsidR="00796ABD" w:rsidRPr="00796ABD">
        <w:rPr>
          <w:rFonts w:hint="eastAsia"/>
          <w:rtl/>
        </w:rPr>
        <w:t> </w:t>
      </w:r>
      <w:r w:rsidR="00796ABD" w:rsidRPr="00796ABD">
        <w:rPr>
          <w:rFonts w:hint="cs"/>
          <w:rtl/>
        </w:rPr>
        <w:t>ينضم منها في المستقبل</w:t>
      </w:r>
      <w:r w:rsidR="001463FB">
        <w:rPr>
          <w:rFonts w:hint="cs"/>
          <w:rtl/>
        </w:rPr>
        <w:t>.</w:t>
      </w:r>
    </w:p>
    <w:p w:rsidR="00796ABD" w:rsidRPr="00796ABD" w:rsidRDefault="002C5CC1" w:rsidP="00796ABD">
      <w:pPr>
        <w:pStyle w:val="Headingb"/>
        <w:rPr>
          <w:rtl/>
        </w:rPr>
      </w:pPr>
      <w:r>
        <w:rPr>
          <w:rFonts w:hint="cs"/>
          <w:rtl/>
        </w:rPr>
        <w:t>المقترح</w:t>
      </w:r>
    </w:p>
    <w:p w:rsidR="00F9134D" w:rsidRDefault="00796ABD" w:rsidP="005554A1">
      <w:pPr>
        <w:rPr>
          <w:rtl/>
          <w:lang w:bidi="ar-SY"/>
        </w:rPr>
      </w:pPr>
      <w:r w:rsidRPr="00796ABD">
        <w:rPr>
          <w:rFonts w:hint="cs"/>
          <w:rtl/>
          <w:lang w:bidi="ar-AE"/>
        </w:rPr>
        <w:t>تقترح إدارات الدول العربية حذف القرار رقم</w:t>
      </w:r>
      <w:r w:rsidR="005554A1">
        <w:rPr>
          <w:rFonts w:hint="eastAsia"/>
          <w:rtl/>
          <w:lang w:bidi="ar-AE"/>
        </w:rPr>
        <w:t> </w:t>
      </w:r>
      <w:r w:rsidRPr="00796ABD">
        <w:rPr>
          <w:lang w:bidi="ar-SY"/>
        </w:rPr>
        <w:t>ITU-R 63</w:t>
      </w:r>
      <w:r w:rsidRPr="00796ABD">
        <w:rPr>
          <w:rFonts w:hint="cs"/>
          <w:rtl/>
          <w:lang w:bidi="ar-AE"/>
        </w:rPr>
        <w:t>، وذلك لأن القرار رقم</w:t>
      </w:r>
      <w:r w:rsidR="005554A1">
        <w:rPr>
          <w:rFonts w:hint="eastAsia"/>
          <w:rtl/>
          <w:lang w:bidi="ar-AE"/>
        </w:rPr>
        <w:t> </w:t>
      </w:r>
      <w:r w:rsidRPr="00796ABD">
        <w:rPr>
          <w:lang w:bidi="ar-SY"/>
        </w:rPr>
        <w:t>169</w:t>
      </w:r>
      <w:r w:rsidRPr="00796ABD">
        <w:rPr>
          <w:rFonts w:hint="cs"/>
          <w:rtl/>
          <w:lang w:bidi="ar-AE"/>
        </w:rPr>
        <w:t xml:space="preserve"> (المراج</w:t>
      </w:r>
      <w:r w:rsidR="002C5CC1">
        <w:rPr>
          <w:rFonts w:hint="cs"/>
          <w:rtl/>
          <w:lang w:bidi="ar-AE"/>
        </w:rPr>
        <w:t>َ</w:t>
      </w:r>
      <w:r w:rsidRPr="00796ABD">
        <w:rPr>
          <w:rFonts w:hint="cs"/>
          <w:rtl/>
          <w:lang w:bidi="ar-AE"/>
        </w:rPr>
        <w:t xml:space="preserve">ع في بوسان، </w:t>
      </w:r>
      <w:r w:rsidRPr="00796ABD">
        <w:rPr>
          <w:lang w:bidi="ar-SY"/>
        </w:rPr>
        <w:t>2014</w:t>
      </w:r>
      <w:r w:rsidRPr="00796ABD">
        <w:rPr>
          <w:rFonts w:hint="cs"/>
          <w:rtl/>
          <w:lang w:bidi="ar-AE"/>
        </w:rPr>
        <w:t>) لمؤتمر المندوبين المفوضين تفصيلي ويشمل قطاعات الاتحاد الثلاثة، وأن عضوية الجهات الأكاديمية أصبحت عضوية كاملة تشمل قطاعات الاتحاد الثلاثة. وعوضاً عن تحيين القرار رقم</w:t>
      </w:r>
      <w:r w:rsidR="005554A1">
        <w:rPr>
          <w:rFonts w:hint="eastAsia"/>
          <w:rtl/>
          <w:lang w:bidi="ar-AE"/>
        </w:rPr>
        <w:t> </w:t>
      </w:r>
      <w:r w:rsidRPr="00796ABD">
        <w:rPr>
          <w:lang w:bidi="ar-SY"/>
        </w:rPr>
        <w:t>ITU-R 63</w:t>
      </w:r>
      <w:r w:rsidRPr="00796ABD">
        <w:rPr>
          <w:rFonts w:hint="cs"/>
          <w:rtl/>
          <w:lang w:bidi="ar-AE"/>
        </w:rPr>
        <w:t xml:space="preserve"> بناءً على مخرجات مؤتمر المندوبين المفوضين (بوسان، </w:t>
      </w:r>
      <w:r w:rsidRPr="00796ABD">
        <w:rPr>
          <w:lang w:bidi="ar-SY"/>
        </w:rPr>
        <w:t>2014</w:t>
      </w:r>
      <w:r w:rsidRPr="00796ABD">
        <w:rPr>
          <w:rFonts w:hint="cs"/>
          <w:rtl/>
          <w:lang w:bidi="ar-AE"/>
        </w:rPr>
        <w:t>) نقترح حذف القرار مما سيوفر الوقت والجهد والتكاليف الخاصة بالترجمة.</w:t>
      </w:r>
    </w:p>
    <w:p w:rsidR="002C116F" w:rsidRDefault="002C116F" w:rsidP="004118FD">
      <w:pPr>
        <w:pStyle w:val="Reasons"/>
        <w:rPr>
          <w:lang w:bidi="ar-SY"/>
        </w:rPr>
      </w:pPr>
    </w:p>
    <w:p w:rsidR="004118FD" w:rsidRPr="00706D7A" w:rsidRDefault="00CF75CE" w:rsidP="004118FD">
      <w:pPr>
        <w:spacing w:before="600"/>
        <w:jc w:val="center"/>
        <w:rPr>
          <w:rtl/>
          <w:lang w:bidi="ar-EG"/>
        </w:rPr>
      </w:pPr>
      <w:r>
        <w:rPr>
          <w:rFonts w:hint="cs"/>
          <w:rtl/>
          <w:lang w:bidi="ar-EG"/>
        </w:rPr>
        <w:t>__________</w:t>
      </w:r>
    </w:p>
    <w:sectPr w:rsidR="004118FD" w:rsidRPr="00706D7A"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3E" w:rsidRDefault="000F173E" w:rsidP="00F9134D">
      <w:pPr>
        <w:spacing w:before="0" w:line="240" w:lineRule="auto"/>
      </w:pPr>
      <w:r>
        <w:separator/>
      </w:r>
    </w:p>
  </w:endnote>
  <w:endnote w:type="continuationSeparator" w:id="0">
    <w:p w:rsidR="000F173E" w:rsidRDefault="000F173E"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4118FD" w:rsidRDefault="006A644C" w:rsidP="004118FD">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4118FD">
      <w:rPr>
        <w:sz w:val="16"/>
        <w:szCs w:val="16"/>
        <w:lang w:val="es-ES"/>
      </w:rPr>
      <w:instrText xml:space="preserve"> FILENAME \p \* MERGEFORMAT </w:instrText>
    </w:r>
    <w:r w:rsidRPr="00F9134D">
      <w:rPr>
        <w:sz w:val="16"/>
        <w:szCs w:val="16"/>
      </w:rPr>
      <w:fldChar w:fldCharType="separate"/>
    </w:r>
    <w:r w:rsidR="00B73D23">
      <w:rPr>
        <w:noProof/>
        <w:sz w:val="16"/>
        <w:szCs w:val="16"/>
        <w:lang w:val="es-ES"/>
      </w:rPr>
      <w:t>P:\ARA\ITU-R\CONF-R\AR15\PLEN\000\015A.docx</w:t>
    </w:r>
    <w:r w:rsidRPr="00F9134D">
      <w:rPr>
        <w:sz w:val="16"/>
        <w:szCs w:val="16"/>
      </w:rPr>
      <w:fldChar w:fldCharType="end"/>
    </w:r>
    <w:r w:rsidRPr="004118FD">
      <w:rPr>
        <w:sz w:val="16"/>
        <w:szCs w:val="16"/>
        <w:lang w:val="es-ES"/>
      </w:rPr>
      <w:t xml:space="preserve">   (</w:t>
    </w:r>
    <w:r w:rsidR="004118FD">
      <w:rPr>
        <w:rFonts w:hint="cs"/>
        <w:sz w:val="16"/>
        <w:szCs w:val="16"/>
        <w:rtl/>
        <w:lang w:val="es-ES"/>
      </w:rPr>
      <w:t>387619</w:t>
    </w:r>
    <w:r w:rsidRPr="004118FD">
      <w:rPr>
        <w:sz w:val="16"/>
        <w:szCs w:val="16"/>
        <w:lang w:val="es-ES"/>
      </w:rPr>
      <w:t>)</w:t>
    </w:r>
    <w:r w:rsidRPr="004118FD">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8A2584">
      <w:rPr>
        <w:noProof/>
        <w:sz w:val="16"/>
        <w:szCs w:val="16"/>
      </w:rPr>
      <w:t>12.10.15</w:t>
    </w:r>
    <w:r w:rsidRPr="00F9134D">
      <w:rPr>
        <w:sz w:val="16"/>
        <w:szCs w:val="16"/>
      </w:rPr>
      <w:fldChar w:fldCharType="end"/>
    </w:r>
    <w:r w:rsidRPr="004118FD">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B73D23">
      <w:rPr>
        <w:noProof/>
        <w:sz w:val="16"/>
        <w:szCs w:val="16"/>
      </w:rPr>
      <w:t>06.10.15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796ABD" w:rsidRDefault="006A644C" w:rsidP="00796ABD">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796ABD">
      <w:rPr>
        <w:sz w:val="16"/>
        <w:szCs w:val="16"/>
        <w:lang w:val="es-ES"/>
      </w:rPr>
      <w:instrText xml:space="preserve"> FILENAME \p \* MERGEFORMAT </w:instrText>
    </w:r>
    <w:r w:rsidRPr="00F9134D">
      <w:rPr>
        <w:sz w:val="16"/>
        <w:szCs w:val="16"/>
      </w:rPr>
      <w:fldChar w:fldCharType="separate"/>
    </w:r>
    <w:r w:rsidR="00B73D23">
      <w:rPr>
        <w:noProof/>
        <w:sz w:val="16"/>
        <w:szCs w:val="16"/>
        <w:lang w:val="es-ES"/>
      </w:rPr>
      <w:t>P:\ARA\ITU-R\CONF-R\AR15\PLEN\000\015A.docx</w:t>
    </w:r>
    <w:r w:rsidRPr="00F9134D">
      <w:rPr>
        <w:sz w:val="16"/>
        <w:szCs w:val="16"/>
      </w:rPr>
      <w:fldChar w:fldCharType="end"/>
    </w:r>
    <w:r w:rsidRPr="00796ABD">
      <w:rPr>
        <w:sz w:val="16"/>
        <w:szCs w:val="16"/>
        <w:lang w:val="es-ES"/>
      </w:rPr>
      <w:t xml:space="preserve">   (</w:t>
    </w:r>
    <w:r w:rsidR="00796ABD">
      <w:rPr>
        <w:sz w:val="16"/>
        <w:szCs w:val="16"/>
        <w:lang w:val="es-ES"/>
      </w:rPr>
      <w:t>387619</w:t>
    </w:r>
    <w:r w:rsidRPr="00796ABD">
      <w:rPr>
        <w:sz w:val="16"/>
        <w:szCs w:val="16"/>
        <w:lang w:val="es-ES"/>
      </w:rPr>
      <w:t>)</w:t>
    </w:r>
    <w:r w:rsidRPr="00796ABD">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8A2584">
      <w:rPr>
        <w:noProof/>
        <w:sz w:val="16"/>
        <w:szCs w:val="16"/>
      </w:rPr>
      <w:t>12.10.15</w:t>
    </w:r>
    <w:r w:rsidRPr="00F9134D">
      <w:rPr>
        <w:sz w:val="16"/>
        <w:szCs w:val="16"/>
      </w:rPr>
      <w:fldChar w:fldCharType="end"/>
    </w:r>
    <w:r w:rsidRPr="00796ABD">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B73D23">
      <w:rPr>
        <w:noProof/>
        <w:sz w:val="16"/>
        <w:szCs w:val="16"/>
      </w:rPr>
      <w:t>06.10.15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3E" w:rsidRDefault="000F173E" w:rsidP="00F9134D">
      <w:pPr>
        <w:spacing w:before="0" w:line="240" w:lineRule="auto"/>
      </w:pPr>
      <w:r>
        <w:separator/>
      </w:r>
    </w:p>
  </w:footnote>
  <w:footnote w:type="continuationSeparator" w:id="0">
    <w:p w:rsidR="000F173E" w:rsidRDefault="000F173E" w:rsidP="00F9134D">
      <w:pPr>
        <w:spacing w:before="0" w:line="240" w:lineRule="auto"/>
      </w:pPr>
      <w:r>
        <w:continuationSeparator/>
      </w:r>
    </w:p>
  </w:footnote>
  <w:footnote w:id="1">
    <w:p w:rsidR="000611EB" w:rsidRPr="004118FD" w:rsidRDefault="000611EB" w:rsidP="008A2584">
      <w:pPr>
        <w:pStyle w:val="Footnotetexte"/>
      </w:pPr>
      <w:r w:rsidRPr="00980DC9">
        <w:rPr>
          <w:rStyle w:val="FootnoteReference"/>
        </w:rPr>
        <w:footnoteRef/>
      </w:r>
      <w:r w:rsidR="00980DC9">
        <w:rPr>
          <w:rtl/>
        </w:rPr>
        <w:tab/>
      </w:r>
      <w:r w:rsidRPr="004118FD">
        <w:rPr>
          <w:rFonts w:hint="cs"/>
          <w:rtl/>
        </w:rPr>
        <w:t>وضعت هذه المقترحات المشتركة المقدمة من الدول العربية وصيغت في شكلها النهائي أثناء الاجتماع العشرين لفريق إدارة الطيف في</w:t>
      </w:r>
      <w:r w:rsidRPr="004118FD">
        <w:rPr>
          <w:rFonts w:hint="eastAsia"/>
        </w:rPr>
        <w:t> </w:t>
      </w:r>
      <w:r w:rsidRPr="004118FD">
        <w:rPr>
          <w:rFonts w:hint="cs"/>
          <w:rtl/>
        </w:rPr>
        <w:t>البلدان</w:t>
      </w:r>
      <w:r w:rsidRPr="004118FD">
        <w:rPr>
          <w:rFonts w:hint="eastAsia"/>
        </w:rPr>
        <w:t> </w:t>
      </w:r>
      <w:r w:rsidRPr="004118FD">
        <w:rPr>
          <w:rFonts w:hint="cs"/>
          <w:rtl/>
        </w:rPr>
        <w:t>العربية</w:t>
      </w:r>
      <w:r w:rsidR="00796ABD" w:rsidRPr="004118FD">
        <w:t>(ASMG)</w:t>
      </w:r>
      <w:r w:rsidRPr="004118FD">
        <w:rPr>
          <w:rFonts w:hint="eastAsia"/>
        </w:rPr>
        <w:t> </w:t>
      </w:r>
      <w:r w:rsidRPr="004118FD">
        <w:rPr>
          <w:rFonts w:hint="cs"/>
          <w:rtl/>
        </w:rPr>
        <w:t xml:space="preserve"> والذي عقد في الرباط بالمملكة المغربية من </w:t>
      </w:r>
      <w:r w:rsidRPr="004118FD">
        <w:t>22</w:t>
      </w:r>
      <w:r w:rsidRPr="004118FD">
        <w:rPr>
          <w:rFonts w:hint="cs"/>
          <w:rtl/>
        </w:rPr>
        <w:t xml:space="preserve"> إلى </w:t>
      </w:r>
      <w:r w:rsidRPr="004118FD">
        <w:t>27</w:t>
      </w:r>
      <w:r w:rsidRPr="004118FD">
        <w:rPr>
          <w:rFonts w:hint="cs"/>
          <w:rtl/>
        </w:rPr>
        <w:t xml:space="preserve"> أغسطس </w:t>
      </w:r>
      <w:r w:rsidRPr="004118FD">
        <w:t>2015</w:t>
      </w:r>
      <w:r w:rsidRPr="004118FD">
        <w:rPr>
          <w:rFonts w:hint="cs"/>
          <w:rtl/>
        </w:rPr>
        <w:t>.</w:t>
      </w:r>
      <w:r w:rsidR="00980DC9">
        <w:rPr>
          <w:rFonts w:hint="cs"/>
          <w:rtl/>
        </w:rPr>
        <w:t xml:space="preserve"> </w:t>
      </w:r>
      <w:r w:rsidRPr="004118FD">
        <w:rPr>
          <w:rFonts w:hint="cs"/>
          <w:rtl/>
        </w:rPr>
        <w:t>والقائمة التالية تبين الإدارات الأعضاء في</w:t>
      </w:r>
      <w:r w:rsidR="00796ABD" w:rsidRPr="004118FD">
        <w:rPr>
          <w:rFonts w:hint="eastAsia"/>
        </w:rPr>
        <w:t> </w:t>
      </w:r>
      <w:r w:rsidRPr="004118FD">
        <w:rPr>
          <w:rFonts w:hint="cs"/>
          <w:rtl/>
        </w:rPr>
        <w:t>الفريق العربي لإدارة الطيف الترددي</w:t>
      </w:r>
      <w:r w:rsidR="00796ABD" w:rsidRPr="004118FD">
        <w:t>(ASMG)</w:t>
      </w:r>
      <w:r w:rsidR="00796ABD" w:rsidRPr="004118FD">
        <w:rPr>
          <w:rFonts w:hint="eastAsia"/>
        </w:rPr>
        <w:t> </w:t>
      </w:r>
      <w:r w:rsidRPr="004118FD">
        <w:rPr>
          <w:rFonts w:hint="cs"/>
          <w:rtl/>
        </w:rPr>
        <w:t xml:space="preserve"> التي تؤيد هذا المقترح: المملكة الأردنية الهاشمية، الإمارات العربية المتحدة، مملكة البحرين، تونس، جيبوتي، المملكة العربية السعودية، جمهورية السودان، سلطنة ع</w:t>
      </w:r>
      <w:r w:rsidR="002C5CC1">
        <w:rPr>
          <w:rFonts w:hint="cs"/>
          <w:rtl/>
        </w:rPr>
        <w:t>ُ</w:t>
      </w:r>
      <w:r w:rsidRPr="004118FD">
        <w:rPr>
          <w:rFonts w:hint="cs"/>
          <w:rtl/>
        </w:rPr>
        <w:t xml:space="preserve">مان، فلسطين، قطر، الكويت، الجمهورية اللبنانية، جمهورية مصر العربية، المملكة المغربية، </w:t>
      </w:r>
      <w:r w:rsidR="008A2584">
        <w:rPr>
          <w:rFonts w:hint="cs"/>
          <w:rtl/>
        </w:rPr>
        <w:t>جمهورية موريتانيا الإسلامية</w:t>
      </w:r>
      <w:r w:rsidRPr="004118FD">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2C5CC1">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AB4C4A">
      <w:rPr>
        <w:rFonts w:cs="Times New Roman"/>
        <w:noProof/>
        <w:sz w:val="20"/>
        <w:szCs w:val="20"/>
      </w:rPr>
      <w:t>2</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796ABD">
      <w:rPr>
        <w:rFonts w:cs="Times New Roman"/>
        <w:sz w:val="20"/>
        <w:szCs w:val="20"/>
      </w:rPr>
      <w:t>PLEN</w:t>
    </w:r>
    <w:r w:rsidRPr="006A644C">
      <w:rPr>
        <w:rFonts w:cs="Times New Roman"/>
        <w:sz w:val="20"/>
        <w:szCs w:val="20"/>
      </w:rPr>
      <w:t>/</w:t>
    </w:r>
    <w:r w:rsidR="00796ABD">
      <w:rPr>
        <w:rFonts w:cs="Times New Roman"/>
        <w:sz w:val="20"/>
        <w:szCs w:val="20"/>
      </w:rPr>
      <w:t>15</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9E4CB1"/>
    <w:multiLevelType w:val="hybridMultilevel"/>
    <w:tmpl w:val="6F92A8F0"/>
    <w:lvl w:ilvl="0" w:tplc="D27A1242">
      <w:start w:val="25"/>
      <w:numFmt w:val="bullet"/>
      <w:lvlText w:val="-"/>
      <w:lvlJc w:val="left"/>
      <w:pPr>
        <w:ind w:left="720" w:hanging="360"/>
      </w:pPr>
      <w:rPr>
        <w:rFonts w:ascii="Traditional Arabic" w:eastAsia="Times New Roman" w:hAnsi="Traditional Arabic" w:cs="Traditional Arabic" w:hint="default"/>
      </w:rPr>
    </w:lvl>
    <w:lvl w:ilvl="1" w:tplc="D27A1242">
      <w:start w:val="25"/>
      <w:numFmt w:val="bullet"/>
      <w:lvlText w:val="-"/>
      <w:lvlJc w:val="left"/>
      <w:pPr>
        <w:ind w:left="1440" w:hanging="360"/>
      </w:pPr>
      <w:rPr>
        <w:rFonts w:ascii="Traditional Arabic" w:eastAsia="Times New Roman" w:hAnsi="Traditional Arabic" w:cs="Traditional Arabic"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3E"/>
    <w:rsid w:val="00013FDC"/>
    <w:rsid w:val="000611EB"/>
    <w:rsid w:val="00090574"/>
    <w:rsid w:val="000A7B06"/>
    <w:rsid w:val="000F173E"/>
    <w:rsid w:val="001463FB"/>
    <w:rsid w:val="00160530"/>
    <w:rsid w:val="00173915"/>
    <w:rsid w:val="001952E0"/>
    <w:rsid w:val="001D17A2"/>
    <w:rsid w:val="0023283D"/>
    <w:rsid w:val="002978F4"/>
    <w:rsid w:val="002B028D"/>
    <w:rsid w:val="002C116F"/>
    <w:rsid w:val="002C5CC1"/>
    <w:rsid w:val="002E625E"/>
    <w:rsid w:val="002E6541"/>
    <w:rsid w:val="002E6BA5"/>
    <w:rsid w:val="00310F17"/>
    <w:rsid w:val="00357185"/>
    <w:rsid w:val="003F678F"/>
    <w:rsid w:val="004118FD"/>
    <w:rsid w:val="0042686F"/>
    <w:rsid w:val="00443869"/>
    <w:rsid w:val="004E7162"/>
    <w:rsid w:val="00501E0E"/>
    <w:rsid w:val="0055516A"/>
    <w:rsid w:val="005554A1"/>
    <w:rsid w:val="0060468A"/>
    <w:rsid w:val="006A644C"/>
    <w:rsid w:val="006B7027"/>
    <w:rsid w:val="006C51D4"/>
    <w:rsid w:val="006F63F7"/>
    <w:rsid w:val="00706D7A"/>
    <w:rsid w:val="00796ABD"/>
    <w:rsid w:val="007B3D3E"/>
    <w:rsid w:val="007E24ED"/>
    <w:rsid w:val="00803F08"/>
    <w:rsid w:val="008235CD"/>
    <w:rsid w:val="00850B5D"/>
    <w:rsid w:val="008513CB"/>
    <w:rsid w:val="008A2584"/>
    <w:rsid w:val="00951C29"/>
    <w:rsid w:val="00980DC9"/>
    <w:rsid w:val="00982B28"/>
    <w:rsid w:val="009B581E"/>
    <w:rsid w:val="00A8197E"/>
    <w:rsid w:val="00A97F94"/>
    <w:rsid w:val="00AB4C4A"/>
    <w:rsid w:val="00B23259"/>
    <w:rsid w:val="00B507B5"/>
    <w:rsid w:val="00B60766"/>
    <w:rsid w:val="00B73D23"/>
    <w:rsid w:val="00BD3B26"/>
    <w:rsid w:val="00BF2C38"/>
    <w:rsid w:val="00C51DAD"/>
    <w:rsid w:val="00C674FE"/>
    <w:rsid w:val="00C75633"/>
    <w:rsid w:val="00CE2EE1"/>
    <w:rsid w:val="00CF3FFD"/>
    <w:rsid w:val="00CF75CE"/>
    <w:rsid w:val="00D01BDF"/>
    <w:rsid w:val="00D77D0F"/>
    <w:rsid w:val="00DA1CF0"/>
    <w:rsid w:val="00DA5CCC"/>
    <w:rsid w:val="00DC24B4"/>
    <w:rsid w:val="00DC4055"/>
    <w:rsid w:val="00DE7D8E"/>
    <w:rsid w:val="00DF16DC"/>
    <w:rsid w:val="00E17033"/>
    <w:rsid w:val="00E25478"/>
    <w:rsid w:val="00E45211"/>
    <w:rsid w:val="00F27851"/>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5148D62-1E21-4CE4-B39F-FB57F449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3D91A-9718-4ECA-8CF7-984188512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PA_RA-15.dotm</Template>
  <TotalTime>116</TotalTime>
  <Pages>2</Pages>
  <Words>428</Words>
  <Characters>2357</Characters>
  <Application>Microsoft Office Word</Application>
  <DocSecurity>0</DocSecurity>
  <Lines>67</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Awad, Samy</cp:lastModifiedBy>
  <cp:revision>16</cp:revision>
  <cp:lastPrinted>2015-10-06T13:34:00Z</cp:lastPrinted>
  <dcterms:created xsi:type="dcterms:W3CDTF">2015-10-06T12:17:00Z</dcterms:created>
  <dcterms:modified xsi:type="dcterms:W3CDTF">2015-10-15T17:10:00Z</dcterms:modified>
</cp:coreProperties>
</file>