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35030F">
            <w:pPr>
              <w:spacing w:before="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35030F">
            <w:pPr>
              <w:pStyle w:val="Firstpageheader"/>
              <w:framePr w:hSpace="0" w:wrap="auto" w:vAnchor="margin" w:xAlign="left" w:yAlign="inline"/>
              <w:spacing w:before="0" w:after="0"/>
              <w:rPr>
                <w:rFonts w:asciiTheme="minorHAnsi" w:hAnsiTheme="minorHAnsi"/>
                <w:lang w:bidi="ar-SY"/>
              </w:rPr>
            </w:pPr>
            <w:r w:rsidRPr="00F9134D">
              <w:rPr>
                <w:rtl/>
              </w:rPr>
              <w:t>الجلسة العامة</w:t>
            </w:r>
          </w:p>
        </w:tc>
        <w:tc>
          <w:tcPr>
            <w:tcW w:w="1686" w:type="pct"/>
            <w:vAlign w:val="center"/>
          </w:tcPr>
          <w:p w:rsidR="001952E0" w:rsidRPr="008D2B17" w:rsidRDefault="001952E0" w:rsidP="0035030F">
            <w:pPr>
              <w:pStyle w:val="Firstpageheader"/>
              <w:framePr w:hSpace="0" w:wrap="auto" w:vAnchor="margin" w:xAlign="left" w:yAlign="inline"/>
              <w:spacing w:before="0" w:after="0"/>
              <w:rPr>
                <w:rFonts w:hint="eastAsia"/>
                <w:rtl/>
              </w:rPr>
            </w:pPr>
            <w:r w:rsidRPr="008D2B17">
              <w:rPr>
                <w:rtl/>
              </w:rPr>
              <w:t>ا</w:t>
            </w:r>
            <w:r w:rsidRPr="008D2B17">
              <w:rPr>
                <w:rFonts w:hint="cs"/>
                <w:rtl/>
              </w:rPr>
              <w:t>ل</w:t>
            </w:r>
            <w:r w:rsidRPr="008D2B17">
              <w:rPr>
                <w:rtl/>
              </w:rPr>
              <w:t>و</w:t>
            </w:r>
            <w:r w:rsidRPr="008D2B17">
              <w:rPr>
                <w:rFonts w:hint="cs"/>
                <w:rtl/>
              </w:rPr>
              <w:t xml:space="preserve">ثيقة </w:t>
            </w:r>
            <w:r w:rsidR="007E24ED" w:rsidRPr="008D2B17">
              <w:t>RA15/</w:t>
            </w:r>
            <w:r w:rsidR="008D2B17">
              <w:t>PLEN</w:t>
            </w:r>
            <w:r w:rsidR="007E24ED" w:rsidRPr="008D2B17">
              <w:t>/</w:t>
            </w:r>
            <w:r w:rsidR="008D2B17">
              <w:t>14</w:t>
            </w:r>
            <w:r w:rsidRPr="008D2B17">
              <w:t>-A</w:t>
            </w:r>
          </w:p>
        </w:tc>
      </w:tr>
      <w:tr w:rsidR="001952E0" w:rsidRPr="001952E0" w:rsidTr="001D17A2">
        <w:trPr>
          <w:cantSplit/>
          <w:jc w:val="center"/>
        </w:trPr>
        <w:tc>
          <w:tcPr>
            <w:tcW w:w="3314" w:type="pct"/>
          </w:tcPr>
          <w:p w:rsidR="001952E0" w:rsidRPr="00F9134D" w:rsidRDefault="001952E0" w:rsidP="0035030F">
            <w:pPr>
              <w:pStyle w:val="Firstpageheader"/>
              <w:framePr w:hSpace="0" w:wrap="auto" w:vAnchor="margin" w:xAlign="left" w:yAlign="inline"/>
              <w:spacing w:before="0" w:after="0"/>
              <w:rPr>
                <w:rFonts w:hint="eastAsia"/>
                <w:rtl/>
              </w:rPr>
            </w:pPr>
          </w:p>
        </w:tc>
        <w:tc>
          <w:tcPr>
            <w:tcW w:w="1686" w:type="pct"/>
            <w:vAlign w:val="center"/>
          </w:tcPr>
          <w:p w:rsidR="001952E0" w:rsidRPr="008D2B17" w:rsidRDefault="008D2B17" w:rsidP="0035030F">
            <w:pPr>
              <w:pStyle w:val="Firstpageheader"/>
              <w:framePr w:hSpace="0" w:wrap="auto" w:vAnchor="margin" w:xAlign="left" w:yAlign="inline"/>
              <w:spacing w:before="0" w:after="0"/>
              <w:rPr>
                <w:rFonts w:hint="eastAsia"/>
                <w:rtl/>
              </w:rPr>
            </w:pPr>
            <w:r>
              <w:t>5</w:t>
            </w:r>
            <w:r w:rsidR="001952E0" w:rsidRPr="008D2B17">
              <w:rPr>
                <w:rFonts w:hint="cs"/>
                <w:rtl/>
              </w:rPr>
              <w:t xml:space="preserve"> </w:t>
            </w:r>
            <w:r>
              <w:rPr>
                <w:rFonts w:hint="cs"/>
                <w:rtl/>
              </w:rPr>
              <w:t>أكتوبر</w:t>
            </w:r>
            <w:r w:rsidR="001952E0" w:rsidRPr="008D2B17">
              <w:rPr>
                <w:rFonts w:hint="cs"/>
                <w:rtl/>
              </w:rPr>
              <w:t xml:space="preserve"> </w:t>
            </w:r>
            <w:r w:rsidR="001952E0" w:rsidRPr="008D2B17">
              <w:t>2015</w:t>
            </w:r>
          </w:p>
        </w:tc>
      </w:tr>
      <w:tr w:rsidR="001952E0" w:rsidRPr="001952E0" w:rsidTr="001D17A2">
        <w:trPr>
          <w:cantSplit/>
          <w:jc w:val="center"/>
        </w:trPr>
        <w:tc>
          <w:tcPr>
            <w:tcW w:w="3314" w:type="pct"/>
          </w:tcPr>
          <w:p w:rsidR="001952E0" w:rsidRPr="00F9134D" w:rsidRDefault="001952E0" w:rsidP="0035030F">
            <w:pPr>
              <w:pStyle w:val="Firstpageheader"/>
              <w:framePr w:hSpace="0" w:wrap="auto" w:vAnchor="margin" w:xAlign="left" w:yAlign="inline"/>
              <w:spacing w:before="0" w:after="0"/>
              <w:rPr>
                <w:rFonts w:hint="eastAsia"/>
                <w:rtl/>
              </w:rPr>
            </w:pPr>
          </w:p>
        </w:tc>
        <w:tc>
          <w:tcPr>
            <w:tcW w:w="1686" w:type="pct"/>
            <w:vAlign w:val="center"/>
          </w:tcPr>
          <w:p w:rsidR="001952E0" w:rsidRPr="008D2B17" w:rsidRDefault="001952E0" w:rsidP="0035030F">
            <w:pPr>
              <w:pStyle w:val="Firstpageheader"/>
              <w:framePr w:hSpace="0" w:wrap="auto" w:vAnchor="margin" w:xAlign="left" w:yAlign="inline"/>
              <w:spacing w:before="0" w:after="0"/>
              <w:rPr>
                <w:rFonts w:hint="eastAsia"/>
              </w:rPr>
            </w:pPr>
            <w:r w:rsidRPr="008D2B17">
              <w:rPr>
                <w:rFonts w:hint="cs"/>
                <w:rtl/>
              </w:rPr>
              <w:t xml:space="preserve">الأصل: </w:t>
            </w:r>
            <w:r w:rsidR="008D2B17">
              <w:rPr>
                <w:rFonts w:hint="cs"/>
                <w:rtl/>
              </w:rPr>
              <w:t>بالإنكليزية</w:t>
            </w:r>
          </w:p>
        </w:tc>
      </w:tr>
      <w:tr w:rsidR="001952E0" w:rsidRPr="001952E0" w:rsidTr="001D17A2">
        <w:trPr>
          <w:cantSplit/>
          <w:jc w:val="center"/>
        </w:trPr>
        <w:tc>
          <w:tcPr>
            <w:tcW w:w="5000" w:type="pct"/>
            <w:gridSpan w:val="2"/>
          </w:tcPr>
          <w:p w:rsidR="001952E0" w:rsidRPr="00F9134D" w:rsidRDefault="001952E0" w:rsidP="00635DD5">
            <w:pPr>
              <w:spacing w:before="0" w:line="300" w:lineRule="exact"/>
              <w:rPr>
                <w:rFonts w:ascii="Verdana Bold" w:hAnsi="Verdana Bold" w:hint="eastAsia"/>
                <w:b/>
                <w:bCs/>
                <w:sz w:val="19"/>
                <w:lang w:bidi="ar-SY"/>
              </w:rPr>
            </w:pPr>
          </w:p>
        </w:tc>
      </w:tr>
      <w:tr w:rsidR="001952E0" w:rsidRPr="001952E0" w:rsidTr="001D17A2">
        <w:trPr>
          <w:cantSplit/>
          <w:jc w:val="center"/>
        </w:trPr>
        <w:tc>
          <w:tcPr>
            <w:tcW w:w="5000" w:type="pct"/>
            <w:gridSpan w:val="2"/>
          </w:tcPr>
          <w:p w:rsidR="001952E0" w:rsidRPr="001952E0" w:rsidRDefault="00B162D0" w:rsidP="0035030F">
            <w:pPr>
              <w:pStyle w:val="Source"/>
              <w:spacing w:after="0"/>
              <w:rPr>
                <w:rtl/>
                <w:lang w:bidi="ar-SY"/>
              </w:rPr>
            </w:pPr>
            <w:r w:rsidRPr="00B162D0">
              <w:rPr>
                <w:rFonts w:hint="cs"/>
                <w:rtl/>
                <w:lang w:bidi="ar-EG"/>
              </w:rPr>
              <w:t>الدول العربية</w:t>
            </w:r>
            <w:r w:rsidRPr="0035030F">
              <w:rPr>
                <w:rStyle w:val="FootnoteReference"/>
                <w:rtl/>
              </w:rPr>
              <w:footnoteReference w:id="1"/>
            </w:r>
          </w:p>
        </w:tc>
      </w:tr>
      <w:tr w:rsidR="001952E0" w:rsidRPr="001952E0" w:rsidTr="001D17A2">
        <w:trPr>
          <w:cantSplit/>
          <w:jc w:val="center"/>
        </w:trPr>
        <w:tc>
          <w:tcPr>
            <w:tcW w:w="5000" w:type="pct"/>
            <w:gridSpan w:val="2"/>
          </w:tcPr>
          <w:p w:rsidR="001952E0" w:rsidRPr="001952E0" w:rsidRDefault="00B162D0" w:rsidP="00B162D0">
            <w:pPr>
              <w:pStyle w:val="Title1"/>
              <w:rPr>
                <w:rtl/>
                <w:lang w:bidi="ar-EG"/>
              </w:rPr>
            </w:pPr>
            <w:r w:rsidRPr="00B162D0">
              <w:rPr>
                <w:rFonts w:hint="cs"/>
                <w:rtl/>
                <w:lang w:bidi="ar-EG"/>
              </w:rPr>
              <w:t>مقترحات بشأن أعمال ج</w:t>
            </w:r>
            <w:r w:rsidR="00794C96">
              <w:rPr>
                <w:rFonts w:hint="cs"/>
                <w:rtl/>
                <w:lang w:bidi="ar-EG"/>
              </w:rPr>
              <w:t>‍</w:t>
            </w:r>
            <w:r w:rsidRPr="00B162D0">
              <w:rPr>
                <w:rFonts w:hint="cs"/>
                <w:rtl/>
                <w:lang w:bidi="ar-EG"/>
              </w:rPr>
              <w:t>معية الاتصالات الراديوية</w:t>
            </w:r>
          </w:p>
        </w:tc>
      </w:tr>
      <w:tr w:rsidR="001952E0" w:rsidRPr="001952E0" w:rsidTr="001D17A2">
        <w:trPr>
          <w:cantSplit/>
          <w:jc w:val="center"/>
        </w:trPr>
        <w:tc>
          <w:tcPr>
            <w:tcW w:w="5000" w:type="pct"/>
            <w:gridSpan w:val="2"/>
          </w:tcPr>
          <w:p w:rsidR="001952E0" w:rsidRPr="00B162D0" w:rsidRDefault="00B162D0" w:rsidP="0035030F">
            <w:pPr>
              <w:pStyle w:val="Title1"/>
              <w:spacing w:before="360"/>
            </w:pPr>
            <w:r w:rsidRPr="00B162D0">
              <w:rPr>
                <w:rFonts w:hint="cs"/>
                <w:rtl/>
                <w:lang w:val="en-GB"/>
              </w:rPr>
              <w:t>ال</w:t>
            </w:r>
            <w:r w:rsidR="00794C96">
              <w:rPr>
                <w:rFonts w:hint="cs"/>
                <w:rtl/>
                <w:lang w:val="en-GB"/>
              </w:rPr>
              <w:t>‍</w:t>
            </w:r>
            <w:r w:rsidRPr="00B162D0">
              <w:rPr>
                <w:rFonts w:hint="cs"/>
                <w:rtl/>
                <w:lang w:val="en-GB"/>
              </w:rPr>
              <w:t>موافقة على مشروع التوصية ال</w:t>
            </w:r>
            <w:r w:rsidR="00794C96">
              <w:rPr>
                <w:rFonts w:hint="cs"/>
                <w:rtl/>
                <w:lang w:val="en-GB"/>
              </w:rPr>
              <w:t>‍</w:t>
            </w:r>
            <w:r w:rsidRPr="00B162D0">
              <w:rPr>
                <w:rFonts w:hint="cs"/>
                <w:rtl/>
                <w:lang w:val="en-GB"/>
              </w:rPr>
              <w:t xml:space="preserve">جديدة </w:t>
            </w:r>
            <w:r w:rsidRPr="00B162D0">
              <w:rPr>
                <w:lang w:bidi="ar-SY"/>
              </w:rPr>
              <w:t>ITU-R M.1036-4</w:t>
            </w:r>
          </w:p>
        </w:tc>
      </w:tr>
    </w:tbl>
    <w:p w:rsidR="00B162D0" w:rsidRPr="00B162D0" w:rsidRDefault="00B162D0" w:rsidP="00B162D0">
      <w:pPr>
        <w:pStyle w:val="Heading1"/>
        <w:rPr>
          <w:rtl/>
          <w:lang w:bidi="ar-EG"/>
        </w:rPr>
      </w:pPr>
      <w:r w:rsidRPr="00B162D0">
        <w:rPr>
          <w:lang w:bidi="ar-SY"/>
        </w:rPr>
        <w:t>1</w:t>
      </w:r>
      <w:r w:rsidRPr="00B162D0">
        <w:rPr>
          <w:rtl/>
          <w:lang w:bidi="ar-EG"/>
        </w:rPr>
        <w:tab/>
      </w:r>
      <w:r w:rsidRPr="00B162D0">
        <w:rPr>
          <w:rFonts w:hint="cs"/>
          <w:rtl/>
          <w:lang w:bidi="ar-EG"/>
        </w:rPr>
        <w:t>مقدمة</w:t>
      </w:r>
    </w:p>
    <w:p w:rsidR="00B162D0" w:rsidRPr="00B162D0" w:rsidRDefault="00B162D0" w:rsidP="003B6B1C">
      <w:pPr>
        <w:rPr>
          <w:rtl/>
        </w:rPr>
      </w:pPr>
      <w:r w:rsidRPr="00B162D0">
        <w:rPr>
          <w:rFonts w:hint="cs"/>
          <w:rtl/>
          <w:lang w:bidi="ar-EG"/>
        </w:rPr>
        <w:t xml:space="preserve">أرسل رئيس لجنة الدراسات </w:t>
      </w:r>
      <w:r w:rsidRPr="00B162D0">
        <w:rPr>
          <w:lang w:bidi="ar-SY"/>
        </w:rPr>
        <w:t>5</w:t>
      </w:r>
      <w:r w:rsidRPr="00B162D0">
        <w:rPr>
          <w:rFonts w:hint="cs"/>
          <w:rtl/>
          <w:lang w:bidi="ar-EG"/>
        </w:rPr>
        <w:t xml:space="preserve"> مشروع المراجعة المقترحة للتوصية </w:t>
      </w:r>
      <w:r w:rsidRPr="00B162D0">
        <w:rPr>
          <w:lang w:bidi="ar-SY"/>
        </w:rPr>
        <w:t>ITU-R M.1036-4</w:t>
      </w:r>
      <w:r w:rsidRPr="00B162D0">
        <w:rPr>
          <w:rFonts w:hint="cs"/>
          <w:rtl/>
          <w:lang w:bidi="ar-EG"/>
        </w:rPr>
        <w:t xml:space="preserve"> (الوثيقة </w:t>
      </w:r>
      <w:hyperlink r:id="rId9" w:history="1">
        <w:r w:rsidRPr="00B162D0">
          <w:rPr>
            <w:rStyle w:val="Hyperlink"/>
            <w:lang w:bidi="ar-SY"/>
          </w:rPr>
          <w:t>5/1008</w:t>
        </w:r>
      </w:hyperlink>
      <w:r w:rsidRPr="00B162D0">
        <w:rPr>
          <w:rFonts w:hint="cs"/>
          <w:rtl/>
          <w:lang w:bidi="ar-EG"/>
        </w:rPr>
        <w:t xml:space="preserve"> لجمعية الاتصالات الراديوية لعام</w:t>
      </w:r>
      <w:r w:rsidR="003B6B1C">
        <w:rPr>
          <w:rFonts w:hint="eastAsia"/>
          <w:rtl/>
          <w:lang w:bidi="ar-EG"/>
        </w:rPr>
        <w:t> </w:t>
      </w:r>
      <w:r w:rsidRPr="00B162D0">
        <w:rPr>
          <w:lang w:bidi="ar-SY"/>
        </w:rPr>
        <w:t>2015</w:t>
      </w:r>
      <w:r w:rsidRPr="00B162D0">
        <w:rPr>
          <w:rFonts w:hint="cs"/>
          <w:rtl/>
          <w:lang w:bidi="ar-EG"/>
        </w:rPr>
        <w:t xml:space="preserve">) إلى جمعية الاتصالات الراديوية للموافقة عليها. وتيسير مراجعة التوصية </w:t>
      </w:r>
      <w:r w:rsidRPr="00B162D0">
        <w:rPr>
          <w:lang w:bidi="ar-SY"/>
        </w:rPr>
        <w:t>ITU-R M.1036-4</w:t>
      </w:r>
      <w:r w:rsidRPr="00B162D0">
        <w:rPr>
          <w:rFonts w:hint="cs"/>
          <w:rtl/>
          <w:lang w:bidi="ar-EG"/>
        </w:rPr>
        <w:t xml:space="preserve"> في الوقت المناسب ضروري لوضع مواصفات الاتصالات المتنقلة الدولية ومعاييرها وللنظر المبكر في ترتيبات الترددات المناسبة لكل بلد أو</w:t>
      </w:r>
      <w:r w:rsidR="0035030F">
        <w:rPr>
          <w:rFonts w:hint="eastAsia"/>
          <w:rtl/>
          <w:lang w:bidi="ar-EG"/>
        </w:rPr>
        <w:t> </w:t>
      </w:r>
      <w:r w:rsidRPr="00B162D0">
        <w:rPr>
          <w:rFonts w:hint="cs"/>
          <w:rtl/>
          <w:lang w:bidi="ar-EG"/>
        </w:rPr>
        <w:t xml:space="preserve">منطقة من جانب الإدارات والأفرقة الإقليمية. ويتعلق مشروع المراجعة هذا أيضاً ببعض عناصر البند </w:t>
      </w:r>
      <w:r w:rsidRPr="00B162D0">
        <w:rPr>
          <w:lang w:bidi="ar-SY"/>
        </w:rPr>
        <w:t>2.1</w:t>
      </w:r>
      <w:r w:rsidRPr="00B162D0">
        <w:rPr>
          <w:rFonts w:hint="cs"/>
          <w:rtl/>
          <w:lang w:bidi="ar-EG"/>
        </w:rPr>
        <w:t xml:space="preserve"> من جدول أعمال المؤتمر العالمي للاتصالات الراديوية لعام </w:t>
      </w:r>
      <w:r w:rsidRPr="00B162D0">
        <w:rPr>
          <w:lang w:bidi="ar-SY"/>
        </w:rPr>
        <w:t>2015</w:t>
      </w:r>
      <w:r w:rsidRPr="00B162D0">
        <w:rPr>
          <w:rFonts w:hint="cs"/>
          <w:rtl/>
          <w:lang w:bidi="ar-EG"/>
        </w:rPr>
        <w:t xml:space="preserve"> المتمثل في بحث نتائج دراسات قطاع الاتصالات الراديوية وفقاً للقرار </w:t>
      </w:r>
      <w:r w:rsidRPr="00B162D0">
        <w:rPr>
          <w:b/>
          <w:bCs/>
          <w:lang w:bidi="ar-SY"/>
        </w:rPr>
        <w:t>232 (WRC-12)</w:t>
      </w:r>
      <w:r w:rsidRPr="00B162D0">
        <w:rPr>
          <w:rFonts w:hint="cs"/>
          <w:rtl/>
          <w:lang w:bidi="ar-EG"/>
        </w:rPr>
        <w:t xml:space="preserve"> بشأن </w:t>
      </w:r>
      <w:r w:rsidRPr="00B162D0">
        <w:rPr>
          <w:rtl/>
        </w:rPr>
        <w:t>استعمال الخدمة المتنقلة باستثناء المتنقلة للطيران لنطاق التردد</w:t>
      </w:r>
      <w:r w:rsidRPr="00B162D0">
        <w:rPr>
          <w:lang w:bidi="ar-SY"/>
        </w:rPr>
        <w:t xml:space="preserve"> MHz 790-694 </w:t>
      </w:r>
      <w:r w:rsidRPr="00B162D0">
        <w:rPr>
          <w:rtl/>
        </w:rPr>
        <w:t xml:space="preserve">في الإقليم </w:t>
      </w:r>
      <w:r w:rsidRPr="00B162D0">
        <w:rPr>
          <w:lang w:bidi="ar-SY"/>
        </w:rPr>
        <w:t>1</w:t>
      </w:r>
      <w:r w:rsidRPr="00B162D0">
        <w:rPr>
          <w:rtl/>
        </w:rPr>
        <w:t>، واتخاذ التدابير المناسبة</w:t>
      </w:r>
      <w:r w:rsidRPr="00B162D0">
        <w:rPr>
          <w:rFonts w:hint="cs"/>
          <w:rtl/>
        </w:rPr>
        <w:t>.</w:t>
      </w:r>
    </w:p>
    <w:p w:rsidR="00B162D0" w:rsidRPr="00B162D0" w:rsidRDefault="00B162D0" w:rsidP="00B162D0">
      <w:pPr>
        <w:pStyle w:val="Heading1"/>
        <w:rPr>
          <w:rtl/>
          <w:lang w:bidi="ar-EG"/>
        </w:rPr>
      </w:pPr>
      <w:r w:rsidRPr="00B162D0">
        <w:rPr>
          <w:lang w:bidi="ar-SY"/>
        </w:rPr>
        <w:t>2</w:t>
      </w:r>
      <w:r w:rsidRPr="00B162D0">
        <w:rPr>
          <w:rtl/>
          <w:lang w:bidi="ar-EG"/>
        </w:rPr>
        <w:tab/>
      </w:r>
      <w:r w:rsidRPr="00B162D0">
        <w:rPr>
          <w:rFonts w:hint="cs"/>
          <w:rtl/>
          <w:lang w:bidi="ar-EG"/>
        </w:rPr>
        <w:t>خلفية</w:t>
      </w:r>
    </w:p>
    <w:p w:rsidR="00B162D0" w:rsidRPr="00B162D0" w:rsidRDefault="00B162D0" w:rsidP="00B162D0">
      <w:pPr>
        <w:rPr>
          <w:rFonts w:hint="cs"/>
          <w:rtl/>
          <w:lang w:bidi="ar-EG"/>
        </w:rPr>
      </w:pPr>
      <w:r w:rsidRPr="00B162D0">
        <w:rPr>
          <w:rFonts w:hint="cs"/>
          <w:rtl/>
          <w:lang w:bidi="ar-EG"/>
        </w:rPr>
        <w:t xml:space="preserve">تقدم التوصية </w:t>
      </w:r>
      <w:r w:rsidRPr="00B162D0">
        <w:rPr>
          <w:lang w:bidi="ar-SY"/>
        </w:rPr>
        <w:t>ITU-R M.1036</w:t>
      </w:r>
      <w:r w:rsidRPr="00B162D0">
        <w:rPr>
          <w:rFonts w:hint="cs"/>
          <w:rtl/>
          <w:lang w:bidi="ar-EG"/>
        </w:rPr>
        <w:t xml:space="preserve"> ترتيبات التردد لتنفيذ المكون الأرضي للاتصالات المتنقلة الدولية في النطاقات المحددة للاتصالات المتنقلة الدولية في لوائح الراديو </w:t>
      </w:r>
      <w:r w:rsidRPr="00B162D0">
        <w:rPr>
          <w:lang w:bidi="ar-SY"/>
        </w:rPr>
        <w:t>(RR)</w:t>
      </w:r>
      <w:r w:rsidRPr="00B162D0">
        <w:rPr>
          <w:rFonts w:hint="cs"/>
          <w:rtl/>
          <w:lang w:bidi="ar-EG"/>
        </w:rPr>
        <w:t xml:space="preserve">. وتيسير ترتيبات التردد هذه في الوقت المناسب ضروري لوضع مواصفات الاتصالات المتنقلة الدولية ومعاييرها وللنظر المبكر في ترتيبات الترددات المناسبة لكل بلد أو منطقة من جانب الإدارات والأفرقة الإقليمية. وفي الواقع، تقدم التوصية </w:t>
      </w:r>
      <w:r w:rsidRPr="00B162D0">
        <w:rPr>
          <w:lang w:bidi="ar-SY"/>
        </w:rPr>
        <w:t>ITU-R M.1036</w:t>
      </w:r>
      <w:r w:rsidRPr="00B162D0">
        <w:rPr>
          <w:rFonts w:hint="cs"/>
          <w:rtl/>
          <w:lang w:bidi="ar-EG"/>
        </w:rPr>
        <w:t xml:space="preserve"> بدائل لعمليات النشر تبعاً للظروف المحلية.</w:t>
      </w:r>
    </w:p>
    <w:p w:rsidR="00B162D0" w:rsidRPr="00B162D0" w:rsidRDefault="00B162D0" w:rsidP="00BE71C2">
      <w:pPr>
        <w:rPr>
          <w:rtl/>
          <w:lang w:bidi="ar-EG"/>
        </w:rPr>
      </w:pPr>
      <w:r w:rsidRPr="00B162D0">
        <w:rPr>
          <w:rFonts w:hint="cs"/>
          <w:rtl/>
          <w:lang w:bidi="ar-EG"/>
        </w:rPr>
        <w:t xml:space="preserve">وقد جرى الاضطلاع بعمل مكثف بشأن إعداد مشروع </w:t>
      </w:r>
      <w:r w:rsidR="00BE71C2">
        <w:rPr>
          <w:rFonts w:hint="cs"/>
          <w:rtl/>
          <w:lang w:bidi="ar-EG"/>
        </w:rPr>
        <w:t xml:space="preserve">مراجَعة </w:t>
      </w:r>
      <w:r w:rsidRPr="00B162D0">
        <w:rPr>
          <w:rFonts w:hint="cs"/>
          <w:rtl/>
          <w:lang w:bidi="ar-EG"/>
        </w:rPr>
        <w:t xml:space="preserve">التوصية </w:t>
      </w:r>
      <w:r w:rsidRPr="00B162D0">
        <w:rPr>
          <w:lang w:bidi="ar-SY"/>
        </w:rPr>
        <w:t>ITU-R M.1036</w:t>
      </w:r>
      <w:r w:rsidR="00BE71C2" w:rsidRPr="00B162D0">
        <w:rPr>
          <w:lang w:bidi="ar-SY"/>
        </w:rPr>
        <w:t>-4</w:t>
      </w:r>
      <w:r w:rsidRPr="00B162D0">
        <w:rPr>
          <w:rFonts w:hint="cs"/>
          <w:rtl/>
          <w:lang w:bidi="ar-EG"/>
        </w:rPr>
        <w:t xml:space="preserve"> في العديد من اجتماعات فرقة العمل</w:t>
      </w:r>
      <w:r w:rsidR="00BE71C2">
        <w:rPr>
          <w:rFonts w:hint="eastAsia"/>
          <w:rtl/>
          <w:lang w:bidi="ar-EG"/>
        </w:rPr>
        <w:t> </w:t>
      </w:r>
      <w:r w:rsidRPr="00B162D0">
        <w:rPr>
          <w:lang w:bidi="ar-SY"/>
        </w:rPr>
        <w:t>5D</w:t>
      </w:r>
      <w:r w:rsidRPr="00B162D0">
        <w:rPr>
          <w:rFonts w:hint="cs"/>
          <w:rtl/>
          <w:lang w:bidi="ar-EG"/>
        </w:rPr>
        <w:t>.</w:t>
      </w:r>
    </w:p>
    <w:p w:rsidR="00B162D0" w:rsidRPr="00B162D0" w:rsidRDefault="00B162D0" w:rsidP="00635DD5">
      <w:pPr>
        <w:rPr>
          <w:rtl/>
          <w:lang w:bidi="ar-EG"/>
        </w:rPr>
      </w:pPr>
      <w:r w:rsidRPr="00B162D0">
        <w:rPr>
          <w:rFonts w:hint="cs"/>
          <w:rtl/>
          <w:lang w:bidi="ar-EG"/>
        </w:rPr>
        <w:lastRenderedPageBreak/>
        <w:t xml:space="preserve">قررت فرقة العمل </w:t>
      </w:r>
      <w:r w:rsidRPr="00B162D0">
        <w:rPr>
          <w:lang w:bidi="ar-SY"/>
        </w:rPr>
        <w:t>5D</w:t>
      </w:r>
      <w:r w:rsidR="00635DD5">
        <w:rPr>
          <w:rFonts w:hint="cs"/>
          <w:rtl/>
          <w:lang w:bidi="ar-EG"/>
        </w:rPr>
        <w:t>،</w:t>
      </w:r>
      <w:r w:rsidRPr="00B162D0">
        <w:rPr>
          <w:rFonts w:hint="cs"/>
          <w:rtl/>
          <w:lang w:bidi="ar-EG"/>
        </w:rPr>
        <w:t xml:space="preserve"> في اجتماعها في يونيو </w:t>
      </w:r>
      <w:r w:rsidRPr="00B162D0">
        <w:rPr>
          <w:lang w:bidi="ar-SY"/>
        </w:rPr>
        <w:t>2015</w:t>
      </w:r>
      <w:r w:rsidR="00635DD5">
        <w:rPr>
          <w:rFonts w:hint="cs"/>
          <w:rtl/>
          <w:lang w:bidi="ar-EG"/>
        </w:rPr>
        <w:t>،</w:t>
      </w:r>
      <w:r w:rsidRPr="00B162D0">
        <w:rPr>
          <w:rFonts w:hint="cs"/>
          <w:rtl/>
          <w:lang w:bidi="ar-EG"/>
        </w:rPr>
        <w:t xml:space="preserve"> تقديم مشروع مراجعة التوصية </w:t>
      </w:r>
      <w:r w:rsidRPr="00B162D0">
        <w:rPr>
          <w:lang w:bidi="ar-SY"/>
        </w:rPr>
        <w:t>ITU-R M.1036-4</w:t>
      </w:r>
      <w:r w:rsidRPr="00B162D0">
        <w:rPr>
          <w:rFonts w:hint="cs"/>
          <w:rtl/>
          <w:lang w:bidi="ar-EG"/>
        </w:rPr>
        <w:t xml:space="preserve"> إلى لجنة الدراسات</w:t>
      </w:r>
      <w:r w:rsidR="00635DD5">
        <w:rPr>
          <w:rFonts w:hint="eastAsia"/>
          <w:rtl/>
          <w:lang w:bidi="ar-EG"/>
        </w:rPr>
        <w:t> </w:t>
      </w:r>
      <w:r w:rsidRPr="00B162D0">
        <w:rPr>
          <w:lang w:bidi="ar-SY"/>
        </w:rPr>
        <w:t>5</w:t>
      </w:r>
      <w:r w:rsidRPr="00B162D0">
        <w:rPr>
          <w:rFonts w:hint="cs"/>
          <w:rtl/>
          <w:lang w:bidi="ar-EG"/>
        </w:rPr>
        <w:t xml:space="preserve"> لاعتماده (الوثيقة </w:t>
      </w:r>
      <w:hyperlink r:id="rId10" w:history="1">
        <w:r w:rsidRPr="00B162D0">
          <w:rPr>
            <w:rStyle w:val="Hyperlink"/>
            <w:lang w:bidi="ar-SY"/>
          </w:rPr>
          <w:t>5/213</w:t>
        </w:r>
      </w:hyperlink>
      <w:r w:rsidRPr="00B162D0">
        <w:rPr>
          <w:rFonts w:hint="cs"/>
          <w:rtl/>
          <w:lang w:bidi="ar-EG"/>
        </w:rPr>
        <w:t>).</w:t>
      </w:r>
    </w:p>
    <w:p w:rsidR="00B162D0" w:rsidRPr="00B162D0" w:rsidRDefault="00B162D0" w:rsidP="00F50E83">
      <w:pPr>
        <w:rPr>
          <w:rtl/>
          <w:lang w:bidi="ar-EG"/>
        </w:rPr>
      </w:pPr>
      <w:r w:rsidRPr="00B162D0">
        <w:rPr>
          <w:rFonts w:hint="cs"/>
          <w:rtl/>
          <w:lang w:bidi="ar-EG"/>
        </w:rPr>
        <w:t xml:space="preserve">ونظر المشاركون في اجتماع لجنة الدراسات </w:t>
      </w:r>
      <w:r w:rsidRPr="00B162D0">
        <w:rPr>
          <w:lang w:bidi="ar-SY"/>
        </w:rPr>
        <w:t>5</w:t>
      </w:r>
      <w:r w:rsidRPr="00B162D0">
        <w:rPr>
          <w:rFonts w:hint="cs"/>
          <w:rtl/>
          <w:lang w:bidi="ar-EG"/>
        </w:rPr>
        <w:t xml:space="preserve"> ل</w:t>
      </w:r>
      <w:r w:rsidR="002E1234">
        <w:rPr>
          <w:rFonts w:hint="cs"/>
          <w:rtl/>
          <w:lang w:bidi="ar-EG"/>
        </w:rPr>
        <w:t>قطاع ا</w:t>
      </w:r>
      <w:r w:rsidRPr="00B162D0">
        <w:rPr>
          <w:rFonts w:hint="cs"/>
          <w:rtl/>
          <w:lang w:bidi="ar-EG"/>
        </w:rPr>
        <w:t>لاتصالات الرا</w:t>
      </w:r>
      <w:bookmarkStart w:id="1" w:name="_GoBack"/>
      <w:bookmarkEnd w:id="1"/>
      <w:r w:rsidRPr="00B162D0">
        <w:rPr>
          <w:rFonts w:hint="cs"/>
          <w:rtl/>
          <w:lang w:bidi="ar-EG"/>
        </w:rPr>
        <w:t xml:space="preserve">ديوية الذي عُقد في يوليو </w:t>
      </w:r>
      <w:r w:rsidRPr="00B162D0">
        <w:rPr>
          <w:lang w:bidi="ar-SY"/>
        </w:rPr>
        <w:t>2015</w:t>
      </w:r>
      <w:r w:rsidRPr="00B162D0">
        <w:rPr>
          <w:rFonts w:hint="cs"/>
          <w:rtl/>
          <w:lang w:bidi="ar-EG"/>
        </w:rPr>
        <w:t xml:space="preserve">، في اعتماد مشروع مراجعة التوصية </w:t>
      </w:r>
      <w:r w:rsidRPr="00B162D0">
        <w:rPr>
          <w:lang w:bidi="ar-SY"/>
        </w:rPr>
        <w:t>ITU-R M.1036-4</w:t>
      </w:r>
      <w:r w:rsidRPr="00B162D0">
        <w:rPr>
          <w:rFonts w:hint="cs"/>
          <w:rtl/>
          <w:lang w:bidi="ar-EG"/>
        </w:rPr>
        <w:t xml:space="preserve"> استناداً إلى </w:t>
      </w:r>
      <w:r w:rsidR="002E1234">
        <w:rPr>
          <w:rFonts w:hint="cs"/>
          <w:rtl/>
          <w:lang w:bidi="ar-EG"/>
        </w:rPr>
        <w:t>نواتج</w:t>
      </w:r>
      <w:r w:rsidRPr="00B162D0">
        <w:rPr>
          <w:rFonts w:hint="cs"/>
          <w:rtl/>
          <w:lang w:bidi="ar-EG"/>
        </w:rPr>
        <w:t xml:space="preserve"> فرقة العمل </w:t>
      </w:r>
      <w:r w:rsidRPr="00B162D0">
        <w:rPr>
          <w:lang w:bidi="ar-SY"/>
        </w:rPr>
        <w:t>5D</w:t>
      </w:r>
      <w:r w:rsidRPr="00B162D0">
        <w:rPr>
          <w:rFonts w:hint="cs"/>
          <w:rtl/>
          <w:lang w:bidi="ar-EG"/>
        </w:rPr>
        <w:t xml:space="preserve"> ومساهمات أخرى. ومع ذلك، لم يتوصل المشاركون في</w:t>
      </w:r>
      <w:r w:rsidR="00BE71C2">
        <w:rPr>
          <w:rFonts w:hint="eastAsia"/>
          <w:rtl/>
          <w:lang w:bidi="ar-EG"/>
        </w:rPr>
        <w:t> </w:t>
      </w:r>
      <w:r w:rsidRPr="00B162D0">
        <w:rPr>
          <w:rFonts w:hint="cs"/>
          <w:rtl/>
          <w:lang w:bidi="ar-EG"/>
        </w:rPr>
        <w:t xml:space="preserve">اجتماع لجنة الدراسات إلى اتفاق بشأن اعتماد مشروع التوصية الجديدة. وبالتالي، ووفقاً لأحكام الرقم </w:t>
      </w:r>
      <w:r w:rsidRPr="00B162D0">
        <w:rPr>
          <w:lang w:bidi="ar-SY"/>
        </w:rPr>
        <w:t>2.1.2.10</w:t>
      </w:r>
      <w:r w:rsidRPr="00B162D0">
        <w:rPr>
          <w:rFonts w:hint="cs"/>
          <w:rtl/>
          <w:lang w:bidi="ar-EG"/>
        </w:rPr>
        <w:t>، البند</w:t>
      </w:r>
      <w:r w:rsidR="00635DD5">
        <w:rPr>
          <w:rFonts w:hint="eastAsia"/>
          <w:rtl/>
          <w:lang w:bidi="ar-EG"/>
        </w:rPr>
        <w:t> </w:t>
      </w:r>
      <w:r w:rsidRPr="00B162D0">
        <w:rPr>
          <w:rFonts w:hint="cs"/>
          <w:rtl/>
          <w:lang w:bidi="ar-EG"/>
        </w:rPr>
        <w:t>أ) من</w:t>
      </w:r>
      <w:r w:rsidR="00BE71C2">
        <w:rPr>
          <w:rFonts w:hint="eastAsia"/>
          <w:rtl/>
          <w:lang w:bidi="ar-EG"/>
        </w:rPr>
        <w:t> </w:t>
      </w:r>
      <w:r w:rsidRPr="00B162D0">
        <w:rPr>
          <w:rFonts w:hint="cs"/>
          <w:rtl/>
          <w:lang w:bidi="ar-EG"/>
        </w:rPr>
        <w:t>القرار</w:t>
      </w:r>
      <w:r w:rsidR="00F50E83">
        <w:rPr>
          <w:rFonts w:hint="eastAsia"/>
          <w:rtl/>
          <w:lang w:bidi="ar-EG"/>
        </w:rPr>
        <w:t> </w:t>
      </w:r>
      <w:r w:rsidRPr="00B162D0">
        <w:rPr>
          <w:lang w:bidi="ar-SY"/>
        </w:rPr>
        <w:t>ITU</w:t>
      </w:r>
      <w:r w:rsidR="00F50E83">
        <w:rPr>
          <w:lang w:bidi="ar-SY"/>
        </w:rPr>
        <w:noBreakHyphen/>
      </w:r>
      <w:r w:rsidRPr="00B162D0">
        <w:rPr>
          <w:lang w:bidi="ar-SY"/>
        </w:rPr>
        <w:t>R 1</w:t>
      </w:r>
      <w:r w:rsidR="00F50E83">
        <w:rPr>
          <w:lang w:bidi="ar-SY"/>
        </w:rPr>
        <w:noBreakHyphen/>
      </w:r>
      <w:r w:rsidRPr="00B162D0">
        <w:rPr>
          <w:lang w:bidi="ar-SY"/>
        </w:rPr>
        <w:t>6</w:t>
      </w:r>
      <w:r w:rsidRPr="00B162D0">
        <w:rPr>
          <w:rFonts w:hint="cs"/>
          <w:rtl/>
          <w:lang w:bidi="ar-EG"/>
        </w:rPr>
        <w:t xml:space="preserve">، قرر المشاركون في اجتماع لجنة الدراسات </w:t>
      </w:r>
      <w:r w:rsidRPr="00B162D0">
        <w:rPr>
          <w:lang w:bidi="ar-SY"/>
        </w:rPr>
        <w:t>5</w:t>
      </w:r>
      <w:r w:rsidRPr="00B162D0">
        <w:rPr>
          <w:rFonts w:hint="cs"/>
          <w:rtl/>
          <w:lang w:bidi="ar-EG"/>
        </w:rPr>
        <w:t xml:space="preserve"> إحالة النص إلى جمعية الاتصالات الراديوية.</w:t>
      </w:r>
    </w:p>
    <w:p w:rsidR="00B162D0" w:rsidRPr="00B162D0" w:rsidRDefault="00B162D0" w:rsidP="00B162D0">
      <w:pPr>
        <w:pStyle w:val="Heading1"/>
        <w:rPr>
          <w:rtl/>
          <w:lang w:bidi="ar-EG"/>
        </w:rPr>
      </w:pPr>
      <w:r w:rsidRPr="00B162D0">
        <w:rPr>
          <w:lang w:bidi="ar-SY"/>
        </w:rPr>
        <w:t>3</w:t>
      </w:r>
      <w:r w:rsidRPr="00B162D0">
        <w:rPr>
          <w:rtl/>
          <w:lang w:bidi="ar-EG"/>
        </w:rPr>
        <w:tab/>
      </w:r>
      <w:r w:rsidRPr="00B162D0">
        <w:rPr>
          <w:rFonts w:hint="cs"/>
          <w:rtl/>
          <w:lang w:bidi="ar-EG"/>
        </w:rPr>
        <w:t xml:space="preserve">فوائد مشروع التوصية الجديدة </w:t>
      </w:r>
      <w:r w:rsidRPr="00B162D0">
        <w:rPr>
          <w:lang w:bidi="ar-SY"/>
        </w:rPr>
        <w:t>ITU-R M.1036-4</w:t>
      </w:r>
    </w:p>
    <w:p w:rsidR="00B162D0" w:rsidRPr="00B162D0" w:rsidRDefault="00B162D0" w:rsidP="00F50E83">
      <w:pPr>
        <w:rPr>
          <w:rtl/>
          <w:lang w:bidi="ar-EG"/>
        </w:rPr>
      </w:pPr>
      <w:r w:rsidRPr="00B162D0">
        <w:rPr>
          <w:rFonts w:hint="cs"/>
          <w:rtl/>
          <w:lang w:bidi="ar-EG"/>
        </w:rPr>
        <w:t xml:space="preserve">مشروع التوصية الجديدة </w:t>
      </w:r>
      <w:r w:rsidRPr="00B162D0">
        <w:rPr>
          <w:lang w:bidi="ar-SY"/>
        </w:rPr>
        <w:t>ITU-R M.1036-4</w:t>
      </w:r>
      <w:r w:rsidRPr="00B162D0">
        <w:rPr>
          <w:rFonts w:hint="cs"/>
          <w:rtl/>
          <w:lang w:bidi="ar-EG"/>
        </w:rPr>
        <w:t xml:space="preserve"> هو </w:t>
      </w:r>
      <w:r w:rsidR="002E1234">
        <w:rPr>
          <w:rFonts w:hint="cs"/>
          <w:rtl/>
          <w:lang w:bidi="ar-EG"/>
        </w:rPr>
        <w:t>نتاج</w:t>
      </w:r>
      <w:r w:rsidRPr="00B162D0">
        <w:rPr>
          <w:rFonts w:hint="cs"/>
          <w:rtl/>
          <w:lang w:bidi="ar-EG"/>
        </w:rPr>
        <w:t xml:space="preserve"> عمل كبير مضطلع به في إطار فرقة العمل </w:t>
      </w:r>
      <w:r w:rsidRPr="00B162D0">
        <w:rPr>
          <w:lang w:bidi="ar-SY"/>
        </w:rPr>
        <w:t>5D</w:t>
      </w:r>
      <w:r w:rsidRPr="00B162D0">
        <w:rPr>
          <w:rFonts w:hint="cs"/>
          <w:rtl/>
          <w:lang w:bidi="ar-EG"/>
        </w:rPr>
        <w:t>. وترى الإدارات المؤيدة من</w:t>
      </w:r>
      <w:r w:rsidR="00BE71C2">
        <w:rPr>
          <w:rFonts w:hint="eastAsia"/>
          <w:rtl/>
          <w:lang w:bidi="ar-EG"/>
        </w:rPr>
        <w:t> </w:t>
      </w:r>
      <w:r w:rsidRPr="00B162D0">
        <w:rPr>
          <w:rFonts w:hint="cs"/>
          <w:rtl/>
          <w:lang w:bidi="ar-EG"/>
        </w:rPr>
        <w:t xml:space="preserve">المؤتمر الأوروبي لإدارات البريد والاتصالات </w:t>
      </w:r>
      <w:r w:rsidRPr="00B162D0">
        <w:rPr>
          <w:lang w:bidi="ar-SY"/>
        </w:rPr>
        <w:t>(CEPT)</w:t>
      </w:r>
      <w:r w:rsidRPr="00B162D0">
        <w:rPr>
          <w:rFonts w:hint="cs"/>
          <w:rtl/>
          <w:lang w:bidi="ar-EG"/>
        </w:rPr>
        <w:t xml:space="preserve"> والاتحاد الإفريقي للاتصالات </w:t>
      </w:r>
      <w:r w:rsidRPr="00B162D0">
        <w:rPr>
          <w:lang w:bidi="ar-SY"/>
        </w:rPr>
        <w:t>(ATU)</w:t>
      </w:r>
      <w:r w:rsidRPr="00B162D0">
        <w:rPr>
          <w:rFonts w:hint="cs"/>
          <w:rtl/>
          <w:lang w:bidi="ar-EG"/>
        </w:rPr>
        <w:t xml:space="preserve"> والفريق العربي المعني بإدارة الطيف</w:t>
      </w:r>
      <w:r w:rsidR="00F50E83">
        <w:rPr>
          <w:rFonts w:hint="eastAsia"/>
          <w:rtl/>
          <w:lang w:bidi="ar-EG"/>
        </w:rPr>
        <w:t> </w:t>
      </w:r>
      <w:r w:rsidRPr="00B162D0">
        <w:rPr>
          <w:lang w:bidi="ar-SY"/>
        </w:rPr>
        <w:t>(ASMG)</w:t>
      </w:r>
      <w:r w:rsidRPr="00B162D0">
        <w:rPr>
          <w:rFonts w:hint="cs"/>
          <w:rtl/>
          <w:lang w:bidi="ar-EG"/>
        </w:rPr>
        <w:t xml:space="preserve"> أن مشروع </w:t>
      </w:r>
      <w:r w:rsidR="002E1234">
        <w:rPr>
          <w:rFonts w:hint="cs"/>
          <w:rtl/>
          <w:lang w:bidi="ar-EG"/>
        </w:rPr>
        <w:t>المراجَعة</w:t>
      </w:r>
      <w:r w:rsidRPr="00B162D0">
        <w:rPr>
          <w:rFonts w:hint="cs"/>
          <w:rtl/>
          <w:lang w:bidi="ar-EG"/>
        </w:rPr>
        <w:t xml:space="preserve"> هذا بلغ ما يكفي من النضوج </w:t>
      </w:r>
      <w:r w:rsidR="002E1234">
        <w:rPr>
          <w:rFonts w:hint="cs"/>
          <w:rtl/>
          <w:lang w:bidi="ar-EG"/>
        </w:rPr>
        <w:t>للموافقة عليه،</w:t>
      </w:r>
      <w:r w:rsidRPr="00B162D0">
        <w:rPr>
          <w:rFonts w:hint="cs"/>
          <w:rtl/>
          <w:lang w:bidi="ar-EG"/>
        </w:rPr>
        <w:t xml:space="preserve"> علماً أنه يمثل حلا</w:t>
      </w:r>
      <w:r w:rsidR="00635DD5">
        <w:rPr>
          <w:rFonts w:hint="cs"/>
          <w:rtl/>
          <w:lang w:bidi="ar-EG"/>
        </w:rPr>
        <w:t>ً</w:t>
      </w:r>
      <w:r w:rsidRPr="00B162D0">
        <w:rPr>
          <w:rFonts w:hint="cs"/>
          <w:rtl/>
          <w:lang w:bidi="ar-EG"/>
        </w:rPr>
        <w:t xml:space="preserve"> وسطاً دقيقاً بين </w:t>
      </w:r>
      <w:r w:rsidR="002E1234">
        <w:rPr>
          <w:rFonts w:hint="cs"/>
          <w:rtl/>
          <w:lang w:bidi="ar-EG"/>
        </w:rPr>
        <w:t>ال</w:t>
      </w:r>
      <w:r w:rsidRPr="00B162D0">
        <w:rPr>
          <w:rFonts w:hint="cs"/>
          <w:rtl/>
          <w:lang w:bidi="ar-EG"/>
        </w:rPr>
        <w:t>إدارات</w:t>
      </w:r>
      <w:r w:rsidR="002E1234">
        <w:rPr>
          <w:rFonts w:hint="cs"/>
          <w:rtl/>
          <w:lang w:bidi="ar-EG"/>
        </w:rPr>
        <w:t xml:space="preserve"> من</w:t>
      </w:r>
      <w:r w:rsidR="002E1234">
        <w:rPr>
          <w:rFonts w:hint="eastAsia"/>
          <w:rtl/>
          <w:lang w:bidi="ar-EG"/>
        </w:rPr>
        <w:t> </w:t>
      </w:r>
      <w:r w:rsidRPr="00B162D0">
        <w:rPr>
          <w:rFonts w:hint="cs"/>
          <w:rtl/>
          <w:lang w:bidi="ar-EG"/>
        </w:rPr>
        <w:t xml:space="preserve">مختلف أجزاء الإقليم </w:t>
      </w:r>
      <w:r w:rsidRPr="00B162D0">
        <w:rPr>
          <w:lang w:bidi="ar-SY"/>
        </w:rPr>
        <w:t>1</w:t>
      </w:r>
      <w:r w:rsidRPr="00B162D0">
        <w:rPr>
          <w:rFonts w:hint="cs"/>
          <w:rtl/>
          <w:lang w:bidi="ar-EG"/>
        </w:rPr>
        <w:t>.</w:t>
      </w:r>
    </w:p>
    <w:p w:rsidR="00B162D0" w:rsidRPr="00B162D0" w:rsidRDefault="00B162D0" w:rsidP="00B162D0">
      <w:pPr>
        <w:rPr>
          <w:rtl/>
          <w:lang w:bidi="ar-EG"/>
        </w:rPr>
      </w:pPr>
      <w:r w:rsidRPr="00B162D0">
        <w:rPr>
          <w:rFonts w:hint="cs"/>
          <w:rtl/>
          <w:lang w:bidi="ar-EG"/>
        </w:rPr>
        <w:t xml:space="preserve">والموافقة على هذه التوصية ستوفر بدائل للإدارات التي ترغب في استعمال النطاق </w:t>
      </w:r>
      <w:r w:rsidRPr="00B162D0">
        <w:rPr>
          <w:lang w:bidi="ar-SY"/>
        </w:rPr>
        <w:t>MHz 700</w:t>
      </w:r>
      <w:r w:rsidRPr="00B162D0">
        <w:rPr>
          <w:rFonts w:hint="cs"/>
          <w:rtl/>
          <w:lang w:bidi="ar-EG"/>
        </w:rPr>
        <w:t xml:space="preserve"> من أجل الخدمة المتنقلة تبعاً للظروف المحلية، إلى جانب مساعدة الإدارات في النظر </w:t>
      </w:r>
      <w:r w:rsidR="00403019">
        <w:rPr>
          <w:rFonts w:hint="cs"/>
          <w:rtl/>
          <w:lang w:bidi="ar-EG"/>
        </w:rPr>
        <w:t xml:space="preserve">في وقت مبكر </w:t>
      </w:r>
      <w:r w:rsidRPr="00B162D0">
        <w:rPr>
          <w:rFonts w:hint="cs"/>
          <w:rtl/>
          <w:lang w:bidi="ar-EG"/>
        </w:rPr>
        <w:t>في ترتيبات التردد المناسب</w:t>
      </w:r>
      <w:r w:rsidR="00403019">
        <w:rPr>
          <w:rFonts w:hint="cs"/>
          <w:rtl/>
          <w:lang w:bidi="ar-EG"/>
        </w:rPr>
        <w:t>ة لكل بلد أو منطقة.</w:t>
      </w:r>
    </w:p>
    <w:p w:rsidR="00B162D0" w:rsidRPr="00B162D0" w:rsidRDefault="00B162D0" w:rsidP="00B162D0">
      <w:pPr>
        <w:pStyle w:val="Heading1"/>
        <w:rPr>
          <w:rtl/>
          <w:lang w:bidi="ar-EG"/>
        </w:rPr>
      </w:pPr>
      <w:r w:rsidRPr="00B162D0">
        <w:rPr>
          <w:lang w:bidi="ar-SY"/>
        </w:rPr>
        <w:t>4</w:t>
      </w:r>
      <w:r w:rsidRPr="00B162D0">
        <w:rPr>
          <w:rtl/>
          <w:lang w:bidi="ar-EG"/>
        </w:rPr>
        <w:tab/>
      </w:r>
      <w:r w:rsidRPr="00B162D0">
        <w:rPr>
          <w:rFonts w:hint="cs"/>
          <w:rtl/>
          <w:lang w:bidi="ar-EG"/>
        </w:rPr>
        <w:t>المقترح</w:t>
      </w:r>
    </w:p>
    <w:p w:rsidR="00B162D0" w:rsidRPr="00B162D0" w:rsidRDefault="00B162D0" w:rsidP="00403019">
      <w:pPr>
        <w:rPr>
          <w:lang w:bidi="ar-SY"/>
        </w:rPr>
      </w:pPr>
      <w:r w:rsidRPr="00B162D0">
        <w:rPr>
          <w:rFonts w:hint="cs"/>
          <w:rtl/>
          <w:lang w:bidi="ar-EG"/>
        </w:rPr>
        <w:t>تُدعى جمعية الاتصالات الراديوية إلى الموافقة على مشروع</w:t>
      </w:r>
      <w:r w:rsidR="00403019">
        <w:rPr>
          <w:rFonts w:hint="cs"/>
          <w:rtl/>
          <w:lang w:bidi="ar-EG"/>
        </w:rPr>
        <w:t xml:space="preserve"> مراجَعة</w:t>
      </w:r>
      <w:r w:rsidRPr="00B162D0">
        <w:rPr>
          <w:rFonts w:hint="cs"/>
          <w:rtl/>
          <w:lang w:bidi="ar-EG"/>
        </w:rPr>
        <w:t xml:space="preserve"> التوصية </w:t>
      </w:r>
      <w:r w:rsidRPr="00B162D0">
        <w:rPr>
          <w:lang w:bidi="ar-SY"/>
        </w:rPr>
        <w:t>ITU</w:t>
      </w:r>
      <w:r w:rsidRPr="00B162D0">
        <w:rPr>
          <w:lang w:bidi="ar-SY"/>
        </w:rPr>
        <w:noBreakHyphen/>
        <w:t>R M.1036-4</w:t>
      </w:r>
      <w:r w:rsidRPr="00B162D0">
        <w:rPr>
          <w:rFonts w:hint="cs"/>
          <w:rtl/>
          <w:lang w:bidi="ar-EG"/>
        </w:rPr>
        <w:t>. ويرى مؤيدو هذه المساهمة أن</w:t>
      </w:r>
      <w:r w:rsidR="00BE71C2">
        <w:rPr>
          <w:rFonts w:hint="eastAsia"/>
          <w:rtl/>
          <w:lang w:bidi="ar-EG"/>
        </w:rPr>
        <w:t> </w:t>
      </w:r>
      <w:r w:rsidRPr="00B162D0">
        <w:rPr>
          <w:rFonts w:hint="cs"/>
          <w:rtl/>
          <w:lang w:bidi="ar-EG"/>
        </w:rPr>
        <w:t>النص يجسد التوازن الحساس</w:t>
      </w:r>
      <w:r w:rsidR="00403019">
        <w:rPr>
          <w:rFonts w:hint="cs"/>
          <w:rtl/>
          <w:lang w:bidi="ar-EG"/>
        </w:rPr>
        <w:t xml:space="preserve"> الذي تحقق</w:t>
      </w:r>
      <w:r w:rsidRPr="00B162D0">
        <w:rPr>
          <w:rFonts w:hint="cs"/>
          <w:rtl/>
          <w:lang w:bidi="ar-EG"/>
        </w:rPr>
        <w:t xml:space="preserve"> في إطار فرقة العمل </w:t>
      </w:r>
      <w:r w:rsidRPr="00B162D0">
        <w:rPr>
          <w:lang w:bidi="ar-SY"/>
        </w:rPr>
        <w:t>5D</w:t>
      </w:r>
      <w:r w:rsidRPr="00B162D0">
        <w:rPr>
          <w:rFonts w:hint="cs"/>
          <w:rtl/>
          <w:lang w:bidi="ar-EG"/>
        </w:rPr>
        <w:t>.</w:t>
      </w:r>
    </w:p>
    <w:p w:rsidR="00B162D0" w:rsidRPr="00B162D0" w:rsidRDefault="00B162D0" w:rsidP="00B162D0">
      <w:pPr>
        <w:spacing w:before="600"/>
        <w:jc w:val="center"/>
        <w:rPr>
          <w:rtl/>
          <w:lang w:bidi="ar-SY"/>
        </w:rPr>
      </w:pPr>
      <w:r w:rsidRPr="00B162D0">
        <w:rPr>
          <w:rFonts w:hint="cs"/>
          <w:rtl/>
          <w:lang w:bidi="ar-SY"/>
        </w:rPr>
        <w:t>__________</w:t>
      </w:r>
    </w:p>
    <w:sectPr w:rsidR="00B162D0" w:rsidRPr="00B162D0" w:rsidSect="006A644C">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857" w:rsidRDefault="002D5857" w:rsidP="00F9134D">
      <w:pPr>
        <w:spacing w:before="0" w:line="240" w:lineRule="auto"/>
      </w:pPr>
      <w:r>
        <w:separator/>
      </w:r>
    </w:p>
  </w:endnote>
  <w:endnote w:type="continuationSeparator" w:id="0">
    <w:p w:rsidR="002D5857" w:rsidRDefault="002D5857"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8D2B17" w:rsidRDefault="006A644C" w:rsidP="008D2B17">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8D2B17">
      <w:rPr>
        <w:sz w:val="16"/>
        <w:szCs w:val="16"/>
        <w:lang w:val="es-ES"/>
      </w:rPr>
      <w:instrText xml:space="preserve"> FILENAME \p \* MERGEFORMAT </w:instrText>
    </w:r>
    <w:r w:rsidRPr="00F9134D">
      <w:rPr>
        <w:sz w:val="16"/>
        <w:szCs w:val="16"/>
      </w:rPr>
      <w:fldChar w:fldCharType="separate"/>
    </w:r>
    <w:r w:rsidR="008D2B17" w:rsidRPr="008D2B17">
      <w:rPr>
        <w:noProof/>
        <w:sz w:val="16"/>
        <w:szCs w:val="16"/>
        <w:lang w:val="es-ES"/>
      </w:rPr>
      <w:t>P:\ARA\ITU-R\CONF-R\AR15\PLEN\000\014A.docx</w:t>
    </w:r>
    <w:r w:rsidRPr="00F9134D">
      <w:rPr>
        <w:sz w:val="16"/>
        <w:szCs w:val="16"/>
      </w:rPr>
      <w:fldChar w:fldCharType="end"/>
    </w:r>
    <w:r w:rsidRPr="008D2B17">
      <w:rPr>
        <w:sz w:val="16"/>
        <w:szCs w:val="16"/>
        <w:lang w:val="es-ES"/>
      </w:rPr>
      <w:t xml:space="preserve">   (</w:t>
    </w:r>
    <w:r w:rsidR="008D2B17" w:rsidRPr="008D2B17">
      <w:rPr>
        <w:sz w:val="16"/>
        <w:szCs w:val="16"/>
        <w:lang w:val="es-ES"/>
      </w:rPr>
      <w:t>387614</w:t>
    </w:r>
    <w:r w:rsidRPr="008D2B17">
      <w:rPr>
        <w:sz w:val="16"/>
        <w:szCs w:val="16"/>
        <w:lang w:val="es-ES"/>
      </w:rPr>
      <w:t>)</w:t>
    </w:r>
    <w:r w:rsidRPr="008D2B17">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794C96">
      <w:rPr>
        <w:noProof/>
        <w:sz w:val="16"/>
        <w:szCs w:val="16"/>
      </w:rPr>
      <w:t>22.10.15</w:t>
    </w:r>
    <w:r w:rsidRPr="00F9134D">
      <w:rPr>
        <w:sz w:val="16"/>
        <w:szCs w:val="16"/>
      </w:rPr>
      <w:fldChar w:fldCharType="end"/>
    </w:r>
    <w:r w:rsidRPr="008D2B17">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2D5857">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8D2B17" w:rsidRDefault="006A644C" w:rsidP="008D2B17">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8D2B17">
      <w:rPr>
        <w:sz w:val="16"/>
        <w:szCs w:val="16"/>
        <w:lang w:val="es-ES"/>
      </w:rPr>
      <w:instrText xml:space="preserve"> FILENAME \p \* MERGEFORMAT </w:instrText>
    </w:r>
    <w:r w:rsidRPr="00F9134D">
      <w:rPr>
        <w:sz w:val="16"/>
        <w:szCs w:val="16"/>
      </w:rPr>
      <w:fldChar w:fldCharType="separate"/>
    </w:r>
    <w:r w:rsidR="008D2B17" w:rsidRPr="008D2B17">
      <w:rPr>
        <w:noProof/>
        <w:sz w:val="16"/>
        <w:szCs w:val="16"/>
        <w:lang w:val="es-ES"/>
      </w:rPr>
      <w:t>P:\ARA\ITU-R\CONF-R\AR15\PLEN\000\014A.docx</w:t>
    </w:r>
    <w:r w:rsidRPr="00F9134D">
      <w:rPr>
        <w:sz w:val="16"/>
        <w:szCs w:val="16"/>
      </w:rPr>
      <w:fldChar w:fldCharType="end"/>
    </w:r>
    <w:r w:rsidRPr="008D2B17">
      <w:rPr>
        <w:sz w:val="16"/>
        <w:szCs w:val="16"/>
        <w:lang w:val="es-ES"/>
      </w:rPr>
      <w:t xml:space="preserve">   (</w:t>
    </w:r>
    <w:r w:rsidR="008D2B17" w:rsidRPr="008D2B17">
      <w:rPr>
        <w:sz w:val="16"/>
        <w:szCs w:val="16"/>
        <w:lang w:val="es-ES"/>
      </w:rPr>
      <w:t>387614</w:t>
    </w:r>
    <w:r w:rsidRPr="008D2B17">
      <w:rPr>
        <w:sz w:val="16"/>
        <w:szCs w:val="16"/>
        <w:lang w:val="es-ES"/>
      </w:rPr>
      <w:t>)</w:t>
    </w:r>
    <w:r w:rsidRPr="008D2B17">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794C96">
      <w:rPr>
        <w:noProof/>
        <w:sz w:val="16"/>
        <w:szCs w:val="16"/>
      </w:rPr>
      <w:t>22.10.15</w:t>
    </w:r>
    <w:r w:rsidRPr="00F9134D">
      <w:rPr>
        <w:sz w:val="16"/>
        <w:szCs w:val="16"/>
      </w:rPr>
      <w:fldChar w:fldCharType="end"/>
    </w:r>
    <w:r w:rsidRPr="008D2B17">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2D5857">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857" w:rsidRDefault="002D5857" w:rsidP="00F9134D">
      <w:pPr>
        <w:spacing w:before="0" w:line="240" w:lineRule="auto"/>
      </w:pPr>
      <w:r>
        <w:separator/>
      </w:r>
    </w:p>
  </w:footnote>
  <w:footnote w:type="continuationSeparator" w:id="0">
    <w:p w:rsidR="002D5857" w:rsidRDefault="002D5857" w:rsidP="00F9134D">
      <w:pPr>
        <w:spacing w:before="0" w:line="240" w:lineRule="auto"/>
      </w:pPr>
      <w:r>
        <w:continuationSeparator/>
      </w:r>
    </w:p>
  </w:footnote>
  <w:footnote w:id="1">
    <w:p w:rsidR="00B162D0" w:rsidRPr="00A64EE8" w:rsidRDefault="00B162D0" w:rsidP="00794C96">
      <w:pPr>
        <w:pStyle w:val="FootnoteText"/>
        <w:rPr>
          <w:rtl/>
          <w:lang w:bidi="ar-EG"/>
        </w:rPr>
      </w:pPr>
      <w:r>
        <w:rPr>
          <w:rStyle w:val="FootnoteReference"/>
        </w:rPr>
        <w:footnoteRef/>
      </w:r>
      <w:r w:rsidR="0035030F">
        <w:rPr>
          <w:rtl/>
        </w:rPr>
        <w:tab/>
      </w:r>
      <w:r>
        <w:rPr>
          <w:rFonts w:hint="cs"/>
          <w:rtl/>
          <w:lang w:bidi="ar-EG"/>
        </w:rPr>
        <w:t>نوقشت هذه الوثيقة وأُعدت في الاجتماع العشرين للفريق العربي المعني بإدارة الطيف الذي عُقد في الرباط، المملكة المغربية (</w:t>
      </w:r>
      <w:r>
        <w:rPr>
          <w:lang w:bidi="ar-EG"/>
        </w:rPr>
        <w:t>27-22</w:t>
      </w:r>
      <w:r>
        <w:rPr>
          <w:rFonts w:hint="cs"/>
          <w:rtl/>
          <w:lang w:bidi="ar-EG"/>
        </w:rPr>
        <w:t xml:space="preserve"> أغسطس </w:t>
      </w:r>
      <w:r>
        <w:rPr>
          <w:lang w:bidi="ar-EG"/>
        </w:rPr>
        <w:t>2015</w:t>
      </w:r>
      <w:r>
        <w:rPr>
          <w:rFonts w:hint="cs"/>
          <w:rtl/>
          <w:lang w:bidi="ar-EG"/>
        </w:rPr>
        <w:t>)، وفيما يلي الإدارات المؤيدة لهذا المقترح العربي المشترك: مملكة البحرين وجمهورية</w:t>
      </w:r>
      <w:r w:rsidR="00794C96">
        <w:rPr>
          <w:rFonts w:hint="eastAsia"/>
          <w:rtl/>
          <w:lang w:bidi="ar-EG"/>
        </w:rPr>
        <w:t> </w:t>
      </w:r>
      <w:r>
        <w:rPr>
          <w:rFonts w:hint="cs"/>
          <w:rtl/>
          <w:lang w:bidi="ar-EG"/>
        </w:rPr>
        <w:t>جيبوتي وجمهورية</w:t>
      </w:r>
      <w:r w:rsidR="00794C96">
        <w:rPr>
          <w:rFonts w:hint="eastAsia"/>
          <w:rtl/>
          <w:lang w:bidi="ar-EG"/>
        </w:rPr>
        <w:t> </w:t>
      </w:r>
      <w:r>
        <w:rPr>
          <w:rFonts w:hint="cs"/>
          <w:rtl/>
          <w:lang w:bidi="ar-EG"/>
        </w:rPr>
        <w:t>مصر</w:t>
      </w:r>
      <w:r w:rsidR="00794C96">
        <w:rPr>
          <w:rFonts w:hint="eastAsia"/>
          <w:rtl/>
          <w:lang w:bidi="ar-EG"/>
        </w:rPr>
        <w:t> </w:t>
      </w:r>
      <w:r>
        <w:rPr>
          <w:rFonts w:hint="cs"/>
          <w:rtl/>
          <w:lang w:bidi="ar-EG"/>
        </w:rPr>
        <w:t>العربية والمملكة الأردنية الهاشمية ودولة الكويت ولبنان وجمهورية موريتانيا الإسلامية والمملكة المغربية وسلطنة عُمان وفلسطين ودولة</w:t>
      </w:r>
      <w:r w:rsidR="00794C96">
        <w:rPr>
          <w:rFonts w:hint="eastAsia"/>
          <w:rtl/>
          <w:lang w:bidi="ar-EG"/>
        </w:rPr>
        <w:t> </w:t>
      </w:r>
      <w:r>
        <w:rPr>
          <w:rFonts w:hint="cs"/>
          <w:rtl/>
          <w:lang w:bidi="ar-EG"/>
        </w:rPr>
        <w:t>قطر والمملكة العربية السعودية وجمهورية السودان وتونس والإمارات العربية المتحدة.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87122D">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87122D">
      <w:rPr>
        <w:rFonts w:cs="Times New Roman"/>
        <w:noProof/>
        <w:sz w:val="20"/>
        <w:szCs w:val="20"/>
      </w:rPr>
      <w:t>2</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8D2B17">
      <w:rPr>
        <w:rFonts w:cs="Times New Roman"/>
        <w:sz w:val="20"/>
        <w:szCs w:val="20"/>
      </w:rPr>
      <w:t>PLEN</w:t>
    </w:r>
    <w:r w:rsidRPr="006A644C">
      <w:rPr>
        <w:rFonts w:cs="Times New Roman"/>
        <w:sz w:val="20"/>
        <w:szCs w:val="20"/>
      </w:rPr>
      <w:t>/</w:t>
    </w:r>
    <w:r w:rsidR="008D2B17">
      <w:rPr>
        <w:rFonts w:cs="Times New Roman"/>
        <w:sz w:val="20"/>
        <w:szCs w:val="20"/>
      </w:rPr>
      <w:t>14</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0A16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165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829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1AC7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2F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FC2B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463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6655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EB5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64A1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57"/>
    <w:rsid w:val="00090574"/>
    <w:rsid w:val="000A7B06"/>
    <w:rsid w:val="00160530"/>
    <w:rsid w:val="00173915"/>
    <w:rsid w:val="001952E0"/>
    <w:rsid w:val="001D17A2"/>
    <w:rsid w:val="0023283D"/>
    <w:rsid w:val="0024079D"/>
    <w:rsid w:val="002474D3"/>
    <w:rsid w:val="002978F4"/>
    <w:rsid w:val="002B028D"/>
    <w:rsid w:val="002C116F"/>
    <w:rsid w:val="002D5857"/>
    <w:rsid w:val="002E1234"/>
    <w:rsid w:val="002E625E"/>
    <w:rsid w:val="002E6541"/>
    <w:rsid w:val="0035030F"/>
    <w:rsid w:val="00357185"/>
    <w:rsid w:val="003B6B1C"/>
    <w:rsid w:val="003F678F"/>
    <w:rsid w:val="00403019"/>
    <w:rsid w:val="0042686F"/>
    <w:rsid w:val="00443869"/>
    <w:rsid w:val="004E7162"/>
    <w:rsid w:val="00501E0E"/>
    <w:rsid w:val="0055516A"/>
    <w:rsid w:val="0060468A"/>
    <w:rsid w:val="00635DD5"/>
    <w:rsid w:val="00675C14"/>
    <w:rsid w:val="006A644C"/>
    <w:rsid w:val="006B7027"/>
    <w:rsid w:val="006C51D4"/>
    <w:rsid w:val="006F63F7"/>
    <w:rsid w:val="00706D7A"/>
    <w:rsid w:val="00794C96"/>
    <w:rsid w:val="007E24ED"/>
    <w:rsid w:val="00802B79"/>
    <w:rsid w:val="00803F08"/>
    <w:rsid w:val="008235CD"/>
    <w:rsid w:val="00850B5D"/>
    <w:rsid w:val="008513CB"/>
    <w:rsid w:val="0087122D"/>
    <w:rsid w:val="008D2B17"/>
    <w:rsid w:val="00951C29"/>
    <w:rsid w:val="00982B28"/>
    <w:rsid w:val="009B581E"/>
    <w:rsid w:val="00A8197E"/>
    <w:rsid w:val="00A97F94"/>
    <w:rsid w:val="00B162D0"/>
    <w:rsid w:val="00B23259"/>
    <w:rsid w:val="00B507B5"/>
    <w:rsid w:val="00B60766"/>
    <w:rsid w:val="00BE71C2"/>
    <w:rsid w:val="00BF2C38"/>
    <w:rsid w:val="00C51DAD"/>
    <w:rsid w:val="00C674FE"/>
    <w:rsid w:val="00C75633"/>
    <w:rsid w:val="00CE2EE1"/>
    <w:rsid w:val="00CF3FFD"/>
    <w:rsid w:val="00D01BDF"/>
    <w:rsid w:val="00D77D0F"/>
    <w:rsid w:val="00DA1CF0"/>
    <w:rsid w:val="00DC24B4"/>
    <w:rsid w:val="00DC4055"/>
    <w:rsid w:val="00DE7D8E"/>
    <w:rsid w:val="00DF16DC"/>
    <w:rsid w:val="00E17033"/>
    <w:rsid w:val="00E45211"/>
    <w:rsid w:val="00F401D0"/>
    <w:rsid w:val="00F50E83"/>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39C1AD4-E249-4A03-8458-E4D8D6A0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635DD5"/>
    <w:pPr>
      <w:tabs>
        <w:tab w:val="clear" w:pos="794"/>
        <w:tab w:val="left" w:pos="283"/>
      </w:tabs>
      <w:spacing w:before="60"/>
    </w:p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35DD5"/>
    <w:rPr>
      <w:rFonts w:ascii="Times New Roman" w:hAnsi="Times New Roman" w:cs="Traditional Arabic"/>
      <w:szCs w:val="30"/>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Hyperlink">
    <w:name w:val="Hyperlink"/>
    <w:basedOn w:val="DefaultParagraphFont"/>
    <w:uiPriority w:val="99"/>
    <w:unhideWhenUsed/>
    <w:rsid w:val="00794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md/R12-SG05-C-0213/en" TargetMode="External"/><Relationship Id="rId4" Type="http://schemas.openxmlformats.org/officeDocument/2006/relationships/settings" Target="settings.xml"/><Relationship Id="rId9" Type="http://schemas.openxmlformats.org/officeDocument/2006/relationships/hyperlink" Target="http://www.itu.int/md/R12-SG05-RP-1008/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CD2C7-232C-43E5-963C-C49CC6FD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29</TotalTime>
  <Pages>2</Pages>
  <Words>476</Words>
  <Characters>2587</Characters>
  <Application>Microsoft Office Word</Application>
  <DocSecurity>0</DocSecurity>
  <Lines>43</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Eltawabti, Ibrahim</dc:creator>
  <cp:keywords/>
  <dc:description/>
  <cp:lastModifiedBy>Awad, Samy</cp:lastModifiedBy>
  <cp:revision>14</cp:revision>
  <dcterms:created xsi:type="dcterms:W3CDTF">2015-10-22T10:31:00Z</dcterms:created>
  <dcterms:modified xsi:type="dcterms:W3CDTF">2015-10-22T13:55:00Z</dcterms:modified>
</cp:coreProperties>
</file>