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890E23">
        <w:trPr>
          <w:cantSplit/>
        </w:trPr>
        <w:tc>
          <w:tcPr>
            <w:tcW w:w="6345" w:type="dxa"/>
          </w:tcPr>
          <w:p w:rsidR="00890E23" w:rsidRPr="00C63EB5" w:rsidRDefault="00890E23"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890E23" w:rsidRDefault="00890E23"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90E23" w:rsidRPr="00617BE4">
        <w:trPr>
          <w:cantSplit/>
        </w:trPr>
        <w:tc>
          <w:tcPr>
            <w:tcW w:w="6345" w:type="dxa"/>
            <w:tcBorders>
              <w:bottom w:val="single" w:sz="12" w:space="0" w:color="auto"/>
            </w:tcBorders>
          </w:tcPr>
          <w:p w:rsidR="00890E23" w:rsidRPr="00617BE4" w:rsidRDefault="00890E23" w:rsidP="00890E23">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890E23" w:rsidRPr="00617BE4" w:rsidRDefault="00890E23" w:rsidP="00890E23">
            <w:pPr>
              <w:spacing w:before="0" w:line="240" w:lineRule="atLeast"/>
              <w:rPr>
                <w:rFonts w:ascii="Verdana" w:hAnsi="Verdana"/>
                <w:szCs w:val="24"/>
              </w:rPr>
            </w:pPr>
          </w:p>
        </w:tc>
      </w:tr>
      <w:tr w:rsidR="00890E23" w:rsidRPr="00C324A8">
        <w:trPr>
          <w:cantSplit/>
        </w:trPr>
        <w:tc>
          <w:tcPr>
            <w:tcW w:w="6345" w:type="dxa"/>
            <w:tcBorders>
              <w:top w:val="single" w:sz="12" w:space="0" w:color="auto"/>
            </w:tcBorders>
          </w:tcPr>
          <w:p w:rsidR="00890E23" w:rsidRPr="00C324A8" w:rsidRDefault="00890E23" w:rsidP="00890E23">
            <w:pPr>
              <w:spacing w:before="0" w:after="48" w:line="240" w:lineRule="atLeast"/>
              <w:rPr>
                <w:rFonts w:ascii="Verdana" w:hAnsi="Verdana"/>
                <w:b/>
                <w:smallCaps/>
                <w:sz w:val="20"/>
              </w:rPr>
            </w:pPr>
          </w:p>
        </w:tc>
        <w:tc>
          <w:tcPr>
            <w:tcW w:w="3686" w:type="dxa"/>
            <w:tcBorders>
              <w:top w:val="single" w:sz="12" w:space="0" w:color="auto"/>
            </w:tcBorders>
          </w:tcPr>
          <w:p w:rsidR="00890E23" w:rsidRPr="00C324A8" w:rsidRDefault="00890E23" w:rsidP="00890E23">
            <w:pPr>
              <w:spacing w:before="0" w:line="240" w:lineRule="atLeast"/>
              <w:rPr>
                <w:rFonts w:ascii="Verdana" w:hAnsi="Verdana"/>
                <w:sz w:val="20"/>
              </w:rPr>
            </w:pPr>
          </w:p>
        </w:tc>
      </w:tr>
      <w:tr w:rsidR="00890E23" w:rsidRPr="00C324A8">
        <w:trPr>
          <w:cantSplit/>
          <w:trHeight w:val="23"/>
        </w:trPr>
        <w:tc>
          <w:tcPr>
            <w:tcW w:w="6345" w:type="dxa"/>
            <w:vMerge w:val="restart"/>
          </w:tcPr>
          <w:p w:rsidR="00890E23" w:rsidRDefault="00890E23" w:rsidP="00890E23">
            <w:pPr>
              <w:tabs>
                <w:tab w:val="left" w:pos="851"/>
              </w:tabs>
              <w:spacing w:before="0"/>
              <w:rPr>
                <w:rFonts w:ascii="Verdana" w:hAnsi="Verdana"/>
                <w:b/>
                <w:sz w:val="20"/>
              </w:rPr>
            </w:pPr>
            <w:bookmarkStart w:id="3" w:name="dnum" w:colFirst="1" w:colLast="1"/>
            <w:bookmarkStart w:id="4" w:name="dmeeting" w:colFirst="0" w:colLast="0"/>
            <w:bookmarkEnd w:id="2"/>
            <w:r w:rsidRPr="009A702D">
              <w:rPr>
                <w:rFonts w:ascii="Verdana" w:hAnsi="Verdana"/>
                <w:b/>
                <w:sz w:val="20"/>
              </w:rPr>
              <w:t>SESIÓN PLENARIA</w:t>
            </w:r>
          </w:p>
          <w:p w:rsidR="00271F21" w:rsidRDefault="00271F21" w:rsidP="00890E23">
            <w:pPr>
              <w:tabs>
                <w:tab w:val="left" w:pos="851"/>
              </w:tabs>
              <w:spacing w:before="0"/>
              <w:rPr>
                <w:rFonts w:ascii="Verdana" w:hAnsi="Verdana"/>
                <w:b/>
                <w:sz w:val="20"/>
              </w:rPr>
            </w:pPr>
          </w:p>
          <w:p w:rsidR="00890E23" w:rsidRPr="00890E23" w:rsidRDefault="00890E23" w:rsidP="00890E23">
            <w:pPr>
              <w:tabs>
                <w:tab w:val="left" w:pos="851"/>
              </w:tabs>
              <w:spacing w:before="0" w:line="240" w:lineRule="atLeast"/>
              <w:rPr>
                <w:rFonts w:ascii="Verdana" w:hAnsi="Verdana"/>
                <w:sz w:val="20"/>
              </w:rPr>
            </w:pPr>
            <w:r w:rsidRPr="009F0255">
              <w:rPr>
                <w:rFonts w:ascii="Verdana" w:hAnsi="Verdana"/>
                <w:bCs/>
                <w:sz w:val="20"/>
              </w:rPr>
              <w:t xml:space="preserve">Referencia: Documentos </w:t>
            </w:r>
            <w:hyperlink r:id="rId8" w:history="1">
              <w:r w:rsidRPr="009F0255">
                <w:rPr>
                  <w:rFonts w:ascii="Verdana" w:hAnsi="Verdana"/>
                  <w:color w:val="0000FF" w:themeColor="hyperlink"/>
                  <w:sz w:val="20"/>
                  <w:u w:val="single"/>
                  <w:lang w:val="en-GB"/>
                </w:rPr>
                <w:t>5/1009</w:t>
              </w:r>
            </w:hyperlink>
            <w:r w:rsidRPr="009F0255">
              <w:rPr>
                <w:rFonts w:ascii="Verdana" w:hAnsi="Verdana"/>
                <w:sz w:val="20"/>
                <w:lang w:val="en-GB"/>
              </w:rPr>
              <w:t xml:space="preserve">, </w:t>
            </w:r>
            <w:hyperlink r:id="rId9" w:history="1">
              <w:r w:rsidRPr="009F0255">
                <w:rPr>
                  <w:rFonts w:ascii="Verdana" w:hAnsi="Verdana"/>
                  <w:color w:val="0000FF" w:themeColor="hyperlink"/>
                  <w:sz w:val="20"/>
                  <w:u w:val="single"/>
                  <w:lang w:val="en-GB"/>
                </w:rPr>
                <w:t>5/214</w:t>
              </w:r>
            </w:hyperlink>
            <w:r w:rsidRPr="009F0255">
              <w:rPr>
                <w:rFonts w:ascii="Verdana" w:hAnsi="Verdana"/>
                <w:sz w:val="20"/>
                <w:lang w:val="en-GB"/>
              </w:rPr>
              <w:t xml:space="preserve">, </w:t>
            </w:r>
            <w:hyperlink r:id="rId10" w:history="1">
              <w:r w:rsidRPr="009F0255">
                <w:rPr>
                  <w:rFonts w:ascii="Verdana" w:hAnsi="Verdana"/>
                  <w:color w:val="0000FF" w:themeColor="hyperlink"/>
                  <w:sz w:val="20"/>
                  <w:u w:val="single"/>
                  <w:lang w:val="en-GB"/>
                </w:rPr>
                <w:t>5/217</w:t>
              </w:r>
            </w:hyperlink>
            <w:r w:rsidRPr="009F0255">
              <w:rPr>
                <w:rFonts w:ascii="Verdana" w:hAnsi="Verdana"/>
                <w:sz w:val="20"/>
                <w:lang w:val="en-GB"/>
              </w:rPr>
              <w:t xml:space="preserve">, </w:t>
            </w:r>
            <w:hyperlink r:id="rId11" w:history="1">
              <w:r w:rsidRPr="009F0255">
                <w:rPr>
                  <w:rFonts w:ascii="Verdana" w:hAnsi="Verdana"/>
                  <w:color w:val="0000FF" w:themeColor="hyperlink"/>
                  <w:sz w:val="20"/>
                  <w:u w:val="single"/>
                  <w:lang w:val="en-GB"/>
                </w:rPr>
                <w:t>5/224</w:t>
              </w:r>
            </w:hyperlink>
          </w:p>
        </w:tc>
        <w:tc>
          <w:tcPr>
            <w:tcW w:w="3686" w:type="dxa"/>
          </w:tcPr>
          <w:p w:rsidR="00890E23" w:rsidRPr="00890E23" w:rsidRDefault="00890E23" w:rsidP="00890E23">
            <w:pPr>
              <w:tabs>
                <w:tab w:val="left" w:pos="851"/>
              </w:tabs>
              <w:spacing w:before="0" w:line="240" w:lineRule="atLeast"/>
              <w:rPr>
                <w:rFonts w:ascii="Verdana" w:hAnsi="Verdana"/>
                <w:sz w:val="20"/>
              </w:rPr>
            </w:pPr>
            <w:r>
              <w:rPr>
                <w:rFonts w:ascii="Verdana" w:hAnsi="Verdana"/>
                <w:b/>
                <w:sz w:val="20"/>
              </w:rPr>
              <w:t>Documento RA15/PLEN/12-S</w:t>
            </w:r>
          </w:p>
        </w:tc>
      </w:tr>
      <w:tr w:rsidR="00890E23" w:rsidRPr="00C324A8">
        <w:trPr>
          <w:cantSplit/>
          <w:trHeight w:val="23"/>
        </w:trPr>
        <w:tc>
          <w:tcPr>
            <w:tcW w:w="6345" w:type="dxa"/>
            <w:vMerge/>
          </w:tcPr>
          <w:p w:rsidR="00890E23" w:rsidRPr="00C324A8" w:rsidRDefault="00890E23">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890E23" w:rsidRPr="00890E23" w:rsidRDefault="00890E23" w:rsidP="00890E23">
            <w:pPr>
              <w:tabs>
                <w:tab w:val="left" w:pos="993"/>
              </w:tabs>
              <w:spacing w:before="0"/>
              <w:rPr>
                <w:rFonts w:ascii="Verdana" w:hAnsi="Verdana"/>
                <w:sz w:val="20"/>
              </w:rPr>
            </w:pPr>
            <w:r>
              <w:rPr>
                <w:rFonts w:ascii="Verdana" w:hAnsi="Verdana"/>
                <w:b/>
                <w:sz w:val="20"/>
              </w:rPr>
              <w:t>5 de octubre de 2015</w:t>
            </w:r>
          </w:p>
        </w:tc>
      </w:tr>
      <w:tr w:rsidR="00890E23" w:rsidRPr="00C324A8">
        <w:trPr>
          <w:cantSplit/>
          <w:trHeight w:val="23"/>
        </w:trPr>
        <w:tc>
          <w:tcPr>
            <w:tcW w:w="6345" w:type="dxa"/>
            <w:vMerge/>
          </w:tcPr>
          <w:p w:rsidR="00890E23" w:rsidRPr="00C324A8" w:rsidRDefault="00890E23">
            <w:pPr>
              <w:tabs>
                <w:tab w:val="left" w:pos="851"/>
              </w:tabs>
              <w:spacing w:line="240" w:lineRule="atLeast"/>
              <w:rPr>
                <w:rFonts w:ascii="Verdana" w:hAnsi="Verdana"/>
                <w:b/>
                <w:sz w:val="20"/>
              </w:rPr>
            </w:pPr>
            <w:bookmarkStart w:id="6" w:name="dorlang" w:colFirst="1" w:colLast="1"/>
            <w:bookmarkEnd w:id="5"/>
          </w:p>
        </w:tc>
        <w:tc>
          <w:tcPr>
            <w:tcW w:w="3686" w:type="dxa"/>
          </w:tcPr>
          <w:p w:rsidR="00890E23" w:rsidRPr="00890E23" w:rsidRDefault="00890E23" w:rsidP="00890E23">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890E23">
        <w:trPr>
          <w:cantSplit/>
        </w:trPr>
        <w:tc>
          <w:tcPr>
            <w:tcW w:w="10031" w:type="dxa"/>
          </w:tcPr>
          <w:p w:rsidR="00890E23" w:rsidRDefault="00F47048">
            <w:pPr>
              <w:pStyle w:val="Source"/>
            </w:pPr>
            <w:bookmarkStart w:id="7" w:name="dsource" w:colFirst="0" w:colLast="0"/>
            <w:bookmarkEnd w:id="0"/>
            <w:bookmarkEnd w:id="6"/>
            <w:r w:rsidRPr="009F0255">
              <w:t>Unión Mundial de Radiodifusión</w:t>
            </w:r>
            <w:r>
              <w:t xml:space="preserve"> – Comisión Técnica (WBU-TC)</w:t>
            </w:r>
            <w:r w:rsidRPr="009A702D">
              <w:rPr>
                <w:rStyle w:val="FootnoteReference"/>
              </w:rPr>
              <w:footnoteReference w:id="1"/>
            </w:r>
          </w:p>
        </w:tc>
      </w:tr>
      <w:tr w:rsidR="00890E23">
        <w:trPr>
          <w:cantSplit/>
        </w:trPr>
        <w:tc>
          <w:tcPr>
            <w:tcW w:w="10031" w:type="dxa"/>
          </w:tcPr>
          <w:p w:rsidR="00F47048" w:rsidRDefault="00F47048" w:rsidP="00F47048">
            <w:pPr>
              <w:pStyle w:val="Title1"/>
            </w:pPr>
            <w:bookmarkStart w:id="8" w:name="dtitle1" w:colFirst="0" w:colLast="0"/>
            <w:bookmarkEnd w:id="7"/>
            <w:r>
              <w:t>COMENTARIO SOBRE EL DOCUMENTO 5/1009</w:t>
            </w:r>
          </w:p>
          <w:p w:rsidR="00890E23" w:rsidRDefault="00F47048" w:rsidP="00F47048">
            <w:pPr>
              <w:pStyle w:val="Title1"/>
            </w:pPr>
            <w:r w:rsidRPr="009F0255">
              <w:rPr>
                <w:szCs w:val="28"/>
              </w:rPr>
              <w:t>PROYECTO DE NUEVA RECOMENDACIÓN UIT-R M.[BSMS700]</w:t>
            </w:r>
          </w:p>
        </w:tc>
      </w:tr>
      <w:tr w:rsidR="00890E23">
        <w:trPr>
          <w:cantSplit/>
        </w:trPr>
        <w:tc>
          <w:tcPr>
            <w:tcW w:w="10031" w:type="dxa"/>
          </w:tcPr>
          <w:p w:rsidR="00890E23" w:rsidRDefault="00F47048" w:rsidP="00F17166">
            <w:pPr>
              <w:pStyle w:val="Restitle"/>
            </w:pPr>
            <w:bookmarkStart w:id="9" w:name="dtitle2" w:colFirst="0" w:colLast="0"/>
            <w:bookmarkEnd w:id="8"/>
            <w:r w:rsidRPr="009F0255">
              <w:t xml:space="preserve">Límite </w:t>
            </w:r>
            <w:r>
              <w:t xml:space="preserve">específico </w:t>
            </w:r>
            <w:r w:rsidRPr="009F0255">
              <w:t>de emisiones fuera de banda de las estaciones móviles IMT que funcionan en la banda de frecuencias 694-790 MHz</w:t>
            </w:r>
            <w:r>
              <w:t xml:space="preserve"> para la protección </w:t>
            </w:r>
            <w:r w:rsidR="00F17166">
              <w:br/>
            </w:r>
            <w:r>
              <w:t>de los servicios existentes en la Región 1 en la banda de frecuencias</w:t>
            </w:r>
            <w:r w:rsidR="00F17166">
              <w:br/>
            </w:r>
            <w:r>
              <w:t xml:space="preserve"> por debajo de 694 MHz</w:t>
            </w:r>
          </w:p>
        </w:tc>
      </w:tr>
    </w:tbl>
    <w:bookmarkEnd w:id="9"/>
    <w:p w:rsidR="00F47048" w:rsidRDefault="00F47048" w:rsidP="00F47048">
      <w:pPr>
        <w:pStyle w:val="Normalaftertitle0"/>
        <w:rPr>
          <w:lang w:val="es-ES_tradnl"/>
        </w:rPr>
      </w:pPr>
      <w:r>
        <w:rPr>
          <w:lang w:val="es-ES_tradnl"/>
        </w:rPr>
        <w:t>El proyecto de nueva Recomendación</w:t>
      </w:r>
      <w:r w:rsidRPr="00F47048">
        <w:rPr>
          <w:lang w:val="es-ES_tradnl"/>
        </w:rPr>
        <w:t xml:space="preserve"> </w:t>
      </w:r>
      <w:r w:rsidRPr="009F0255">
        <w:rPr>
          <w:lang w:val="es-ES_tradnl"/>
        </w:rPr>
        <w:t>UIT-R M.[BSMS700]</w:t>
      </w:r>
      <w:r>
        <w:rPr>
          <w:lang w:val="es-ES_tradnl"/>
        </w:rPr>
        <w:t xml:space="preserve"> que figura en el Documento 5/1009 no fue adoptado durante la reunión de la Comisión de Estudio 5 de julio de 2015 debido a la falta de consenso entre las administraciones que participaron en dicha reunión. Se observa que dos administraciones plantearon objeciones al PNR en sendas contribuciones presentadas a la Comisión de Estudio 5 (Documento 5/217 y 5/224).</w:t>
      </w:r>
    </w:p>
    <w:p w:rsidR="00F47048" w:rsidRDefault="00F47048" w:rsidP="00701D77">
      <w:pPr>
        <w:pStyle w:val="Normalaftertitle0"/>
        <w:spacing w:before="120"/>
        <w:rPr>
          <w:lang w:val="es-ES_tradnl"/>
        </w:rPr>
      </w:pPr>
      <w:r w:rsidRPr="00701D77">
        <w:rPr>
          <w:lang w:val="es-ES_tradnl"/>
        </w:rPr>
        <w:t xml:space="preserve">El proyecto de nueva Recomendación </w:t>
      </w:r>
      <w:r w:rsidR="00365408" w:rsidRPr="009F0255">
        <w:rPr>
          <w:lang w:val="es-ES_tradnl"/>
        </w:rPr>
        <w:t>UIT-R M.[BSMS700]</w:t>
      </w:r>
      <w:r w:rsidR="00365408">
        <w:rPr>
          <w:lang w:val="es-ES_tradnl"/>
        </w:rPr>
        <w:t xml:space="preserve"> </w:t>
      </w:r>
      <w:r w:rsidRPr="00701D77">
        <w:rPr>
          <w:lang w:val="es-ES_tradnl"/>
        </w:rPr>
        <w:t xml:space="preserve">se </w:t>
      </w:r>
      <w:r w:rsidRPr="00701D77">
        <w:rPr>
          <w:lang w:val="es-ES"/>
        </w:rPr>
        <w:t>titula</w:t>
      </w:r>
      <w:r w:rsidRPr="00701D77">
        <w:rPr>
          <w:lang w:val="es-ES_tradnl"/>
        </w:rPr>
        <w:t xml:space="preserve"> </w:t>
      </w:r>
      <w:r w:rsidR="00701D77" w:rsidRPr="00701D77">
        <w:rPr>
          <w:lang w:val="es-ES_tradnl"/>
        </w:rPr>
        <w:t>«</w:t>
      </w:r>
      <w:r w:rsidRPr="00701D77">
        <w:rPr>
          <w:lang w:val="es-ES_tradnl"/>
        </w:rPr>
        <w:t>Límite específico de emisiones fuera de banda de las estaciones móviles IMT que funcionan en la banda de frecuencias 694-790 MHz para la</w:t>
      </w:r>
      <w:r w:rsidRPr="00DC739B">
        <w:rPr>
          <w:lang w:val="es-ES_tradnl"/>
        </w:rPr>
        <w:t xml:space="preserve"> protección de los servicios existentes en la Región 1 en la banda de frecuencias por debajo de 694 MHz</w:t>
      </w:r>
      <w:r w:rsidR="00701D77">
        <w:rPr>
          <w:lang w:val="es-ES_tradnl"/>
        </w:rPr>
        <w:t>»</w:t>
      </w:r>
      <w:r>
        <w:rPr>
          <w:lang w:val="es-ES_tradnl"/>
        </w:rPr>
        <w:t xml:space="preserve">. Como implica el título, propone límites necesarios para proteger a los servicios existentes, incluido el servicio de radiodifusión. </w:t>
      </w:r>
    </w:p>
    <w:p w:rsidR="00F47048" w:rsidRDefault="00F47048" w:rsidP="00ED44AA">
      <w:r>
        <w:lastRenderedPageBreak/>
        <w:t xml:space="preserve">La </w:t>
      </w:r>
      <w:r w:rsidRPr="005F3504">
        <w:t>Unión Mundial de Radiodifusión – Comisión Técnica (WBU-TC)</w:t>
      </w:r>
      <w:r>
        <w:t xml:space="preserve"> representa a organizaciones de radiodifusión de toda la Región 1 así como de las Regiones 2 y 3. La WBU-TC expresa su preocupación por las propuestas recogidas en el PNR y el proceso seguido para su elaboración.</w:t>
      </w:r>
    </w:p>
    <w:p w:rsidR="00F47048" w:rsidRDefault="00F47048" w:rsidP="00ED44AA">
      <w:r>
        <w:t>La WBU-TC desea llamar la atención de las Administraciones sobre el hecho de que un límit</w:t>
      </w:r>
      <w:r w:rsidR="00701D77">
        <w:t>e de emisión fuera de banda de –</w:t>
      </w:r>
      <w:r>
        <w:t>25 dBm/8MHz como la especificada en el proyecto de nueva Recomendación no cumple con los criterios de protección especificados para el servicio de radiodifusión.</w:t>
      </w:r>
    </w:p>
    <w:p w:rsidR="00F47048" w:rsidRDefault="00F47048" w:rsidP="00811871">
      <w:r>
        <w:t xml:space="preserve">El proyecto de nueva Recomendación se elaboró en el marco del Grupo de Trabajo 5D. El Grupo de Trabajo 5D sólo recibió un estudio sobre la protección del servicio de radiodifusión, y las conclusiones del estudio en cuestión no se reflejan en el proyecto de nueva Recomendación. Esto se contradice claramente con los requisitos establecidos en la </w:t>
      </w:r>
      <w:r w:rsidR="00701D77">
        <w:t xml:space="preserve">Resolución </w:t>
      </w:r>
      <w:r w:rsidR="004B0918">
        <w:t xml:space="preserve">UIT-R </w:t>
      </w:r>
      <w:r w:rsidR="00701D77">
        <w:t>1-6, donde se dice: «</w:t>
      </w:r>
      <w:r w:rsidRPr="0066522F">
        <w:t>Cuando el estudio de una Cuestión esté muy avanzado</w:t>
      </w:r>
      <w:r w:rsidR="00811871">
        <w:rPr>
          <w:rStyle w:val="FootnoteReference"/>
        </w:rPr>
        <w:footnoteReference w:id="2"/>
      </w:r>
      <w:r>
        <w:t>.</w:t>
      </w:r>
      <w:r w:rsidR="00701D77">
        <w:t>»</w:t>
      </w:r>
    </w:p>
    <w:p w:rsidR="00F47048" w:rsidRDefault="00F47048" w:rsidP="00ED44AA">
      <w:r>
        <w:t>Además, pese a que el proyecto de nueva Recomendación trata claramente de la protección de un servicio que es competencia de otra Comisión de Estudio, el proyecto de Recomendación no se envió a la Comisión de Estudio 6 para aprobación, a pesar de las disposiciones de la Resolución UIT-R 1-6.</w:t>
      </w:r>
    </w:p>
    <w:p w:rsidR="00F47048" w:rsidRPr="00ED44AA" w:rsidRDefault="00701D77" w:rsidP="00811871">
      <w:pPr>
        <w:pStyle w:val="Normalaftertitle0"/>
        <w:spacing w:before="120"/>
        <w:ind w:left="720"/>
        <w:rPr>
          <w:i/>
          <w:iCs/>
          <w:lang w:val="es-ES_tradnl"/>
        </w:rPr>
      </w:pPr>
      <w:r>
        <w:rPr>
          <w:i/>
          <w:iCs/>
          <w:lang w:val="es-ES_tradnl"/>
        </w:rPr>
        <w:t>«</w:t>
      </w:r>
      <w:r w:rsidR="00F47048" w:rsidRPr="00ED44AA">
        <w:rPr>
          <w:i/>
          <w:iCs/>
          <w:lang w:val="es-ES_tradnl"/>
        </w:rPr>
        <w:t>las Comisiones de Estudio que elaboren Recomendaciones que incluyan «criterios de compartición» para servicios de radiocomunicaciones deben obtener el acuerdo, previo a la adopción, de las Comisiones de Estudio responsables de esos servicios</w:t>
      </w:r>
      <w:r w:rsidR="00811871" w:rsidRPr="00811871">
        <w:rPr>
          <w:i/>
          <w:iCs/>
          <w:vertAlign w:val="superscript"/>
        </w:rPr>
        <w:footnoteReference w:id="3"/>
      </w:r>
      <w:r w:rsidR="00F47048" w:rsidRPr="00ED44AA">
        <w:rPr>
          <w:i/>
          <w:iCs/>
          <w:lang w:val="es-ES_tradnl"/>
        </w:rPr>
        <w:t>.</w:t>
      </w:r>
      <w:r>
        <w:rPr>
          <w:i/>
          <w:iCs/>
          <w:lang w:val="es-ES_tradnl"/>
        </w:rPr>
        <w:t>»</w:t>
      </w:r>
      <w:bookmarkStart w:id="10" w:name="_GoBack"/>
      <w:bookmarkEnd w:id="10"/>
    </w:p>
    <w:p w:rsidR="00F47048" w:rsidRPr="00F47048" w:rsidRDefault="00F47048" w:rsidP="00ED44AA">
      <w:r>
        <w:t xml:space="preserve">En consecuencia, la WBU-TC desea expresar, en los términos más firmes, su preocupación respecto del contenido del proyecto de nueva Recomendación, y propone que éste se devuelva a la Comisión de Estudio 5 con instrucciones para que se coordine con la Comisión de Estudio 6, con miras a lograr un acuerdo durante el próximo periodo de estudios, sin que la Asamblea de Radiocomunicaciones adopte ninguna medida en este momento. </w:t>
      </w:r>
    </w:p>
    <w:p w:rsidR="00F47048" w:rsidRPr="009A702D" w:rsidRDefault="00F47048" w:rsidP="00F47048">
      <w:pPr>
        <w:pStyle w:val="Reasons"/>
      </w:pPr>
    </w:p>
    <w:p w:rsidR="00F47048" w:rsidRPr="009A702D" w:rsidRDefault="00F47048" w:rsidP="00F47048">
      <w:pPr>
        <w:jc w:val="center"/>
      </w:pPr>
      <w:r w:rsidRPr="009A702D">
        <w:t>______________</w:t>
      </w:r>
    </w:p>
    <w:p w:rsidR="00F47048" w:rsidRPr="009A702D" w:rsidRDefault="00F47048" w:rsidP="00F47048"/>
    <w:sectPr w:rsidR="00F47048" w:rsidRPr="009A702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23" w:rsidRDefault="00890E23">
      <w:r>
        <w:separator/>
      </w:r>
    </w:p>
  </w:endnote>
  <w:endnote w:type="continuationSeparator" w:id="0">
    <w:p w:rsidR="00890E23" w:rsidRDefault="0089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890E23">
      <w:rPr>
        <w:noProof/>
        <w:lang w:val="en-US"/>
      </w:rPr>
      <w:t>Document2</w:t>
    </w:r>
    <w:r>
      <w:fldChar w:fldCharType="end"/>
    </w:r>
    <w:r>
      <w:rPr>
        <w:lang w:val="en-US"/>
      </w:rPr>
      <w:tab/>
    </w:r>
    <w:r>
      <w:fldChar w:fldCharType="begin"/>
    </w:r>
    <w:r>
      <w:instrText xml:space="preserve"> SAVEDATE \@ DD.MM.YY </w:instrText>
    </w:r>
    <w:r>
      <w:fldChar w:fldCharType="separate"/>
    </w:r>
    <w:r w:rsidR="00F47048">
      <w:rPr>
        <w:noProof/>
      </w:rPr>
      <w:t>18.10.15</w:t>
    </w:r>
    <w:r>
      <w:fldChar w:fldCharType="end"/>
    </w:r>
    <w:r>
      <w:rPr>
        <w:lang w:val="en-US"/>
      </w:rPr>
      <w:tab/>
    </w:r>
    <w:r>
      <w:fldChar w:fldCharType="begin"/>
    </w:r>
    <w:r>
      <w:instrText xml:space="preserve"> PRINTDATE \@ DD.MM.YY </w:instrText>
    </w:r>
    <w:r>
      <w:fldChar w:fldCharType="separate"/>
    </w:r>
    <w:r w:rsidR="00890E23">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890E23">
      <w:rPr>
        <w:noProof/>
        <w:lang w:val="en-US"/>
      </w:rPr>
      <w:t>Document2</w:t>
    </w:r>
    <w:r>
      <w:fldChar w:fldCharType="end"/>
    </w:r>
    <w:r>
      <w:rPr>
        <w:lang w:val="en-US"/>
      </w:rPr>
      <w:tab/>
    </w:r>
    <w:r>
      <w:fldChar w:fldCharType="begin"/>
    </w:r>
    <w:r>
      <w:instrText xml:space="preserve"> SAVEDATE \@ DD.MM.YY </w:instrText>
    </w:r>
    <w:r>
      <w:fldChar w:fldCharType="separate"/>
    </w:r>
    <w:r w:rsidR="00F47048">
      <w:rPr>
        <w:noProof/>
      </w:rPr>
      <w:t>18.10.15</w:t>
    </w:r>
    <w:r>
      <w:fldChar w:fldCharType="end"/>
    </w:r>
    <w:r>
      <w:rPr>
        <w:lang w:val="en-US"/>
      </w:rPr>
      <w:tab/>
    </w:r>
    <w:r>
      <w:fldChar w:fldCharType="begin"/>
    </w:r>
    <w:r>
      <w:instrText xml:space="preserve"> PRINTDATE \@ DD.MM.YY </w:instrText>
    </w:r>
    <w:r>
      <w:fldChar w:fldCharType="separate"/>
    </w:r>
    <w:r w:rsidR="00890E23">
      <w:rPr>
        <w:noProof/>
      </w:rP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E95" w:rsidRDefault="00406E95">
    <w:pPr>
      <w:pStyle w:val="Footer"/>
    </w:pPr>
    <w:fldSimple w:instr=" FILENAME \p  \* MERGEFORMAT ">
      <w:r>
        <w:t>P:\ESP\ITU-R\CONF-R\AR15\PLEN\000\012S.docx</w:t>
      </w:r>
    </w:fldSimple>
    <w:r>
      <w:t xml:space="preserve"> (387560)</w:t>
    </w:r>
    <w:r>
      <w:tab/>
    </w:r>
    <w:r>
      <w:fldChar w:fldCharType="begin"/>
    </w:r>
    <w:r>
      <w:instrText xml:space="preserve"> SAVEDATE \@ DD.MM.YY </w:instrText>
    </w:r>
    <w:r>
      <w:fldChar w:fldCharType="separate"/>
    </w:r>
    <w:r w:rsidR="00F47048">
      <w:t>18.10.15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23" w:rsidRDefault="00890E23">
      <w:r>
        <w:rPr>
          <w:b/>
        </w:rPr>
        <w:t>_______________</w:t>
      </w:r>
    </w:p>
  </w:footnote>
  <w:footnote w:type="continuationSeparator" w:id="0">
    <w:p w:rsidR="00890E23" w:rsidRDefault="00890E23">
      <w:r>
        <w:continuationSeparator/>
      </w:r>
    </w:p>
  </w:footnote>
  <w:footnote w:id="1">
    <w:p w:rsidR="00F47048" w:rsidRDefault="00F47048" w:rsidP="00F47048">
      <w:pPr>
        <w:pStyle w:val="FootnoteText"/>
      </w:pPr>
      <w:r>
        <w:rPr>
          <w:rStyle w:val="FootnoteReference"/>
        </w:rPr>
        <w:footnoteRef/>
      </w:r>
      <w:r>
        <w:tab/>
      </w:r>
      <w:r>
        <w:t>El WBU-TC es el órgano técnico permanente de la Unión Mundial de Radiodifusión, cuyos miembros son:</w:t>
      </w:r>
    </w:p>
    <w:p w:rsidR="00F47048" w:rsidRDefault="00F47048" w:rsidP="00F47048">
      <w:pPr>
        <w:pStyle w:val="FootnoteText"/>
      </w:pPr>
      <w:r>
        <w:t>•</w:t>
      </w:r>
      <w:r>
        <w:tab/>
      </w:r>
      <w:r w:rsidRPr="00DC739B">
        <w:t>Unión de Radio</w:t>
      </w:r>
      <w:r>
        <w:t>difusión de Asia-Pacífico (ABU)</w:t>
      </w:r>
    </w:p>
    <w:p w:rsidR="00F47048" w:rsidRDefault="00F47048" w:rsidP="00F47048">
      <w:pPr>
        <w:pStyle w:val="FootnoteText"/>
      </w:pPr>
      <w:r>
        <w:t>•</w:t>
      </w:r>
      <w:r>
        <w:tab/>
      </w:r>
      <w:r w:rsidRPr="00DC739B">
        <w:t xml:space="preserve">Unión de Radiodifusión de los Estados Árabes (ASBU) </w:t>
      </w:r>
    </w:p>
    <w:p w:rsidR="00F47048" w:rsidRPr="00D470F5" w:rsidRDefault="00F47048" w:rsidP="00F47048">
      <w:pPr>
        <w:pStyle w:val="FootnoteText"/>
      </w:pPr>
      <w:r w:rsidRPr="00D470F5">
        <w:t>•</w:t>
      </w:r>
      <w:r w:rsidRPr="00D470F5">
        <w:tab/>
      </w:r>
      <w:r w:rsidRPr="00DC739B">
        <w:t>Unión Africana de Radiodifusión (ABU)</w:t>
      </w:r>
    </w:p>
    <w:p w:rsidR="00F47048" w:rsidRDefault="00F47048" w:rsidP="00F47048">
      <w:pPr>
        <w:pStyle w:val="FootnoteText"/>
      </w:pPr>
      <w:r>
        <w:t>•</w:t>
      </w:r>
      <w:r>
        <w:tab/>
      </w:r>
      <w:r w:rsidRPr="00DC739B">
        <w:t>Unión de Radiodifusión del Caribe (CBU)</w:t>
      </w:r>
    </w:p>
    <w:p w:rsidR="00F47048" w:rsidRDefault="00F47048" w:rsidP="00F47048">
      <w:pPr>
        <w:pStyle w:val="FootnoteText"/>
      </w:pPr>
      <w:r>
        <w:t>•</w:t>
      </w:r>
      <w:r>
        <w:tab/>
      </w:r>
      <w:r w:rsidRPr="00DC739B">
        <w:t>Unión Europea de Radiodifusión (UER)</w:t>
      </w:r>
    </w:p>
    <w:p w:rsidR="00F47048" w:rsidRDefault="00F47048" w:rsidP="00F47048">
      <w:pPr>
        <w:pStyle w:val="FootnoteText"/>
      </w:pPr>
      <w:r>
        <w:t>•</w:t>
      </w:r>
      <w:r>
        <w:tab/>
      </w:r>
      <w:r w:rsidRPr="00DC739B">
        <w:t>Asociación Internacional de Radiodifusión (AIR)</w:t>
      </w:r>
    </w:p>
    <w:p w:rsidR="00F47048" w:rsidRDefault="00F47048" w:rsidP="00F47048">
      <w:pPr>
        <w:pStyle w:val="FootnoteText"/>
      </w:pPr>
      <w:r>
        <w:t>•</w:t>
      </w:r>
      <w:r>
        <w:tab/>
      </w:r>
      <w:r w:rsidRPr="00DC739B">
        <w:t>Asociación de Organismos de Radiodifusión de América del Norte (NABA</w:t>
      </w:r>
      <w:r>
        <w:t>)</w:t>
      </w:r>
    </w:p>
    <w:p w:rsidR="00F47048" w:rsidRPr="00A676B9" w:rsidRDefault="00F47048" w:rsidP="00F47048">
      <w:pPr>
        <w:pStyle w:val="FootnoteText"/>
        <w:rPr>
          <w:lang w:val="es-ES"/>
        </w:rPr>
      </w:pPr>
      <w:r w:rsidRPr="00D470F5">
        <w:rPr>
          <w:lang w:val="es-ES"/>
        </w:rPr>
        <w:t>•</w:t>
      </w:r>
      <w:r w:rsidRPr="00D470F5">
        <w:rPr>
          <w:lang w:val="es-ES"/>
        </w:rPr>
        <w:tab/>
        <w:t>Organizaci</w:t>
      </w:r>
      <w:r>
        <w:rPr>
          <w:lang w:val="es-ES"/>
        </w:rPr>
        <w:t>ó</w:t>
      </w:r>
      <w:r w:rsidRPr="00D470F5">
        <w:rPr>
          <w:lang w:val="es-ES"/>
        </w:rPr>
        <w:t>n de Telecomunicaciones Iberoamerican</w:t>
      </w:r>
      <w:r>
        <w:rPr>
          <w:lang w:val="es-ES"/>
        </w:rPr>
        <w:t>a</w:t>
      </w:r>
      <w:r w:rsidRPr="00D470F5">
        <w:rPr>
          <w:lang w:val="es-ES"/>
        </w:rPr>
        <w:t>s (OTI)</w:t>
      </w:r>
      <w:r>
        <w:rPr>
          <w:lang w:val="es-ES"/>
        </w:rPr>
        <w:t>.</w:t>
      </w:r>
    </w:p>
  </w:footnote>
  <w:footnote w:id="2">
    <w:p w:rsidR="00811871" w:rsidRPr="0066522F" w:rsidRDefault="00811871" w:rsidP="00811871">
      <w:pPr>
        <w:pStyle w:val="FootnoteText"/>
        <w:rPr>
          <w:lang w:val="es-ES"/>
        </w:rPr>
      </w:pPr>
      <w:r>
        <w:rPr>
          <w:rStyle w:val="FootnoteReference"/>
        </w:rPr>
        <w:footnoteRef/>
      </w:r>
      <w:r>
        <w:tab/>
      </w:r>
      <w:r>
        <w:rPr>
          <w:lang w:val="es-ES"/>
        </w:rPr>
        <w:t>Resolución UIT-R 1-6, Sección 10.1.1.</w:t>
      </w:r>
    </w:p>
  </w:footnote>
  <w:footnote w:id="3">
    <w:p w:rsidR="00811871" w:rsidRPr="0066522F" w:rsidRDefault="00811871" w:rsidP="00811871">
      <w:pPr>
        <w:pStyle w:val="FootnoteText"/>
        <w:rPr>
          <w:lang w:val="es-ES"/>
        </w:rPr>
      </w:pPr>
      <w:r>
        <w:rPr>
          <w:rStyle w:val="FootnoteReference"/>
        </w:rPr>
        <w:footnoteRef/>
      </w:r>
      <w:r>
        <w:tab/>
      </w:r>
      <w:r w:rsidRPr="0066522F">
        <w:t xml:space="preserve">Resolución UIT-R 1-6, Sección </w:t>
      </w:r>
      <w:r>
        <w:t>6.1.2, Nota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23" w:rsidRDefault="00890E23">
    <w:pPr>
      <w:pStyle w:val="Header"/>
    </w:pPr>
    <w:r>
      <w:t xml:space="preserve">- </w:t>
    </w:r>
    <w:r>
      <w:fldChar w:fldCharType="begin"/>
    </w:r>
    <w:r>
      <w:instrText xml:space="preserve"> PAGE  \* MERGEFORMAT </w:instrText>
    </w:r>
    <w:r>
      <w:fldChar w:fldCharType="separate"/>
    </w:r>
    <w:r w:rsidR="002878C9">
      <w:rPr>
        <w:noProof/>
      </w:rPr>
      <w:t>2</w:t>
    </w:r>
    <w:r>
      <w:fldChar w:fldCharType="end"/>
    </w:r>
    <w:r>
      <w:t xml:space="preserve"> -</w:t>
    </w:r>
  </w:p>
  <w:p w:rsidR="00890E23" w:rsidRDefault="00890E23">
    <w:pPr>
      <w:pStyle w:val="Header"/>
    </w:pPr>
    <w:r>
      <w:t>RA15/PLEN/12-S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23"/>
    <w:rsid w:val="00012B52"/>
    <w:rsid w:val="00016A7C"/>
    <w:rsid w:val="00020ACE"/>
    <w:rsid w:val="00135BE8"/>
    <w:rsid w:val="001721DD"/>
    <w:rsid w:val="002334F2"/>
    <w:rsid w:val="00252574"/>
    <w:rsid w:val="00271F21"/>
    <w:rsid w:val="00272D1F"/>
    <w:rsid w:val="002878C9"/>
    <w:rsid w:val="002B6243"/>
    <w:rsid w:val="002C38DB"/>
    <w:rsid w:val="00365408"/>
    <w:rsid w:val="00406E95"/>
    <w:rsid w:val="00466F3C"/>
    <w:rsid w:val="004B0918"/>
    <w:rsid w:val="005335D1"/>
    <w:rsid w:val="005648DF"/>
    <w:rsid w:val="005C4F7E"/>
    <w:rsid w:val="006050EE"/>
    <w:rsid w:val="006137E8"/>
    <w:rsid w:val="00693CB4"/>
    <w:rsid w:val="00701D77"/>
    <w:rsid w:val="00764927"/>
    <w:rsid w:val="00811871"/>
    <w:rsid w:val="008246E6"/>
    <w:rsid w:val="00890E23"/>
    <w:rsid w:val="008E02B6"/>
    <w:rsid w:val="009630C4"/>
    <w:rsid w:val="00AF7660"/>
    <w:rsid w:val="00BF1023"/>
    <w:rsid w:val="00C278F8"/>
    <w:rsid w:val="00D3479F"/>
    <w:rsid w:val="00DE35E9"/>
    <w:rsid w:val="00E01901"/>
    <w:rsid w:val="00EB5C7B"/>
    <w:rsid w:val="00ED44AA"/>
    <w:rsid w:val="00F17166"/>
    <w:rsid w:val="00F470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81B5444-880B-47F2-9C73-958B9435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uiPriority w:val="99"/>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basedOn w:val="DefaultParagraphFont"/>
    <w:link w:val="Restitle"/>
    <w:locked/>
    <w:rsid w:val="00F47048"/>
    <w:rPr>
      <w:rFonts w:ascii="Times New Roman Bold" w:hAnsi="Times New Roman Bold"/>
      <w:b/>
      <w:sz w:val="28"/>
      <w:lang w:val="es-ES_tradnl" w:eastAsia="en-US"/>
    </w:rPr>
  </w:style>
  <w:style w:type="paragraph" w:customStyle="1" w:styleId="Normalaftertitle0">
    <w:name w:val="Normal_after_title"/>
    <w:basedOn w:val="Normal"/>
    <w:next w:val="Normal"/>
    <w:link w:val="NormalaftertitleChar"/>
    <w:rsid w:val="00F47048"/>
    <w:pPr>
      <w:tabs>
        <w:tab w:val="clear" w:pos="1134"/>
        <w:tab w:val="clear" w:pos="1871"/>
        <w:tab w:val="clear" w:pos="2268"/>
        <w:tab w:val="left" w:pos="794"/>
        <w:tab w:val="left" w:pos="1191"/>
        <w:tab w:val="left" w:pos="1588"/>
        <w:tab w:val="left" w:pos="1985"/>
      </w:tabs>
      <w:spacing w:before="360"/>
    </w:pPr>
    <w:rPr>
      <w:lang w:val="en-GB"/>
    </w:rPr>
  </w:style>
  <w:style w:type="character" w:customStyle="1" w:styleId="NormalaftertitleChar">
    <w:name w:val="Normal_after_title Char"/>
    <w:basedOn w:val="DefaultParagraphFont"/>
    <w:link w:val="Normalaftertitle0"/>
    <w:locked/>
    <w:rsid w:val="00F470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9/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C-0224/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R12-SG05-C-0217/en" TargetMode="External"/><Relationship Id="rId4" Type="http://schemas.openxmlformats.org/officeDocument/2006/relationships/webSettings" Target="webSettings.xml"/><Relationship Id="rId9" Type="http://schemas.openxmlformats.org/officeDocument/2006/relationships/hyperlink" Target="http://www.itu.int/md/R12-SG05-C-0214/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23</TotalTime>
  <Pages>2</Pages>
  <Words>544</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3708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18</cp:revision>
  <cp:lastPrinted>2003-03-04T09:55:00Z</cp:lastPrinted>
  <dcterms:created xsi:type="dcterms:W3CDTF">2015-10-18T14:47:00Z</dcterms:created>
  <dcterms:modified xsi:type="dcterms:W3CDTF">2015-10-18T15:12:00Z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