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73" w:type="dxa"/>
        <w:tblLayout w:type="fixed"/>
        <w:tblLook w:val="0000" w:firstRow="0" w:lastRow="0" w:firstColumn="0" w:lastColumn="0" w:noHBand="0" w:noVBand="0"/>
      </w:tblPr>
      <w:tblGrid>
        <w:gridCol w:w="6943"/>
        <w:gridCol w:w="2980"/>
        <w:gridCol w:w="450"/>
      </w:tblGrid>
      <w:tr w:rsidR="00AB6AE1" w:rsidTr="00B64543">
        <w:trPr>
          <w:gridAfter w:val="1"/>
          <w:wAfter w:w="450" w:type="dxa"/>
          <w:cantSplit/>
        </w:trPr>
        <w:tc>
          <w:tcPr>
            <w:tcW w:w="6943" w:type="dxa"/>
          </w:tcPr>
          <w:p w:rsidR="00AB6AE1" w:rsidRPr="00840A9E" w:rsidRDefault="00840A9E" w:rsidP="00840A9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val="fr-CH"/>
              </w:rPr>
            </w:pPr>
            <w:r w:rsidRPr="00840A9E">
              <w:rPr>
                <w:rFonts w:ascii="Verdana" w:hAnsi="Verdana"/>
                <w:b/>
                <w:sz w:val="26"/>
                <w:szCs w:val="26"/>
                <w:lang w:val="fr-CH"/>
              </w:rPr>
              <w:t>Assemblée des r</w:t>
            </w:r>
            <w:r w:rsidR="00AB6AE1" w:rsidRPr="00840A9E">
              <w:rPr>
                <w:rFonts w:ascii="Verdana" w:hAnsi="Verdana"/>
                <w:b/>
                <w:sz w:val="26"/>
                <w:szCs w:val="26"/>
                <w:lang w:val="fr-CH"/>
              </w:rPr>
              <w:t>adiocommunication</w:t>
            </w:r>
            <w:r w:rsidRPr="00840A9E">
              <w:rPr>
                <w:rFonts w:ascii="Verdana" w:hAnsi="Verdana"/>
                <w:b/>
                <w:sz w:val="26"/>
                <w:szCs w:val="26"/>
                <w:lang w:val="fr-CH"/>
              </w:rPr>
              <w:t>s</w:t>
            </w:r>
            <w:r w:rsidR="00AB6AE1" w:rsidRPr="00840A9E">
              <w:rPr>
                <w:rFonts w:ascii="Verdana" w:hAnsi="Verdana"/>
                <w:b/>
                <w:sz w:val="26"/>
                <w:szCs w:val="26"/>
                <w:lang w:val="fr-CH"/>
              </w:rPr>
              <w:t xml:space="preserve"> (</w:t>
            </w:r>
            <w:r w:rsidRPr="00840A9E">
              <w:rPr>
                <w:rFonts w:ascii="Verdana" w:hAnsi="Verdana"/>
                <w:b/>
                <w:sz w:val="26"/>
                <w:szCs w:val="26"/>
                <w:lang w:val="fr-CH"/>
              </w:rPr>
              <w:t>AR</w:t>
            </w:r>
            <w:r w:rsidR="00AB6AE1" w:rsidRPr="00840A9E">
              <w:rPr>
                <w:rFonts w:ascii="Verdana" w:hAnsi="Verdana"/>
                <w:b/>
                <w:sz w:val="26"/>
                <w:szCs w:val="26"/>
                <w:lang w:val="fr-CH"/>
              </w:rPr>
              <w:t>-15)</w:t>
            </w:r>
            <w:r w:rsidR="00AB6AE1" w:rsidRPr="00840A9E">
              <w:rPr>
                <w:rFonts w:ascii="Verdana" w:hAnsi="Verdana"/>
                <w:b/>
                <w:sz w:val="22"/>
                <w:szCs w:val="22"/>
                <w:lang w:val="fr-CH"/>
              </w:rPr>
              <w:br/>
            </w:r>
            <w:r w:rsidR="00AB6AE1" w:rsidRPr="00840A9E">
              <w:rPr>
                <w:rFonts w:ascii="Verdana" w:hAnsi="Verdana"/>
                <w:b/>
                <w:bCs/>
                <w:sz w:val="20"/>
                <w:lang w:val="fr-CH"/>
              </w:rPr>
              <w:t>Gen</w:t>
            </w:r>
            <w:r w:rsidRPr="00840A9E">
              <w:rPr>
                <w:rFonts w:ascii="Verdana" w:hAnsi="Verdana"/>
                <w:b/>
                <w:bCs/>
                <w:sz w:val="20"/>
                <w:lang w:val="fr-CH"/>
              </w:rPr>
              <w:t>ève</w:t>
            </w:r>
            <w:r w:rsidR="00AB6AE1" w:rsidRPr="00840A9E">
              <w:rPr>
                <w:rFonts w:ascii="Verdana" w:hAnsi="Verdana"/>
                <w:b/>
                <w:bCs/>
                <w:sz w:val="20"/>
                <w:lang w:val="fr-CH"/>
              </w:rPr>
              <w:t xml:space="preserve">, 26-30 </w:t>
            </w:r>
            <w:r w:rsidRPr="00840A9E">
              <w:rPr>
                <w:rFonts w:ascii="Verdana" w:hAnsi="Verdana"/>
                <w:b/>
                <w:bCs/>
                <w:sz w:val="20"/>
                <w:lang w:val="fr-CH"/>
              </w:rPr>
              <w:t>octobre</w:t>
            </w:r>
            <w:r w:rsidR="00AB6AE1" w:rsidRPr="00840A9E">
              <w:rPr>
                <w:rFonts w:ascii="Verdana" w:hAnsi="Verdana"/>
                <w:b/>
                <w:bCs/>
                <w:sz w:val="20"/>
                <w:lang w:val="fr-CH"/>
              </w:rPr>
              <w:t xml:space="preserve"> 2015</w:t>
            </w:r>
          </w:p>
        </w:tc>
        <w:tc>
          <w:tcPr>
            <w:tcW w:w="2980" w:type="dxa"/>
          </w:tcPr>
          <w:p w:rsidR="00AB6AE1" w:rsidRPr="00840A9E" w:rsidRDefault="00AB6AE1" w:rsidP="00D262CE">
            <w:pPr>
              <w:spacing w:line="240" w:lineRule="atLeast"/>
              <w:jc w:val="right"/>
              <w:rPr>
                <w:lang w:val="fr-CH"/>
              </w:rPr>
            </w:pPr>
            <w:r w:rsidRPr="00840A9E">
              <w:rPr>
                <w:noProof/>
                <w:lang w:eastAsia="zh-CN"/>
              </w:rPr>
              <w:drawing>
                <wp:inline distT="0" distB="0" distL="0" distR="0" wp14:anchorId="0EE67DAE" wp14:editId="3B7031A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AE1" w:rsidRPr="00617BE4" w:rsidTr="00B64543">
        <w:trPr>
          <w:gridAfter w:val="1"/>
          <w:wAfter w:w="450" w:type="dxa"/>
          <w:cantSplit/>
        </w:trPr>
        <w:tc>
          <w:tcPr>
            <w:tcW w:w="6943" w:type="dxa"/>
            <w:tcBorders>
              <w:bottom w:val="single" w:sz="12" w:space="0" w:color="auto"/>
            </w:tcBorders>
          </w:tcPr>
          <w:p w:rsidR="00AB6AE1" w:rsidRPr="00840A9E" w:rsidRDefault="00840A9E" w:rsidP="00AB6AE1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  <w:r w:rsidRPr="00840A9E">
              <w:rPr>
                <w:rFonts w:ascii="Verdana" w:hAnsi="Verdana"/>
                <w:b/>
                <w:bCs/>
                <w:position w:val="6"/>
                <w:sz w:val="20"/>
                <w:lang w:val="fr-CH"/>
              </w:rPr>
              <w:t>UNION INTERNATIONALES DES TELECOMMUNICATIONS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AB6AE1" w:rsidRPr="00840A9E" w:rsidRDefault="00AB6AE1" w:rsidP="00AB6AE1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AB6AE1" w:rsidRPr="00C324A8" w:rsidTr="00B64543">
        <w:trPr>
          <w:gridAfter w:val="1"/>
          <w:wAfter w:w="450" w:type="dxa"/>
          <w:cantSplit/>
        </w:trPr>
        <w:tc>
          <w:tcPr>
            <w:tcW w:w="6943" w:type="dxa"/>
            <w:tcBorders>
              <w:top w:val="single" w:sz="12" w:space="0" w:color="auto"/>
            </w:tcBorders>
          </w:tcPr>
          <w:p w:rsidR="00AB6AE1" w:rsidRPr="00840A9E" w:rsidRDefault="00AB6AE1" w:rsidP="00AB6AE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2980" w:type="dxa"/>
            <w:tcBorders>
              <w:top w:val="single" w:sz="12" w:space="0" w:color="auto"/>
            </w:tcBorders>
          </w:tcPr>
          <w:p w:rsidR="00AB6AE1" w:rsidRPr="00840A9E" w:rsidRDefault="00AB6AE1" w:rsidP="00AB6AE1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AB6AE1" w:rsidRPr="00C324A8" w:rsidTr="00B64543">
        <w:trPr>
          <w:cantSplit/>
          <w:trHeight w:val="23"/>
        </w:trPr>
        <w:tc>
          <w:tcPr>
            <w:tcW w:w="6943" w:type="dxa"/>
            <w:vMerge w:val="restart"/>
          </w:tcPr>
          <w:p w:rsidR="00633ACC" w:rsidRPr="00840A9E" w:rsidRDefault="00840A9E" w:rsidP="00AB6AE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0A9E">
              <w:rPr>
                <w:rFonts w:ascii="Verdana" w:hAnsi="Verdana"/>
                <w:b/>
                <w:bCs/>
                <w:sz w:val="20"/>
                <w:lang w:val="fr-CH"/>
              </w:rPr>
              <w:t>SÉANCE PLÉNIÈRE</w:t>
            </w:r>
          </w:p>
          <w:p w:rsidR="00AB6AE1" w:rsidRPr="00840A9E" w:rsidRDefault="00AB6AE1" w:rsidP="00840A9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sz w:val="20"/>
                <w:lang w:val="fr-CH"/>
              </w:rPr>
            </w:pPr>
            <w:r w:rsidRPr="00840A9E">
              <w:rPr>
                <w:rFonts w:ascii="Verdana" w:hAnsi="Verdana"/>
                <w:sz w:val="20"/>
                <w:lang w:val="fr-CH"/>
              </w:rPr>
              <w:t>R</w:t>
            </w:r>
            <w:r w:rsidR="00840A9E" w:rsidRPr="00840A9E">
              <w:rPr>
                <w:rFonts w:ascii="Verdana" w:hAnsi="Verdana"/>
                <w:sz w:val="20"/>
                <w:lang w:val="fr-CH"/>
              </w:rPr>
              <w:t>é</w:t>
            </w:r>
            <w:r w:rsidRPr="00840A9E">
              <w:rPr>
                <w:rFonts w:ascii="Verdana" w:hAnsi="Verdana"/>
                <w:sz w:val="20"/>
                <w:lang w:val="fr-CH"/>
              </w:rPr>
              <w:t>f</w:t>
            </w:r>
            <w:r w:rsidR="00840A9E" w:rsidRPr="00840A9E">
              <w:rPr>
                <w:rFonts w:ascii="Verdana" w:hAnsi="Verdana"/>
                <w:sz w:val="20"/>
                <w:lang w:val="fr-CH"/>
              </w:rPr>
              <w:t>é</w:t>
            </w:r>
            <w:r w:rsidRPr="00840A9E">
              <w:rPr>
                <w:rFonts w:ascii="Verdana" w:hAnsi="Verdana"/>
                <w:sz w:val="20"/>
                <w:lang w:val="fr-CH"/>
              </w:rPr>
              <w:t>rence:</w:t>
            </w:r>
            <w:r w:rsidRPr="00840A9E">
              <w:rPr>
                <w:rFonts w:ascii="Verdana" w:hAnsi="Verdana"/>
                <w:sz w:val="20"/>
                <w:lang w:val="fr-CH"/>
              </w:rPr>
              <w:tab/>
              <w:t xml:space="preserve">Documents </w:t>
            </w:r>
            <w:hyperlink r:id="rId8" w:history="1">
              <w:r w:rsidRPr="00840A9E">
                <w:rPr>
                  <w:rStyle w:val="Hyperlink"/>
                  <w:rFonts w:ascii="Verdana" w:hAnsi="Verdana"/>
                  <w:sz w:val="20"/>
                  <w:lang w:val="fr-CH"/>
                </w:rPr>
                <w:t>5/1009</w:t>
              </w:r>
            </w:hyperlink>
            <w:r w:rsidRPr="00840A9E">
              <w:rPr>
                <w:rFonts w:ascii="Verdana" w:hAnsi="Verdana"/>
                <w:sz w:val="20"/>
                <w:lang w:val="fr-CH"/>
              </w:rPr>
              <w:t xml:space="preserve">, </w:t>
            </w:r>
            <w:hyperlink r:id="rId9" w:history="1">
              <w:r w:rsidRPr="00840A9E">
                <w:rPr>
                  <w:rStyle w:val="Hyperlink"/>
                  <w:rFonts w:ascii="Verdana" w:hAnsi="Verdana"/>
                  <w:sz w:val="20"/>
                  <w:lang w:val="fr-CH"/>
                </w:rPr>
                <w:t>5/214</w:t>
              </w:r>
            </w:hyperlink>
            <w:r w:rsidRPr="00840A9E">
              <w:rPr>
                <w:rFonts w:ascii="Verdana" w:hAnsi="Verdana"/>
                <w:sz w:val="20"/>
                <w:lang w:val="fr-CH"/>
              </w:rPr>
              <w:t xml:space="preserve">, </w:t>
            </w:r>
            <w:hyperlink r:id="rId10" w:history="1">
              <w:r w:rsidRPr="00840A9E">
                <w:rPr>
                  <w:rStyle w:val="Hyperlink"/>
                  <w:rFonts w:ascii="Verdana" w:hAnsi="Verdana"/>
                  <w:sz w:val="20"/>
                  <w:lang w:val="fr-CH"/>
                </w:rPr>
                <w:t>5/217</w:t>
              </w:r>
            </w:hyperlink>
            <w:r w:rsidRPr="00840A9E">
              <w:rPr>
                <w:rFonts w:ascii="Verdana" w:hAnsi="Verdana"/>
                <w:sz w:val="20"/>
                <w:lang w:val="fr-CH"/>
              </w:rPr>
              <w:t xml:space="preserve">, </w:t>
            </w:r>
            <w:hyperlink r:id="rId11" w:history="1">
              <w:r w:rsidRPr="00840A9E">
                <w:rPr>
                  <w:rStyle w:val="Hyperlink"/>
                  <w:rFonts w:ascii="Verdana" w:hAnsi="Verdana"/>
                  <w:sz w:val="20"/>
                  <w:lang w:val="fr-CH"/>
                </w:rPr>
                <w:t>5/224</w:t>
              </w:r>
            </w:hyperlink>
          </w:p>
        </w:tc>
        <w:tc>
          <w:tcPr>
            <w:tcW w:w="3430" w:type="dxa"/>
            <w:gridSpan w:val="2"/>
          </w:tcPr>
          <w:p w:rsidR="00AB6AE1" w:rsidRPr="00840A9E" w:rsidRDefault="00535F1C" w:rsidP="00840A9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840A9E">
              <w:rPr>
                <w:rFonts w:ascii="Verdana" w:hAnsi="Verdana"/>
                <w:b/>
                <w:sz w:val="20"/>
                <w:lang w:val="fr-CH"/>
              </w:rPr>
              <w:t>Document</w:t>
            </w:r>
            <w:r w:rsidR="00AB6AE1" w:rsidRPr="00840A9E">
              <w:rPr>
                <w:rFonts w:ascii="Verdana" w:hAnsi="Verdana"/>
                <w:b/>
                <w:sz w:val="20"/>
                <w:lang w:val="fr-CH"/>
              </w:rPr>
              <w:t xml:space="preserve"> RA15/PLEN/12-</w:t>
            </w:r>
            <w:r w:rsidR="00840A9E" w:rsidRPr="00840A9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AB6AE1" w:rsidRPr="00C324A8" w:rsidTr="00B64543">
        <w:trPr>
          <w:gridAfter w:val="1"/>
          <w:wAfter w:w="450" w:type="dxa"/>
          <w:cantSplit/>
          <w:trHeight w:val="23"/>
        </w:trPr>
        <w:tc>
          <w:tcPr>
            <w:tcW w:w="6943" w:type="dxa"/>
            <w:vMerge/>
          </w:tcPr>
          <w:p w:rsidR="00AB6AE1" w:rsidRPr="00840A9E" w:rsidRDefault="00AB6AE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980" w:type="dxa"/>
          </w:tcPr>
          <w:p w:rsidR="00AB6AE1" w:rsidRPr="00840A9E" w:rsidRDefault="00840A9E" w:rsidP="00AB6AE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  <w:r w:rsidRPr="00840A9E">
              <w:rPr>
                <w:rFonts w:ascii="Verdana" w:hAnsi="Verdana"/>
                <w:b/>
                <w:sz w:val="20"/>
                <w:lang w:val="fr-CH"/>
              </w:rPr>
              <w:t>5 octobre</w:t>
            </w:r>
            <w:r w:rsidR="00AB6AE1" w:rsidRPr="00840A9E">
              <w:rPr>
                <w:rFonts w:ascii="Verdana" w:hAnsi="Verdana"/>
                <w:b/>
                <w:sz w:val="20"/>
                <w:lang w:val="fr-CH"/>
              </w:rPr>
              <w:t xml:space="preserve"> 2015</w:t>
            </w:r>
          </w:p>
        </w:tc>
      </w:tr>
      <w:tr w:rsidR="00AB6AE1" w:rsidRPr="00C324A8" w:rsidTr="00B64543">
        <w:trPr>
          <w:gridAfter w:val="1"/>
          <w:wAfter w:w="450" w:type="dxa"/>
          <w:cantSplit/>
          <w:trHeight w:val="23"/>
        </w:trPr>
        <w:tc>
          <w:tcPr>
            <w:tcW w:w="6943" w:type="dxa"/>
            <w:vMerge/>
          </w:tcPr>
          <w:p w:rsidR="00AB6AE1" w:rsidRPr="00840A9E" w:rsidRDefault="00AB6AE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2980" w:type="dxa"/>
          </w:tcPr>
          <w:p w:rsidR="00AB6AE1" w:rsidRPr="00840A9E" w:rsidRDefault="00AB6AE1" w:rsidP="00840A9E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fr-CH"/>
              </w:rPr>
            </w:pPr>
            <w:r w:rsidRPr="00840A9E">
              <w:rPr>
                <w:rFonts w:ascii="Verdana" w:hAnsi="Verdana"/>
                <w:b/>
                <w:sz w:val="20"/>
                <w:lang w:val="fr-CH"/>
              </w:rPr>
              <w:t xml:space="preserve">Original: </w:t>
            </w:r>
            <w:r w:rsidR="00840A9E" w:rsidRPr="00840A9E">
              <w:rPr>
                <w:rFonts w:ascii="Verdana" w:hAnsi="Verdana"/>
                <w:b/>
                <w:sz w:val="20"/>
                <w:lang w:val="fr-CH"/>
              </w:rPr>
              <w:t>anglais</w:t>
            </w:r>
          </w:p>
        </w:tc>
      </w:tr>
      <w:tr w:rsidR="00AB6AE1" w:rsidRPr="00B64543" w:rsidTr="00B64543">
        <w:trPr>
          <w:gridAfter w:val="1"/>
          <w:wAfter w:w="450" w:type="dxa"/>
          <w:cantSplit/>
        </w:trPr>
        <w:tc>
          <w:tcPr>
            <w:tcW w:w="9923" w:type="dxa"/>
            <w:gridSpan w:val="2"/>
          </w:tcPr>
          <w:p w:rsidR="00AB6AE1" w:rsidRPr="00840A9E" w:rsidRDefault="00BF3712" w:rsidP="001B6B0E">
            <w:pPr>
              <w:pStyle w:val="Source"/>
              <w:rPr>
                <w:lang w:val="fr-CH" w:eastAsia="zh-CN"/>
              </w:rPr>
            </w:pPr>
            <w:bookmarkStart w:id="5" w:name="dsource" w:colFirst="0" w:colLast="0"/>
            <w:bookmarkEnd w:id="4"/>
            <w:r>
              <w:rPr>
                <w:lang w:val="fr-CH" w:eastAsia="zh-CN"/>
              </w:rPr>
              <w:t>Comité technique</w:t>
            </w:r>
            <w:r w:rsidR="00113F94">
              <w:rPr>
                <w:lang w:val="fr-CH" w:eastAsia="zh-CN"/>
              </w:rPr>
              <w:t xml:space="preserve"> des Unions</w:t>
            </w:r>
            <w:r w:rsidR="001B6B0E">
              <w:rPr>
                <w:lang w:val="fr-CH" w:eastAsia="zh-CN"/>
              </w:rPr>
              <w:t xml:space="preserve"> de radiodiffusion dans le monde</w:t>
            </w:r>
            <w:r>
              <w:rPr>
                <w:lang w:val="fr-CH" w:eastAsia="zh-CN"/>
              </w:rPr>
              <w:t xml:space="preserve"> </w:t>
            </w:r>
            <w:r w:rsidR="00AB6AE1" w:rsidRPr="00840A9E">
              <w:rPr>
                <w:lang w:val="fr-CH" w:eastAsia="zh-CN"/>
              </w:rPr>
              <w:t>(WBU-TC)</w:t>
            </w:r>
            <w:r w:rsidR="00AB6AE1" w:rsidRPr="00840A9E">
              <w:rPr>
                <w:rStyle w:val="FootnoteReference"/>
                <w:lang w:val="fr-CH" w:eastAsia="zh-CN"/>
              </w:rPr>
              <w:footnoteReference w:id="1"/>
            </w:r>
          </w:p>
        </w:tc>
      </w:tr>
      <w:tr w:rsidR="00AB6AE1" w:rsidRPr="00840A9E" w:rsidTr="00B64543">
        <w:trPr>
          <w:gridAfter w:val="1"/>
          <w:wAfter w:w="450" w:type="dxa"/>
          <w:cantSplit/>
        </w:trPr>
        <w:tc>
          <w:tcPr>
            <w:tcW w:w="9923" w:type="dxa"/>
            <w:gridSpan w:val="2"/>
          </w:tcPr>
          <w:p w:rsidR="00AB6AE1" w:rsidRPr="00840A9E" w:rsidRDefault="00AB6AE1" w:rsidP="00840A9E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840A9E">
              <w:rPr>
                <w:lang w:val="fr-CH"/>
              </w:rPr>
              <w:t>Comment</w:t>
            </w:r>
            <w:r w:rsidR="004C7640">
              <w:rPr>
                <w:lang w:val="fr-CH"/>
              </w:rPr>
              <w:t>aire</w:t>
            </w:r>
            <w:r w:rsidR="00840A9E" w:rsidRPr="00840A9E">
              <w:rPr>
                <w:lang w:val="fr-CH"/>
              </w:rPr>
              <w:t xml:space="preserve"> sur le</w:t>
            </w:r>
            <w:r w:rsidRPr="00840A9E">
              <w:rPr>
                <w:lang w:val="fr-CH"/>
              </w:rPr>
              <w:t xml:space="preserve"> Document 5/1009</w:t>
            </w:r>
          </w:p>
        </w:tc>
      </w:tr>
      <w:tr w:rsidR="00AB6AE1" w:rsidRPr="00B64543" w:rsidTr="00B64543">
        <w:trPr>
          <w:gridAfter w:val="1"/>
          <w:wAfter w:w="450" w:type="dxa"/>
          <w:cantSplit/>
        </w:trPr>
        <w:tc>
          <w:tcPr>
            <w:tcW w:w="9923" w:type="dxa"/>
            <w:gridSpan w:val="2"/>
          </w:tcPr>
          <w:p w:rsidR="00AB6AE1" w:rsidRPr="000B0953" w:rsidRDefault="000B0953" w:rsidP="000B0953">
            <w:pPr>
              <w:pStyle w:val="Title1"/>
              <w:rPr>
                <w:lang w:val="fr-CH"/>
              </w:rPr>
            </w:pPr>
            <w:bookmarkStart w:id="7" w:name="dtitle2" w:colFirst="0" w:colLast="0"/>
            <w:bookmarkEnd w:id="6"/>
            <w:r w:rsidRPr="000B0953">
              <w:rPr>
                <w:lang w:val="fr-CH"/>
              </w:rPr>
              <w:t>projet de nouvelle recommandation</w:t>
            </w:r>
            <w:r w:rsidR="00AB6AE1" w:rsidRPr="000B0953">
              <w:rPr>
                <w:lang w:val="fr-CH"/>
              </w:rPr>
              <w:t xml:space="preserve"> </w:t>
            </w:r>
            <w:r w:rsidRPr="000B0953">
              <w:rPr>
                <w:lang w:val="fr-CH"/>
              </w:rPr>
              <w:t>UIT</w:t>
            </w:r>
            <w:r w:rsidR="00AB6AE1" w:rsidRPr="000B0953">
              <w:rPr>
                <w:lang w:val="fr-CH"/>
              </w:rPr>
              <w:t>-R M.[BSMS700]</w:t>
            </w:r>
          </w:p>
        </w:tc>
      </w:tr>
      <w:tr w:rsidR="00AB6AE1" w:rsidRPr="00B64543" w:rsidTr="00B64543">
        <w:trPr>
          <w:gridAfter w:val="1"/>
          <w:wAfter w:w="450" w:type="dxa"/>
          <w:cantSplit/>
        </w:trPr>
        <w:tc>
          <w:tcPr>
            <w:tcW w:w="9923" w:type="dxa"/>
            <w:gridSpan w:val="2"/>
          </w:tcPr>
          <w:p w:rsidR="00AB6AE1" w:rsidRPr="00BF3712" w:rsidRDefault="00D5471F" w:rsidP="00BF3712">
            <w:pPr>
              <w:pStyle w:val="Title2"/>
              <w:rPr>
                <w:b/>
                <w:caps w:val="0"/>
                <w:lang w:val="fr-CH" w:eastAsia="ja-JP"/>
              </w:rPr>
            </w:pPr>
            <w:bookmarkStart w:id="8" w:name="dtitle3" w:colFirst="0" w:colLast="0"/>
            <w:bookmarkEnd w:id="7"/>
            <w:r w:rsidRPr="00AD2D9E">
              <w:rPr>
                <w:b/>
                <w:caps w:val="0"/>
                <w:lang w:val="fr-CH" w:eastAsia="ja-JP"/>
              </w:rPr>
              <w:t xml:space="preserve">Limites spécifiques des émissions hors bande applicables aux stations mobiles IMT exploitées dans la bande de fréquences 694-790 MHz pour la protection </w:t>
            </w:r>
            <w:r w:rsidRPr="00AD2D9E">
              <w:rPr>
                <w:b/>
                <w:caps w:val="0"/>
                <w:lang w:val="fr-CH" w:eastAsia="ja-JP"/>
              </w:rPr>
              <w:br/>
              <w:t xml:space="preserve">des services existants en Région 1 fonctionnant dans la bande </w:t>
            </w:r>
            <w:r w:rsidRPr="00AD2D9E">
              <w:rPr>
                <w:b/>
                <w:caps w:val="0"/>
                <w:lang w:val="fr-CH" w:eastAsia="ja-JP"/>
              </w:rPr>
              <w:br/>
              <w:t>de fréquences au</w:t>
            </w:r>
            <w:r w:rsidRPr="00AD2D9E">
              <w:rPr>
                <w:b/>
                <w:caps w:val="0"/>
                <w:lang w:val="fr-CH" w:eastAsia="ja-JP"/>
              </w:rPr>
              <w:noBreakHyphen/>
              <w:t>dessous de 694 MHz</w:t>
            </w:r>
          </w:p>
        </w:tc>
      </w:tr>
    </w:tbl>
    <w:p w:rsidR="00AB6AE1" w:rsidRPr="00D5471F" w:rsidRDefault="00AB6AE1" w:rsidP="000D1293">
      <w:pPr>
        <w:rPr>
          <w:lang w:val="fr-CH"/>
        </w:rPr>
      </w:pPr>
      <w:bookmarkStart w:id="9" w:name="dbreak"/>
      <w:bookmarkEnd w:id="8"/>
      <w:bookmarkEnd w:id="9"/>
    </w:p>
    <w:p w:rsidR="00BF3712" w:rsidRPr="00BF3712" w:rsidRDefault="00BF3712" w:rsidP="002A0BF4">
      <w:pPr>
        <w:rPr>
          <w:lang w:val="fr-CH"/>
        </w:rPr>
      </w:pPr>
      <w:r w:rsidRPr="00BF3712">
        <w:rPr>
          <w:lang w:val="fr-CH"/>
        </w:rPr>
        <w:t>Le projet de nouvelle Recommandation UIT-R M.[BSMS700]</w:t>
      </w:r>
      <w:r>
        <w:rPr>
          <w:lang w:val="fr-CH"/>
        </w:rPr>
        <w:t xml:space="preserve"> </w:t>
      </w:r>
      <w:r w:rsidR="009B547F">
        <w:rPr>
          <w:lang w:val="fr-CH"/>
        </w:rPr>
        <w:t>présenté</w:t>
      </w:r>
      <w:r>
        <w:rPr>
          <w:lang w:val="fr-CH"/>
        </w:rPr>
        <w:t xml:space="preserve"> dans le Document 5/1009 n’a pas été adopté lors de la réunion de la Commission d’études</w:t>
      </w:r>
      <w:r w:rsidR="001B7A09">
        <w:rPr>
          <w:lang w:val="fr-CH"/>
        </w:rPr>
        <w:t xml:space="preserve"> 5</w:t>
      </w:r>
      <w:r>
        <w:rPr>
          <w:lang w:val="fr-CH"/>
        </w:rPr>
        <w:t xml:space="preserve"> qui s’est tenue en juillet 2015, </w:t>
      </w:r>
      <w:r w:rsidR="001B7A09">
        <w:rPr>
          <w:lang w:val="fr-CH"/>
        </w:rPr>
        <w:t>faute d’un</w:t>
      </w:r>
      <w:r>
        <w:rPr>
          <w:lang w:val="fr-CH"/>
        </w:rPr>
        <w:t xml:space="preserve"> consensus entre les administrations participant</w:t>
      </w:r>
      <w:r w:rsidR="001B7A09">
        <w:rPr>
          <w:lang w:val="fr-CH"/>
        </w:rPr>
        <w:t>es</w:t>
      </w:r>
      <w:r>
        <w:rPr>
          <w:lang w:val="fr-CH"/>
        </w:rPr>
        <w:t xml:space="preserve">. Il </w:t>
      </w:r>
      <w:r w:rsidR="001B7A09">
        <w:rPr>
          <w:lang w:val="fr-CH"/>
        </w:rPr>
        <w:t>est pris note du fait</w:t>
      </w:r>
      <w:r>
        <w:rPr>
          <w:lang w:val="fr-CH"/>
        </w:rPr>
        <w:t xml:space="preserve"> que deux administrations se sont </w:t>
      </w:r>
      <w:r w:rsidR="00A1399D">
        <w:rPr>
          <w:lang w:val="fr-CH"/>
        </w:rPr>
        <w:t>opposées au projet d</w:t>
      </w:r>
      <w:bookmarkStart w:id="10" w:name="_GoBack"/>
      <w:bookmarkEnd w:id="10"/>
      <w:r w:rsidR="00A1399D">
        <w:rPr>
          <w:lang w:val="fr-CH"/>
        </w:rPr>
        <w:t>e nouvelle R</w:t>
      </w:r>
      <w:r>
        <w:rPr>
          <w:lang w:val="fr-CH"/>
        </w:rPr>
        <w:t xml:space="preserve">ecommandation </w:t>
      </w:r>
      <w:r w:rsidR="00A1399D">
        <w:rPr>
          <w:lang w:val="fr-CH"/>
        </w:rPr>
        <w:t>par le biais de</w:t>
      </w:r>
      <w:r>
        <w:rPr>
          <w:lang w:val="fr-CH"/>
        </w:rPr>
        <w:t xml:space="preserve"> contributions soumises à la Commission d’études 5 (Documents 5/217 et 5/224). </w:t>
      </w:r>
    </w:p>
    <w:p w:rsidR="00FA1FDB" w:rsidRPr="00FA1FDB" w:rsidRDefault="00FA1FDB" w:rsidP="002A0BF4">
      <w:pPr>
        <w:rPr>
          <w:lang w:val="fr-CH"/>
        </w:rPr>
      </w:pPr>
      <w:r w:rsidRPr="00FA1FDB">
        <w:rPr>
          <w:lang w:val="fr-CH" w:eastAsia="zh-CN"/>
        </w:rPr>
        <w:t xml:space="preserve">Le projet de nouvelle Recommandation </w:t>
      </w:r>
      <w:r w:rsidRPr="00BF3712">
        <w:rPr>
          <w:lang w:val="fr-CH"/>
        </w:rPr>
        <w:t>UIT-R M.[BSMS700]</w:t>
      </w:r>
      <w:r w:rsidR="00B64543">
        <w:rPr>
          <w:lang w:val="fr-CH"/>
        </w:rPr>
        <w:t xml:space="preserve"> s’intitule «</w:t>
      </w:r>
      <w:r w:rsidR="00D5471F" w:rsidRPr="00AD2D9E">
        <w:rPr>
          <w:lang w:val="fr-CH"/>
        </w:rPr>
        <w:t xml:space="preserve">Limites spécifiques des émissions hors bande applicables aux stations mobiles IMT exploitées dans la bande de fréquences 694-790 MHz pour la protection des services existants en Région 1 fonctionnant dans la bande de </w:t>
      </w:r>
      <w:r w:rsidR="00D5471F" w:rsidRPr="00AD2D9E">
        <w:rPr>
          <w:lang w:val="fr-CH"/>
        </w:rPr>
        <w:lastRenderedPageBreak/>
        <w:t>fréquences au-dessous de 694 MHz</w:t>
      </w:r>
      <w:r w:rsidR="00A1399D">
        <w:rPr>
          <w:lang w:val="fr-CH"/>
        </w:rPr>
        <w:t>». Comme l’indique son</w:t>
      </w:r>
      <w:r>
        <w:rPr>
          <w:lang w:val="fr-CH"/>
        </w:rPr>
        <w:t xml:space="preserve"> titre, ce texte propose des limites nécessaires à la protection des se</w:t>
      </w:r>
      <w:r w:rsidR="00A1399D">
        <w:rPr>
          <w:lang w:val="fr-CH"/>
        </w:rPr>
        <w:t xml:space="preserve">rvices existants, y compris le </w:t>
      </w:r>
      <w:r w:rsidR="004C7640" w:rsidRPr="004C7640">
        <w:rPr>
          <w:lang w:val="fr-CH"/>
        </w:rPr>
        <w:t>service de r</w:t>
      </w:r>
      <w:r w:rsidRPr="004C7640">
        <w:rPr>
          <w:lang w:val="fr-CH"/>
        </w:rPr>
        <w:t>adiodiffusion</w:t>
      </w:r>
      <w:r>
        <w:rPr>
          <w:lang w:val="fr-CH"/>
        </w:rPr>
        <w:t>.</w:t>
      </w:r>
    </w:p>
    <w:p w:rsidR="00FA1FDB" w:rsidRPr="00FA1FDB" w:rsidRDefault="00FA1FDB" w:rsidP="002A0BF4">
      <w:pPr>
        <w:rPr>
          <w:lang w:val="fr-CH" w:eastAsia="zh-CN"/>
        </w:rPr>
      </w:pPr>
      <w:r w:rsidRPr="00FA1FDB">
        <w:rPr>
          <w:lang w:val="fr-CH" w:eastAsia="zh-CN"/>
        </w:rPr>
        <w:t xml:space="preserve">Le Comité technique des </w:t>
      </w:r>
      <w:r w:rsidR="009B547F">
        <w:rPr>
          <w:lang w:val="fr-CH" w:eastAsia="zh-CN"/>
        </w:rPr>
        <w:t xml:space="preserve">Unions de radiodiffusion dans le monde </w:t>
      </w:r>
      <w:r>
        <w:rPr>
          <w:lang w:val="fr-CH" w:eastAsia="zh-CN"/>
        </w:rPr>
        <w:t xml:space="preserve">(WBU-TC) représente des organisations de radiodiffusion </w:t>
      </w:r>
      <w:r w:rsidR="00A1399D">
        <w:rPr>
          <w:lang w:val="fr-CH" w:eastAsia="zh-CN"/>
        </w:rPr>
        <w:t>de</w:t>
      </w:r>
      <w:r>
        <w:rPr>
          <w:lang w:val="fr-CH" w:eastAsia="zh-CN"/>
        </w:rPr>
        <w:t xml:space="preserve"> l’ensemble de la Région 1 ainsi que </w:t>
      </w:r>
      <w:r w:rsidR="00A1399D">
        <w:rPr>
          <w:lang w:val="fr-CH" w:eastAsia="zh-CN"/>
        </w:rPr>
        <w:t>d</w:t>
      </w:r>
      <w:r>
        <w:rPr>
          <w:lang w:val="fr-CH" w:eastAsia="zh-CN"/>
        </w:rPr>
        <w:t xml:space="preserve">es Régions 2 et 3. Le WBU-TC est </w:t>
      </w:r>
      <w:r w:rsidR="00DF665C">
        <w:rPr>
          <w:lang w:val="fr-CH" w:eastAsia="zh-CN"/>
        </w:rPr>
        <w:t>préoccupé</w:t>
      </w:r>
      <w:r w:rsidR="004245EB">
        <w:rPr>
          <w:lang w:val="fr-CH" w:eastAsia="zh-CN"/>
        </w:rPr>
        <w:t xml:space="preserve"> par les propositions fai</w:t>
      </w:r>
      <w:r w:rsidR="00DF665C">
        <w:rPr>
          <w:lang w:val="fr-CH" w:eastAsia="zh-CN"/>
        </w:rPr>
        <w:t>tes dans ce projet de nouvelle R</w:t>
      </w:r>
      <w:r w:rsidR="004245EB">
        <w:rPr>
          <w:lang w:val="fr-CH" w:eastAsia="zh-CN"/>
        </w:rPr>
        <w:t xml:space="preserve">ecommandation et par le processus d’élaboration de celui-ci. </w:t>
      </w:r>
    </w:p>
    <w:p w:rsidR="004245EB" w:rsidRPr="004245EB" w:rsidRDefault="004245EB" w:rsidP="002A0BF4">
      <w:pPr>
        <w:rPr>
          <w:lang w:val="fr-CH"/>
        </w:rPr>
      </w:pPr>
      <w:r w:rsidRPr="004245EB">
        <w:rPr>
          <w:lang w:val="fr-CH"/>
        </w:rPr>
        <w:t>Le WBU-TC souhaite attire</w:t>
      </w:r>
      <w:r>
        <w:rPr>
          <w:lang w:val="fr-CH"/>
        </w:rPr>
        <w:t>r</w:t>
      </w:r>
      <w:r w:rsidR="004C7640">
        <w:rPr>
          <w:lang w:val="fr-CH"/>
        </w:rPr>
        <w:t xml:space="preserve"> l’attention des a</w:t>
      </w:r>
      <w:r w:rsidRPr="004245EB">
        <w:rPr>
          <w:lang w:val="fr-CH"/>
        </w:rPr>
        <w:t xml:space="preserve">dministrations sur le fait qu’une limite </w:t>
      </w:r>
      <w:r w:rsidR="00D02183">
        <w:rPr>
          <w:lang w:val="fr-CH"/>
        </w:rPr>
        <w:t xml:space="preserve">des </w:t>
      </w:r>
      <w:r w:rsidRPr="004245EB">
        <w:rPr>
          <w:lang w:val="fr-CH"/>
        </w:rPr>
        <w:t>émissions hors bande</w:t>
      </w:r>
      <w:r w:rsidR="00DF665C">
        <w:rPr>
          <w:lang w:val="fr-CH"/>
        </w:rPr>
        <w:t xml:space="preserve"> de -25dBm/8 MHz</w:t>
      </w:r>
      <w:r>
        <w:rPr>
          <w:lang w:val="fr-CH"/>
        </w:rPr>
        <w:t xml:space="preserve"> telle qu</w:t>
      </w:r>
      <w:r w:rsidR="00DF665C">
        <w:rPr>
          <w:lang w:val="fr-CH"/>
        </w:rPr>
        <w:t>e proposée dans le projet de nouvelle Recommandation</w:t>
      </w:r>
      <w:r>
        <w:rPr>
          <w:lang w:val="fr-CH"/>
        </w:rPr>
        <w:t xml:space="preserve"> </w:t>
      </w:r>
      <w:r w:rsidR="00DF665C">
        <w:rPr>
          <w:lang w:val="fr-CH"/>
        </w:rPr>
        <w:t xml:space="preserve">n’est pas conforme aux critères de protection applicables </w:t>
      </w:r>
      <w:r w:rsidR="004C7640">
        <w:rPr>
          <w:lang w:val="fr-CH"/>
        </w:rPr>
        <w:t>au service de radiodiffusion</w:t>
      </w:r>
      <w:r>
        <w:rPr>
          <w:lang w:val="fr-CH"/>
        </w:rPr>
        <w:t>.</w:t>
      </w:r>
    </w:p>
    <w:p w:rsidR="00AB6AE1" w:rsidRDefault="004245EB" w:rsidP="002A0BF4">
      <w:pPr>
        <w:rPr>
          <w:lang w:val="fr-CH"/>
        </w:rPr>
      </w:pPr>
      <w:r w:rsidRPr="004245EB">
        <w:rPr>
          <w:lang w:val="fr-CH"/>
        </w:rPr>
        <w:t>Le projet de nou</w:t>
      </w:r>
      <w:r w:rsidR="00DF665C">
        <w:rPr>
          <w:lang w:val="fr-CH"/>
        </w:rPr>
        <w:t>velle R</w:t>
      </w:r>
      <w:r w:rsidRPr="004245EB">
        <w:rPr>
          <w:lang w:val="fr-CH"/>
        </w:rPr>
        <w:t xml:space="preserve">ecommandation </w:t>
      </w:r>
      <w:r w:rsidR="009D0981">
        <w:rPr>
          <w:lang w:val="fr-CH"/>
        </w:rPr>
        <w:t>dont il est question</w:t>
      </w:r>
      <w:r w:rsidRPr="004245EB">
        <w:rPr>
          <w:lang w:val="fr-CH"/>
        </w:rPr>
        <w:t xml:space="preserve"> a été élaboré par le Groupe de travail 5D</w:t>
      </w:r>
      <w:r>
        <w:rPr>
          <w:lang w:val="fr-CH"/>
        </w:rPr>
        <w:t>. Ce dernier n’a reçu qu’une seule étu</w:t>
      </w:r>
      <w:r w:rsidR="00DF665C">
        <w:rPr>
          <w:lang w:val="fr-CH"/>
        </w:rPr>
        <w:t xml:space="preserve">de concernant la protection du </w:t>
      </w:r>
      <w:r w:rsidR="004C7640">
        <w:rPr>
          <w:lang w:val="fr-CH"/>
        </w:rPr>
        <w:t>service de radiodiffusion</w:t>
      </w:r>
      <w:r>
        <w:rPr>
          <w:lang w:val="fr-CH"/>
        </w:rPr>
        <w:t xml:space="preserve">, </w:t>
      </w:r>
      <w:r w:rsidR="009D0981">
        <w:rPr>
          <w:lang w:val="fr-CH"/>
        </w:rPr>
        <w:t>étude dont</w:t>
      </w:r>
      <w:r>
        <w:rPr>
          <w:lang w:val="fr-CH"/>
        </w:rPr>
        <w:t xml:space="preserve"> </w:t>
      </w:r>
      <w:r w:rsidR="00DF665C">
        <w:rPr>
          <w:lang w:val="fr-CH"/>
        </w:rPr>
        <w:t xml:space="preserve">le projet de nouvelle Recommandation ne reflète pas </w:t>
      </w:r>
      <w:r>
        <w:rPr>
          <w:lang w:val="fr-CH"/>
        </w:rPr>
        <w:t>les résultats</w:t>
      </w:r>
      <w:r w:rsidR="00DF665C">
        <w:rPr>
          <w:lang w:val="fr-CH"/>
        </w:rPr>
        <w:t>, ce qui est contraire à</w:t>
      </w:r>
      <w:r w:rsidR="002C495D">
        <w:rPr>
          <w:lang w:val="fr-CH"/>
        </w:rPr>
        <w:t xml:space="preserve"> la disposition</w:t>
      </w:r>
      <w:r w:rsidR="002C495D" w:rsidRPr="002C495D">
        <w:rPr>
          <w:lang w:val="fr-CH"/>
        </w:rPr>
        <w:t xml:space="preserve"> </w:t>
      </w:r>
      <w:r w:rsidR="002C495D">
        <w:rPr>
          <w:lang w:val="fr-CH"/>
        </w:rPr>
        <w:t>de la Résolutio</w:t>
      </w:r>
      <w:r w:rsidR="00D02183">
        <w:rPr>
          <w:lang w:val="fr-CH"/>
        </w:rPr>
        <w:t>n UIT-R 1-6 selon laquelle une R</w:t>
      </w:r>
      <w:r w:rsidR="002C495D">
        <w:rPr>
          <w:lang w:val="fr-CH"/>
        </w:rPr>
        <w:t>ecommandation dev</w:t>
      </w:r>
      <w:r w:rsidR="00B64543">
        <w:rPr>
          <w:lang w:val="fr-CH"/>
        </w:rPr>
        <w:t>rait être préparée uniquement «</w:t>
      </w:r>
      <w:r w:rsidR="002C495D" w:rsidRPr="00AD2D9E">
        <w:rPr>
          <w:lang w:val="fr-CH"/>
        </w:rPr>
        <w:t>lorsque l'étude est parvenue à un degré d'élaboration avancé</w:t>
      </w:r>
      <w:r w:rsidR="00AB6AE1">
        <w:rPr>
          <w:rStyle w:val="FootnoteReference"/>
        </w:rPr>
        <w:footnoteReference w:id="2"/>
      </w:r>
      <w:r w:rsidR="00B64543">
        <w:rPr>
          <w:lang w:val="fr-CH"/>
        </w:rPr>
        <w:t>.</w:t>
      </w:r>
      <w:r w:rsidR="002C495D">
        <w:rPr>
          <w:lang w:val="fr-CH"/>
        </w:rPr>
        <w:t>»</w:t>
      </w:r>
    </w:p>
    <w:p w:rsidR="00AB6AE1" w:rsidRPr="00DF665C" w:rsidRDefault="002C495D" w:rsidP="002A0BF4">
      <w:pPr>
        <w:rPr>
          <w:lang w:val="fr-CH"/>
        </w:rPr>
      </w:pPr>
      <w:r>
        <w:rPr>
          <w:lang w:val="fr-CH"/>
        </w:rPr>
        <w:t>De plus, alors que ce projet de nouvelle Recommandation traite clairement de la protection d’un service qui relève de la compétence d’une</w:t>
      </w:r>
      <w:r w:rsidR="00DF665C">
        <w:rPr>
          <w:lang w:val="fr-CH"/>
        </w:rPr>
        <w:t xml:space="preserve"> autre Commission d’études, la R</w:t>
      </w:r>
      <w:r>
        <w:rPr>
          <w:lang w:val="fr-CH"/>
        </w:rPr>
        <w:t xml:space="preserve">ecommandation proposée n’a pas été </w:t>
      </w:r>
      <w:r w:rsidR="00DF665C">
        <w:rPr>
          <w:lang w:val="fr-CH"/>
        </w:rPr>
        <w:t>soumise</w:t>
      </w:r>
      <w:r>
        <w:rPr>
          <w:lang w:val="fr-CH"/>
        </w:rPr>
        <w:t xml:space="preserve"> à la Commission d’études 6 pour approbation, ce qui va à l’</w:t>
      </w:r>
      <w:r w:rsidR="00B5235A">
        <w:rPr>
          <w:lang w:val="fr-CH"/>
        </w:rPr>
        <w:t>encontre</w:t>
      </w:r>
      <w:r>
        <w:rPr>
          <w:lang w:val="fr-CH"/>
        </w:rPr>
        <w:t xml:space="preserve"> des dispositions de la Résolution UIT-R 1-6</w:t>
      </w:r>
      <w:r w:rsidR="00B5235A">
        <w:rPr>
          <w:lang w:val="fr-CH"/>
        </w:rPr>
        <w:t>:</w:t>
      </w:r>
    </w:p>
    <w:p w:rsidR="00AB6AE1" w:rsidRPr="00B5235A" w:rsidRDefault="00B64543" w:rsidP="002A0BF4">
      <w:pPr>
        <w:ind w:left="1134" w:right="1417"/>
        <w:rPr>
          <w:i/>
          <w:iCs/>
          <w:lang w:val="fr-CH"/>
        </w:rPr>
      </w:pPr>
      <w:r>
        <w:rPr>
          <w:i/>
          <w:iCs/>
          <w:lang w:val="fr-CH"/>
        </w:rPr>
        <w:t>«</w:t>
      </w:r>
      <w:r w:rsidR="00B5235A" w:rsidRPr="00AD2D9E">
        <w:rPr>
          <w:i/>
          <w:iCs/>
          <w:lang w:val="fr-CH"/>
        </w:rPr>
        <w:t>Les Commissions d'études qui élaborent des Recommandations comprenant des critères de partage applicables à des services de radiocommunication doivent, avant l'adoption de ces Recommandations, obtenir l'accord des Commissions d'études responsables de ces services</w:t>
      </w:r>
      <w:r w:rsidR="00AB6AE1">
        <w:rPr>
          <w:rStyle w:val="FootnoteReference"/>
          <w:i/>
          <w:iCs/>
        </w:rPr>
        <w:footnoteReference w:id="3"/>
      </w:r>
      <w:r>
        <w:rPr>
          <w:i/>
          <w:iCs/>
          <w:lang w:val="fr-CH"/>
        </w:rPr>
        <w:t>.</w:t>
      </w:r>
      <w:r w:rsidR="00B5235A">
        <w:rPr>
          <w:i/>
          <w:iCs/>
          <w:lang w:val="fr-CH"/>
        </w:rPr>
        <w:t>»</w:t>
      </w:r>
    </w:p>
    <w:p w:rsidR="00B5235A" w:rsidRPr="00B5235A" w:rsidRDefault="00B5235A" w:rsidP="002A0BF4">
      <w:pPr>
        <w:rPr>
          <w:lang w:val="fr-CH"/>
        </w:rPr>
      </w:pPr>
      <w:r w:rsidRPr="00B5235A">
        <w:rPr>
          <w:lang w:val="fr-CH"/>
        </w:rPr>
        <w:t xml:space="preserve">Le WBU-TC souhaite donc </w:t>
      </w:r>
      <w:r w:rsidR="001B7A09" w:rsidRPr="00B5235A">
        <w:rPr>
          <w:lang w:val="fr-CH"/>
        </w:rPr>
        <w:t>exprimer</w:t>
      </w:r>
      <w:r w:rsidRPr="00B5235A">
        <w:rPr>
          <w:lang w:val="fr-CH"/>
        </w:rPr>
        <w:t xml:space="preserve"> </w:t>
      </w:r>
      <w:r w:rsidR="009D0981">
        <w:rPr>
          <w:lang w:val="fr-CH"/>
        </w:rPr>
        <w:t>fermement</w:t>
      </w:r>
      <w:r w:rsidRPr="00B5235A">
        <w:rPr>
          <w:lang w:val="fr-CH"/>
        </w:rPr>
        <w:t xml:space="preserve"> sa </w:t>
      </w:r>
      <w:r w:rsidR="00125C9F">
        <w:rPr>
          <w:lang w:val="fr-CH"/>
        </w:rPr>
        <w:t>préoccupation</w:t>
      </w:r>
      <w:r w:rsidRPr="00B5235A">
        <w:rPr>
          <w:lang w:val="fr-CH"/>
        </w:rPr>
        <w:t xml:space="preserve"> </w:t>
      </w:r>
      <w:r w:rsidR="00125C9F">
        <w:rPr>
          <w:lang w:val="fr-CH"/>
        </w:rPr>
        <w:t>à l’égard</w:t>
      </w:r>
      <w:r w:rsidRPr="00B5235A">
        <w:rPr>
          <w:lang w:val="fr-CH"/>
        </w:rPr>
        <w:t xml:space="preserve"> du contenu du projet de nouvelle </w:t>
      </w:r>
      <w:r w:rsidR="00125C9F">
        <w:rPr>
          <w:lang w:val="fr-CH"/>
        </w:rPr>
        <w:t>R</w:t>
      </w:r>
      <w:r w:rsidR="001B7A09" w:rsidRPr="00B5235A">
        <w:rPr>
          <w:lang w:val="fr-CH"/>
        </w:rPr>
        <w:t>ecommandation</w:t>
      </w:r>
      <w:r w:rsidRPr="00B5235A">
        <w:rPr>
          <w:lang w:val="fr-CH"/>
        </w:rPr>
        <w:t xml:space="preserve"> </w:t>
      </w:r>
      <w:r>
        <w:rPr>
          <w:lang w:val="fr-CH"/>
        </w:rPr>
        <w:t>dont il est question, et propose que le projet soit renvoyé à la Commission d’études 5</w:t>
      </w:r>
      <w:r w:rsidR="00964EC8">
        <w:rPr>
          <w:lang w:val="fr-CH"/>
        </w:rPr>
        <w:t xml:space="preserve"> afin que celle-ci consulte la Commission d’études 6 en vue de parvenir à un accord au cours de la prochaine période d’études, </w:t>
      </w:r>
      <w:r w:rsidR="00125C9F">
        <w:rPr>
          <w:lang w:val="fr-CH"/>
        </w:rPr>
        <w:t>et</w:t>
      </w:r>
      <w:r w:rsidR="00964EC8">
        <w:rPr>
          <w:lang w:val="fr-CH"/>
        </w:rPr>
        <w:t xml:space="preserve"> qu’aucune autre mesure </w:t>
      </w:r>
      <w:r w:rsidR="00125C9F">
        <w:rPr>
          <w:lang w:val="fr-CH"/>
        </w:rPr>
        <w:t>ne soit prise par l’Assemblée des radiocommunications pour le moment.</w:t>
      </w:r>
    </w:p>
    <w:p w:rsidR="00B64849" w:rsidRPr="004C7640" w:rsidRDefault="00B64849" w:rsidP="0032202E">
      <w:pPr>
        <w:pStyle w:val="Reasons"/>
        <w:rPr>
          <w:lang w:val="fr-CH"/>
        </w:rPr>
      </w:pPr>
    </w:p>
    <w:p w:rsidR="00D50D44" w:rsidRPr="00880578" w:rsidRDefault="00B64849" w:rsidP="00A44CBD">
      <w:pPr>
        <w:jc w:val="center"/>
      </w:pPr>
      <w:r>
        <w:t>______________</w:t>
      </w:r>
    </w:p>
    <w:sectPr w:rsidR="00D50D44" w:rsidRPr="00880578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D2" w:rsidRDefault="00A106D2">
      <w:r>
        <w:separator/>
      </w:r>
    </w:p>
  </w:endnote>
  <w:endnote w:type="continuationSeparator" w:id="0">
    <w:p w:rsidR="00A106D2" w:rsidRDefault="00A1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4B5322" w:rsidRDefault="009447A3">
    <w:pPr>
      <w:rPr>
        <w:lang w:val="es-ES_tradnl"/>
      </w:rPr>
    </w:pPr>
    <w:r>
      <w:fldChar w:fldCharType="begin"/>
    </w:r>
    <w:r w:rsidRPr="004B5322">
      <w:rPr>
        <w:lang w:val="es-ES_tradnl"/>
      </w:rPr>
      <w:instrText xml:space="preserve"> FILENAME \p  \* MERGEFORMAT </w:instrText>
    </w:r>
    <w:r>
      <w:fldChar w:fldCharType="separate"/>
    </w:r>
    <w:r w:rsidR="004B5322" w:rsidRPr="004B5322">
      <w:rPr>
        <w:noProof/>
        <w:lang w:val="es-ES_tradnl"/>
      </w:rPr>
      <w:t>P:\FRA\ITU-R\CONF-R\AR15\PLEN\000\012F.docx</w:t>
    </w:r>
    <w:r>
      <w:fldChar w:fldCharType="end"/>
    </w:r>
    <w:r w:rsidRPr="004B532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5322">
      <w:rPr>
        <w:noProof/>
      </w:rPr>
      <w:t>13.10.15</w:t>
    </w:r>
    <w:r>
      <w:fldChar w:fldCharType="end"/>
    </w:r>
    <w:r w:rsidRPr="004B532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5322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B9305E" w:rsidRDefault="00B64849" w:rsidP="00B64849">
    <w:pPr>
      <w:pStyle w:val="Footer"/>
      <w:rPr>
        <w:lang w:val="es-ES"/>
      </w:rPr>
    </w:pPr>
    <w:r>
      <w:rPr>
        <w:noProof w:val="0"/>
        <w:sz w:val="24"/>
      </w:rPr>
      <w:fldChar w:fldCharType="begin"/>
    </w:r>
    <w:r w:rsidRPr="00B9305E">
      <w:rPr>
        <w:lang w:val="es-E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4B5322">
      <w:rPr>
        <w:lang w:val="es-ES"/>
      </w:rPr>
      <w:t>P:\FRA\ITU-R\CONF-R\AR15\PLEN\000\012F.docx</w:t>
    </w:r>
    <w:r>
      <w:fldChar w:fldCharType="end"/>
    </w:r>
    <w:r w:rsidR="00B9305E" w:rsidRPr="00B9305E">
      <w:rPr>
        <w:lang w:val="es-ES"/>
      </w:rPr>
      <w:t xml:space="preserve"> (387560)</w:t>
    </w:r>
    <w:r w:rsidRPr="00B9305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5322">
      <w:t>13.10.15</w:t>
    </w:r>
    <w:r>
      <w:fldChar w:fldCharType="end"/>
    </w:r>
    <w:r w:rsidRPr="00B9305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5322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B9305E" w:rsidRDefault="00B64849" w:rsidP="00B64849">
    <w:pPr>
      <w:pStyle w:val="Footer"/>
      <w:rPr>
        <w:lang w:val="es-ES"/>
      </w:rPr>
    </w:pPr>
    <w:r>
      <w:rPr>
        <w:noProof w:val="0"/>
        <w:sz w:val="24"/>
      </w:rPr>
      <w:fldChar w:fldCharType="begin"/>
    </w:r>
    <w:r w:rsidRPr="00B9305E">
      <w:rPr>
        <w:lang w:val="es-E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4B5322">
      <w:rPr>
        <w:lang w:val="es-ES"/>
      </w:rPr>
      <w:t>P:\FRA\ITU-R\CONF-R\AR15\PLEN\000\012F.docx</w:t>
    </w:r>
    <w:r>
      <w:fldChar w:fldCharType="end"/>
    </w:r>
    <w:r w:rsidR="00B9305E" w:rsidRPr="00B9305E">
      <w:rPr>
        <w:lang w:val="es-ES"/>
      </w:rPr>
      <w:t xml:space="preserve"> (387560)</w:t>
    </w:r>
    <w:r w:rsidRPr="00B9305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5322">
      <w:t>13.10.15</w:t>
    </w:r>
    <w:r>
      <w:fldChar w:fldCharType="end"/>
    </w:r>
    <w:r w:rsidRPr="00B9305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5322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D2" w:rsidRDefault="00A106D2">
      <w:r>
        <w:rPr>
          <w:b/>
        </w:rPr>
        <w:t>_______________</w:t>
      </w:r>
    </w:p>
  </w:footnote>
  <w:footnote w:type="continuationSeparator" w:id="0">
    <w:p w:rsidR="00A106D2" w:rsidRDefault="00A106D2">
      <w:r>
        <w:continuationSeparator/>
      </w:r>
    </w:p>
  </w:footnote>
  <w:footnote w:id="1">
    <w:p w:rsidR="00AB6AE1" w:rsidRPr="00BF3712" w:rsidRDefault="00AB6AE1" w:rsidP="00D0218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F3712">
        <w:rPr>
          <w:lang w:val="fr-CH"/>
        </w:rPr>
        <w:t xml:space="preserve"> </w:t>
      </w:r>
      <w:r w:rsidR="00BF3712" w:rsidRPr="00BF3712">
        <w:rPr>
          <w:color w:val="000000"/>
          <w:lang w:val="fr-CH"/>
        </w:rPr>
        <w:t>Le WBU-TC est l'organe technique permanent de</w:t>
      </w:r>
      <w:r w:rsidR="00113F94">
        <w:rPr>
          <w:color w:val="000000"/>
          <w:lang w:val="fr-CH"/>
        </w:rPr>
        <w:t>s</w:t>
      </w:r>
      <w:r w:rsidR="00BF3712" w:rsidRPr="00BF3712">
        <w:rPr>
          <w:color w:val="000000"/>
          <w:lang w:val="fr-CH"/>
        </w:rPr>
        <w:t xml:space="preserve"> </w:t>
      </w:r>
      <w:r w:rsidR="001B6B0E">
        <w:rPr>
          <w:lang w:val="fr-CH" w:eastAsia="zh-CN"/>
        </w:rPr>
        <w:t>Unions de radiodiffusion dans le monde</w:t>
      </w:r>
      <w:r w:rsidR="00BF3712" w:rsidRPr="00BF3712">
        <w:rPr>
          <w:color w:val="000000"/>
          <w:lang w:val="fr-CH"/>
        </w:rPr>
        <w:t>, dont les membres sont les suivants:</w:t>
      </w:r>
    </w:p>
    <w:p w:rsidR="00AB6AE1" w:rsidRPr="00113F94" w:rsidRDefault="00AB6AE1" w:rsidP="00D02183">
      <w:pPr>
        <w:pStyle w:val="FootnoteText"/>
        <w:rPr>
          <w:lang w:val="fr-CH"/>
        </w:rPr>
      </w:pPr>
      <w:r w:rsidRPr="00113F94">
        <w:rPr>
          <w:lang w:val="fr-CH"/>
        </w:rPr>
        <w:t>•</w:t>
      </w:r>
      <w:r w:rsidRPr="00113F94">
        <w:rPr>
          <w:lang w:val="fr-CH"/>
        </w:rPr>
        <w:tab/>
      </w:r>
      <w:r w:rsidR="00113F94" w:rsidRPr="00113F94">
        <w:rPr>
          <w:color w:val="000000"/>
          <w:lang w:val="fr-CH"/>
        </w:rPr>
        <w:t xml:space="preserve">l'Union de radiodiffusion Asie-Pacifique </w:t>
      </w:r>
      <w:r w:rsidRPr="00113F94">
        <w:rPr>
          <w:lang w:val="fr-CH"/>
        </w:rPr>
        <w:t>(ABU)</w:t>
      </w:r>
    </w:p>
    <w:p w:rsidR="00AB6AE1" w:rsidRPr="00113F94" w:rsidRDefault="00AB6AE1" w:rsidP="00D02183">
      <w:pPr>
        <w:pStyle w:val="FootnoteText"/>
        <w:rPr>
          <w:lang w:val="fr-CH"/>
        </w:rPr>
      </w:pPr>
      <w:r w:rsidRPr="00113F94">
        <w:rPr>
          <w:lang w:val="fr-CH"/>
        </w:rPr>
        <w:t>•</w:t>
      </w:r>
      <w:r w:rsidRPr="00113F94">
        <w:rPr>
          <w:lang w:val="fr-CH"/>
        </w:rPr>
        <w:tab/>
      </w:r>
      <w:r w:rsidR="00113F94">
        <w:rPr>
          <w:lang w:val="fr-CH"/>
        </w:rPr>
        <w:t>l’</w:t>
      </w:r>
      <w:r w:rsidR="00113F94" w:rsidRPr="00113F94">
        <w:rPr>
          <w:color w:val="000000"/>
          <w:lang w:val="fr-CH"/>
        </w:rPr>
        <w:t xml:space="preserve">Union de radiodiffusion des Etats arabes </w:t>
      </w:r>
      <w:r w:rsidRPr="00113F94">
        <w:rPr>
          <w:lang w:val="fr-CH"/>
        </w:rPr>
        <w:t>(ASBU)</w:t>
      </w:r>
    </w:p>
    <w:p w:rsidR="00AB6AE1" w:rsidRPr="00113F94" w:rsidRDefault="00AB6AE1" w:rsidP="00D02183">
      <w:pPr>
        <w:pStyle w:val="FootnoteText"/>
        <w:rPr>
          <w:lang w:val="fr-CH"/>
        </w:rPr>
      </w:pPr>
      <w:r w:rsidRPr="00113F94">
        <w:rPr>
          <w:lang w:val="fr-CH"/>
        </w:rPr>
        <w:t>•</w:t>
      </w:r>
      <w:r w:rsidRPr="00113F94">
        <w:rPr>
          <w:lang w:val="fr-CH"/>
        </w:rPr>
        <w:tab/>
      </w:r>
      <w:r w:rsidR="00113F94">
        <w:rPr>
          <w:lang w:val="fr-CH"/>
        </w:rPr>
        <w:t>l’</w:t>
      </w:r>
      <w:r w:rsidR="00113F94" w:rsidRPr="00113F94">
        <w:rPr>
          <w:color w:val="000000"/>
          <w:lang w:val="fr-CH"/>
        </w:rPr>
        <w:t>Union africaine de radiodiffusion (UAR)</w:t>
      </w:r>
      <w:r w:rsidR="00113F94" w:rsidRPr="00113F94">
        <w:rPr>
          <w:lang w:val="fr-CH"/>
        </w:rPr>
        <w:t xml:space="preserve"> </w:t>
      </w:r>
    </w:p>
    <w:p w:rsidR="00AB6AE1" w:rsidRPr="00113F94" w:rsidRDefault="00AB6AE1" w:rsidP="00D02183">
      <w:pPr>
        <w:pStyle w:val="FootnoteText"/>
        <w:rPr>
          <w:lang w:val="fr-CH"/>
        </w:rPr>
      </w:pPr>
      <w:r w:rsidRPr="00113F94">
        <w:rPr>
          <w:lang w:val="fr-CH"/>
        </w:rPr>
        <w:t>•</w:t>
      </w:r>
      <w:r w:rsidRPr="00113F94">
        <w:rPr>
          <w:lang w:val="fr-CH"/>
        </w:rPr>
        <w:tab/>
      </w:r>
      <w:r w:rsidR="00FA1FDB">
        <w:rPr>
          <w:lang w:val="fr-CH"/>
        </w:rPr>
        <w:t>l’</w:t>
      </w:r>
      <w:r w:rsidR="00113F94" w:rsidRPr="00113F94">
        <w:rPr>
          <w:lang w:val="fr-CH"/>
        </w:rPr>
        <w:t>Union de radiodiffusion des Caraïbes (CBU)</w:t>
      </w:r>
    </w:p>
    <w:p w:rsidR="00AB6AE1" w:rsidRPr="00FA1FDB" w:rsidRDefault="00AB6AE1" w:rsidP="00D02183">
      <w:pPr>
        <w:pStyle w:val="FootnoteText"/>
        <w:rPr>
          <w:lang w:val="fr-CH"/>
        </w:rPr>
      </w:pPr>
      <w:r w:rsidRPr="00FA1FDB">
        <w:rPr>
          <w:lang w:val="fr-CH"/>
        </w:rPr>
        <w:t>•</w:t>
      </w:r>
      <w:r w:rsidRPr="00FA1FDB">
        <w:rPr>
          <w:lang w:val="fr-CH"/>
        </w:rPr>
        <w:tab/>
      </w:r>
      <w:r w:rsidR="00FA1FDB">
        <w:rPr>
          <w:lang w:val="fr-CH"/>
        </w:rPr>
        <w:t>l’</w:t>
      </w:r>
      <w:r w:rsidR="00FA1FDB" w:rsidRPr="00FA1FDB">
        <w:rPr>
          <w:color w:val="000000"/>
          <w:lang w:val="fr-CH"/>
        </w:rPr>
        <w:t>Union européenne de Radio-Télévision (UER)</w:t>
      </w:r>
    </w:p>
    <w:p w:rsidR="00AB6AE1" w:rsidRPr="00FA1FDB" w:rsidRDefault="00AB6AE1" w:rsidP="00D02183">
      <w:pPr>
        <w:pStyle w:val="FootnoteText"/>
        <w:rPr>
          <w:lang w:val="fr-CH"/>
        </w:rPr>
      </w:pPr>
      <w:r w:rsidRPr="00FA1FDB">
        <w:rPr>
          <w:lang w:val="fr-CH"/>
        </w:rPr>
        <w:t>•</w:t>
      </w:r>
      <w:r w:rsidRPr="00FA1FDB">
        <w:rPr>
          <w:lang w:val="fr-CH"/>
        </w:rPr>
        <w:tab/>
      </w:r>
      <w:r w:rsidR="00FA1FDB">
        <w:rPr>
          <w:lang w:val="fr-CH"/>
        </w:rPr>
        <w:t>l’</w:t>
      </w:r>
      <w:r w:rsidR="00FA1FDB" w:rsidRPr="00FA1FDB">
        <w:rPr>
          <w:color w:val="000000"/>
          <w:lang w:val="fr-CH"/>
        </w:rPr>
        <w:t>Association internationale de radiodiffusion</w:t>
      </w:r>
      <w:r w:rsidR="00FA1FDB" w:rsidRPr="00FA1FDB">
        <w:rPr>
          <w:lang w:val="fr-CH"/>
        </w:rPr>
        <w:t xml:space="preserve"> </w:t>
      </w:r>
      <w:r w:rsidRPr="00FA1FDB">
        <w:rPr>
          <w:lang w:val="fr-CH"/>
        </w:rPr>
        <w:t>(</w:t>
      </w:r>
      <w:r w:rsidR="00FA1FDB">
        <w:rPr>
          <w:lang w:val="fr-CH"/>
        </w:rPr>
        <w:t>AIR</w:t>
      </w:r>
      <w:r w:rsidRPr="00FA1FDB">
        <w:rPr>
          <w:lang w:val="fr-CH"/>
        </w:rPr>
        <w:t>)</w:t>
      </w:r>
    </w:p>
    <w:p w:rsidR="00AB6AE1" w:rsidRPr="009B547F" w:rsidRDefault="00AB6AE1" w:rsidP="00B64543">
      <w:pPr>
        <w:pStyle w:val="FootnoteText"/>
        <w:ind w:left="255" w:hanging="255"/>
        <w:rPr>
          <w:lang w:val="fr-CH"/>
        </w:rPr>
      </w:pPr>
      <w:r w:rsidRPr="009B547F">
        <w:rPr>
          <w:lang w:val="fr-CH"/>
        </w:rPr>
        <w:t>•</w:t>
      </w:r>
      <w:r w:rsidRPr="009B547F">
        <w:rPr>
          <w:lang w:val="fr-CH"/>
        </w:rPr>
        <w:tab/>
      </w:r>
      <w:r w:rsidR="003F2051" w:rsidRPr="009B547F">
        <w:rPr>
          <w:lang w:val="fr-CH"/>
        </w:rPr>
        <w:t>l</w:t>
      </w:r>
      <w:r w:rsidR="00FA1FDB" w:rsidRPr="009B547F">
        <w:rPr>
          <w:lang w:val="fr-CH"/>
        </w:rPr>
        <w:t xml:space="preserve">a </w:t>
      </w:r>
      <w:r w:rsidRPr="009B547F">
        <w:rPr>
          <w:lang w:val="fr-CH"/>
        </w:rPr>
        <w:t>North American Broadcasters Association (NABA</w:t>
      </w:r>
      <w:r w:rsidR="009B547F" w:rsidRPr="009B547F">
        <w:rPr>
          <w:lang w:val="fr-CH"/>
        </w:rPr>
        <w:t>/</w:t>
      </w:r>
      <w:r w:rsidR="009B547F" w:rsidRPr="009B547F">
        <w:rPr>
          <w:color w:val="000000"/>
          <w:lang w:val="fr-CH"/>
        </w:rPr>
        <w:t>association des radiodiffuseurs d'Amérique du Nord</w:t>
      </w:r>
      <w:r w:rsidRPr="009B547F">
        <w:rPr>
          <w:lang w:val="fr-CH"/>
        </w:rPr>
        <w:t>)</w:t>
      </w:r>
    </w:p>
    <w:p w:rsidR="00AB6AE1" w:rsidRPr="00FA1FDB" w:rsidRDefault="00AB6AE1" w:rsidP="00D02183">
      <w:pPr>
        <w:pStyle w:val="FootnoteText"/>
        <w:rPr>
          <w:lang w:val="fr-CH"/>
        </w:rPr>
      </w:pPr>
      <w:r w:rsidRPr="00FA1FDB">
        <w:rPr>
          <w:lang w:val="fr-CH"/>
        </w:rPr>
        <w:t>•</w:t>
      </w:r>
      <w:r w:rsidRPr="00FA1FDB">
        <w:rPr>
          <w:lang w:val="fr-CH"/>
        </w:rPr>
        <w:tab/>
      </w:r>
      <w:r w:rsidR="003F2051">
        <w:rPr>
          <w:lang w:val="fr-CH"/>
        </w:rPr>
        <w:t>l’</w:t>
      </w:r>
      <w:r w:rsidR="00FA1FDB" w:rsidRPr="00FA1FDB">
        <w:rPr>
          <w:color w:val="000000"/>
          <w:lang w:val="fr-CH"/>
        </w:rPr>
        <w:t>Organisation de</w:t>
      </w:r>
      <w:r w:rsidR="001B6B0E">
        <w:rPr>
          <w:color w:val="000000"/>
          <w:lang w:val="fr-CH"/>
        </w:rPr>
        <w:t>s</w:t>
      </w:r>
      <w:r w:rsidR="00FA1FDB" w:rsidRPr="00FA1FDB">
        <w:rPr>
          <w:color w:val="000000"/>
          <w:lang w:val="fr-CH"/>
        </w:rPr>
        <w:t xml:space="preserve"> télé</w:t>
      </w:r>
      <w:r w:rsidR="001B6B0E">
        <w:rPr>
          <w:color w:val="000000"/>
          <w:lang w:val="fr-CH"/>
        </w:rPr>
        <w:t>communications</w:t>
      </w:r>
      <w:r w:rsidR="00FA1FDB" w:rsidRPr="00FA1FDB">
        <w:rPr>
          <w:color w:val="000000"/>
          <w:lang w:val="fr-CH"/>
        </w:rPr>
        <w:t xml:space="preserve"> ibéro-américaine</w:t>
      </w:r>
      <w:r w:rsidR="001B6B0E">
        <w:rPr>
          <w:color w:val="000000"/>
          <w:lang w:val="fr-CH"/>
        </w:rPr>
        <w:t>s</w:t>
      </w:r>
      <w:r w:rsidR="00FA1FDB" w:rsidRPr="00FA1FDB">
        <w:rPr>
          <w:color w:val="000000"/>
          <w:lang w:val="fr-CH"/>
        </w:rPr>
        <w:t xml:space="preserve"> (OTI)</w:t>
      </w:r>
    </w:p>
  </w:footnote>
  <w:footnote w:id="2">
    <w:p w:rsidR="00AB6AE1" w:rsidRPr="00964EC8" w:rsidRDefault="00AB6AE1" w:rsidP="00AB6AE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964EC8" w:rsidRPr="00964EC8">
        <w:rPr>
          <w:lang w:val="fr-CH"/>
        </w:rPr>
        <w:t xml:space="preserve"> Résolution UIT</w:t>
      </w:r>
      <w:r w:rsidRPr="00964EC8">
        <w:rPr>
          <w:lang w:val="fr-CH"/>
        </w:rPr>
        <w:t>-R 1-6, Section 10.1.1</w:t>
      </w:r>
    </w:p>
  </w:footnote>
  <w:footnote w:id="3">
    <w:p w:rsidR="00AB6AE1" w:rsidRPr="00964EC8" w:rsidRDefault="00AB6AE1" w:rsidP="00964EC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964EC8">
        <w:rPr>
          <w:lang w:val="fr-CH"/>
        </w:rPr>
        <w:t xml:space="preserve"> Ré</w:t>
      </w:r>
      <w:r w:rsidRPr="00964EC8">
        <w:rPr>
          <w:lang w:val="fr-CH"/>
        </w:rPr>
        <w:t xml:space="preserve">solution </w:t>
      </w:r>
      <w:r w:rsidR="00964EC8">
        <w:rPr>
          <w:lang w:val="fr-CH"/>
        </w:rPr>
        <w:t>UIT</w:t>
      </w:r>
      <w:r w:rsidRPr="00964EC8">
        <w:rPr>
          <w:lang w:val="fr-CH"/>
        </w:rPr>
        <w:t>-R 1-6, Section 6.1.2, Note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E1" w:rsidRDefault="00AB6AE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B5322">
      <w:rPr>
        <w:noProof/>
      </w:rPr>
      <w:t>2</w:t>
    </w:r>
    <w:r>
      <w:fldChar w:fldCharType="end"/>
    </w:r>
  </w:p>
  <w:p w:rsidR="00AB6AE1" w:rsidRDefault="00AB6AE1">
    <w:pPr>
      <w:pStyle w:val="Header"/>
    </w:pPr>
    <w:r w:rsidRPr="00AB6AE1">
      <w:t>RA15/PLEN/</w:t>
    </w:r>
    <w:r>
      <w:t>12-E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1"/>
    <w:rsid w:val="000B0953"/>
    <w:rsid w:val="000D1293"/>
    <w:rsid w:val="00113F94"/>
    <w:rsid w:val="00125C9F"/>
    <w:rsid w:val="001B225D"/>
    <w:rsid w:val="001B6B0E"/>
    <w:rsid w:val="001B7A09"/>
    <w:rsid w:val="00206408"/>
    <w:rsid w:val="002A0BF4"/>
    <w:rsid w:val="002C495D"/>
    <w:rsid w:val="0030579C"/>
    <w:rsid w:val="003F2051"/>
    <w:rsid w:val="004245EB"/>
    <w:rsid w:val="00425F3D"/>
    <w:rsid w:val="004844C1"/>
    <w:rsid w:val="004B5322"/>
    <w:rsid w:val="004C7640"/>
    <w:rsid w:val="004D6FFE"/>
    <w:rsid w:val="00535F1C"/>
    <w:rsid w:val="005E0BE1"/>
    <w:rsid w:val="005F1974"/>
    <w:rsid w:val="005F256A"/>
    <w:rsid w:val="00633ACC"/>
    <w:rsid w:val="0071246B"/>
    <w:rsid w:val="00756B1C"/>
    <w:rsid w:val="007C6911"/>
    <w:rsid w:val="007D41EF"/>
    <w:rsid w:val="007E30BC"/>
    <w:rsid w:val="008145E1"/>
    <w:rsid w:val="00840A9E"/>
    <w:rsid w:val="00880578"/>
    <w:rsid w:val="00883DFD"/>
    <w:rsid w:val="008A7B8E"/>
    <w:rsid w:val="009447A3"/>
    <w:rsid w:val="00964EC8"/>
    <w:rsid w:val="00993768"/>
    <w:rsid w:val="009B547F"/>
    <w:rsid w:val="009D0981"/>
    <w:rsid w:val="009E375D"/>
    <w:rsid w:val="00A05CE9"/>
    <w:rsid w:val="00A106D2"/>
    <w:rsid w:val="00A1399D"/>
    <w:rsid w:val="00A44CBD"/>
    <w:rsid w:val="00A90E14"/>
    <w:rsid w:val="00AB6AE1"/>
    <w:rsid w:val="00AD2D9E"/>
    <w:rsid w:val="00B5235A"/>
    <w:rsid w:val="00B64543"/>
    <w:rsid w:val="00B64849"/>
    <w:rsid w:val="00B9305E"/>
    <w:rsid w:val="00BB03AF"/>
    <w:rsid w:val="00BE5003"/>
    <w:rsid w:val="00BF3712"/>
    <w:rsid w:val="00BF5E61"/>
    <w:rsid w:val="00C260D6"/>
    <w:rsid w:val="00C46060"/>
    <w:rsid w:val="00C6107E"/>
    <w:rsid w:val="00CB1338"/>
    <w:rsid w:val="00D02183"/>
    <w:rsid w:val="00D12999"/>
    <w:rsid w:val="00D262CE"/>
    <w:rsid w:val="00D471A9"/>
    <w:rsid w:val="00D50D44"/>
    <w:rsid w:val="00D5471F"/>
    <w:rsid w:val="00DA716F"/>
    <w:rsid w:val="00DF665C"/>
    <w:rsid w:val="00E424C3"/>
    <w:rsid w:val="00EE1A06"/>
    <w:rsid w:val="00EE4AD6"/>
    <w:rsid w:val="00F04442"/>
    <w:rsid w:val="00F329B0"/>
    <w:rsid w:val="00F94CB9"/>
    <w:rsid w:val="00FA1FDB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EF3E132-0926-4E7E-8C7D-C15F0F4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nhideWhenUsed/>
    <w:rsid w:val="00A44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547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610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107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9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5-C-022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12-SG05-C-021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214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10</TotalTime>
  <Pages>1</Pages>
  <Words>543</Words>
  <Characters>3115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Jones, Jacqueline</cp:lastModifiedBy>
  <cp:revision>6</cp:revision>
  <cp:lastPrinted>2015-10-13T20:22:00Z</cp:lastPrinted>
  <dcterms:created xsi:type="dcterms:W3CDTF">2015-10-12T19:36:00Z</dcterms:created>
  <dcterms:modified xsi:type="dcterms:W3CDTF">2015-10-13T20:22:00Z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