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D54B7">
        <w:trPr>
          <w:cantSplit/>
        </w:trPr>
        <w:tc>
          <w:tcPr>
            <w:tcW w:w="6345" w:type="dxa"/>
          </w:tcPr>
          <w:p w:rsidR="00ED54B7" w:rsidRPr="004844C1" w:rsidRDefault="00ED54B7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ED54B7" w:rsidRDefault="00ED54B7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2FEC4BFC" wp14:editId="172BC33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4B7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D54B7" w:rsidRPr="00617BE4" w:rsidRDefault="00ED54B7" w:rsidP="00ED54B7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D54B7" w:rsidRPr="00617BE4" w:rsidRDefault="00ED54B7" w:rsidP="00ED54B7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D54B7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D54B7" w:rsidRPr="00C324A8" w:rsidRDefault="00ED54B7" w:rsidP="00ED54B7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D54B7" w:rsidRPr="00C324A8" w:rsidRDefault="00ED54B7" w:rsidP="00ED54B7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D54B7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ED54B7" w:rsidRDefault="00154AFC" w:rsidP="00154AF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>
              <w:rPr>
                <w:rFonts w:ascii="Verdana" w:hAnsi="Verdana"/>
                <w:b/>
                <w:sz w:val="20"/>
              </w:rPr>
              <w:t>PLENARY MEETING</w:t>
            </w:r>
          </w:p>
          <w:p w:rsidR="00154AFC" w:rsidRDefault="00154AFC" w:rsidP="00154AF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  <w:p w:rsidR="00154AFC" w:rsidRPr="00ED54B7" w:rsidRDefault="00154AFC" w:rsidP="00154AF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Reference:</w:t>
            </w:r>
            <w:r>
              <w:rPr>
                <w:rFonts w:ascii="Verdana" w:hAnsi="Verdana"/>
                <w:sz w:val="20"/>
              </w:rPr>
              <w:tab/>
              <w:t xml:space="preserve">Documents </w:t>
            </w:r>
            <w:hyperlink r:id="rId9" w:history="1">
              <w:r w:rsidRPr="00535F1C">
                <w:rPr>
                  <w:rStyle w:val="Hyperlink"/>
                  <w:rFonts w:ascii="Verdana" w:hAnsi="Verdana"/>
                  <w:sz w:val="20"/>
                </w:rPr>
                <w:t>5/1009</w:t>
              </w:r>
            </w:hyperlink>
            <w:r>
              <w:rPr>
                <w:rFonts w:ascii="Verdana" w:hAnsi="Verdana"/>
                <w:sz w:val="20"/>
              </w:rPr>
              <w:t xml:space="preserve">, </w:t>
            </w:r>
            <w:hyperlink r:id="rId10" w:history="1">
              <w:r w:rsidRPr="00A44CBD">
                <w:rPr>
                  <w:rStyle w:val="Hyperlink"/>
                  <w:rFonts w:ascii="Verdana" w:hAnsi="Verdana"/>
                  <w:sz w:val="20"/>
                </w:rPr>
                <w:t>5/214</w:t>
              </w:r>
            </w:hyperlink>
            <w:r>
              <w:rPr>
                <w:rFonts w:ascii="Verdana" w:hAnsi="Verdana"/>
                <w:sz w:val="20"/>
              </w:rPr>
              <w:t xml:space="preserve">, </w:t>
            </w:r>
            <w:hyperlink r:id="rId11" w:history="1">
              <w:r w:rsidRPr="00A44CBD">
                <w:rPr>
                  <w:rStyle w:val="Hyperlink"/>
                  <w:rFonts w:ascii="Verdana" w:hAnsi="Verdana"/>
                  <w:sz w:val="20"/>
                </w:rPr>
                <w:t>5/217</w:t>
              </w:r>
            </w:hyperlink>
            <w:r>
              <w:rPr>
                <w:rFonts w:ascii="Verdana" w:hAnsi="Verdana"/>
                <w:sz w:val="20"/>
              </w:rPr>
              <w:t xml:space="preserve">, </w:t>
            </w:r>
            <w:hyperlink r:id="rId12" w:history="1">
              <w:r w:rsidRPr="00A44CBD">
                <w:rPr>
                  <w:rStyle w:val="Hyperlink"/>
                  <w:rFonts w:ascii="Verdana" w:hAnsi="Verdana"/>
                  <w:sz w:val="20"/>
                </w:rPr>
                <w:t>5/224</w:t>
              </w:r>
            </w:hyperlink>
          </w:p>
        </w:tc>
        <w:tc>
          <w:tcPr>
            <w:tcW w:w="3686" w:type="dxa"/>
          </w:tcPr>
          <w:p w:rsidR="00ED54B7" w:rsidRPr="00ED54B7" w:rsidRDefault="007D7498" w:rsidP="00ED54B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RA15/PLEN/12</w:t>
            </w:r>
            <w:r w:rsidR="00ED54B7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ED54B7" w:rsidRPr="00C324A8">
        <w:trPr>
          <w:cantSplit/>
          <w:trHeight w:val="23"/>
        </w:trPr>
        <w:tc>
          <w:tcPr>
            <w:tcW w:w="6345" w:type="dxa"/>
            <w:vMerge/>
          </w:tcPr>
          <w:p w:rsidR="00ED54B7" w:rsidRPr="00C324A8" w:rsidRDefault="00ED54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ED54B7" w:rsidRPr="00ED54B7" w:rsidRDefault="00ED54B7" w:rsidP="00ED54B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 October 2015</w:t>
            </w:r>
          </w:p>
        </w:tc>
      </w:tr>
      <w:tr w:rsidR="00ED54B7" w:rsidRPr="00C324A8">
        <w:trPr>
          <w:cantSplit/>
          <w:trHeight w:val="23"/>
        </w:trPr>
        <w:tc>
          <w:tcPr>
            <w:tcW w:w="6345" w:type="dxa"/>
            <w:vMerge/>
          </w:tcPr>
          <w:p w:rsidR="00ED54B7" w:rsidRPr="00C324A8" w:rsidRDefault="00ED54B7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ED54B7" w:rsidRPr="00ED54B7" w:rsidRDefault="00ED54B7" w:rsidP="00ED54B7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ED54B7">
        <w:trPr>
          <w:cantSplit/>
        </w:trPr>
        <w:tc>
          <w:tcPr>
            <w:tcW w:w="10031" w:type="dxa"/>
            <w:gridSpan w:val="2"/>
          </w:tcPr>
          <w:p w:rsidR="00ED54B7" w:rsidRDefault="001A588A" w:rsidP="001A588A">
            <w:pPr>
              <w:pStyle w:val="Source"/>
            </w:pPr>
            <w:bookmarkStart w:id="5" w:name="dsource" w:colFirst="0" w:colLast="0"/>
            <w:bookmarkEnd w:id="4"/>
            <w:r w:rsidRPr="0035555D">
              <w:rPr>
                <w:lang w:eastAsia="zh-CN"/>
              </w:rPr>
              <w:t>World Broadcasting Unions - Technical Committee</w:t>
            </w:r>
            <w:r>
              <w:rPr>
                <w:lang w:eastAsia="zh-CN"/>
              </w:rPr>
              <w:br/>
            </w:r>
            <w:r w:rsidRPr="0035555D">
              <w:rPr>
                <w:lang w:eastAsia="zh-CN"/>
              </w:rPr>
              <w:t>(WBU-TC</w:t>
            </w:r>
            <w:r w:rsidRPr="00AB70A0">
              <w:rPr>
                <w:lang w:eastAsia="zh-CN"/>
              </w:rPr>
              <w:t>)</w:t>
            </w:r>
            <w:r>
              <w:rPr>
                <w:rStyle w:val="FootnoteReference"/>
                <w:lang w:eastAsia="zh-CN"/>
              </w:rPr>
              <w:footnoteReference w:id="1"/>
            </w:r>
          </w:p>
        </w:tc>
      </w:tr>
      <w:tr w:rsidR="00ED54B7">
        <w:trPr>
          <w:cantSplit/>
        </w:trPr>
        <w:tc>
          <w:tcPr>
            <w:tcW w:w="10031" w:type="dxa"/>
            <w:gridSpan w:val="2"/>
          </w:tcPr>
          <w:p w:rsidR="00ED54B7" w:rsidRDefault="001A588A">
            <w:pPr>
              <w:pStyle w:val="Title1"/>
            </w:pPr>
            <w:bookmarkStart w:id="6" w:name="dtitle1" w:colFirst="0" w:colLast="0"/>
            <w:bookmarkEnd w:id="5"/>
            <w:r>
              <w:t>Comment on Document 5/1009</w:t>
            </w:r>
          </w:p>
        </w:tc>
      </w:tr>
      <w:tr w:rsidR="00ED54B7">
        <w:trPr>
          <w:cantSplit/>
        </w:trPr>
        <w:tc>
          <w:tcPr>
            <w:tcW w:w="10031" w:type="dxa"/>
            <w:gridSpan w:val="2"/>
          </w:tcPr>
          <w:p w:rsidR="00ED54B7" w:rsidRDefault="001A588A" w:rsidP="001A588A">
            <w:pPr>
              <w:pStyle w:val="RecNo"/>
            </w:pPr>
            <w:bookmarkStart w:id="7" w:name="dtitle2" w:colFirst="0" w:colLast="0"/>
            <w:bookmarkEnd w:id="6"/>
            <w:r>
              <w:rPr>
                <w:lang w:val="en-US"/>
              </w:rPr>
              <w:t>DRAFT NEW RECOMMENDATION ITU-R M.[BSMS700]</w:t>
            </w:r>
          </w:p>
        </w:tc>
      </w:tr>
      <w:tr w:rsidR="00ED54B7">
        <w:trPr>
          <w:cantSplit/>
        </w:trPr>
        <w:tc>
          <w:tcPr>
            <w:tcW w:w="10031" w:type="dxa"/>
            <w:gridSpan w:val="2"/>
          </w:tcPr>
          <w:p w:rsidR="00ED54B7" w:rsidRDefault="001A588A" w:rsidP="001A588A">
            <w:pPr>
              <w:pStyle w:val="Rectitle"/>
            </w:pPr>
            <w:bookmarkStart w:id="8" w:name="dtitle3" w:colFirst="0" w:colLast="0"/>
            <w:bookmarkEnd w:id="7"/>
            <w:r w:rsidRPr="001F09B8">
              <w:rPr>
                <w:lang w:eastAsia="ja-JP"/>
              </w:rPr>
              <w:t>Specific out-of-band emission limit of I</w:t>
            </w:r>
            <w:r>
              <w:rPr>
                <w:lang w:eastAsia="ja-JP"/>
              </w:rPr>
              <w:t xml:space="preserve">MT mobile stations operating </w:t>
            </w:r>
            <w:r>
              <w:rPr>
                <w:lang w:eastAsia="ja-JP"/>
              </w:rPr>
              <w:br/>
              <w:t>in</w:t>
            </w:r>
            <w:r>
              <w:rPr>
                <w:rFonts w:hint="eastAsia"/>
                <w:lang w:eastAsia="ja-JP"/>
              </w:rPr>
              <w:t xml:space="preserve"> </w:t>
            </w:r>
            <w:r w:rsidRPr="001F09B8">
              <w:rPr>
                <w:lang w:eastAsia="ja-JP"/>
              </w:rPr>
              <w:t>the frequency band 694-790 MHz for protection of existin</w:t>
            </w:r>
            <w:r>
              <w:rPr>
                <w:lang w:eastAsia="ja-JP"/>
              </w:rPr>
              <w:t>g services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br/>
            </w:r>
            <w:r w:rsidRPr="001F09B8">
              <w:rPr>
                <w:lang w:eastAsia="ja-JP"/>
              </w:rPr>
              <w:t>in Region 1 in the frequency band below 694 MH</w:t>
            </w:r>
            <w:r w:rsidRPr="00A434BD">
              <w:rPr>
                <w:lang w:eastAsia="ja-JP"/>
              </w:rPr>
              <w:t>z</w:t>
            </w:r>
          </w:p>
        </w:tc>
      </w:tr>
    </w:tbl>
    <w:p w:rsidR="00ED54B7" w:rsidRDefault="00ED54B7" w:rsidP="000D1293">
      <w:bookmarkStart w:id="9" w:name="dbreak"/>
      <w:bookmarkEnd w:id="8"/>
      <w:bookmarkEnd w:id="9"/>
    </w:p>
    <w:p w:rsidR="00ED54B7" w:rsidRDefault="00ED54B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A588A" w:rsidRDefault="001A588A" w:rsidP="001A588A">
      <w:r>
        <w:t>The draft new Recommendation ITU-R M.[BSMS700] in Document 5/1009 was not adopted during the July 2015 meeting of Study Group 5 due to a lack of consensus among the administrations participating in the Study Group 5 meeting.</w:t>
      </w:r>
      <w:r w:rsidR="00366708">
        <w:t xml:space="preserve"> </w:t>
      </w:r>
      <w:r>
        <w:t>It is noted that two administrations objected to the DNR in contributions submitted to Study Group 5 (Documents 5/217 and 5/224).</w:t>
      </w:r>
    </w:p>
    <w:p w:rsidR="001A588A" w:rsidRDefault="001A588A" w:rsidP="008215E5">
      <w:pPr>
        <w:rPr>
          <w:lang w:eastAsia="zh-CN"/>
        </w:rPr>
      </w:pPr>
      <w:r>
        <w:rPr>
          <w:lang w:eastAsia="zh-CN"/>
        </w:rPr>
        <w:t xml:space="preserve">The </w:t>
      </w:r>
      <w:r w:rsidR="0049477D">
        <w:rPr>
          <w:lang w:eastAsia="zh-CN"/>
        </w:rPr>
        <w:t>draft new</w:t>
      </w:r>
      <w:r>
        <w:rPr>
          <w:lang w:eastAsia="zh-CN"/>
        </w:rPr>
        <w:t xml:space="preserve"> Recommendation </w:t>
      </w:r>
      <w:r>
        <w:t xml:space="preserve">ITU-R </w:t>
      </w:r>
      <w:r>
        <w:rPr>
          <w:lang w:eastAsia="zh-CN"/>
        </w:rPr>
        <w:t>M.[BSMS700] is entitled “</w:t>
      </w:r>
      <w:r w:rsidRPr="001B3966">
        <w:rPr>
          <w:lang w:eastAsia="zh-CN"/>
        </w:rPr>
        <w:t>Specific out-of-band emission limit of IMT mobile stations operating in the frequency band 694-790 MHz for protection of existing services in Region 1 in the frequency band below 694 MHz</w:t>
      </w:r>
      <w:r>
        <w:rPr>
          <w:lang w:eastAsia="zh-CN"/>
        </w:rPr>
        <w:t xml:space="preserve">”. As the title implies, it proposes limits necessary to protect existing services, including the </w:t>
      </w:r>
      <w:r w:rsidR="008215E5">
        <w:rPr>
          <w:lang w:eastAsia="zh-CN"/>
        </w:rPr>
        <w:t>b</w:t>
      </w:r>
      <w:r>
        <w:rPr>
          <w:lang w:eastAsia="zh-CN"/>
        </w:rPr>
        <w:t xml:space="preserve">roadcasting </w:t>
      </w:r>
      <w:r w:rsidR="008215E5">
        <w:rPr>
          <w:lang w:eastAsia="zh-CN"/>
        </w:rPr>
        <w:t>s</w:t>
      </w:r>
      <w:r>
        <w:rPr>
          <w:lang w:eastAsia="zh-CN"/>
        </w:rPr>
        <w:t xml:space="preserve">ervice. </w:t>
      </w:r>
    </w:p>
    <w:p w:rsidR="001A588A" w:rsidRDefault="001A588A" w:rsidP="001A588A">
      <w:r>
        <w:lastRenderedPageBreak/>
        <w:t>The World Broadcasting Unions – Technical Committee (WBU-TC) represents broadcasting organizations throughout Region 1 as well as Regions 2 and 3.</w:t>
      </w:r>
      <w:r w:rsidR="00366708">
        <w:t xml:space="preserve"> </w:t>
      </w:r>
      <w:r>
        <w:t>The WBU-TC is concerned by the proposals made in the DNR and the process by which it was produced.</w:t>
      </w:r>
      <w:r w:rsidR="00366708">
        <w:t xml:space="preserve"> </w:t>
      </w:r>
    </w:p>
    <w:p w:rsidR="001A588A" w:rsidRDefault="001A588A" w:rsidP="00581B9F">
      <w:r>
        <w:t xml:space="preserve">The WBU-TC wishes to call the attention of Administrations </w:t>
      </w:r>
      <w:r w:rsidR="00581B9F">
        <w:t>to</w:t>
      </w:r>
      <w:r>
        <w:t xml:space="preserve"> the fact that an Out-of-Band Emission (OOBE) limit of </w:t>
      </w:r>
      <w:r>
        <w:noBreakHyphen/>
        <w:t xml:space="preserve">25 dBm/8 MHz as specified in the </w:t>
      </w:r>
      <w:r w:rsidR="00581B9F">
        <w:t>d</w:t>
      </w:r>
      <w:r w:rsidR="0049477D">
        <w:t>raft new</w:t>
      </w:r>
      <w:r>
        <w:t xml:space="preserve"> Recommendation does not meet the protection criteria specified for the </w:t>
      </w:r>
      <w:r w:rsidR="008215E5">
        <w:t>b</w:t>
      </w:r>
      <w:r>
        <w:t xml:space="preserve">roadcasting </w:t>
      </w:r>
      <w:r w:rsidR="008215E5">
        <w:t>s</w:t>
      </w:r>
      <w:r>
        <w:t>ervice.</w:t>
      </w:r>
    </w:p>
    <w:p w:rsidR="001A588A" w:rsidRDefault="001A588A" w:rsidP="00581B9F">
      <w:r>
        <w:rPr>
          <w:lang w:eastAsia="zh-CN"/>
        </w:rPr>
        <w:t xml:space="preserve">The proposed </w:t>
      </w:r>
      <w:r w:rsidR="00581B9F">
        <w:rPr>
          <w:lang w:eastAsia="zh-CN"/>
        </w:rPr>
        <w:t>d</w:t>
      </w:r>
      <w:r w:rsidR="0049477D">
        <w:rPr>
          <w:lang w:eastAsia="zh-CN"/>
        </w:rPr>
        <w:t>raft new</w:t>
      </w:r>
      <w:r>
        <w:rPr>
          <w:lang w:eastAsia="zh-CN"/>
        </w:rPr>
        <w:t xml:space="preserve"> Recommendation was produced in Working Party 5D. Only one study was received by Working Party 5D on protection of the </w:t>
      </w:r>
      <w:r w:rsidR="008215E5">
        <w:rPr>
          <w:lang w:eastAsia="zh-CN"/>
        </w:rPr>
        <w:t>b</w:t>
      </w:r>
      <w:r>
        <w:rPr>
          <w:lang w:eastAsia="zh-CN"/>
        </w:rPr>
        <w:t xml:space="preserve">roadcasting </w:t>
      </w:r>
      <w:r w:rsidR="008215E5">
        <w:rPr>
          <w:lang w:eastAsia="zh-CN"/>
        </w:rPr>
        <w:t>s</w:t>
      </w:r>
      <w:r>
        <w:rPr>
          <w:lang w:eastAsia="zh-CN"/>
        </w:rPr>
        <w:t xml:space="preserve">ervice, and the findings of that study are not reflected in the proposed </w:t>
      </w:r>
      <w:r w:rsidR="0049477D">
        <w:rPr>
          <w:lang w:eastAsia="zh-CN"/>
        </w:rPr>
        <w:t>Draft new</w:t>
      </w:r>
      <w:r>
        <w:rPr>
          <w:lang w:eastAsia="zh-CN"/>
        </w:rPr>
        <w:t xml:space="preserve"> Recommendation. This clearly contradicts the requirement of Resolution ITU-R 1-6 that a Recommendation should only be prepared “w</w:t>
      </w:r>
      <w:r w:rsidRPr="007E5D45">
        <w:t>hen a study has reached a mature state</w:t>
      </w:r>
      <w:r>
        <w:rPr>
          <w:rStyle w:val="FootnoteReference"/>
        </w:rPr>
        <w:footnoteReference w:id="2"/>
      </w:r>
      <w:r>
        <w:t>.”</w:t>
      </w:r>
    </w:p>
    <w:p w:rsidR="001A588A" w:rsidRDefault="001A588A" w:rsidP="00581B9F">
      <w:r>
        <w:t xml:space="preserve">Furthermore, given that the </w:t>
      </w:r>
      <w:r>
        <w:rPr>
          <w:lang w:eastAsia="zh-CN"/>
        </w:rPr>
        <w:t xml:space="preserve">proposed </w:t>
      </w:r>
      <w:r w:rsidR="00581B9F">
        <w:t>d</w:t>
      </w:r>
      <w:r w:rsidR="0049477D">
        <w:t>raft new</w:t>
      </w:r>
      <w:r>
        <w:t xml:space="preserve"> Recommendation clearly deals with protection of a service in the remit of another Study Group, the proposed Recommendation was not sent to Study Group 6 for approval, despite the provisions of Resolution ITU-R 1-6.</w:t>
      </w:r>
    </w:p>
    <w:p w:rsidR="001A588A" w:rsidRDefault="001A588A" w:rsidP="001A588A">
      <w:pPr>
        <w:ind w:left="1134" w:right="1417"/>
        <w:rPr>
          <w:i/>
          <w:iCs/>
        </w:rPr>
      </w:pPr>
      <w:r w:rsidRPr="0021484F">
        <w:rPr>
          <w:i/>
          <w:iCs/>
        </w:rPr>
        <w:t>“Study Groups developing Recommendations that include sharing criteria for radiocommunication services must obtain agreement, prior to their adoption, of the Study Groups responsible for those services</w:t>
      </w:r>
      <w:r>
        <w:rPr>
          <w:rStyle w:val="FootnoteReference"/>
          <w:i/>
          <w:iCs/>
        </w:rPr>
        <w:footnoteReference w:id="3"/>
      </w:r>
      <w:r w:rsidRPr="0021484F">
        <w:rPr>
          <w:i/>
          <w:iCs/>
        </w:rPr>
        <w:t>.”</w:t>
      </w:r>
    </w:p>
    <w:p w:rsidR="001A588A" w:rsidRPr="00A10FAB" w:rsidRDefault="001A588A" w:rsidP="00581B9F">
      <w:r>
        <w:t xml:space="preserve">The WBU-TC would therefore like to express, in the strongest possible terms, their concern with the content of the proposed </w:t>
      </w:r>
      <w:r w:rsidR="00581B9F">
        <w:t>d</w:t>
      </w:r>
      <w:r w:rsidR="0049477D">
        <w:t>raft new</w:t>
      </w:r>
      <w:r>
        <w:t xml:space="preserve"> Recommendation, and propose that it </w:t>
      </w:r>
      <w:r w:rsidRPr="00582F5E">
        <w:t>be sent back to Study Group 5 with instructions to liaise with Study Group 6, with a view to establishing agreement during the next study period, and wit</w:t>
      </w:r>
      <w:r>
        <w:t xml:space="preserve">hout any further action by the </w:t>
      </w:r>
      <w:r w:rsidRPr="00582F5E">
        <w:t>Radiocommunications Assembly at this time.</w:t>
      </w:r>
    </w:p>
    <w:p w:rsidR="001A588A" w:rsidRDefault="001A588A" w:rsidP="001A588A"/>
    <w:p w:rsidR="001A588A" w:rsidRDefault="001A588A" w:rsidP="001A588A">
      <w:pPr>
        <w:pStyle w:val="Reasons"/>
      </w:pPr>
    </w:p>
    <w:p w:rsidR="001A588A" w:rsidRPr="00880578" w:rsidRDefault="001A588A" w:rsidP="001A588A">
      <w:pPr>
        <w:jc w:val="center"/>
      </w:pPr>
      <w:r>
        <w:t>______________</w:t>
      </w:r>
    </w:p>
    <w:p w:rsidR="00D50D44" w:rsidRPr="00880578" w:rsidRDefault="00D50D44" w:rsidP="00880578"/>
    <w:sectPr w:rsidR="00D50D44" w:rsidRPr="00880578" w:rsidSect="009447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B7" w:rsidRDefault="00ED54B7">
      <w:r>
        <w:separator/>
      </w:r>
    </w:p>
  </w:endnote>
  <w:endnote w:type="continuationSeparator" w:id="0">
    <w:p w:rsidR="00ED54B7" w:rsidRDefault="00ED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BD3061">
      <w:rPr>
        <w:noProof/>
        <w:lang w:val="es-ES_tradnl"/>
      </w:rPr>
      <w:t>P:\ENG\ITU-R\CONF-R\AR15\PLEN\000\012V2E.docx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3061">
      <w:rPr>
        <w:noProof/>
      </w:rPr>
      <w:t>15.10.15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3061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DC" w:rsidRDefault="00991CDC" w:rsidP="00991CD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D3061">
      <w:t>P:\ENG\ITU-R\CONF-R\AR15\PLEN\000\012V2E.docx</w:t>
    </w:r>
    <w:r>
      <w:fldChar w:fldCharType="end"/>
    </w:r>
    <w:r>
      <w:t xml:space="preserve"> </w:t>
    </w:r>
    <w:r>
      <w:rPr>
        <w:szCs w:val="16"/>
      </w:rPr>
      <w:t>(387560)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D3061">
      <w:t>15.10.15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D3061">
      <w:t>15.10.15</w:t>
    </w:r>
    <w:r>
      <w:fldChar w:fldCharType="end"/>
    </w: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DC" w:rsidRDefault="00991CDC">
    <w:pPr>
      <w:pStyle w:val="Footer"/>
    </w:pPr>
    <w:fldSimple w:instr=" FILENAME \p  \* MERGEFORMAT ">
      <w:r w:rsidR="00BD3061">
        <w:t>P:\ENG\ITU-R\CONF-R\AR15\PLEN\000\012V2E.docx</w:t>
      </w:r>
    </w:fldSimple>
    <w:r>
      <w:t xml:space="preserve"> </w:t>
    </w:r>
    <w:r>
      <w:rPr>
        <w:szCs w:val="16"/>
      </w:rPr>
      <w:t>(387560)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D3061">
      <w:t>15.10.15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D3061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B7" w:rsidRDefault="00ED54B7">
      <w:r>
        <w:rPr>
          <w:b/>
        </w:rPr>
        <w:t>_______________</w:t>
      </w:r>
    </w:p>
  </w:footnote>
  <w:footnote w:type="continuationSeparator" w:id="0">
    <w:p w:rsidR="00ED54B7" w:rsidRDefault="00ED54B7">
      <w:r>
        <w:continuationSeparator/>
      </w:r>
    </w:p>
  </w:footnote>
  <w:footnote w:id="1">
    <w:p w:rsidR="001A588A" w:rsidRDefault="001A588A" w:rsidP="001A588A">
      <w:pPr>
        <w:pStyle w:val="FootnoteText"/>
      </w:pPr>
      <w:r>
        <w:rPr>
          <w:rStyle w:val="FootnoteReference"/>
        </w:rPr>
        <w:footnoteRef/>
      </w:r>
      <w:r>
        <w:tab/>
        <w:t>The WBU-TC is the standing technical body of the World Broadcasting Unions, whose members are:</w:t>
      </w:r>
    </w:p>
    <w:p w:rsidR="001A588A" w:rsidRDefault="001A588A" w:rsidP="001A588A">
      <w:pPr>
        <w:pStyle w:val="FootnoteText"/>
      </w:pPr>
      <w:r>
        <w:t>•</w:t>
      </w:r>
      <w:r>
        <w:tab/>
        <w:t xml:space="preserve">Asia-Pacific Broadcasting </w:t>
      </w:r>
      <w:smartTag w:uri="urn:schemas-microsoft-com:office:smarttags" w:element="place">
        <w:r>
          <w:t>Union</w:t>
        </w:r>
      </w:smartTag>
      <w:r>
        <w:t xml:space="preserve"> (ABU)</w:t>
      </w:r>
    </w:p>
    <w:p w:rsidR="001A588A" w:rsidRDefault="001A588A" w:rsidP="001A588A">
      <w:pPr>
        <w:pStyle w:val="FootnoteText"/>
      </w:pPr>
      <w:r>
        <w:t>•</w:t>
      </w:r>
      <w:r>
        <w:tab/>
        <w:t xml:space="preserve">Arab States Broadcasting </w:t>
      </w:r>
      <w:smartTag w:uri="urn:schemas-microsoft-com:office:smarttags" w:element="place">
        <w:r>
          <w:t>Union</w:t>
        </w:r>
      </w:smartTag>
      <w:r>
        <w:t xml:space="preserve"> (ASBU)</w:t>
      </w:r>
    </w:p>
    <w:p w:rsidR="001A588A" w:rsidRPr="00D470F5" w:rsidRDefault="001A588A" w:rsidP="001A588A">
      <w:pPr>
        <w:pStyle w:val="FootnoteText"/>
      </w:pPr>
      <w:r w:rsidRPr="00D470F5">
        <w:t>•</w:t>
      </w:r>
      <w:r w:rsidRPr="00D470F5">
        <w:tab/>
        <w:t xml:space="preserve">The African </w:t>
      </w:r>
      <w:smartTag w:uri="urn:schemas-microsoft-com:office:smarttags" w:element="place">
        <w:r w:rsidRPr="00D470F5">
          <w:t>Union</w:t>
        </w:r>
      </w:smartTag>
      <w:r w:rsidRPr="00D470F5">
        <w:t xml:space="preserve"> of Broadcasting (AUB)</w:t>
      </w:r>
    </w:p>
    <w:p w:rsidR="001A588A" w:rsidRDefault="001A588A" w:rsidP="001A588A">
      <w:pPr>
        <w:pStyle w:val="FootnoteText"/>
      </w:pPr>
      <w:r>
        <w:t>•</w:t>
      </w:r>
      <w:r>
        <w:tab/>
      </w:r>
      <w:smartTag w:uri="urn:schemas-microsoft-com:office:smarttags" w:element="place">
        <w:r>
          <w:t>Caribbean</w:t>
        </w:r>
      </w:smartTag>
      <w:r>
        <w:t xml:space="preserve"> Broadcasting </w:t>
      </w:r>
      <w:smartTag w:uri="urn:schemas-microsoft-com:office:smarttags" w:element="place">
        <w:r>
          <w:t>Union</w:t>
        </w:r>
      </w:smartTag>
      <w:r>
        <w:t xml:space="preserve"> (CBU)</w:t>
      </w:r>
    </w:p>
    <w:p w:rsidR="001A588A" w:rsidRDefault="001A588A" w:rsidP="001A588A">
      <w:pPr>
        <w:pStyle w:val="FootnoteText"/>
      </w:pPr>
      <w:r>
        <w:t>•</w:t>
      </w:r>
      <w:r>
        <w:tab/>
        <w:t xml:space="preserve">European Broadcasting </w:t>
      </w:r>
      <w:smartTag w:uri="urn:schemas-microsoft-com:office:smarttags" w:element="place">
        <w:r>
          <w:t>Union</w:t>
        </w:r>
      </w:smartTag>
      <w:r>
        <w:t xml:space="preserve"> (EBU)</w:t>
      </w:r>
    </w:p>
    <w:p w:rsidR="001A588A" w:rsidRDefault="001A588A" w:rsidP="001A588A">
      <w:pPr>
        <w:pStyle w:val="FootnoteText"/>
      </w:pPr>
      <w:r>
        <w:t>•</w:t>
      </w:r>
      <w:r>
        <w:tab/>
        <w:t>International Association of Broadcasting (IAB)</w:t>
      </w:r>
    </w:p>
    <w:p w:rsidR="001A588A" w:rsidRDefault="001A588A" w:rsidP="001A588A">
      <w:pPr>
        <w:pStyle w:val="FootnoteText"/>
      </w:pPr>
      <w:r>
        <w:t>•</w:t>
      </w:r>
      <w:r>
        <w:tab/>
        <w:t>North American Broadcasters Association (NABA)</w:t>
      </w:r>
    </w:p>
    <w:p w:rsidR="001A588A" w:rsidRPr="001A588A" w:rsidRDefault="00E3180A" w:rsidP="001A588A">
      <w:pPr>
        <w:pStyle w:val="FootnoteText"/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  <w:t>Organizació</w:t>
      </w:r>
      <w:r w:rsidR="001A588A" w:rsidRPr="00D470F5">
        <w:rPr>
          <w:lang w:val="es-ES"/>
        </w:rPr>
        <w:t>n de Telecommunicaciones Iberoamerican</w:t>
      </w:r>
      <w:r w:rsidR="001A588A">
        <w:rPr>
          <w:lang w:val="es-ES"/>
        </w:rPr>
        <w:t>a</w:t>
      </w:r>
      <w:r w:rsidR="001A588A" w:rsidRPr="00D470F5">
        <w:rPr>
          <w:lang w:val="es-ES"/>
        </w:rPr>
        <w:t>s (OTI)</w:t>
      </w:r>
    </w:p>
  </w:footnote>
  <w:footnote w:id="2">
    <w:p w:rsidR="001A588A" w:rsidRDefault="001A588A" w:rsidP="001A588A">
      <w:pPr>
        <w:pStyle w:val="FootnoteText"/>
      </w:pPr>
      <w:r>
        <w:rPr>
          <w:rStyle w:val="FootnoteReference"/>
        </w:rPr>
        <w:footnoteRef/>
      </w:r>
      <w:r w:rsidR="004108A2">
        <w:tab/>
      </w:r>
      <w:r>
        <w:t>Resolution ITU-R 1-6, Section 10.1.1</w:t>
      </w:r>
    </w:p>
  </w:footnote>
  <w:footnote w:id="3">
    <w:p w:rsidR="001A588A" w:rsidRDefault="001A588A" w:rsidP="001A588A">
      <w:pPr>
        <w:pStyle w:val="FootnoteText"/>
      </w:pPr>
      <w:r>
        <w:rPr>
          <w:rStyle w:val="FootnoteReference"/>
        </w:rPr>
        <w:footnoteRef/>
      </w:r>
      <w:r w:rsidR="004108A2">
        <w:tab/>
      </w:r>
      <w:r>
        <w:t>Resolution ITU-R 1-6, Section 6.1.2, Note 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DC" w:rsidRDefault="00991C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B7" w:rsidRDefault="00ED54B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D3061">
      <w:rPr>
        <w:noProof/>
      </w:rPr>
      <w:t>2</w:t>
    </w:r>
    <w:r>
      <w:fldChar w:fldCharType="end"/>
    </w:r>
  </w:p>
  <w:p w:rsidR="00ED54B7" w:rsidRDefault="00ED54B7" w:rsidP="00581B9F">
    <w:pPr>
      <w:pStyle w:val="Header"/>
    </w:pPr>
    <w:r>
      <w:t>RA15/PLEN/1</w:t>
    </w:r>
    <w:r w:rsidR="00581B9F">
      <w:t>2</w:t>
    </w:r>
    <w: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DC" w:rsidRDefault="00991C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B7"/>
    <w:rsid w:val="000D1293"/>
    <w:rsid w:val="00154AFC"/>
    <w:rsid w:val="001A588A"/>
    <w:rsid w:val="001B225D"/>
    <w:rsid w:val="00206408"/>
    <w:rsid w:val="0030579C"/>
    <w:rsid w:val="00366708"/>
    <w:rsid w:val="004108A2"/>
    <w:rsid w:val="00425F3D"/>
    <w:rsid w:val="004844C1"/>
    <w:rsid w:val="0049477D"/>
    <w:rsid w:val="004D6FFE"/>
    <w:rsid w:val="00531F7F"/>
    <w:rsid w:val="00581B9F"/>
    <w:rsid w:val="005E0BE1"/>
    <w:rsid w:val="005F1974"/>
    <w:rsid w:val="0071246B"/>
    <w:rsid w:val="00756B1C"/>
    <w:rsid w:val="007C6911"/>
    <w:rsid w:val="007D7498"/>
    <w:rsid w:val="008145E1"/>
    <w:rsid w:val="008215E5"/>
    <w:rsid w:val="00880578"/>
    <w:rsid w:val="008A7B8E"/>
    <w:rsid w:val="009447A3"/>
    <w:rsid w:val="00991CDC"/>
    <w:rsid w:val="00993768"/>
    <w:rsid w:val="009E375D"/>
    <w:rsid w:val="00A05CE9"/>
    <w:rsid w:val="00BB03AF"/>
    <w:rsid w:val="00BD3061"/>
    <w:rsid w:val="00BE5003"/>
    <w:rsid w:val="00BF5E61"/>
    <w:rsid w:val="00C46060"/>
    <w:rsid w:val="00CB1338"/>
    <w:rsid w:val="00D262CE"/>
    <w:rsid w:val="00D471A9"/>
    <w:rsid w:val="00D50D44"/>
    <w:rsid w:val="00DA716F"/>
    <w:rsid w:val="00E123D4"/>
    <w:rsid w:val="00E3180A"/>
    <w:rsid w:val="00E424C3"/>
    <w:rsid w:val="00ED54B7"/>
    <w:rsid w:val="00EE1A06"/>
    <w:rsid w:val="00EE4AD6"/>
    <w:rsid w:val="00F12F71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F3755538-E1C0-4812-84F6-3923A492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styleId="Hyperlink">
    <w:name w:val="Hyperlink"/>
    <w:basedOn w:val="DefaultParagraphFont"/>
    <w:unhideWhenUsed/>
    <w:rsid w:val="00154A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10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5-C-0224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5-C-021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SG05-C-0214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RP-1009/en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anisa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FA2A-EA7A-4F09-BDEC-1ED87FFB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2</TotalTime>
  <Pages>1</Pages>
  <Words>462</Words>
  <Characters>2585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Jasani, Sabine</dc:creator>
  <cp:keywords/>
  <dc:description>PE_RA12.dotm  For: _x000d_Document date: _x000d_Saved by MM-106465 at 11:44:53 on 04/04/11</dc:description>
  <cp:lastModifiedBy>Currie, Jane</cp:lastModifiedBy>
  <cp:revision>5</cp:revision>
  <cp:lastPrinted>2015-10-15T08:37:00Z</cp:lastPrinted>
  <dcterms:created xsi:type="dcterms:W3CDTF">2015-10-15T08:35:00Z</dcterms:created>
  <dcterms:modified xsi:type="dcterms:W3CDTF">2015-10-15T08:37:00Z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