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E59D0">
        <w:trPr>
          <w:cantSplit/>
        </w:trPr>
        <w:tc>
          <w:tcPr>
            <w:tcW w:w="6345" w:type="dxa"/>
          </w:tcPr>
          <w:p w:rsidR="00FE59D0" w:rsidRPr="00C63EB5" w:rsidRDefault="00FE59D0"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FE59D0" w:rsidRDefault="00FE59D0" w:rsidP="005335D1">
            <w:pPr>
              <w:spacing w:line="240" w:lineRule="atLeast"/>
              <w:jc w:val="right"/>
            </w:pPr>
            <w:bookmarkStart w:id="1" w:name="ditulogo"/>
            <w:bookmarkEnd w:id="1"/>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E59D0" w:rsidRPr="00617BE4">
        <w:trPr>
          <w:cantSplit/>
        </w:trPr>
        <w:tc>
          <w:tcPr>
            <w:tcW w:w="6345" w:type="dxa"/>
            <w:tcBorders>
              <w:bottom w:val="single" w:sz="12" w:space="0" w:color="auto"/>
            </w:tcBorders>
          </w:tcPr>
          <w:p w:rsidR="00FE59D0" w:rsidRPr="00617BE4" w:rsidRDefault="00FE59D0" w:rsidP="00FE59D0">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FE59D0" w:rsidRPr="00617BE4" w:rsidRDefault="00FE59D0" w:rsidP="00FE59D0">
            <w:pPr>
              <w:spacing w:before="0" w:line="240" w:lineRule="atLeast"/>
              <w:rPr>
                <w:rFonts w:ascii="Verdana" w:hAnsi="Verdana"/>
                <w:szCs w:val="24"/>
              </w:rPr>
            </w:pPr>
          </w:p>
        </w:tc>
      </w:tr>
      <w:tr w:rsidR="00FE59D0" w:rsidRPr="00C324A8">
        <w:trPr>
          <w:cantSplit/>
        </w:trPr>
        <w:tc>
          <w:tcPr>
            <w:tcW w:w="6345" w:type="dxa"/>
            <w:tcBorders>
              <w:top w:val="single" w:sz="12" w:space="0" w:color="auto"/>
            </w:tcBorders>
          </w:tcPr>
          <w:p w:rsidR="00FE59D0" w:rsidRPr="00C324A8" w:rsidRDefault="00FE59D0" w:rsidP="00FE59D0">
            <w:pPr>
              <w:spacing w:before="0" w:after="48" w:line="240" w:lineRule="atLeast"/>
              <w:rPr>
                <w:rFonts w:ascii="Verdana" w:hAnsi="Verdana"/>
                <w:b/>
                <w:smallCaps/>
                <w:sz w:val="20"/>
              </w:rPr>
            </w:pPr>
          </w:p>
        </w:tc>
        <w:tc>
          <w:tcPr>
            <w:tcW w:w="3686" w:type="dxa"/>
            <w:tcBorders>
              <w:top w:val="single" w:sz="12" w:space="0" w:color="auto"/>
            </w:tcBorders>
          </w:tcPr>
          <w:p w:rsidR="00FE59D0" w:rsidRPr="00C324A8" w:rsidRDefault="00FE59D0" w:rsidP="00FE59D0">
            <w:pPr>
              <w:spacing w:before="0" w:line="240" w:lineRule="atLeast"/>
              <w:rPr>
                <w:rFonts w:ascii="Verdana" w:hAnsi="Verdana"/>
                <w:sz w:val="20"/>
              </w:rPr>
            </w:pPr>
          </w:p>
        </w:tc>
      </w:tr>
      <w:tr w:rsidR="00FE59D0" w:rsidRPr="00C324A8">
        <w:trPr>
          <w:cantSplit/>
          <w:trHeight w:val="23"/>
        </w:trPr>
        <w:tc>
          <w:tcPr>
            <w:tcW w:w="6345" w:type="dxa"/>
            <w:vMerge w:val="restart"/>
          </w:tcPr>
          <w:p w:rsidR="00FE59D0" w:rsidRPr="00FE59D0" w:rsidRDefault="00555F83" w:rsidP="00FE59D0">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555F83">
              <w:rPr>
                <w:rFonts w:ascii="Verdana" w:hAnsi="Verdana"/>
                <w:b/>
                <w:bCs/>
                <w:sz w:val="20"/>
                <w:lang w:val="en-GB"/>
              </w:rPr>
              <w:t>SESIÓN PLENARIA</w:t>
            </w:r>
          </w:p>
        </w:tc>
        <w:tc>
          <w:tcPr>
            <w:tcW w:w="3686" w:type="dxa"/>
          </w:tcPr>
          <w:p w:rsidR="00FE59D0" w:rsidRPr="00FE59D0" w:rsidRDefault="00FE59D0" w:rsidP="00FE59D0">
            <w:pPr>
              <w:tabs>
                <w:tab w:val="left" w:pos="851"/>
              </w:tabs>
              <w:spacing w:before="0" w:line="240" w:lineRule="atLeast"/>
              <w:rPr>
                <w:rFonts w:ascii="Verdana" w:hAnsi="Verdana"/>
                <w:sz w:val="20"/>
              </w:rPr>
            </w:pPr>
            <w:r>
              <w:rPr>
                <w:rFonts w:ascii="Verdana" w:hAnsi="Verdana"/>
                <w:b/>
                <w:sz w:val="20"/>
              </w:rPr>
              <w:t>Documento RA15/PLEN/11-S</w:t>
            </w:r>
          </w:p>
        </w:tc>
      </w:tr>
      <w:tr w:rsidR="00FE59D0" w:rsidRPr="00C324A8">
        <w:trPr>
          <w:cantSplit/>
          <w:trHeight w:val="23"/>
        </w:trPr>
        <w:tc>
          <w:tcPr>
            <w:tcW w:w="6345" w:type="dxa"/>
            <w:vMerge/>
          </w:tcPr>
          <w:p w:rsidR="00FE59D0" w:rsidRPr="00C324A8" w:rsidRDefault="00FE59D0">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FE59D0" w:rsidRPr="00FE59D0" w:rsidRDefault="00FE59D0" w:rsidP="00FE59D0">
            <w:pPr>
              <w:tabs>
                <w:tab w:val="left" w:pos="993"/>
              </w:tabs>
              <w:spacing w:before="0"/>
              <w:rPr>
                <w:rFonts w:ascii="Verdana" w:hAnsi="Verdana"/>
                <w:sz w:val="20"/>
              </w:rPr>
            </w:pPr>
            <w:r>
              <w:rPr>
                <w:rFonts w:ascii="Verdana" w:hAnsi="Verdana"/>
                <w:b/>
                <w:sz w:val="20"/>
              </w:rPr>
              <w:t>29 de septiembre de 2015</w:t>
            </w:r>
          </w:p>
        </w:tc>
      </w:tr>
      <w:tr w:rsidR="00FE59D0" w:rsidRPr="00C324A8">
        <w:trPr>
          <w:cantSplit/>
          <w:trHeight w:val="23"/>
        </w:trPr>
        <w:tc>
          <w:tcPr>
            <w:tcW w:w="6345" w:type="dxa"/>
            <w:vMerge/>
          </w:tcPr>
          <w:p w:rsidR="00FE59D0" w:rsidRPr="00C324A8" w:rsidRDefault="00FE59D0">
            <w:pPr>
              <w:tabs>
                <w:tab w:val="left" w:pos="851"/>
              </w:tabs>
              <w:spacing w:line="240" w:lineRule="atLeast"/>
              <w:rPr>
                <w:rFonts w:ascii="Verdana" w:hAnsi="Verdana"/>
                <w:b/>
                <w:sz w:val="20"/>
              </w:rPr>
            </w:pPr>
            <w:bookmarkStart w:id="6" w:name="dorlang" w:colFirst="1" w:colLast="1"/>
            <w:bookmarkEnd w:id="5"/>
          </w:p>
        </w:tc>
        <w:tc>
          <w:tcPr>
            <w:tcW w:w="3686" w:type="dxa"/>
          </w:tcPr>
          <w:p w:rsidR="00FE59D0" w:rsidRPr="00FE59D0" w:rsidRDefault="00FE59D0" w:rsidP="00FE59D0">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FE59D0">
        <w:trPr>
          <w:cantSplit/>
        </w:trPr>
        <w:tc>
          <w:tcPr>
            <w:tcW w:w="10031" w:type="dxa"/>
          </w:tcPr>
          <w:p w:rsidR="00FE59D0" w:rsidRDefault="007E6E4D">
            <w:pPr>
              <w:pStyle w:val="Source"/>
            </w:pPr>
            <w:bookmarkStart w:id="7" w:name="dsource" w:colFirst="0" w:colLast="0"/>
            <w:bookmarkEnd w:id="0"/>
            <w:bookmarkEnd w:id="6"/>
            <w:r>
              <w:rPr>
                <w:szCs w:val="28"/>
                <w:lang w:val="es-ES"/>
              </w:rPr>
              <w:t>Comisión Interamericana de Telecomunicaciones</w:t>
            </w:r>
            <w:r w:rsidRPr="00273B4F">
              <w:rPr>
                <w:rStyle w:val="FootnoteReference"/>
                <w:sz w:val="22"/>
                <w:szCs w:val="22"/>
                <w:lang w:val="es-ES" w:eastAsia="zh-CN"/>
              </w:rPr>
              <w:footnoteReference w:id="1"/>
            </w:r>
          </w:p>
        </w:tc>
      </w:tr>
      <w:tr w:rsidR="00FE59D0">
        <w:trPr>
          <w:cantSplit/>
        </w:trPr>
        <w:tc>
          <w:tcPr>
            <w:tcW w:w="10031" w:type="dxa"/>
          </w:tcPr>
          <w:p w:rsidR="00FE59D0" w:rsidRDefault="007E6E4D">
            <w:pPr>
              <w:pStyle w:val="Title1"/>
            </w:pPr>
            <w:bookmarkStart w:id="8" w:name="dtitle1" w:colFirst="0" w:colLast="0"/>
            <w:bookmarkEnd w:id="7"/>
            <w:r w:rsidRPr="00FF4179">
              <w:rPr>
                <w:color w:val="000000"/>
                <w:szCs w:val="28"/>
                <w:lang w:val="es-ES"/>
              </w:rPr>
              <w:t>aprobaciÓn del proyecto de revisiÓn de l</w:t>
            </w:r>
            <w:r w:rsidR="009A3673">
              <w:rPr>
                <w:color w:val="000000"/>
                <w:szCs w:val="28"/>
                <w:lang w:val="es-ES"/>
              </w:rPr>
              <w:t>a recomendaciÓn uit-r m.1036-4 «</w:t>
            </w:r>
            <w:r w:rsidRPr="00FF4179">
              <w:rPr>
                <w:color w:val="000000"/>
                <w:szCs w:val="28"/>
                <w:lang w:val="es-ES"/>
              </w:rPr>
              <w:t xml:space="preserve">Disposiciones de frecuencias para la implementación de la componente terrenal de las telecomunicaciones móviles internacionales (IMT) </w:t>
            </w:r>
            <w:r>
              <w:rPr>
                <w:color w:val="000000"/>
                <w:szCs w:val="28"/>
                <w:lang w:val="es-ES"/>
              </w:rPr>
              <w:br/>
            </w:r>
            <w:r w:rsidRPr="00FF4179">
              <w:rPr>
                <w:color w:val="000000"/>
                <w:szCs w:val="28"/>
                <w:lang w:val="es-ES"/>
              </w:rPr>
              <w:t xml:space="preserve">en las bandas  identificadas en el Reglamento </w:t>
            </w:r>
            <w:r>
              <w:rPr>
                <w:color w:val="000000"/>
                <w:szCs w:val="28"/>
                <w:lang w:val="es-ES"/>
              </w:rPr>
              <w:br/>
            </w:r>
            <w:r w:rsidRPr="00FF4179">
              <w:rPr>
                <w:color w:val="000000"/>
                <w:szCs w:val="28"/>
                <w:lang w:val="es-ES"/>
              </w:rPr>
              <w:t>de Radiocomunicaciones (RR) para las IMT</w:t>
            </w:r>
            <w:r w:rsidR="009A3673">
              <w:rPr>
                <w:color w:val="000000"/>
                <w:szCs w:val="28"/>
                <w:lang w:val="es-ES"/>
              </w:rPr>
              <w:t>»</w:t>
            </w:r>
          </w:p>
        </w:tc>
      </w:tr>
    </w:tbl>
    <w:bookmarkEnd w:id="8"/>
    <w:p w:rsidR="006D17A5" w:rsidRPr="00FF4179" w:rsidRDefault="006D17A5" w:rsidP="006D17A5">
      <w:pPr>
        <w:pStyle w:val="Heading1"/>
        <w:rPr>
          <w:lang w:val="es-ES"/>
        </w:rPr>
      </w:pPr>
      <w:r w:rsidRPr="00FF4179">
        <w:rPr>
          <w:lang w:val="es-ES"/>
        </w:rPr>
        <w:t>1</w:t>
      </w:r>
      <w:r w:rsidRPr="00FF4179">
        <w:rPr>
          <w:lang w:val="es-ES"/>
        </w:rPr>
        <w:tab/>
      </w:r>
      <w:r w:rsidRPr="004856D3">
        <w:t>Introducción</w:t>
      </w:r>
    </w:p>
    <w:p w:rsidR="006D17A5" w:rsidRPr="00FF4179" w:rsidRDefault="006D17A5" w:rsidP="006D17A5">
      <w:pPr>
        <w:rPr>
          <w:lang w:val="es-ES"/>
        </w:rPr>
      </w:pPr>
      <w:r w:rsidRPr="00FF4179">
        <w:rPr>
          <w:lang w:val="es-ES"/>
        </w:rPr>
        <w:t>La Comisión de Estudio 5 de</w:t>
      </w:r>
      <w:r>
        <w:rPr>
          <w:lang w:val="es-ES"/>
        </w:rPr>
        <w:t>l</w:t>
      </w:r>
      <w:r w:rsidRPr="00FF4179">
        <w:rPr>
          <w:lang w:val="es-ES"/>
        </w:rPr>
        <w:t xml:space="preserve"> UIT-R no pudo alcanzar un consenso sobre la adopción del proyecto de revisión de la Recomendación UIT-R M.1036-4 y la ha presentado a la Asamblea para que la considere</w:t>
      </w:r>
      <w:r>
        <w:rPr>
          <w:lang w:val="es-ES"/>
        </w:rPr>
        <w:t xml:space="preserve"> </w:t>
      </w:r>
      <w:r w:rsidRPr="00FF4179">
        <w:rPr>
          <w:lang w:val="es-ES"/>
        </w:rPr>
        <w:t>(</w:t>
      </w:r>
      <w:hyperlink r:id="rId8" w:history="1">
        <w:r w:rsidRPr="008F1579">
          <w:rPr>
            <w:rStyle w:val="Hyperlink"/>
            <w:szCs w:val="24"/>
          </w:rPr>
          <w:t>Doc. 5/1008</w:t>
        </w:r>
      </w:hyperlink>
      <w:r w:rsidRPr="00FF4179">
        <w:rPr>
          <w:lang w:val="es-ES"/>
        </w:rPr>
        <w:t xml:space="preserve">), a pesar de la urgencia expresada por los Estados Miembros de la CITEL (véase </w:t>
      </w:r>
      <w:hyperlink r:id="rId9" w:history="1">
        <w:r w:rsidRPr="00FF4179">
          <w:rPr>
            <w:rStyle w:val="Hyperlink"/>
            <w:szCs w:val="24"/>
            <w:lang w:val="es-ES"/>
          </w:rPr>
          <w:t>Doc. 5D/791</w:t>
        </w:r>
      </w:hyperlink>
      <w:r w:rsidRPr="00FF4179">
        <w:rPr>
          <w:lang w:val="es-ES"/>
        </w:rPr>
        <w:t xml:space="preserve"> y </w:t>
      </w:r>
      <w:hyperlink r:id="rId10" w:history="1">
        <w:r w:rsidRPr="00FF4179">
          <w:rPr>
            <w:rStyle w:val="Hyperlink"/>
            <w:szCs w:val="24"/>
            <w:lang w:val="es-ES"/>
          </w:rPr>
          <w:t>Doc. 5/241</w:t>
        </w:r>
      </w:hyperlink>
      <w:r w:rsidRPr="00FF4179">
        <w:rPr>
          <w:lang w:val="es-ES"/>
        </w:rPr>
        <w:t xml:space="preserve">). </w:t>
      </w:r>
    </w:p>
    <w:p w:rsidR="006D17A5" w:rsidRPr="00FF4179" w:rsidRDefault="006D17A5" w:rsidP="006D17A5">
      <w:pPr>
        <w:pStyle w:val="Heading1"/>
        <w:rPr>
          <w:lang w:val="es-ES"/>
        </w:rPr>
      </w:pPr>
      <w:r w:rsidRPr="00FF4179">
        <w:rPr>
          <w:lang w:val="es-ES"/>
        </w:rPr>
        <w:t>2</w:t>
      </w:r>
      <w:r w:rsidRPr="00FF4179">
        <w:rPr>
          <w:lang w:val="es-ES"/>
        </w:rPr>
        <w:tab/>
        <w:t>Discusión</w:t>
      </w:r>
    </w:p>
    <w:p w:rsidR="006D17A5" w:rsidRDefault="006D17A5" w:rsidP="006D17A5">
      <w:pPr>
        <w:rPr>
          <w:lang w:val="es-ES"/>
        </w:rPr>
      </w:pPr>
      <w:r w:rsidRPr="00FF4179">
        <w:rPr>
          <w:lang w:val="es-ES"/>
        </w:rPr>
        <w:t>La Recomendación UIT-R M.1036 ofrece disposiciones de frecuencias para la implementación del componente terrenal de las telecomunicaciones móviles internacionales (IMT) en las bandas identificadas para las IMT en el Reglament</w:t>
      </w:r>
      <w:r w:rsidR="00B507C6">
        <w:rPr>
          <w:lang w:val="es-ES"/>
        </w:rPr>
        <w:t xml:space="preserve">o de Radiocomunicaciones (RR). </w:t>
      </w:r>
      <w:r w:rsidRPr="00FF4179">
        <w:rPr>
          <w:lang w:val="es-ES"/>
        </w:rPr>
        <w:t>La disponibilidad oportuna de estas disposiciones de frecuencias es esencial para la elaboración de las especificaciones y normas de las IMT y el examen temprano por parte de las Administraciones y grupos regionales de las disposiciones de frecuencias adec</w:t>
      </w:r>
      <w:r w:rsidR="00B507C6">
        <w:rPr>
          <w:lang w:val="es-ES"/>
        </w:rPr>
        <w:t xml:space="preserve">uadas para cada país o región. </w:t>
      </w:r>
      <w:r w:rsidRPr="00FF4179">
        <w:rPr>
          <w:lang w:val="es-ES"/>
        </w:rPr>
        <w:t>Asimismo, la Recomendación UIT-R M.1036 ofrece alternativas para despliegues según las con</w:t>
      </w:r>
      <w:r w:rsidR="00B507C6">
        <w:rPr>
          <w:lang w:val="es-ES"/>
        </w:rPr>
        <w:t xml:space="preserve">diciones locales o regionales. </w:t>
      </w:r>
      <w:r w:rsidRPr="00FF4179">
        <w:rPr>
          <w:lang w:val="es-ES"/>
        </w:rPr>
        <w:t xml:space="preserve">Algunas de las disposiciones de frecuencias no son compatibles entre </w:t>
      </w:r>
      <w:r>
        <w:rPr>
          <w:lang w:val="es-ES"/>
        </w:rPr>
        <w:t>sí</w:t>
      </w:r>
      <w:r w:rsidRPr="00FF4179">
        <w:rPr>
          <w:lang w:val="es-ES"/>
        </w:rPr>
        <w:t>, sin hablar de otros servicios de la banda, pero se ofrecen por flexibilidad para acomodar estas diferentes con</w:t>
      </w:r>
      <w:r w:rsidR="00AC208B">
        <w:rPr>
          <w:lang w:val="es-ES"/>
        </w:rPr>
        <w:t>diciones locales o regionales.</w:t>
      </w:r>
    </w:p>
    <w:p w:rsidR="006D17A5" w:rsidRPr="00FF4179" w:rsidRDefault="006D17A5" w:rsidP="00AC208B">
      <w:pPr>
        <w:rPr>
          <w:lang w:val="es-ES"/>
        </w:rPr>
      </w:pPr>
      <w:r w:rsidRPr="00FF4179">
        <w:rPr>
          <w:lang w:val="es-ES"/>
        </w:rPr>
        <w:t xml:space="preserve">En la Región 2, los Estados Miembros de la CITEL han aprobado la </w:t>
      </w:r>
      <w:hyperlink r:id="rId11" w:history="1">
        <w:r>
          <w:rPr>
            <w:rStyle w:val="Hyperlink"/>
            <w:szCs w:val="24"/>
            <w:lang w:val="es-ES"/>
          </w:rPr>
          <w:t>Reco</w:t>
        </w:r>
        <w:r>
          <w:rPr>
            <w:rStyle w:val="Hyperlink"/>
            <w:szCs w:val="24"/>
            <w:lang w:val="es-ES"/>
          </w:rPr>
          <w:t>m</w:t>
        </w:r>
        <w:r>
          <w:rPr>
            <w:rStyle w:val="Hyperlink"/>
            <w:szCs w:val="24"/>
            <w:lang w:val="es-ES"/>
          </w:rPr>
          <w:t xml:space="preserve">endación </w:t>
        </w:r>
        <w:r w:rsidRPr="00FF4179">
          <w:rPr>
            <w:rStyle w:val="Hyperlink"/>
            <w:szCs w:val="24"/>
            <w:lang w:val="es-ES"/>
          </w:rPr>
          <w:t>CC</w:t>
        </w:r>
        <w:r>
          <w:rPr>
            <w:rStyle w:val="Hyperlink"/>
            <w:szCs w:val="24"/>
            <w:lang w:val="es-ES"/>
          </w:rPr>
          <w:t>P</w:t>
        </w:r>
        <w:r w:rsidRPr="00FF4179">
          <w:rPr>
            <w:rStyle w:val="Hyperlink"/>
            <w:szCs w:val="24"/>
            <w:lang w:val="es-ES"/>
          </w:rPr>
          <w:t>.II/REC.034</w:t>
        </w:r>
      </w:hyperlink>
      <w:r w:rsidRPr="00DB19F1">
        <w:rPr>
          <w:rStyle w:val="Hyperlink"/>
          <w:szCs w:val="24"/>
          <w:lang w:val="es-ES"/>
        </w:rPr>
        <w:t xml:space="preserve"> (XX</w:t>
      </w:r>
      <w:r w:rsidRPr="00DB19F1">
        <w:rPr>
          <w:rStyle w:val="Hyperlink"/>
          <w:szCs w:val="24"/>
          <w:lang w:val="es-ES"/>
        </w:rPr>
        <w:noBreakHyphen/>
        <w:t>2012)</w:t>
      </w:r>
      <w:r w:rsidR="009A3673">
        <w:rPr>
          <w:lang w:val="es-ES"/>
        </w:rPr>
        <w:t xml:space="preserve"> «</w:t>
      </w:r>
      <w:r w:rsidRPr="00FF4179">
        <w:rPr>
          <w:lang w:val="es-ES"/>
        </w:rPr>
        <w:t>Disposiciones de frecuencias compatibles para sistemas móviles t</w:t>
      </w:r>
      <w:r>
        <w:rPr>
          <w:lang w:val="es-ES"/>
        </w:rPr>
        <w:t>errenales en las bandas 1 710-2 025 MHz y 2 110-</w:t>
      </w:r>
      <w:r w:rsidR="009A3673">
        <w:rPr>
          <w:lang w:val="es-ES"/>
        </w:rPr>
        <w:t>2 200 MHz»</w:t>
      </w:r>
      <w:r w:rsidRPr="00FF4179">
        <w:rPr>
          <w:lang w:val="es-ES"/>
        </w:rPr>
        <w:t>, en la que se han incluido ciertos subconjuntos de disposiciones de frecuencias de la Rec</w:t>
      </w:r>
      <w:r>
        <w:rPr>
          <w:lang w:val="es-ES"/>
        </w:rPr>
        <w:t>omendación</w:t>
      </w:r>
      <w:r w:rsidR="00B507C6">
        <w:rPr>
          <w:lang w:val="es-ES"/>
        </w:rPr>
        <w:t xml:space="preserve"> UIT-R M.1036. </w:t>
      </w:r>
      <w:r w:rsidRPr="00FF4179">
        <w:rPr>
          <w:lang w:val="es-ES"/>
        </w:rPr>
        <w:t xml:space="preserve">Asimismo, la </w:t>
      </w:r>
      <w:hyperlink r:id="rId12" w:history="1">
        <w:r>
          <w:rPr>
            <w:rStyle w:val="Hyperlink"/>
            <w:szCs w:val="24"/>
            <w:lang w:val="es-ES"/>
          </w:rPr>
          <w:t xml:space="preserve">Recomendación </w:t>
        </w:r>
        <w:r w:rsidRPr="00FF4179">
          <w:rPr>
            <w:rStyle w:val="Hyperlink"/>
            <w:szCs w:val="24"/>
            <w:lang w:val="es-ES"/>
          </w:rPr>
          <w:t>CC</w:t>
        </w:r>
        <w:r>
          <w:rPr>
            <w:rStyle w:val="Hyperlink"/>
            <w:szCs w:val="24"/>
            <w:lang w:val="es-ES"/>
          </w:rPr>
          <w:t>P</w:t>
        </w:r>
        <w:r w:rsidRPr="00FF4179">
          <w:rPr>
            <w:rStyle w:val="Hyperlink"/>
            <w:szCs w:val="24"/>
            <w:lang w:val="es-ES"/>
          </w:rPr>
          <w:t>.II/REC.43 (XXIII-14)</w:t>
        </w:r>
      </w:hyperlink>
      <w:r w:rsidRPr="00FF4179">
        <w:rPr>
          <w:lang w:val="es-ES"/>
        </w:rPr>
        <w:t xml:space="preserve"> de la CITEL </w:t>
      </w:r>
      <w:r w:rsidR="009A3673">
        <w:rPr>
          <w:lang w:val="es-ES"/>
        </w:rPr>
        <w:t>«</w:t>
      </w:r>
      <w:r w:rsidRPr="00FF4179">
        <w:rPr>
          <w:lang w:val="es-ES"/>
        </w:rPr>
        <w:t>Uso de las bandas 1 710</w:t>
      </w:r>
      <w:r w:rsidRPr="00FF4179">
        <w:rPr>
          <w:lang w:val="es-ES"/>
        </w:rPr>
        <w:noBreakHyphen/>
        <w:t>1</w:t>
      </w:r>
      <w:r>
        <w:rPr>
          <w:lang w:val="es-ES"/>
        </w:rPr>
        <w:t> 780/ 2 110</w:t>
      </w:r>
      <w:r>
        <w:rPr>
          <w:lang w:val="es-ES"/>
        </w:rPr>
        <w:noBreakHyphen/>
      </w:r>
      <w:r w:rsidRPr="00FF4179">
        <w:rPr>
          <w:lang w:val="es-ES"/>
        </w:rPr>
        <w:t>2 180 MHz en las Américas para s</w:t>
      </w:r>
      <w:r w:rsidR="009A3673">
        <w:rPr>
          <w:lang w:val="es-ES"/>
        </w:rPr>
        <w:t>ervicios móviles de banda ancha»</w:t>
      </w:r>
      <w:r w:rsidRPr="00FF4179">
        <w:rPr>
          <w:lang w:val="es-ES"/>
        </w:rPr>
        <w:t xml:space="preserve"> refleja las intenciones de los países de la Región 2 de desplegar sistemas terrenales IMT en estas bandas. Especialmente, Canadá, Chile, Colombia, México, Nicaragua, Paraguay, Perú y Estados Unidos, entre otros países, disponen de planes para implementar estas frecuencias en sus países en un futuro próximo. Este proyecto de Recomendación observa que las bandas 1 770-1 780</w:t>
      </w:r>
      <w:r>
        <w:rPr>
          <w:lang w:val="es-ES"/>
        </w:rPr>
        <w:t xml:space="preserve"> MHz apareadas con 2 170</w:t>
      </w:r>
      <w:r>
        <w:rPr>
          <w:lang w:val="es-ES"/>
        </w:rPr>
        <w:noBreakHyphen/>
        <w:t>2 180 </w:t>
      </w:r>
      <w:r w:rsidRPr="00FF4179">
        <w:rPr>
          <w:lang w:val="es-ES"/>
        </w:rPr>
        <w:t>MHz son una extensión contigua del emparejam</w:t>
      </w:r>
      <w:r>
        <w:rPr>
          <w:lang w:val="es-ES"/>
        </w:rPr>
        <w:t>iento 1 710-1 770 MHz con 2 110</w:t>
      </w:r>
      <w:r>
        <w:rPr>
          <w:lang w:val="es-ES"/>
        </w:rPr>
        <w:noBreakHyphen/>
      </w:r>
      <w:r w:rsidRPr="00FF4179">
        <w:rPr>
          <w:lang w:val="es-ES"/>
        </w:rPr>
        <w:t xml:space="preserve">2 170 MHz, las cuales están cubiertas por la Disposición B5 en la </w:t>
      </w:r>
      <w:hyperlink r:id="rId13" w:history="1">
        <w:r w:rsidRPr="00FF4179">
          <w:rPr>
            <w:rStyle w:val="Hyperlink"/>
            <w:szCs w:val="24"/>
            <w:lang w:val="es-ES"/>
          </w:rPr>
          <w:t>Recome</w:t>
        </w:r>
        <w:r w:rsidRPr="00FF4179">
          <w:rPr>
            <w:rStyle w:val="Hyperlink"/>
            <w:szCs w:val="24"/>
            <w:lang w:val="es-ES"/>
          </w:rPr>
          <w:t>n</w:t>
        </w:r>
        <w:r w:rsidRPr="00FF4179">
          <w:rPr>
            <w:rStyle w:val="Hyperlink"/>
            <w:szCs w:val="24"/>
            <w:lang w:val="es-ES"/>
          </w:rPr>
          <w:t>dación UIT-R M.1036-4</w:t>
        </w:r>
      </w:hyperlink>
      <w:r w:rsidRPr="00FF4179">
        <w:rPr>
          <w:lang w:val="es-ES"/>
        </w:rPr>
        <w:t xml:space="preserve">, Banda 10 del 3GPP, y la Disposición 5 en la </w:t>
      </w:r>
      <w:hyperlink r:id="rId14" w:history="1">
        <w:r>
          <w:rPr>
            <w:rStyle w:val="Hyperlink"/>
            <w:szCs w:val="24"/>
            <w:lang w:val="es-ES"/>
          </w:rPr>
          <w:t>Recomendación</w:t>
        </w:r>
        <w:r>
          <w:rPr>
            <w:rStyle w:val="Hyperlink"/>
            <w:szCs w:val="24"/>
            <w:lang w:val="es-ES"/>
          </w:rPr>
          <w:t xml:space="preserve"> </w:t>
        </w:r>
        <w:r w:rsidRPr="00FF4179">
          <w:rPr>
            <w:rStyle w:val="Hyperlink"/>
            <w:szCs w:val="24"/>
            <w:lang w:val="es-ES"/>
          </w:rPr>
          <w:t>CC</w:t>
        </w:r>
        <w:r>
          <w:rPr>
            <w:rStyle w:val="Hyperlink"/>
            <w:szCs w:val="24"/>
            <w:lang w:val="es-ES"/>
          </w:rPr>
          <w:t>P</w:t>
        </w:r>
        <w:r w:rsidRPr="00FF4179">
          <w:rPr>
            <w:rStyle w:val="Hyperlink"/>
            <w:szCs w:val="24"/>
            <w:lang w:val="es-ES"/>
          </w:rPr>
          <w:t>.II/REC.8 (IV-04)</w:t>
        </w:r>
      </w:hyperlink>
      <w:r w:rsidRPr="00FF4179">
        <w:rPr>
          <w:lang w:val="es-ES"/>
        </w:rPr>
        <w:t>.</w:t>
      </w:r>
    </w:p>
    <w:p w:rsidR="006D17A5" w:rsidRPr="00FF4179" w:rsidRDefault="006D17A5" w:rsidP="005C382E">
      <w:pPr>
        <w:spacing w:before="100"/>
        <w:rPr>
          <w:lang w:val="es-ES"/>
        </w:rPr>
      </w:pPr>
      <w:r w:rsidRPr="00FF4179">
        <w:rPr>
          <w:lang w:val="es-ES"/>
        </w:rPr>
        <w:t>En principio, los Estados Miembros de la CITEL apoyan la opinió</w:t>
      </w:r>
      <w:r>
        <w:rPr>
          <w:lang w:val="es-ES"/>
        </w:rPr>
        <w:t>n de que la Comisión de Estudio </w:t>
      </w:r>
      <w:r w:rsidRPr="00FF4179">
        <w:rPr>
          <w:lang w:val="es-ES"/>
        </w:rPr>
        <w:t>5 y sus Grupos de Trabajo no tienen que consultar con otras comisiones de estudio al elaborar disposiciones de frecuencias para servicios terrenales en bandas para las cuales dispon</w:t>
      </w:r>
      <w:r w:rsidR="007F4CAC">
        <w:rPr>
          <w:lang w:val="es-ES"/>
        </w:rPr>
        <w:t xml:space="preserve">en de una atribución primaria. </w:t>
      </w:r>
      <w:r w:rsidRPr="00FF4179">
        <w:rPr>
          <w:lang w:val="es-ES"/>
        </w:rPr>
        <w:t>Existen varios ejemplos de Recomendaciones del UIT-R en vigor en relación con disposiciones de frecuencias, que nunca han sido objeto</w:t>
      </w:r>
      <w:r>
        <w:rPr>
          <w:lang w:val="es-ES"/>
        </w:rPr>
        <w:t xml:space="preserve"> de aprobación conjunta por otra</w:t>
      </w:r>
      <w:r w:rsidRPr="00FF4179">
        <w:rPr>
          <w:lang w:val="es-ES"/>
        </w:rPr>
        <w:t>s comisiones de estudio. Además, los estudios de compartición o de coexistencia nunca han sido un requisito previo para la elaboración de nuevas disposiciones de frecuencias.</w:t>
      </w:r>
    </w:p>
    <w:p w:rsidR="006D17A5" w:rsidRPr="00FF4179" w:rsidRDefault="006D17A5" w:rsidP="005C382E">
      <w:pPr>
        <w:spacing w:before="100"/>
        <w:rPr>
          <w:lang w:val="es-ES"/>
        </w:rPr>
      </w:pPr>
      <w:r w:rsidRPr="00FF4179">
        <w:rPr>
          <w:lang w:val="es-ES"/>
        </w:rPr>
        <w:t>En apoyo de los argumentos del punto de vista 2 de la sección de Antecedentes en el Documento</w:t>
      </w:r>
      <w:r>
        <w:rPr>
          <w:lang w:val="es-ES"/>
        </w:rPr>
        <w:t> </w:t>
      </w:r>
      <w:hyperlink r:id="rId15" w:history="1">
        <w:r w:rsidRPr="00C866F8">
          <w:rPr>
            <w:rStyle w:val="Hyperlink"/>
            <w:szCs w:val="24"/>
            <w:lang w:val="es-ES"/>
          </w:rPr>
          <w:t>5/213</w:t>
        </w:r>
        <w:r w:rsidRPr="00C866F8">
          <w:rPr>
            <w:rStyle w:val="Hyperlink"/>
            <w:szCs w:val="24"/>
            <w:lang w:val="es-ES"/>
          </w:rPr>
          <w:t>R</w:t>
        </w:r>
        <w:r w:rsidRPr="00C866F8">
          <w:rPr>
            <w:rStyle w:val="Hyperlink"/>
            <w:szCs w:val="24"/>
            <w:lang w:val="es-ES"/>
          </w:rPr>
          <w:t>1</w:t>
        </w:r>
      </w:hyperlink>
      <w:r w:rsidRPr="00FF4179">
        <w:rPr>
          <w:lang w:val="es-ES"/>
        </w:rPr>
        <w:t>, la nota al pie de página para la identifica</w:t>
      </w:r>
      <w:r>
        <w:rPr>
          <w:lang w:val="es-ES"/>
        </w:rPr>
        <w:t>ción de 1 980-2 010 MHz y 2 170</w:t>
      </w:r>
      <w:r>
        <w:rPr>
          <w:lang w:val="es-ES"/>
        </w:rPr>
        <w:noBreakHyphen/>
      </w:r>
      <w:r w:rsidRPr="00FF4179">
        <w:rPr>
          <w:lang w:val="es-ES"/>
        </w:rPr>
        <w:t xml:space="preserve">2 200 MHz para </w:t>
      </w:r>
      <w:r>
        <w:rPr>
          <w:lang w:val="es-ES"/>
        </w:rPr>
        <w:t xml:space="preserve">las </w:t>
      </w:r>
      <w:r w:rsidRPr="00FF4179">
        <w:rPr>
          <w:lang w:val="es-ES"/>
        </w:rPr>
        <w:t xml:space="preserve">IMT en el RR está disponible para el componente de satélites y para el terrenal conforme a las atribuciones al servicio móvil y al servicio móvil por satélite en el RR y tal y como se refleja en los apartados </w:t>
      </w:r>
      <w:r w:rsidRPr="00FF4179">
        <w:rPr>
          <w:i/>
          <w:iCs/>
          <w:lang w:val="es-ES"/>
        </w:rPr>
        <w:t>teniendo en cuenta</w:t>
      </w:r>
      <w:r w:rsidRPr="00FF4179">
        <w:rPr>
          <w:lang w:val="es-ES"/>
        </w:rPr>
        <w:t xml:space="preserve"> </w:t>
      </w:r>
      <w:r w:rsidRPr="00760662">
        <w:rPr>
          <w:i/>
          <w:iCs/>
          <w:lang w:val="es-ES"/>
        </w:rPr>
        <w:t>a)</w:t>
      </w:r>
      <w:r w:rsidRPr="00FF4179">
        <w:rPr>
          <w:lang w:val="es-ES"/>
        </w:rPr>
        <w:t xml:space="preserve"> y </w:t>
      </w:r>
      <w:r w:rsidRPr="00760662">
        <w:rPr>
          <w:i/>
          <w:iCs/>
          <w:lang w:val="es-ES"/>
        </w:rPr>
        <w:t>b)</w:t>
      </w:r>
      <w:r w:rsidRPr="00FF4179">
        <w:rPr>
          <w:lang w:val="es-ES"/>
        </w:rPr>
        <w:t xml:space="preserve"> de la Resolución 212</w:t>
      </w:r>
      <w:r>
        <w:rPr>
          <w:lang w:val="es-ES"/>
        </w:rPr>
        <w:t xml:space="preserve"> </w:t>
      </w:r>
      <w:r w:rsidRPr="008F1579">
        <w:t>(Rev.</w:t>
      </w:r>
      <w:r w:rsidRPr="008F1579" w:rsidDel="00FD3923">
        <w:t xml:space="preserve"> </w:t>
      </w:r>
      <w:r w:rsidRPr="008F1579">
        <w:t>C</w:t>
      </w:r>
      <w:r>
        <w:t>MR</w:t>
      </w:r>
      <w:r w:rsidRPr="008F1579">
        <w:noBreakHyphen/>
        <w:t>07)</w:t>
      </w:r>
      <w:r w:rsidRPr="00FF4179">
        <w:rPr>
          <w:lang w:val="es-ES"/>
        </w:rPr>
        <w:t>:</w:t>
      </w:r>
    </w:p>
    <w:p w:rsidR="006D17A5" w:rsidRPr="00B507C6" w:rsidRDefault="009A3673" w:rsidP="005C382E">
      <w:pPr>
        <w:pStyle w:val="Call"/>
        <w:spacing w:before="140"/>
      </w:pPr>
      <w:bookmarkStart w:id="9" w:name="tw4winUpto"/>
      <w:bookmarkEnd w:id="9"/>
      <w:r w:rsidRPr="00B507C6">
        <w:t>«</w:t>
      </w:r>
      <w:r w:rsidR="006D17A5" w:rsidRPr="00B507C6">
        <w:t>teniendo en cuenta</w:t>
      </w:r>
    </w:p>
    <w:p w:rsidR="006D17A5" w:rsidRPr="00FF4179" w:rsidRDefault="006D17A5" w:rsidP="005C382E">
      <w:pPr>
        <w:spacing w:before="100"/>
        <w:rPr>
          <w:szCs w:val="24"/>
          <w:lang w:val="es-ES"/>
        </w:rPr>
      </w:pPr>
      <w:r w:rsidRPr="00FF4179">
        <w:rPr>
          <w:i/>
          <w:szCs w:val="24"/>
          <w:lang w:val="es-ES"/>
        </w:rPr>
        <w:t>a)</w:t>
      </w:r>
      <w:bookmarkStart w:id="10" w:name="_GoBack"/>
      <w:bookmarkEnd w:id="10"/>
      <w:r w:rsidRPr="00FF4179">
        <w:rPr>
          <w:szCs w:val="24"/>
          <w:lang w:val="es-ES"/>
        </w:rPr>
        <w:tab/>
        <w:t>que ya se ha implantado o se está considerando la implantación del componente terrenal de las IMT en las bandas 1 885</w:t>
      </w:r>
      <w:r w:rsidRPr="00FF4179">
        <w:rPr>
          <w:szCs w:val="24"/>
          <w:lang w:val="es-ES"/>
        </w:rPr>
        <w:noBreakHyphen/>
        <w:t>2 025 MHz y 2 110</w:t>
      </w:r>
      <w:r w:rsidRPr="00FF4179">
        <w:rPr>
          <w:szCs w:val="24"/>
          <w:lang w:val="es-ES"/>
        </w:rPr>
        <w:noBreakHyphen/>
        <w:t>2 200 MHz;</w:t>
      </w:r>
    </w:p>
    <w:p w:rsidR="006D17A5" w:rsidRPr="00FF4179" w:rsidRDefault="006D17A5" w:rsidP="005C382E">
      <w:pPr>
        <w:spacing w:before="100"/>
        <w:rPr>
          <w:szCs w:val="24"/>
          <w:lang w:val="es-ES"/>
        </w:rPr>
      </w:pPr>
      <w:r w:rsidRPr="00FF4179">
        <w:rPr>
          <w:i/>
          <w:szCs w:val="24"/>
          <w:lang w:val="es-ES"/>
        </w:rPr>
        <w:t>b)</w:t>
      </w:r>
      <w:r w:rsidRPr="00FF4179">
        <w:rPr>
          <w:szCs w:val="24"/>
          <w:lang w:val="es-ES"/>
        </w:rPr>
        <w:tab/>
        <w:t>que la disponibilidad del componente de satélite</w:t>
      </w:r>
      <w:r>
        <w:rPr>
          <w:szCs w:val="24"/>
          <w:lang w:val="es-ES"/>
        </w:rPr>
        <w:t xml:space="preserve"> de las IMT en las bandas 1 980</w:t>
      </w:r>
      <w:r>
        <w:rPr>
          <w:szCs w:val="24"/>
          <w:lang w:val="es-ES"/>
        </w:rPr>
        <w:noBreakHyphen/>
      </w:r>
      <w:r w:rsidRPr="00FF4179">
        <w:rPr>
          <w:szCs w:val="24"/>
          <w:lang w:val="es-ES"/>
        </w:rPr>
        <w:t>2 010 MHz y 2 170-2 200 MHz simultáneamente con el componente terrenal de las IMT en las bandas identificadas en el número </w:t>
      </w:r>
      <w:r w:rsidRPr="00FF4179">
        <w:rPr>
          <w:rStyle w:val="Artref"/>
          <w:b/>
          <w:szCs w:val="24"/>
          <w:lang w:val="es-ES"/>
        </w:rPr>
        <w:t>5.388</w:t>
      </w:r>
      <w:r w:rsidRPr="00FF4179">
        <w:rPr>
          <w:szCs w:val="24"/>
          <w:lang w:val="es-ES"/>
        </w:rPr>
        <w:t xml:space="preserve"> mejoraría la implantación global y el atractivo de</w:t>
      </w:r>
      <w:r w:rsidR="00B507C6">
        <w:rPr>
          <w:szCs w:val="24"/>
          <w:lang w:val="es-ES"/>
        </w:rPr>
        <w:t xml:space="preserve"> las </w:t>
      </w:r>
      <w:r w:rsidR="009A3673">
        <w:rPr>
          <w:szCs w:val="24"/>
          <w:lang w:val="es-ES"/>
        </w:rPr>
        <w:t>IMT,»</w:t>
      </w:r>
      <w:r w:rsidRPr="00FF4179">
        <w:rPr>
          <w:szCs w:val="24"/>
          <w:lang w:val="es-ES"/>
        </w:rPr>
        <w:t>.</w:t>
      </w:r>
    </w:p>
    <w:p w:rsidR="006D17A5" w:rsidRPr="00FF4179" w:rsidRDefault="006D17A5" w:rsidP="005C382E">
      <w:pPr>
        <w:spacing w:before="100"/>
        <w:rPr>
          <w:snapToGrid w:val="0"/>
          <w:lang w:val="es-ES"/>
        </w:rPr>
      </w:pPr>
      <w:r w:rsidRPr="00FF4179">
        <w:rPr>
          <w:snapToGrid w:val="0"/>
          <w:lang w:val="es-ES"/>
        </w:rPr>
        <w:t xml:space="preserve">Los Estados Miembros de la CITEL están al corriente de que la cuestión de la interpretación del Reglamento de Radiocomunicaciones ha sido planteada al Director de la Oficina de Radiocomunicaciones (BR). No estamos de acuerdo con que el avance del trabajo en torno a esta Recomendación esté suspendido mientras se trata la cuestión de la interpretación. Esto podría sentar un mal precedente y podría utilizarse en el futuro para suspender trabajos en torno a disposiciones de frecuencias similares. </w:t>
      </w:r>
    </w:p>
    <w:p w:rsidR="006D17A5" w:rsidRPr="00FF4179" w:rsidRDefault="006D17A5" w:rsidP="005C382E">
      <w:pPr>
        <w:pStyle w:val="Heading1"/>
        <w:spacing w:before="100"/>
        <w:rPr>
          <w:lang w:val="es-ES"/>
        </w:rPr>
      </w:pPr>
      <w:r>
        <w:rPr>
          <w:lang w:val="es-ES"/>
        </w:rPr>
        <w:t>3</w:t>
      </w:r>
      <w:r w:rsidRPr="00FF4179">
        <w:rPr>
          <w:lang w:val="es-ES"/>
        </w:rPr>
        <w:tab/>
        <w:t>Propuesta</w:t>
      </w:r>
    </w:p>
    <w:p w:rsidR="006D17A5" w:rsidRPr="00FF4179" w:rsidRDefault="006D17A5" w:rsidP="005C382E">
      <w:pPr>
        <w:spacing w:before="100"/>
        <w:rPr>
          <w:lang w:val="es-ES"/>
        </w:rPr>
      </w:pPr>
      <w:r w:rsidRPr="00FF4179">
        <w:rPr>
          <w:lang w:val="es-ES"/>
        </w:rPr>
        <w:t xml:space="preserve">CITEL exhorta a la Asamblea a aprobar el proyecto de revisión de la Recomendación </w:t>
      </w:r>
      <w:r>
        <w:rPr>
          <w:lang w:val="es-ES"/>
        </w:rPr>
        <w:t>UIT-R M.1036</w:t>
      </w:r>
      <w:r>
        <w:rPr>
          <w:lang w:val="es-ES"/>
        </w:rPr>
        <w:noBreakHyphen/>
      </w:r>
      <w:r w:rsidRPr="00FF4179">
        <w:rPr>
          <w:lang w:val="es-ES"/>
        </w:rPr>
        <w:t>4 sin notas adicionales, incluyendo:</w:t>
      </w:r>
    </w:p>
    <w:p w:rsidR="006D17A5" w:rsidRPr="00FF4179" w:rsidRDefault="006D17A5" w:rsidP="005C382E">
      <w:pPr>
        <w:pStyle w:val="enumlev1"/>
        <w:spacing w:before="40"/>
        <w:rPr>
          <w:szCs w:val="24"/>
          <w:lang w:val="es-ES"/>
        </w:rPr>
      </w:pPr>
      <w:r w:rsidRPr="00FF4179">
        <w:rPr>
          <w:szCs w:val="24"/>
          <w:lang w:val="es-ES"/>
        </w:rPr>
        <w:t>1)</w:t>
      </w:r>
      <w:r w:rsidRPr="00FF4179">
        <w:rPr>
          <w:szCs w:val="24"/>
          <w:lang w:val="es-ES"/>
        </w:rPr>
        <w:tab/>
        <w:t xml:space="preserve">La retirada del texto tachado destacado en amarillo entre la </w:t>
      </w:r>
      <w:r w:rsidRPr="007F4CAC">
        <w:rPr>
          <w:caps/>
          <w:szCs w:val="24"/>
          <w:lang w:val="es-ES"/>
        </w:rPr>
        <w:t>Nota 6</w:t>
      </w:r>
      <w:r w:rsidRPr="00FF4179">
        <w:rPr>
          <w:szCs w:val="24"/>
          <w:lang w:val="es-ES"/>
        </w:rPr>
        <w:t xml:space="preserve"> y la </w:t>
      </w:r>
      <w:r w:rsidRPr="007F4CAC">
        <w:rPr>
          <w:caps/>
          <w:szCs w:val="24"/>
          <w:lang w:val="es-ES"/>
        </w:rPr>
        <w:t>Nota 7</w:t>
      </w:r>
      <w:r w:rsidRPr="00FF4179">
        <w:rPr>
          <w:szCs w:val="24"/>
          <w:lang w:val="es-ES"/>
        </w:rPr>
        <w:t xml:space="preserve"> en la </w:t>
      </w:r>
      <w:r>
        <w:rPr>
          <w:szCs w:val="24"/>
          <w:lang w:val="es-ES"/>
        </w:rPr>
        <w:t>S</w:t>
      </w:r>
      <w:r w:rsidRPr="00FF4179">
        <w:rPr>
          <w:szCs w:val="24"/>
          <w:lang w:val="es-ES"/>
        </w:rPr>
        <w:t xml:space="preserve">ección 2, ya que no aparece en la Recomendación UIT-R </w:t>
      </w:r>
      <w:hyperlink r:id="rId16" w:history="1">
        <w:r w:rsidRPr="00FF4179">
          <w:rPr>
            <w:rStyle w:val="Hyperlink"/>
            <w:szCs w:val="24"/>
            <w:lang w:val="es-ES"/>
          </w:rPr>
          <w:t>M.1036-</w:t>
        </w:r>
        <w:r w:rsidRPr="00FF4179">
          <w:rPr>
            <w:rStyle w:val="Hyperlink"/>
            <w:szCs w:val="24"/>
            <w:lang w:val="es-ES"/>
          </w:rPr>
          <w:t>4</w:t>
        </w:r>
      </w:hyperlink>
      <w:r w:rsidRPr="00FF4179">
        <w:rPr>
          <w:szCs w:val="24"/>
          <w:lang w:val="es-ES"/>
        </w:rPr>
        <w:t xml:space="preserve"> en vigor y no es necesario para la revisión.</w:t>
      </w:r>
    </w:p>
    <w:p w:rsidR="006D17A5" w:rsidRDefault="006D17A5" w:rsidP="005C382E">
      <w:pPr>
        <w:pStyle w:val="enumlev1"/>
        <w:spacing w:before="40"/>
        <w:rPr>
          <w:szCs w:val="24"/>
          <w:lang w:val="es-ES"/>
        </w:rPr>
      </w:pPr>
      <w:r w:rsidRPr="00FF4179">
        <w:rPr>
          <w:szCs w:val="24"/>
          <w:lang w:val="es-ES"/>
        </w:rPr>
        <w:t>2)</w:t>
      </w:r>
      <w:r w:rsidRPr="00FF4179">
        <w:rPr>
          <w:szCs w:val="24"/>
          <w:lang w:val="es-ES"/>
        </w:rPr>
        <w:tab/>
        <w:t>La retirada de la Nota del editor destacada en amarillo y en</w:t>
      </w:r>
      <w:r>
        <w:rPr>
          <w:szCs w:val="24"/>
          <w:lang w:val="es-ES"/>
        </w:rPr>
        <w:t>tre corchetes situada debajo del Cuadro</w:t>
      </w:r>
      <w:r w:rsidRPr="00FF4179">
        <w:rPr>
          <w:szCs w:val="24"/>
          <w:lang w:val="es-ES"/>
        </w:rPr>
        <w:t xml:space="preserve"> 4 en la </w:t>
      </w:r>
      <w:r>
        <w:rPr>
          <w:szCs w:val="24"/>
          <w:lang w:val="es-ES"/>
        </w:rPr>
        <w:t>S</w:t>
      </w:r>
      <w:r w:rsidRPr="00FF4179">
        <w:rPr>
          <w:szCs w:val="24"/>
          <w:lang w:val="es-ES"/>
        </w:rPr>
        <w:t>ección 3, ya que los argumentos no se aplican al ámbito de la Recomendación UIT-R M.1036 por las razones que se describen en la sección de discusión anterior.</w:t>
      </w:r>
    </w:p>
    <w:p w:rsidR="006D17A5" w:rsidRPr="00FF4179" w:rsidRDefault="006D17A5" w:rsidP="005C382E">
      <w:pPr>
        <w:spacing w:before="40"/>
        <w:ind w:left="1440" w:hanging="1440"/>
        <w:jc w:val="both"/>
        <w:rPr>
          <w:szCs w:val="24"/>
          <w:lang w:val="es-ES"/>
        </w:rPr>
      </w:pPr>
      <w:r w:rsidRPr="00FF4179">
        <w:rPr>
          <w:b/>
          <w:bCs/>
          <w:szCs w:val="24"/>
          <w:lang w:val="es-ES"/>
        </w:rPr>
        <w:t>Situación:</w:t>
      </w:r>
      <w:r w:rsidRPr="00FF4179">
        <w:rPr>
          <w:szCs w:val="24"/>
          <w:lang w:val="es-ES"/>
        </w:rPr>
        <w:t xml:space="preserve"> </w:t>
      </w:r>
      <w:r w:rsidRPr="00FF4179">
        <w:rPr>
          <w:szCs w:val="24"/>
          <w:lang w:val="es-ES"/>
        </w:rPr>
        <w:tab/>
        <w:t>A tratar</w:t>
      </w:r>
    </w:p>
    <w:p w:rsidR="006D17A5" w:rsidRDefault="006D17A5" w:rsidP="005C382E">
      <w:pPr>
        <w:spacing w:before="20"/>
        <w:rPr>
          <w:rStyle w:val="Hyperlink"/>
          <w:szCs w:val="24"/>
          <w:lang w:val="pt-BR"/>
        </w:rPr>
      </w:pPr>
      <w:r w:rsidRPr="00FF4179">
        <w:rPr>
          <w:b/>
          <w:bCs/>
          <w:szCs w:val="24"/>
          <w:lang w:val="es-ES"/>
        </w:rPr>
        <w:t>Contacto:</w:t>
      </w:r>
      <w:r>
        <w:rPr>
          <w:szCs w:val="24"/>
          <w:lang w:val="es-ES"/>
        </w:rPr>
        <w:tab/>
      </w:r>
      <w:r w:rsidRPr="00FF4179">
        <w:rPr>
          <w:szCs w:val="24"/>
          <w:lang w:val="pt-BR"/>
        </w:rPr>
        <w:t>Camilo Zamora Heredia</w:t>
      </w:r>
      <w:r w:rsidRPr="00FF4179">
        <w:rPr>
          <w:szCs w:val="24"/>
          <w:lang w:val="pt-BR"/>
        </w:rPr>
        <w:tab/>
      </w:r>
      <w:r>
        <w:rPr>
          <w:szCs w:val="24"/>
          <w:lang w:val="pt-BR"/>
        </w:rPr>
        <w:tab/>
      </w:r>
      <w:r>
        <w:rPr>
          <w:szCs w:val="24"/>
          <w:lang w:val="pt-BR"/>
        </w:rPr>
        <w:tab/>
      </w:r>
      <w:r w:rsidRPr="00FF4179">
        <w:rPr>
          <w:b/>
          <w:szCs w:val="24"/>
          <w:lang w:val="pt-BR"/>
        </w:rPr>
        <w:t>Correo-e:</w:t>
      </w:r>
      <w:r w:rsidRPr="00FF4179">
        <w:rPr>
          <w:szCs w:val="24"/>
          <w:lang w:val="pt-BR"/>
        </w:rPr>
        <w:t xml:space="preserve"> </w:t>
      </w:r>
      <w:hyperlink r:id="rId17" w:history="1">
        <w:r w:rsidRPr="00FF4179">
          <w:rPr>
            <w:rStyle w:val="Hyperlink"/>
            <w:szCs w:val="24"/>
            <w:lang w:val="pt-BR"/>
          </w:rPr>
          <w:t>camilo.zamo</w:t>
        </w:r>
        <w:r w:rsidRPr="00FF4179">
          <w:rPr>
            <w:rStyle w:val="Hyperlink"/>
            <w:szCs w:val="24"/>
            <w:lang w:val="pt-BR"/>
          </w:rPr>
          <w:t>r</w:t>
        </w:r>
        <w:r w:rsidRPr="00FF4179">
          <w:rPr>
            <w:rStyle w:val="Hyperlink"/>
            <w:szCs w:val="24"/>
            <w:lang w:val="pt-BR"/>
          </w:rPr>
          <w:t>a@ane.gov.co</w:t>
        </w:r>
      </w:hyperlink>
    </w:p>
    <w:p w:rsidR="006D17A5" w:rsidRPr="00C278F8" w:rsidRDefault="006D17A5" w:rsidP="005C382E">
      <w:pPr>
        <w:spacing w:before="0"/>
        <w:jc w:val="center"/>
      </w:pPr>
      <w:r>
        <w:t>______________</w:t>
      </w:r>
    </w:p>
    <w:sectPr w:rsidR="006D17A5" w:rsidRPr="00C278F8">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D0" w:rsidRDefault="00FE59D0">
      <w:r>
        <w:separator/>
      </w:r>
    </w:p>
  </w:endnote>
  <w:endnote w:type="continuationSeparator" w:id="0">
    <w:p w:rsidR="00FE59D0" w:rsidRDefault="00FE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FE59D0">
      <w:rPr>
        <w:noProof/>
        <w:lang w:val="en-US"/>
      </w:rPr>
      <w:t>Document1</w:t>
    </w:r>
    <w:r>
      <w:fldChar w:fldCharType="end"/>
    </w:r>
    <w:r>
      <w:rPr>
        <w:lang w:val="en-US"/>
      </w:rPr>
      <w:tab/>
    </w:r>
    <w:r>
      <w:fldChar w:fldCharType="begin"/>
    </w:r>
    <w:r>
      <w:instrText xml:space="preserve"> SAVEDATE \@ DD.MM.YY </w:instrText>
    </w:r>
    <w:r>
      <w:fldChar w:fldCharType="separate"/>
    </w:r>
    <w:r w:rsidR="006D17A5">
      <w:rPr>
        <w:noProof/>
      </w:rPr>
      <w:t>18.10.15</w:t>
    </w:r>
    <w:r>
      <w:fldChar w:fldCharType="end"/>
    </w:r>
    <w:r>
      <w:rPr>
        <w:lang w:val="en-US"/>
      </w:rPr>
      <w:tab/>
    </w:r>
    <w:r>
      <w:fldChar w:fldCharType="begin"/>
    </w:r>
    <w:r>
      <w:instrText xml:space="preserve"> PRINTDATE \@ DD.MM.YY </w:instrText>
    </w:r>
    <w:r>
      <w:fldChar w:fldCharType="separate"/>
    </w:r>
    <w:r w:rsidR="00FE59D0">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B3" w:rsidRDefault="00886BB3" w:rsidP="00886BB3">
    <w:pPr>
      <w:pStyle w:val="Footer"/>
    </w:pPr>
    <w:r>
      <w:rPr>
        <w:noProof w:val="0"/>
        <w:sz w:val="24"/>
      </w:rPr>
      <w:fldChar w:fldCharType="begin"/>
    </w:r>
    <w:r>
      <w:instrText xml:space="preserve"> FILENAME \p  \* MERGEFORMAT </w:instrText>
    </w:r>
    <w:r>
      <w:rPr>
        <w:noProof w:val="0"/>
        <w:sz w:val="24"/>
      </w:rPr>
      <w:fldChar w:fldCharType="separate"/>
    </w:r>
    <w:r>
      <w:t>P:\ESP\ITU-R\CONF-R\AR15\PLEN\000\011S.docx</w:t>
    </w:r>
    <w:r>
      <w:fldChar w:fldCharType="end"/>
    </w:r>
    <w:r>
      <w:t xml:space="preserve"> (387368)</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BB3" w:rsidRDefault="00886BB3">
    <w:pPr>
      <w:pStyle w:val="Footer"/>
    </w:pPr>
    <w:fldSimple w:instr=" FILENAME \p  \* MERGEFORMAT ">
      <w:r>
        <w:t>P:\ESP\ITU-R\CONF-R\AR15\PLEN\000\011S.docx</w:t>
      </w:r>
    </w:fldSimple>
    <w:r>
      <w:t xml:space="preserve"> (387368)</w:t>
    </w:r>
    <w:r>
      <w:tab/>
    </w:r>
    <w:r>
      <w:fldChar w:fldCharType="begin"/>
    </w:r>
    <w:r>
      <w:instrText xml:space="preserve"> SAVEDATE \@ DD.MM.YY </w:instrText>
    </w:r>
    <w:r>
      <w:fldChar w:fldCharType="separate"/>
    </w:r>
    <w:r>
      <w:t>18.10.15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D0" w:rsidRDefault="00FE59D0">
      <w:r>
        <w:rPr>
          <w:b/>
        </w:rPr>
        <w:t>_______________</w:t>
      </w:r>
    </w:p>
  </w:footnote>
  <w:footnote w:type="continuationSeparator" w:id="0">
    <w:p w:rsidR="00FE59D0" w:rsidRDefault="00FE59D0">
      <w:r>
        <w:continuationSeparator/>
      </w:r>
    </w:p>
  </w:footnote>
  <w:footnote w:id="1">
    <w:p w:rsidR="007E6E4D" w:rsidRDefault="007E6E4D" w:rsidP="007E6E4D">
      <w:pPr>
        <w:pStyle w:val="FootnoteText"/>
        <w:rPr>
          <w:lang w:val="es-ES"/>
        </w:rPr>
      </w:pPr>
      <w:r w:rsidRPr="0000102B">
        <w:rPr>
          <w:rStyle w:val="FootnoteReference"/>
        </w:rPr>
        <w:footnoteRef/>
      </w:r>
      <w:r>
        <w:rPr>
          <w:lang w:val="es-ES"/>
        </w:rPr>
        <w:tab/>
      </w:r>
      <w:r w:rsidRPr="0000102B">
        <w:rPr>
          <w:lang w:val="es-ES"/>
        </w:rPr>
        <w:t>Esta contri</w:t>
      </w:r>
      <w:r>
        <w:rPr>
          <w:lang w:val="es-ES"/>
        </w:rPr>
        <w:t>bución fue aprobada en la XXVI R</w:t>
      </w:r>
      <w:r w:rsidRPr="0000102B">
        <w:rPr>
          <w:lang w:val="es-ES"/>
        </w:rPr>
        <w:t xml:space="preserve">eunión del </w:t>
      </w:r>
      <w:r>
        <w:rPr>
          <w:lang w:val="es-ES"/>
        </w:rPr>
        <w:t>Comité Consultivo Permanente II (Radiocomunicaciones) (CCP</w:t>
      </w:r>
      <w:r w:rsidRPr="0000102B">
        <w:rPr>
          <w:lang w:val="es-ES"/>
        </w:rPr>
        <w:t>.II</w:t>
      </w:r>
      <w:r>
        <w:rPr>
          <w:lang w:val="es-ES"/>
        </w:rPr>
        <w:t>)</w:t>
      </w:r>
      <w:r w:rsidRPr="0000102B">
        <w:rPr>
          <w:lang w:val="es-ES"/>
        </w:rPr>
        <w:t xml:space="preserve"> de la </w:t>
      </w:r>
      <w:r>
        <w:rPr>
          <w:lang w:val="es-ES"/>
        </w:rPr>
        <w:t>Comisión Interamericana de Telecomunicaciones (</w:t>
      </w:r>
      <w:r w:rsidRPr="0000102B">
        <w:rPr>
          <w:lang w:val="es-ES"/>
        </w:rPr>
        <w:t>CITEL</w:t>
      </w:r>
      <w:r>
        <w:rPr>
          <w:lang w:val="es-ES"/>
        </w:rPr>
        <w:t>)</w:t>
      </w:r>
      <w:r w:rsidRPr="0000102B">
        <w:rPr>
          <w:lang w:val="es-ES"/>
        </w:rPr>
        <w:t>, celebrada del 17 al 21 de a</w:t>
      </w:r>
      <w:r>
        <w:rPr>
          <w:lang w:val="es-ES"/>
        </w:rPr>
        <w:t>gosto de 2015 en Ottawa, Canadá, con el apoyo de los siguientes países: Colombia, Canadá, Ecuador y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D0" w:rsidRDefault="00FE59D0">
    <w:pPr>
      <w:pStyle w:val="Header"/>
    </w:pPr>
    <w:r>
      <w:t xml:space="preserve">- </w:t>
    </w:r>
    <w:r>
      <w:fldChar w:fldCharType="begin"/>
    </w:r>
    <w:r>
      <w:instrText xml:space="preserve"> PAGE  \* MERGEFORMAT </w:instrText>
    </w:r>
    <w:r>
      <w:fldChar w:fldCharType="separate"/>
    </w:r>
    <w:r w:rsidR="00AC208B">
      <w:rPr>
        <w:noProof/>
      </w:rPr>
      <w:t>2</w:t>
    </w:r>
    <w:r>
      <w:fldChar w:fldCharType="end"/>
    </w:r>
    <w:r>
      <w:t xml:space="preserve"> -</w:t>
    </w:r>
  </w:p>
  <w:p w:rsidR="00FE59D0" w:rsidRDefault="00FE59D0">
    <w:pPr>
      <w:pStyle w:val="Header"/>
    </w:pPr>
    <w:r>
      <w:t>RA15/PLEN/11-S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D0"/>
    <w:rsid w:val="00012B52"/>
    <w:rsid w:val="00016A7C"/>
    <w:rsid w:val="00020ACE"/>
    <w:rsid w:val="000919DA"/>
    <w:rsid w:val="000F1D11"/>
    <w:rsid w:val="001721DD"/>
    <w:rsid w:val="002334F2"/>
    <w:rsid w:val="002B6243"/>
    <w:rsid w:val="00466F3C"/>
    <w:rsid w:val="005335D1"/>
    <w:rsid w:val="00555F83"/>
    <w:rsid w:val="005648DF"/>
    <w:rsid w:val="005C382E"/>
    <w:rsid w:val="005C4F7E"/>
    <w:rsid w:val="006050EE"/>
    <w:rsid w:val="006911EF"/>
    <w:rsid w:val="00693CB4"/>
    <w:rsid w:val="006D17A5"/>
    <w:rsid w:val="006F2EFE"/>
    <w:rsid w:val="007E6E4D"/>
    <w:rsid w:val="007F4CAC"/>
    <w:rsid w:val="008246E6"/>
    <w:rsid w:val="00886BB3"/>
    <w:rsid w:val="008E02B6"/>
    <w:rsid w:val="009630C4"/>
    <w:rsid w:val="009A3673"/>
    <w:rsid w:val="00AC208B"/>
    <w:rsid w:val="00AF7660"/>
    <w:rsid w:val="00B507C6"/>
    <w:rsid w:val="00BF1023"/>
    <w:rsid w:val="00C278F8"/>
    <w:rsid w:val="00DE35E9"/>
    <w:rsid w:val="00E01901"/>
    <w:rsid w:val="00EB5C7B"/>
    <w:rsid w:val="00FE5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F92ACC2-ED20-4EA3-93BD-28D82DEF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FC,Ref,de nota al pie,Appel note de bas de p + 11 pt,Italic,Appel note de bas de p1,Appel note de bas de p2,Appel note de bas de p3,Footnote,Style 12,Style 124,o,fr"/>
    <w:basedOn w:val="DefaultParagraphFon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7E6E4D"/>
    <w:rPr>
      <w:rFonts w:ascii="Times New Roman" w:hAnsi="Times New Roman"/>
      <w:b/>
      <w:sz w:val="28"/>
      <w:lang w:val="es-ES_tradnl" w:eastAsia="en-US"/>
    </w:rPr>
  </w:style>
  <w:style w:type="character" w:styleId="Hyperlink">
    <w:name w:val="Hyperlink"/>
    <w:rsid w:val="007E6E4D"/>
    <w:rPr>
      <w:color w:val="0000FF"/>
      <w:u w:val="single"/>
    </w:rPr>
  </w:style>
  <w:style w:type="character" w:customStyle="1" w:styleId="CallChar">
    <w:name w:val="Call Char"/>
    <w:link w:val="Call"/>
    <w:locked/>
    <w:rsid w:val="007E6E4D"/>
    <w:rPr>
      <w:rFonts w:ascii="Times New Roman" w:hAnsi="Times New Roman"/>
      <w:i/>
      <w:sz w:val="24"/>
      <w:lang w:val="es-ES_tradnl" w:eastAsia="en-US"/>
    </w:rPr>
  </w:style>
  <w:style w:type="character" w:styleId="FollowedHyperlink">
    <w:name w:val="FollowedHyperlink"/>
    <w:basedOn w:val="DefaultParagraphFont"/>
    <w:semiHidden/>
    <w:unhideWhenUsed/>
    <w:rsid w:val="00B50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8/es" TargetMode="External"/><Relationship Id="rId13" Type="http://schemas.openxmlformats.org/officeDocument/2006/relationships/hyperlink" Target="http://www.itu.int/rec/R-REC-M.1036/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itel.oas.org/en/SiteAssets/PCCII/Final-Reports/P2!R-3597r1_e.pdf" TargetMode="External"/><Relationship Id="rId17" Type="http://schemas.openxmlformats.org/officeDocument/2006/relationships/hyperlink" Target="mailto:camilo.zamora@ane.gov.co" TargetMode="External"/><Relationship Id="rId2" Type="http://schemas.openxmlformats.org/officeDocument/2006/relationships/styles" Target="styles.xml"/><Relationship Id="rId16" Type="http://schemas.openxmlformats.org/officeDocument/2006/relationships/hyperlink" Target="http://www.itu.int/rec/R-REC-M.1036/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citeldocuments/Download.aspx?id=2064" TargetMode="External"/><Relationship Id="rId5" Type="http://schemas.openxmlformats.org/officeDocument/2006/relationships/footnotes" Target="footnotes.xml"/><Relationship Id="rId15" Type="http://schemas.openxmlformats.org/officeDocument/2006/relationships/hyperlink" Target="http://www.itu.int/md/R12-SG05-C-0213/es" TargetMode="External"/><Relationship Id="rId23" Type="http://schemas.openxmlformats.org/officeDocument/2006/relationships/theme" Target="theme/theme1.xml"/><Relationship Id="rId10" Type="http://schemas.openxmlformats.org/officeDocument/2006/relationships/hyperlink" Target="http://www.itu.int/md/R12-SG05-C-0241/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md/R12-WP5D-C-0791/es" TargetMode="External"/><Relationship Id="rId14" Type="http://schemas.openxmlformats.org/officeDocument/2006/relationships/hyperlink" Target="http://www.oas.org/citeldocuments/Download.aspx?id=46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22</TotalTime>
  <Pages>2</Pages>
  <Words>910</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6335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12</cp:revision>
  <cp:lastPrinted>2003-03-04T09:55:00Z</cp:lastPrinted>
  <dcterms:created xsi:type="dcterms:W3CDTF">2015-10-18T14:19:00Z</dcterms:created>
  <dcterms:modified xsi:type="dcterms:W3CDTF">2015-10-18T14:43:00Z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