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486111">
        <w:trPr>
          <w:cantSplit/>
        </w:trPr>
        <w:tc>
          <w:tcPr>
            <w:tcW w:w="6345" w:type="dxa"/>
          </w:tcPr>
          <w:p w:rsidR="00486111" w:rsidRPr="004844C1" w:rsidRDefault="00486111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486111" w:rsidRDefault="00486111" w:rsidP="00D262CE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CD1C527" wp14:editId="268541B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111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486111" w:rsidRPr="00486111" w:rsidRDefault="00486111" w:rsidP="0048611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  <w:r w:rsidRPr="00486111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86111" w:rsidRPr="00617BE4" w:rsidRDefault="00486111" w:rsidP="0048611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86111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486111" w:rsidRPr="00C324A8" w:rsidRDefault="00486111" w:rsidP="0048611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486111" w:rsidRPr="00C324A8" w:rsidRDefault="00486111" w:rsidP="0048611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86111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486111" w:rsidRPr="00486111" w:rsidRDefault="00486111" w:rsidP="0048611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86111">
              <w:rPr>
                <w:rFonts w:ascii="Verdana" w:hAnsi="Verdana"/>
                <w:b/>
                <w:bCs/>
                <w:sz w:val="20"/>
              </w:rPr>
              <w:t>PLENARY MEETING</w:t>
            </w:r>
          </w:p>
        </w:tc>
        <w:tc>
          <w:tcPr>
            <w:tcW w:w="3686" w:type="dxa"/>
          </w:tcPr>
          <w:p w:rsidR="00486111" w:rsidRPr="00486111" w:rsidRDefault="00486111" w:rsidP="00D005D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</w:t>
            </w:r>
            <w:r w:rsidR="00D005DB">
              <w:rPr>
                <w:rFonts w:ascii="Verdana" w:hAnsi="Verdana"/>
                <w:b/>
                <w:sz w:val="20"/>
              </w:rPr>
              <w:t>5</w:t>
            </w:r>
            <w:r>
              <w:rPr>
                <w:rFonts w:ascii="Verdana" w:hAnsi="Verdana"/>
                <w:b/>
                <w:sz w:val="20"/>
              </w:rPr>
              <w:t>/PLEN/11-E</w:t>
            </w:r>
          </w:p>
        </w:tc>
      </w:tr>
      <w:tr w:rsidR="00486111" w:rsidRPr="00C324A8">
        <w:trPr>
          <w:cantSplit/>
          <w:trHeight w:val="23"/>
        </w:trPr>
        <w:tc>
          <w:tcPr>
            <w:tcW w:w="6345" w:type="dxa"/>
            <w:vMerge/>
          </w:tcPr>
          <w:p w:rsidR="00486111" w:rsidRPr="00C324A8" w:rsidRDefault="0048611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486111" w:rsidRPr="00486111" w:rsidRDefault="00486111" w:rsidP="0048611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486111" w:rsidRPr="00C324A8">
        <w:trPr>
          <w:cantSplit/>
          <w:trHeight w:val="23"/>
        </w:trPr>
        <w:tc>
          <w:tcPr>
            <w:tcW w:w="6345" w:type="dxa"/>
            <w:vMerge/>
          </w:tcPr>
          <w:p w:rsidR="00486111" w:rsidRPr="00C324A8" w:rsidRDefault="0048611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486111" w:rsidRPr="00486111" w:rsidRDefault="00486111" w:rsidP="00486111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486111">
        <w:trPr>
          <w:cantSplit/>
        </w:trPr>
        <w:tc>
          <w:tcPr>
            <w:tcW w:w="10031" w:type="dxa"/>
            <w:gridSpan w:val="2"/>
          </w:tcPr>
          <w:p w:rsidR="00486111" w:rsidRPr="00615E46" w:rsidRDefault="00486111" w:rsidP="00615E46">
            <w:pPr>
              <w:pStyle w:val="Source"/>
            </w:pPr>
            <w:bookmarkStart w:id="7" w:name="dsource" w:colFirst="0" w:colLast="0"/>
            <w:bookmarkEnd w:id="6"/>
            <w:r w:rsidRPr="00615E46">
              <w:t>Inter-American Telecommunication Commission</w:t>
            </w:r>
            <w:r w:rsidRPr="00615E46">
              <w:rPr>
                <w:rStyle w:val="FootnoteReference"/>
                <w:position w:val="0"/>
                <w:sz w:val="28"/>
                <w:vertAlign w:val="superscript"/>
              </w:rPr>
              <w:footnoteReference w:id="1"/>
            </w:r>
          </w:p>
        </w:tc>
      </w:tr>
      <w:tr w:rsidR="00486111">
        <w:trPr>
          <w:cantSplit/>
        </w:trPr>
        <w:tc>
          <w:tcPr>
            <w:tcW w:w="10031" w:type="dxa"/>
            <w:gridSpan w:val="2"/>
          </w:tcPr>
          <w:p w:rsidR="00486111" w:rsidRPr="00615E46" w:rsidRDefault="00486111" w:rsidP="00D6612B">
            <w:pPr>
              <w:pStyle w:val="Title1"/>
            </w:pPr>
            <w:bookmarkStart w:id="8" w:name="dtitle1" w:colFirst="0" w:colLast="0"/>
            <w:bookmarkEnd w:id="7"/>
            <w:r w:rsidRPr="00615E46">
              <w:t>approval of the draft revision of recommendation</w:t>
            </w:r>
            <w:r w:rsidR="00BB1FA0" w:rsidRPr="00615E46">
              <w:br/>
            </w:r>
            <w:r w:rsidRPr="00615E46">
              <w:t xml:space="preserve">itu-r m.1036-4 “Frequency arrangements for implementation </w:t>
            </w:r>
            <w:r w:rsidR="00BB1FA0" w:rsidRPr="00615E46">
              <w:br/>
            </w:r>
            <w:r w:rsidRPr="00615E46">
              <w:t xml:space="preserve">of the terrestrial component of International Mobile Telecommunications (IMT) in the bands identified </w:t>
            </w:r>
            <w:r w:rsidR="00D6612B">
              <w:br/>
            </w:r>
            <w:r w:rsidRPr="00615E46">
              <w:t>for IMT in the Radio Regulations (RR)”</w:t>
            </w:r>
          </w:p>
        </w:tc>
      </w:tr>
    </w:tbl>
    <w:p w:rsidR="00486111" w:rsidRPr="00BB1FA0" w:rsidRDefault="00486111" w:rsidP="00BB1FA0">
      <w:pPr>
        <w:pStyle w:val="Heading1"/>
      </w:pPr>
      <w:bookmarkStart w:id="9" w:name="dbreak"/>
      <w:bookmarkEnd w:id="8"/>
      <w:bookmarkEnd w:id="9"/>
      <w:r w:rsidRPr="00BB1FA0">
        <w:t>1</w:t>
      </w:r>
      <w:r w:rsidRPr="00BB1FA0">
        <w:tab/>
        <w:t>Introduction</w:t>
      </w:r>
    </w:p>
    <w:p w:rsidR="00486111" w:rsidRPr="009E25E4" w:rsidRDefault="00486111" w:rsidP="00BB1FA0">
      <w:r w:rsidRPr="009E25E4">
        <w:t>ITU-R Study Group 5 has been unable to reach consensus on the adoption of the draft revision of Recommendation ITU-R M.1036-4 and has submitted it to the Assembly for consideration, (</w:t>
      </w:r>
      <w:hyperlink r:id="rId8" w:history="1">
        <w:r>
          <w:rPr>
            <w:rStyle w:val="Hyperlink"/>
            <w:szCs w:val="24"/>
          </w:rPr>
          <w:t>Doc. 5/1008</w:t>
        </w:r>
      </w:hyperlink>
      <w:r w:rsidRPr="009E25E4">
        <w:t xml:space="preserve">), in spite of the urgency impressed by CITEL Member States (cf. </w:t>
      </w:r>
      <w:hyperlink r:id="rId9" w:history="1">
        <w:r w:rsidRPr="009E25E4">
          <w:rPr>
            <w:rStyle w:val="Hyperlink"/>
            <w:szCs w:val="24"/>
          </w:rPr>
          <w:t>Doc. 5D/791</w:t>
        </w:r>
      </w:hyperlink>
      <w:r w:rsidRPr="009E25E4">
        <w:t xml:space="preserve"> and </w:t>
      </w:r>
      <w:hyperlink r:id="rId10" w:history="1">
        <w:r w:rsidRPr="009E25E4">
          <w:rPr>
            <w:rStyle w:val="Hyperlink"/>
            <w:szCs w:val="24"/>
          </w:rPr>
          <w:t>Doc. 5/241</w:t>
        </w:r>
      </w:hyperlink>
      <w:r w:rsidRPr="009E25E4">
        <w:t xml:space="preserve">). </w:t>
      </w:r>
    </w:p>
    <w:p w:rsidR="00486111" w:rsidRPr="00BB1FA0" w:rsidRDefault="00486111" w:rsidP="00BB1FA0">
      <w:pPr>
        <w:pStyle w:val="Heading1"/>
      </w:pPr>
      <w:r w:rsidRPr="00BB1FA0">
        <w:t>2</w:t>
      </w:r>
      <w:r w:rsidRPr="00BB1FA0">
        <w:tab/>
        <w:t>Discussion</w:t>
      </w:r>
    </w:p>
    <w:p w:rsidR="00486111" w:rsidRPr="009E25E4" w:rsidRDefault="00486111" w:rsidP="00615E46">
      <w:bookmarkStart w:id="10" w:name="_MON_1419852931"/>
      <w:bookmarkEnd w:id="10"/>
      <w:r w:rsidRPr="009E25E4">
        <w:t xml:space="preserve">Recommendation ITU-R M.1036 provides frequency arrangements for implementation of the terrestrial component of IMT in the bands identified for IMT </w:t>
      </w:r>
      <w:r>
        <w:t>in the</w:t>
      </w:r>
      <w:r w:rsidR="00D6612B">
        <w:t xml:space="preserve"> Radio Regula</w:t>
      </w:r>
      <w:r>
        <w:t xml:space="preserve">tions (RR). </w:t>
      </w:r>
      <w:r w:rsidRPr="009E25E4">
        <w:t>The timely availability of these frequency arrangements is essential for the development of IMT specifications and standards and the early consideration by</w:t>
      </w:r>
      <w:r w:rsidR="00D6612B" w:rsidRPr="009E25E4">
        <w:t xml:space="preserve"> administrations and reg</w:t>
      </w:r>
      <w:r w:rsidRPr="009E25E4">
        <w:t>ional groups of suitable frequency arrangemen</w:t>
      </w:r>
      <w:r>
        <w:t xml:space="preserve">ts for each country or Region. </w:t>
      </w:r>
      <w:r w:rsidRPr="009E25E4">
        <w:t>Indeed, Recommendation ITU</w:t>
      </w:r>
      <w:r w:rsidRPr="009E25E4">
        <w:noBreakHyphen/>
        <w:t>R M.1036 provides alternatives for deployments depending</w:t>
      </w:r>
      <w:r w:rsidR="00FF163B">
        <w:t xml:space="preserve"> on local/regional conditions. </w:t>
      </w:r>
      <w:r w:rsidRPr="009E25E4">
        <w:t>Some of the frequency arrangements are not compatible with each other, let alone other services in the band, but are provided for flexibility to accommodate these differ</w:t>
      </w:r>
      <w:r>
        <w:t>ent local/regional conditions.</w:t>
      </w:r>
    </w:p>
    <w:p w:rsidR="00486111" w:rsidRPr="009E25E4" w:rsidRDefault="00486111" w:rsidP="00D6612B">
      <w:r w:rsidRPr="009E25E4">
        <w:t xml:space="preserve">In Region 2 CITEL Member States have approved </w:t>
      </w:r>
      <w:hyperlink r:id="rId11" w:history="1">
        <w:r w:rsidRPr="009E25E4">
          <w:rPr>
            <w:rStyle w:val="Hyperlink"/>
            <w:szCs w:val="24"/>
          </w:rPr>
          <w:t>Recommendation PCC.II/REC. 034</w:t>
        </w:r>
      </w:hyperlink>
      <w:r w:rsidRPr="00BA0621">
        <w:rPr>
          <w:rStyle w:val="Hyperlink"/>
        </w:rPr>
        <w:t xml:space="preserve"> </w:t>
      </w:r>
      <w:r w:rsidRPr="00BA0621">
        <w:rPr>
          <w:rStyle w:val="Hyperlink"/>
          <w:szCs w:val="24"/>
        </w:rPr>
        <w:t>(XX</w:t>
      </w:r>
      <w:r w:rsidRPr="00BA0621">
        <w:rPr>
          <w:rStyle w:val="Hyperlink"/>
          <w:szCs w:val="24"/>
        </w:rPr>
        <w:noBreakHyphen/>
        <w:t>2012)</w:t>
      </w:r>
      <w:r w:rsidRPr="00BA0621">
        <w:rPr>
          <w:rStyle w:val="Hyperlink"/>
        </w:rPr>
        <w:t xml:space="preserve"> </w:t>
      </w:r>
      <w:r w:rsidRPr="009E25E4">
        <w:t>“Compatible frequency arrangements for terrestrial mobile systems in the ba</w:t>
      </w:r>
      <w:r w:rsidR="00905634">
        <w:t>nds 1 710-2 025 MHz and 2 110-</w:t>
      </w:r>
      <w:r w:rsidRPr="009E25E4">
        <w:t>2 200 MHz</w:t>
      </w:r>
      <w:r>
        <w:t>”, where certain subsets of Recommendation</w:t>
      </w:r>
      <w:r w:rsidRPr="009E25E4">
        <w:t xml:space="preserve"> ITU-R </w:t>
      </w:r>
      <w:r w:rsidR="00FF163B">
        <w:t xml:space="preserve">M.1036 are included. </w:t>
      </w:r>
      <w:r w:rsidRPr="009E25E4">
        <w:t xml:space="preserve">Furthermore, </w:t>
      </w:r>
      <w:r w:rsidRPr="009E25E4">
        <w:rPr>
          <w:lang w:val="en-CA"/>
        </w:rPr>
        <w:t xml:space="preserve">CITEL </w:t>
      </w:r>
      <w:hyperlink r:id="rId12" w:history="1">
        <w:r w:rsidRPr="009E25E4">
          <w:rPr>
            <w:rStyle w:val="Hyperlink"/>
            <w:szCs w:val="24"/>
            <w:lang w:val="en-CA"/>
          </w:rPr>
          <w:t>Recommendation PCC.II/REC.43 (XXIII-14)</w:t>
        </w:r>
      </w:hyperlink>
      <w:r w:rsidRPr="009E25E4">
        <w:rPr>
          <w:lang w:val="en-CA"/>
        </w:rPr>
        <w:t xml:space="preserve"> “Use of the 1 710</w:t>
      </w:r>
      <w:r w:rsidRPr="009E25E4">
        <w:rPr>
          <w:lang w:val="en-CA"/>
        </w:rPr>
        <w:noBreakHyphen/>
        <w:t>1 780/2</w:t>
      </w:r>
      <w:r w:rsidR="00615E46">
        <w:rPr>
          <w:lang w:val="en-CA"/>
        </w:rPr>
        <w:t> </w:t>
      </w:r>
      <w:r w:rsidRPr="009E25E4">
        <w:rPr>
          <w:lang w:val="en-CA"/>
        </w:rPr>
        <w:t>110</w:t>
      </w:r>
      <w:r w:rsidR="00615E46">
        <w:rPr>
          <w:lang w:val="en-CA"/>
        </w:rPr>
        <w:noBreakHyphen/>
      </w:r>
      <w:r w:rsidRPr="009E25E4">
        <w:rPr>
          <w:lang w:val="en-CA"/>
        </w:rPr>
        <w:t>2</w:t>
      </w:r>
      <w:r w:rsidR="00615E46">
        <w:rPr>
          <w:lang w:val="en-CA"/>
        </w:rPr>
        <w:t> </w:t>
      </w:r>
      <w:r w:rsidRPr="009E25E4">
        <w:rPr>
          <w:lang w:val="en-CA"/>
        </w:rPr>
        <w:t xml:space="preserve">180 MHz Bands in the Americas for Broadband Mobile Services” reflects the intentions of the countries in Region 2 to deploy IMT terrestrial systems in these bands. In particular, Canada, Chile, Colombia, Mexico, Nicaragua, Paraguay, Peru, and United States, among </w:t>
      </w:r>
      <w:r w:rsidRPr="009E25E4">
        <w:rPr>
          <w:lang w:val="en-CA"/>
        </w:rPr>
        <w:lastRenderedPageBreak/>
        <w:t xml:space="preserve">others, have plans for implementing these frequencies in their countries in the near future. </w:t>
      </w:r>
      <w:r w:rsidRPr="009E25E4">
        <w:rPr>
          <w:bCs/>
          <w:lang w:val="en-CA"/>
        </w:rPr>
        <w:t xml:space="preserve">The draft Recommendation notes that the bands 1 770-1 780 MHz paired with 2 170-2 180 MHz are a contiguous extension of the pairing 1 710-1 770 MHz with 2 110-2 170 MHz, which are covered by Arrangement B5 in </w:t>
      </w:r>
      <w:hyperlink r:id="rId13" w:history="1">
        <w:r w:rsidRPr="009E25E4">
          <w:rPr>
            <w:rStyle w:val="Hyperlink"/>
            <w:bCs/>
            <w:szCs w:val="24"/>
            <w:lang w:val="en-CA"/>
          </w:rPr>
          <w:t>Recommendation ITU-R M.1036-4</w:t>
        </w:r>
      </w:hyperlink>
      <w:r w:rsidRPr="00542FBE">
        <w:t xml:space="preserve">, </w:t>
      </w:r>
      <w:r w:rsidRPr="009E25E4">
        <w:rPr>
          <w:bCs/>
          <w:lang w:val="en-CA"/>
        </w:rPr>
        <w:t xml:space="preserve">3GPP Band 10, and Arrangement 5 in </w:t>
      </w:r>
      <w:hyperlink r:id="rId14" w:history="1">
        <w:r w:rsidRPr="009E25E4">
          <w:rPr>
            <w:rStyle w:val="Hyperlink"/>
            <w:bCs/>
            <w:szCs w:val="24"/>
            <w:lang w:val="en-CA"/>
          </w:rPr>
          <w:t>Recommendation PCC.II/REC. 8 (IV-04)</w:t>
        </w:r>
      </w:hyperlink>
      <w:r w:rsidRPr="009E25E4">
        <w:rPr>
          <w:bCs/>
          <w:color w:val="000000"/>
          <w:lang w:val="en-CA"/>
        </w:rPr>
        <w:t>.</w:t>
      </w:r>
    </w:p>
    <w:p w:rsidR="00486111" w:rsidRPr="009E25E4" w:rsidRDefault="00486111" w:rsidP="00D6612B">
      <w:pPr>
        <w:rPr>
          <w:rFonts w:eastAsia="SimSun"/>
          <w:color w:val="000000"/>
          <w:lang w:eastAsia="zh-CN"/>
        </w:rPr>
      </w:pPr>
      <w:r w:rsidRPr="009E25E4">
        <w:t>In principle, CITEL Member States support the view that Study Group 5 and its Working Parties are not required to consult with other study groups when developing frequency arrangements for terrestrial services in bands for which t</w:t>
      </w:r>
      <w:r w:rsidR="00FF163B">
        <w:t xml:space="preserve">hey have a primary allocation. </w:t>
      </w:r>
      <w:r w:rsidRPr="009E25E4">
        <w:t xml:space="preserve">There are several examples of ITU-R Recommendations related to frequency arrangements in force, which have never been subject to joint approval by other Study Groups. In </w:t>
      </w:r>
      <w:r w:rsidR="00D6612B">
        <w:rPr>
          <w:color w:val="000000"/>
        </w:rPr>
        <w:t>addition, sharing/co</w:t>
      </w:r>
      <w:r w:rsidRPr="009E25E4">
        <w:rPr>
          <w:color w:val="000000"/>
        </w:rPr>
        <w:t>existence studies have never been a prerequisite for the development of new frequency arrangements.</w:t>
      </w:r>
    </w:p>
    <w:p w:rsidR="00486111" w:rsidRPr="009E25E4" w:rsidRDefault="00486111" w:rsidP="00D6612B">
      <w:r w:rsidRPr="009E25E4">
        <w:t xml:space="preserve">Supporting the arguments in View 2 of the Background section in Document </w:t>
      </w:r>
      <w:hyperlink r:id="rId15" w:history="1">
        <w:r w:rsidRPr="009E25E4">
          <w:rPr>
            <w:rStyle w:val="Hyperlink"/>
            <w:szCs w:val="24"/>
          </w:rPr>
          <w:t>5/213R1</w:t>
        </w:r>
      </w:hyperlink>
      <w:r w:rsidRPr="009E25E4">
        <w:t>, the footnote for the identification of 1 980-2 010 MHz and 2 170-2 200 MHz</w:t>
      </w:r>
      <w:r w:rsidRPr="009E25E4" w:rsidDel="009607FC">
        <w:t xml:space="preserve"> </w:t>
      </w:r>
      <w:r w:rsidRPr="009E25E4">
        <w:t>for IMT in the RR is available</w:t>
      </w:r>
      <w:r w:rsidRPr="009E25E4">
        <w:rPr>
          <w:rFonts w:eastAsia="SimSun"/>
          <w:lang w:eastAsia="zh-CN"/>
        </w:rPr>
        <w:t xml:space="preserve"> for both the satellite and terrestrial components as per the allocations to </w:t>
      </w:r>
      <w:r w:rsidR="00D6612B">
        <w:rPr>
          <w:rFonts w:eastAsia="SimSun"/>
          <w:lang w:eastAsia="zh-CN"/>
        </w:rPr>
        <w:t>m</w:t>
      </w:r>
      <w:r w:rsidRPr="009E25E4">
        <w:rPr>
          <w:rFonts w:eastAsia="SimSun"/>
          <w:lang w:eastAsia="zh-CN"/>
        </w:rPr>
        <w:t xml:space="preserve">obile and MSS in the RR and as reflected in </w:t>
      </w:r>
      <w:r w:rsidRPr="009E25E4">
        <w:rPr>
          <w:rFonts w:eastAsia="SimSun"/>
          <w:i/>
          <w:lang w:eastAsia="zh-CN"/>
        </w:rPr>
        <w:t>noting</w:t>
      </w:r>
      <w:r w:rsidR="00D6612B">
        <w:rPr>
          <w:rFonts w:eastAsia="SimSun"/>
          <w:i/>
          <w:lang w:eastAsia="zh-CN"/>
        </w:rPr>
        <w:t> </w:t>
      </w:r>
      <w:r w:rsidRPr="00D6612B">
        <w:rPr>
          <w:rFonts w:eastAsia="SimSun"/>
          <w:i/>
          <w:iCs/>
          <w:lang w:eastAsia="zh-CN"/>
        </w:rPr>
        <w:t>a</w:t>
      </w:r>
      <w:r w:rsidR="00FE4748" w:rsidRPr="00D6612B">
        <w:rPr>
          <w:rFonts w:eastAsia="SimSun"/>
          <w:i/>
          <w:iCs/>
          <w:lang w:eastAsia="zh-CN"/>
        </w:rPr>
        <w:t>)</w:t>
      </w:r>
      <w:r w:rsidRPr="009E25E4">
        <w:rPr>
          <w:rFonts w:eastAsia="SimSun"/>
          <w:lang w:eastAsia="zh-CN"/>
        </w:rPr>
        <w:t xml:space="preserve"> and </w:t>
      </w:r>
      <w:r w:rsidRPr="00D6612B">
        <w:rPr>
          <w:rFonts w:eastAsia="SimSun"/>
          <w:i/>
          <w:iCs/>
          <w:lang w:eastAsia="zh-CN"/>
        </w:rPr>
        <w:t>b</w:t>
      </w:r>
      <w:r w:rsidR="00FE4748" w:rsidRPr="00D6612B">
        <w:rPr>
          <w:rFonts w:eastAsia="SimSun"/>
          <w:i/>
          <w:iCs/>
          <w:lang w:eastAsia="zh-CN"/>
        </w:rPr>
        <w:t>)</w:t>
      </w:r>
      <w:r w:rsidRPr="00D6612B">
        <w:rPr>
          <w:rFonts w:eastAsia="SimSun"/>
          <w:i/>
          <w:iCs/>
          <w:lang w:eastAsia="zh-CN"/>
        </w:rPr>
        <w:t xml:space="preserve"> </w:t>
      </w:r>
      <w:r w:rsidRPr="009E25E4">
        <w:rPr>
          <w:rFonts w:eastAsia="SimSun"/>
          <w:lang w:eastAsia="zh-CN"/>
        </w:rPr>
        <w:t>of Resolution 212</w:t>
      </w:r>
      <w:r>
        <w:rPr>
          <w:rFonts w:eastAsia="SimSun"/>
          <w:lang w:eastAsia="zh-CN"/>
        </w:rPr>
        <w:t xml:space="preserve"> </w:t>
      </w:r>
      <w:r w:rsidRPr="000C3D00">
        <w:t>(Rev.WRC</w:t>
      </w:r>
      <w:r w:rsidRPr="000C3D00">
        <w:noBreakHyphen/>
        <w:t>07)</w:t>
      </w:r>
      <w:r w:rsidRPr="009E25E4">
        <w:rPr>
          <w:rFonts w:eastAsia="SimSun"/>
          <w:lang w:eastAsia="zh-CN"/>
        </w:rPr>
        <w:t xml:space="preserve">: </w:t>
      </w:r>
    </w:p>
    <w:p w:rsidR="00486111" w:rsidRPr="009E25E4" w:rsidRDefault="00486111" w:rsidP="00486111">
      <w:pPr>
        <w:pStyle w:val="Call"/>
        <w:spacing w:before="120"/>
        <w:jc w:val="both"/>
        <w:rPr>
          <w:rFonts w:eastAsia="SimSun"/>
          <w:szCs w:val="24"/>
          <w:lang w:eastAsia="zh-CN"/>
        </w:rPr>
      </w:pPr>
      <w:r w:rsidRPr="009E25E4">
        <w:rPr>
          <w:rFonts w:eastAsia="SimSun"/>
          <w:szCs w:val="24"/>
          <w:lang w:eastAsia="zh-CN"/>
        </w:rPr>
        <w:t>“noting</w:t>
      </w:r>
    </w:p>
    <w:p w:rsidR="00486111" w:rsidRPr="009E25E4" w:rsidRDefault="00486111" w:rsidP="00615E46">
      <w:pPr>
        <w:rPr>
          <w:rFonts w:eastAsia="SimSun"/>
          <w:lang w:eastAsia="zh-CN"/>
        </w:rPr>
      </w:pPr>
      <w:r w:rsidRPr="009E25E4">
        <w:rPr>
          <w:rFonts w:eastAsia="SimSun"/>
          <w:lang w:eastAsia="zh-CN"/>
        </w:rPr>
        <w:t>a)</w:t>
      </w:r>
      <w:r w:rsidRPr="009E25E4">
        <w:rPr>
          <w:rFonts w:eastAsia="SimSun"/>
          <w:lang w:eastAsia="zh-CN"/>
        </w:rPr>
        <w:tab/>
        <w:t xml:space="preserve">that the terrestrial component of IMT has already been deployed or is being considered for deployment in the bands 1 885-2 025 MHz and 2 110-2 200 MHz; </w:t>
      </w:r>
    </w:p>
    <w:p w:rsidR="00486111" w:rsidRPr="009E25E4" w:rsidRDefault="00486111" w:rsidP="00615E46">
      <w:pPr>
        <w:rPr>
          <w:rFonts w:eastAsia="SimSun"/>
          <w:lang w:eastAsia="zh-CN"/>
        </w:rPr>
      </w:pPr>
      <w:r w:rsidRPr="009E25E4">
        <w:rPr>
          <w:rFonts w:eastAsia="SimSun"/>
          <w:lang w:eastAsia="zh-CN"/>
        </w:rPr>
        <w:t>b)</w:t>
      </w:r>
      <w:r w:rsidRPr="009E25E4">
        <w:rPr>
          <w:rFonts w:eastAsia="SimSun"/>
          <w:lang w:eastAsia="zh-CN"/>
        </w:rPr>
        <w:tab/>
        <w:t xml:space="preserve">that the availability of the satellite component of IMT in the bands 1 980-2 010 MHz and 2 170-2 200 MHz simultaneously with the terrestrial component of IMT in the bands identified in No. </w:t>
      </w:r>
      <w:r w:rsidRPr="003B1013">
        <w:rPr>
          <w:rFonts w:eastAsia="SimSun"/>
          <w:b/>
          <w:lang w:eastAsia="zh-CN"/>
        </w:rPr>
        <w:t>5.388</w:t>
      </w:r>
      <w:r w:rsidRPr="009E25E4">
        <w:rPr>
          <w:rFonts w:eastAsia="SimSun"/>
          <w:lang w:eastAsia="zh-CN"/>
        </w:rPr>
        <w:t xml:space="preserve"> would improve the overall implementation </w:t>
      </w:r>
      <w:r w:rsidR="00FF163B">
        <w:rPr>
          <w:rFonts w:eastAsia="SimSun"/>
          <w:lang w:eastAsia="zh-CN"/>
        </w:rPr>
        <w:t>and the attractiveness of IMT,”</w:t>
      </w:r>
    </w:p>
    <w:p w:rsidR="00486111" w:rsidRPr="009E25E4" w:rsidRDefault="00486111" w:rsidP="00D6612B">
      <w:pPr>
        <w:rPr>
          <w:snapToGrid w:val="0"/>
          <w:szCs w:val="24"/>
        </w:rPr>
      </w:pPr>
      <w:r w:rsidRPr="009E25E4">
        <w:rPr>
          <w:szCs w:val="24"/>
        </w:rPr>
        <w:t xml:space="preserve">CITEL Member States </w:t>
      </w:r>
      <w:r w:rsidRPr="009E25E4">
        <w:rPr>
          <w:snapToGrid w:val="0"/>
          <w:szCs w:val="24"/>
        </w:rPr>
        <w:t xml:space="preserve">are aware that the issue of the interpretation of the Radio Regulations has been raised </w:t>
      </w:r>
      <w:r w:rsidR="00D6612B">
        <w:rPr>
          <w:snapToGrid w:val="0"/>
          <w:szCs w:val="24"/>
        </w:rPr>
        <w:t>with</w:t>
      </w:r>
      <w:r w:rsidRPr="009E25E4">
        <w:rPr>
          <w:snapToGrid w:val="0"/>
          <w:szCs w:val="24"/>
        </w:rPr>
        <w:t xml:space="preserve"> the Director of the BR. We do not agree that the progress of the work on this Recommendation</w:t>
      </w:r>
      <w:r w:rsidR="00D6612B">
        <w:rPr>
          <w:snapToGrid w:val="0"/>
          <w:szCs w:val="24"/>
        </w:rPr>
        <w:t xml:space="preserve"> should</w:t>
      </w:r>
      <w:r w:rsidRPr="009E25E4">
        <w:rPr>
          <w:snapToGrid w:val="0"/>
          <w:szCs w:val="24"/>
        </w:rPr>
        <w:t xml:space="preserve"> be held up while the question of inte</w:t>
      </w:r>
      <w:r w:rsidR="00FF163B">
        <w:rPr>
          <w:snapToGrid w:val="0"/>
          <w:szCs w:val="24"/>
        </w:rPr>
        <w:t xml:space="preserve">rpretation is being addressed. </w:t>
      </w:r>
      <w:r w:rsidRPr="009E25E4">
        <w:rPr>
          <w:snapToGrid w:val="0"/>
          <w:szCs w:val="24"/>
        </w:rPr>
        <w:t xml:space="preserve">This could set a bad precedent, and in the future can be used to hold up work for similar frequency arrangement activities. </w:t>
      </w:r>
    </w:p>
    <w:p w:rsidR="00486111" w:rsidRPr="009E25E4" w:rsidRDefault="00486111" w:rsidP="00D6612B">
      <w:pPr>
        <w:pStyle w:val="Heading1"/>
        <w:rPr>
          <w:lang w:val="en-CA"/>
        </w:rPr>
      </w:pPr>
      <w:r>
        <w:rPr>
          <w:lang w:val="en-CA"/>
        </w:rPr>
        <w:t>3</w:t>
      </w:r>
      <w:r w:rsidRPr="009E25E4">
        <w:rPr>
          <w:lang w:val="en-CA"/>
        </w:rPr>
        <w:tab/>
        <w:t>Proposal</w:t>
      </w:r>
    </w:p>
    <w:p w:rsidR="00486111" w:rsidRPr="009E25E4" w:rsidRDefault="00486111" w:rsidP="00BB1FA0">
      <w:pPr>
        <w:rPr>
          <w:szCs w:val="24"/>
          <w:lang w:val="en-CA"/>
        </w:rPr>
      </w:pPr>
      <w:r w:rsidRPr="009E25E4">
        <w:rPr>
          <w:szCs w:val="24"/>
          <w:lang w:val="en-CA"/>
        </w:rPr>
        <w:t>CITEL urges the Assembly to approve the draft revision of Recommendation ITU-R M.1036-4 without the extra notes, including the:</w:t>
      </w:r>
    </w:p>
    <w:p w:rsidR="00486111" w:rsidRPr="00BB1FA0" w:rsidRDefault="00486111" w:rsidP="00D6612B">
      <w:pPr>
        <w:pStyle w:val="enumlev1"/>
        <w:rPr>
          <w:szCs w:val="24"/>
        </w:rPr>
      </w:pPr>
      <w:r w:rsidRPr="00BB1FA0">
        <w:rPr>
          <w:szCs w:val="24"/>
        </w:rPr>
        <w:t>1)</w:t>
      </w:r>
      <w:r w:rsidRPr="00BB1FA0">
        <w:rPr>
          <w:szCs w:val="24"/>
        </w:rPr>
        <w:tab/>
      </w:r>
      <w:r w:rsidR="00D6612B">
        <w:rPr>
          <w:szCs w:val="24"/>
        </w:rPr>
        <w:t>r</w:t>
      </w:r>
      <w:r w:rsidRPr="00BB1FA0">
        <w:rPr>
          <w:szCs w:val="24"/>
        </w:rPr>
        <w:t xml:space="preserve">emoval of the cross-out text highlighted in yellow between NOTE 6 and NOTE 7 in Section 2, as this does not appear in the Recommendation ITU-R </w:t>
      </w:r>
      <w:hyperlink r:id="rId16" w:history="1">
        <w:r w:rsidRPr="00BB1FA0">
          <w:rPr>
            <w:rStyle w:val="Hyperlink"/>
            <w:color w:val="auto"/>
            <w:szCs w:val="24"/>
            <w:u w:val="none"/>
          </w:rPr>
          <w:t>M.1036-4</w:t>
        </w:r>
      </w:hyperlink>
      <w:r w:rsidRPr="00BB1FA0">
        <w:rPr>
          <w:szCs w:val="24"/>
        </w:rPr>
        <w:t xml:space="preserve"> in force and it is not necessary for the revision</w:t>
      </w:r>
      <w:r w:rsidR="00D6612B">
        <w:rPr>
          <w:szCs w:val="24"/>
        </w:rPr>
        <w:t>;</w:t>
      </w:r>
    </w:p>
    <w:p w:rsidR="00486111" w:rsidRPr="00BB1FA0" w:rsidRDefault="00486111" w:rsidP="00D6612B">
      <w:pPr>
        <w:pStyle w:val="enumlev1"/>
        <w:rPr>
          <w:szCs w:val="24"/>
        </w:rPr>
      </w:pPr>
      <w:r w:rsidRPr="00BB1FA0">
        <w:rPr>
          <w:szCs w:val="24"/>
        </w:rPr>
        <w:t>2)</w:t>
      </w:r>
      <w:r w:rsidRPr="00BB1FA0">
        <w:rPr>
          <w:szCs w:val="24"/>
        </w:rPr>
        <w:tab/>
      </w:r>
      <w:r w:rsidR="00D6612B">
        <w:rPr>
          <w:szCs w:val="24"/>
        </w:rPr>
        <w:t>r</w:t>
      </w:r>
      <w:r w:rsidRPr="00BB1FA0">
        <w:rPr>
          <w:szCs w:val="24"/>
        </w:rPr>
        <w:t>emoval of the Editor’s Note highlighted in yellow and in square brackets just below Table 4 in Section 3, as the arguments do not apply to the scope of Recommendation ITU-R M.1036 for the reasons described in the Discussion section above.</w:t>
      </w:r>
    </w:p>
    <w:p w:rsidR="00486111" w:rsidRDefault="00486111" w:rsidP="00486111">
      <w:pPr>
        <w:tabs>
          <w:tab w:val="left" w:pos="1260"/>
        </w:tabs>
        <w:jc w:val="both"/>
        <w:rPr>
          <w:b/>
          <w:bCs/>
          <w:szCs w:val="24"/>
          <w:lang w:val="en-CA"/>
        </w:rPr>
      </w:pPr>
    </w:p>
    <w:p w:rsidR="00486111" w:rsidRPr="009E25E4" w:rsidRDefault="00486111" w:rsidP="00486111">
      <w:pPr>
        <w:tabs>
          <w:tab w:val="left" w:pos="1260"/>
        </w:tabs>
        <w:jc w:val="both"/>
        <w:rPr>
          <w:szCs w:val="24"/>
          <w:lang w:val="en-CA"/>
        </w:rPr>
      </w:pPr>
      <w:r w:rsidRPr="009E25E4">
        <w:rPr>
          <w:b/>
          <w:bCs/>
          <w:szCs w:val="24"/>
          <w:lang w:val="en-CA"/>
        </w:rPr>
        <w:t>Status:</w:t>
      </w:r>
      <w:r w:rsidRPr="009E25E4">
        <w:rPr>
          <w:szCs w:val="24"/>
          <w:lang w:val="en-CA"/>
        </w:rPr>
        <w:t xml:space="preserve"> </w:t>
      </w:r>
      <w:r w:rsidRPr="009E25E4">
        <w:rPr>
          <w:szCs w:val="24"/>
          <w:lang w:val="en-CA"/>
        </w:rPr>
        <w:tab/>
        <w:t>For Action</w:t>
      </w:r>
    </w:p>
    <w:p w:rsidR="00486111" w:rsidRPr="009E25E4" w:rsidRDefault="00486111" w:rsidP="00486111">
      <w:pPr>
        <w:tabs>
          <w:tab w:val="left" w:pos="1260"/>
          <w:tab w:val="left" w:pos="5040"/>
        </w:tabs>
        <w:jc w:val="both"/>
        <w:rPr>
          <w:b/>
          <w:szCs w:val="24"/>
        </w:rPr>
      </w:pPr>
      <w:r w:rsidRPr="009E25E4">
        <w:rPr>
          <w:b/>
          <w:bCs/>
          <w:szCs w:val="24"/>
          <w:lang w:val="pt-BR"/>
        </w:rPr>
        <w:t>Contact:</w:t>
      </w:r>
      <w:r w:rsidRPr="009E25E4">
        <w:rPr>
          <w:szCs w:val="24"/>
          <w:lang w:val="pt-BR"/>
        </w:rPr>
        <w:tab/>
        <w:t>Camilo Zamora Heredia</w:t>
      </w:r>
      <w:r w:rsidRPr="009E25E4">
        <w:rPr>
          <w:szCs w:val="24"/>
          <w:lang w:val="pt-BR"/>
        </w:rPr>
        <w:tab/>
      </w:r>
      <w:r w:rsidRPr="009E25E4">
        <w:rPr>
          <w:b/>
          <w:szCs w:val="24"/>
          <w:lang w:val="pt-BR"/>
        </w:rPr>
        <w:t>E-mail:</w:t>
      </w:r>
      <w:r w:rsidRPr="009E25E4">
        <w:rPr>
          <w:szCs w:val="24"/>
          <w:lang w:val="pt-BR"/>
        </w:rPr>
        <w:t xml:space="preserve"> </w:t>
      </w:r>
      <w:hyperlink r:id="rId17" w:history="1">
        <w:r w:rsidRPr="009E25E4">
          <w:rPr>
            <w:rStyle w:val="Hyperlink"/>
            <w:szCs w:val="24"/>
            <w:lang w:val="pt-BR"/>
          </w:rPr>
          <w:t>camilo.zamora@ane.gov.co</w:t>
        </w:r>
      </w:hyperlink>
      <w:r w:rsidRPr="009E25E4">
        <w:rPr>
          <w:szCs w:val="24"/>
          <w:lang w:val="pt-BR"/>
        </w:rPr>
        <w:t xml:space="preserve"> </w:t>
      </w:r>
    </w:p>
    <w:p w:rsidR="00BB1FA0" w:rsidRDefault="00BB1FA0" w:rsidP="0032202E">
      <w:pPr>
        <w:pStyle w:val="Reasons"/>
      </w:pPr>
    </w:p>
    <w:p w:rsidR="00BB1FA0" w:rsidRDefault="00BB1FA0" w:rsidP="0073014B">
      <w:pPr>
        <w:spacing w:before="240"/>
        <w:jc w:val="center"/>
      </w:pPr>
      <w:r>
        <w:t>______________</w:t>
      </w:r>
    </w:p>
    <w:sectPr w:rsidR="00BB1FA0" w:rsidSect="009447A3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11" w:rsidRDefault="00486111">
      <w:r>
        <w:separator/>
      </w:r>
    </w:p>
  </w:endnote>
  <w:endnote w:type="continuationSeparator" w:id="0">
    <w:p w:rsidR="00486111" w:rsidRDefault="0048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C0495">
      <w:rPr>
        <w:noProof/>
        <w:lang w:val="es-ES_tradnl"/>
      </w:rPr>
      <w:t>P:\ENG\ITU-R\CONF-R\AR15\PLEN\000\011E.docx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0495">
      <w:rPr>
        <w:noProof/>
      </w:rPr>
      <w:t>01.10.15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0495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74" w:rsidRDefault="00D005DB" w:rsidP="00AC5C74">
    <w:pPr>
      <w:pStyle w:val="Footer"/>
    </w:pPr>
    <w:fldSimple w:instr=" FILENAME \p  \* MERGEFORMAT ">
      <w:r w:rsidR="003C0495">
        <w:t>P:\ENG\ITU-R\CONF-R\AR15\PLEN\000\011E.docx</w:t>
      </w:r>
    </w:fldSimple>
    <w:r w:rsidR="00AC5C74">
      <w:t xml:space="preserve"> (387368)</w:t>
    </w:r>
    <w:r w:rsidR="00AC5C74">
      <w:tab/>
    </w:r>
    <w:r w:rsidR="00AC5C74">
      <w:fldChar w:fldCharType="begin"/>
    </w:r>
    <w:r w:rsidR="00AC5C74">
      <w:instrText xml:space="preserve"> SAVEDATE \@ DD.MM.YY </w:instrText>
    </w:r>
    <w:r w:rsidR="00AC5C74">
      <w:fldChar w:fldCharType="separate"/>
    </w:r>
    <w:r w:rsidR="003C0495">
      <w:t>01.10.15</w:t>
    </w:r>
    <w:r w:rsidR="00AC5C74">
      <w:fldChar w:fldCharType="end"/>
    </w:r>
    <w:r w:rsidR="00AC5C74">
      <w:tab/>
    </w:r>
    <w:r w:rsidR="00AC5C74">
      <w:fldChar w:fldCharType="begin"/>
    </w:r>
    <w:r w:rsidR="00AC5C74">
      <w:instrText xml:space="preserve"> PRINTDATE \@ DD.MM.YY </w:instrText>
    </w:r>
    <w:r w:rsidR="00AC5C74">
      <w:fldChar w:fldCharType="separate"/>
    </w:r>
    <w:r w:rsidR="003C0495">
      <w:t>01.10.15</w:t>
    </w:r>
    <w:r w:rsidR="00AC5C7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45" w:rsidRDefault="003C049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P:\ENG\ITU-R\CONF-R\AR15\PLEN\000\011E.docx</w:t>
    </w:r>
    <w:r>
      <w:fldChar w:fldCharType="end"/>
    </w:r>
    <w:r w:rsidR="00A27045">
      <w:t xml:space="preserve"> (387368)</w:t>
    </w:r>
    <w:r w:rsidR="00A27045">
      <w:tab/>
    </w:r>
    <w:r w:rsidR="00A27045">
      <w:fldChar w:fldCharType="begin"/>
    </w:r>
    <w:r w:rsidR="00A27045">
      <w:instrText xml:space="preserve"> SAVEDATE \@ DD.MM.YY </w:instrText>
    </w:r>
    <w:r w:rsidR="00A27045">
      <w:fldChar w:fldCharType="separate"/>
    </w:r>
    <w:r>
      <w:t>01.10.15</w:t>
    </w:r>
    <w:r w:rsidR="00A27045">
      <w:fldChar w:fldCharType="end"/>
    </w:r>
    <w:r w:rsidR="00A27045">
      <w:tab/>
    </w:r>
    <w:r w:rsidR="00A27045">
      <w:fldChar w:fldCharType="begin"/>
    </w:r>
    <w:r w:rsidR="00A27045">
      <w:instrText xml:space="preserve"> PRINTDATE \@ DD.MM.YY </w:instrText>
    </w:r>
    <w:r w:rsidR="00A27045">
      <w:fldChar w:fldCharType="separate"/>
    </w:r>
    <w:r>
      <w:t>01.10.15</w:t>
    </w:r>
    <w:r w:rsidR="00A270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11" w:rsidRDefault="00486111">
      <w:r>
        <w:rPr>
          <w:b/>
        </w:rPr>
        <w:t>_______________</w:t>
      </w:r>
    </w:p>
  </w:footnote>
  <w:footnote w:type="continuationSeparator" w:id="0">
    <w:p w:rsidR="00486111" w:rsidRDefault="00486111">
      <w:r>
        <w:continuationSeparator/>
      </w:r>
    </w:p>
  </w:footnote>
  <w:footnote w:id="1">
    <w:p w:rsidR="00486111" w:rsidRPr="00542FBE" w:rsidRDefault="00486111" w:rsidP="00D6612B">
      <w:pPr>
        <w:pStyle w:val="FootnoteText"/>
        <w:rPr>
          <w:sz w:val="20"/>
        </w:rPr>
      </w:pPr>
      <w:r>
        <w:rPr>
          <w:rStyle w:val="FootnoteReference"/>
        </w:rPr>
        <w:footnoteRef/>
      </w:r>
      <w:r w:rsidR="00615E46">
        <w:tab/>
      </w:r>
      <w:r w:rsidRPr="00BB1FA0">
        <w:t>This contribution was approved at the XXVI Meeting of the Permanent Consultative Committee</w:t>
      </w:r>
      <w:r w:rsidR="00D6612B">
        <w:t> </w:t>
      </w:r>
      <w:r w:rsidRPr="00BB1FA0">
        <w:t>II (Radiocommunications) (PCC.II) of the Inter-American Telecommunication Commission (CITEL) that was held 17-21 August 2015 in Ottawa, Canada, with the support of the following countries: Colombia, Canada, Ecuador and Mexico.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11" w:rsidRDefault="0048611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C0495">
      <w:rPr>
        <w:noProof/>
      </w:rPr>
      <w:t>2</w:t>
    </w:r>
    <w:r>
      <w:fldChar w:fldCharType="end"/>
    </w:r>
  </w:p>
  <w:p w:rsidR="00486111" w:rsidRDefault="00486111">
    <w:pPr>
      <w:pStyle w:val="Header"/>
    </w:pPr>
    <w:r>
      <w:t>RA15/PLEN/</w:t>
    </w:r>
    <w:r w:rsidR="00BB1FA0">
      <w:t>11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11"/>
    <w:rsid w:val="000D1293"/>
    <w:rsid w:val="001B225D"/>
    <w:rsid w:val="00206408"/>
    <w:rsid w:val="0030579C"/>
    <w:rsid w:val="003C0495"/>
    <w:rsid w:val="003C421C"/>
    <w:rsid w:val="00425F3D"/>
    <w:rsid w:val="00462B29"/>
    <w:rsid w:val="004844C1"/>
    <w:rsid w:val="00486111"/>
    <w:rsid w:val="004D6FFE"/>
    <w:rsid w:val="005E0BE1"/>
    <w:rsid w:val="00615E46"/>
    <w:rsid w:val="0071246B"/>
    <w:rsid w:val="0073014B"/>
    <w:rsid w:val="00756B1C"/>
    <w:rsid w:val="007C6911"/>
    <w:rsid w:val="00880578"/>
    <w:rsid w:val="008A7B8E"/>
    <w:rsid w:val="00905634"/>
    <w:rsid w:val="009447A3"/>
    <w:rsid w:val="00993768"/>
    <w:rsid w:val="009E375D"/>
    <w:rsid w:val="00A05CE9"/>
    <w:rsid w:val="00A27045"/>
    <w:rsid w:val="00AC5C74"/>
    <w:rsid w:val="00BB03AF"/>
    <w:rsid w:val="00BB1FA0"/>
    <w:rsid w:val="00BE5003"/>
    <w:rsid w:val="00BF5E61"/>
    <w:rsid w:val="00C46060"/>
    <w:rsid w:val="00D005DB"/>
    <w:rsid w:val="00D262CE"/>
    <w:rsid w:val="00D471A9"/>
    <w:rsid w:val="00D50D44"/>
    <w:rsid w:val="00D6612B"/>
    <w:rsid w:val="00DA716F"/>
    <w:rsid w:val="00E424C3"/>
    <w:rsid w:val="00E81BAC"/>
    <w:rsid w:val="00EE1A06"/>
    <w:rsid w:val="00EE4AD6"/>
    <w:rsid w:val="00F329B0"/>
    <w:rsid w:val="00FD4869"/>
    <w:rsid w:val="00FE4748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DB9CCA9-BC76-4A3C-BB1E-A29A4D92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3,FC,Ref,de nota al pie,Appel note de bas de p + 11 pt,Italic,Appel note de bas de p1,Appel note de bas de p2,Appel note de bas de p3,Footnote,Style 12,Style 124,o,fr"/>
    <w:basedOn w:val="DefaultParagraphFont"/>
    <w:uiPriority w:val="99"/>
    <w:rsid w:val="00FD486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qFormat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uiPriority w:val="99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rsid w:val="00486111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48611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0"/>
      <w:lang w:val="en-US"/>
    </w:rPr>
  </w:style>
  <w:style w:type="character" w:customStyle="1" w:styleId="Heading1Char">
    <w:name w:val="Heading 1 Char"/>
    <w:link w:val="Heading1"/>
    <w:rsid w:val="00486111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RP-1008/en" TargetMode="External"/><Relationship Id="rId13" Type="http://schemas.openxmlformats.org/officeDocument/2006/relationships/hyperlink" Target="http://www.itu.int/rec/R-REC-M.1036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itel.oas.org/en/SiteAssets/PCCII/Final-Reports/P2!R-3597r1_i.pdf" TargetMode="External"/><Relationship Id="rId17" Type="http://schemas.openxmlformats.org/officeDocument/2006/relationships/hyperlink" Target="mailto:camilo.zamora@ane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rec/R-REC-M.1036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.org/citeldocuments/Download.aspx?id=20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SG05-C-0213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5-C-0241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WP5D-C-0791/en" TargetMode="External"/><Relationship Id="rId14" Type="http://schemas.openxmlformats.org/officeDocument/2006/relationships/hyperlink" Target="http://www.oas.org/citeldocuments/Download.aspx?id=476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21</TotalTime>
  <Pages>2</Pages>
  <Words>773</Words>
  <Characters>4227</Characters>
  <Application>Microsoft Office Word</Application>
  <DocSecurity>0</DocSecurity>
  <Lines>80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Currie, Jane</cp:lastModifiedBy>
  <cp:revision>9</cp:revision>
  <cp:lastPrinted>2015-10-01T14:44:00Z</cp:lastPrinted>
  <dcterms:created xsi:type="dcterms:W3CDTF">2015-09-30T10:11:00Z</dcterms:created>
  <dcterms:modified xsi:type="dcterms:W3CDTF">2015-10-01T14:44:00Z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