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522214" w:rsidRDefault="00522214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522214">
              <w:rPr>
                <w:rFonts w:ascii="Verdana" w:hAnsi="Verdana"/>
                <w:b/>
                <w:bCs/>
                <w:sz w:val="20"/>
              </w:rPr>
              <w:t>SÉANCE PLÉNIÈRE</w:t>
            </w:r>
          </w:p>
        </w:tc>
        <w:tc>
          <w:tcPr>
            <w:tcW w:w="3402" w:type="dxa"/>
          </w:tcPr>
          <w:p w:rsidR="004442E2" w:rsidRPr="004442E2" w:rsidRDefault="004442E2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RA15/</w:t>
            </w:r>
            <w:r w:rsidR="00522214">
              <w:rPr>
                <w:rFonts w:ascii="Verdana" w:hAnsi="Verdana"/>
                <w:b/>
                <w:sz w:val="20"/>
              </w:rPr>
              <w:t>PLEN/2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4442E2" w:rsidRPr="004442E2" w:rsidRDefault="00522214" w:rsidP="0052221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23 juillet </w:t>
            </w:r>
            <w:r w:rsidR="004442E2">
              <w:rPr>
                <w:rFonts w:ascii="Verdana" w:hAnsi="Verdana"/>
                <w:b/>
                <w:sz w:val="20"/>
              </w:rPr>
              <w:t>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4442E2" w:rsidRPr="004442E2" w:rsidRDefault="004442E2" w:rsidP="004442E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>
        <w:trPr>
          <w:cantSplit/>
        </w:trPr>
        <w:tc>
          <w:tcPr>
            <w:tcW w:w="10031" w:type="dxa"/>
          </w:tcPr>
          <w:p w:rsidR="004442E2" w:rsidRDefault="00522214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>
              <w:rPr>
                <w:lang w:val="fr-CH"/>
              </w:rPr>
              <w:t>Président de la Commission spéciale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Pr="00522214" w:rsidRDefault="00522214">
            <w:pPr>
              <w:pStyle w:val="Title1"/>
            </w:pPr>
            <w:bookmarkStart w:id="8" w:name="dtitle1" w:colFirst="0" w:colLast="0"/>
            <w:bookmarkEnd w:id="7"/>
            <w:r>
              <w:rPr>
                <w:lang w:val="fr-CH"/>
              </w:rPr>
              <w:t xml:space="preserve">rapport du président de la </w:t>
            </w:r>
            <w:r w:rsidRPr="00F34EE2">
              <w:rPr>
                <w:lang w:val="fr-CH"/>
              </w:rPr>
              <w:t>Commission spéciale chargée d</w:t>
            </w:r>
            <w:r>
              <w:rPr>
                <w:lang w:val="fr-CH"/>
              </w:rPr>
              <w:t>'</w:t>
            </w:r>
            <w:r w:rsidRPr="00F34EE2">
              <w:rPr>
                <w:lang w:val="fr-CH"/>
              </w:rPr>
              <w:t>examiner les questions réglementaires</w:t>
            </w:r>
            <w:r w:rsidRPr="00F34EE2">
              <w:rPr>
                <w:lang w:val="fr-CH"/>
              </w:rPr>
              <w:br/>
              <w:t>et de procédure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4442E2">
            <w:pPr>
              <w:pStyle w:val="Title2"/>
              <w:rPr>
                <w:lang w:val="fr-CH"/>
              </w:rPr>
            </w:pPr>
            <w:bookmarkStart w:id="9" w:name="dtitle2" w:colFirst="0" w:colLast="0"/>
            <w:bookmarkEnd w:id="8"/>
          </w:p>
        </w:tc>
      </w:tr>
    </w:tbl>
    <w:bookmarkEnd w:id="9"/>
    <w:p w:rsidR="00522214" w:rsidRDefault="00522214" w:rsidP="00522214">
      <w:pPr>
        <w:pStyle w:val="Heading1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  <w:t>Introduction</w:t>
      </w:r>
    </w:p>
    <w:p w:rsidR="00522214" w:rsidRDefault="00522214" w:rsidP="00CE7B93">
      <w:pPr>
        <w:rPr>
          <w:lang w:val="fr-CH"/>
        </w:rPr>
      </w:pPr>
      <w:r>
        <w:rPr>
          <w:lang w:val="fr-CH"/>
        </w:rPr>
        <w:t>Conformément à la Résolution UIT</w:t>
      </w:r>
      <w:r>
        <w:rPr>
          <w:lang w:val="fr-CH"/>
        </w:rPr>
        <w:noBreakHyphen/>
        <w:t>R 38</w:t>
      </w:r>
      <w:r>
        <w:rPr>
          <w:lang w:val="fr-CH"/>
        </w:rPr>
        <w:noBreakHyphen/>
      </w:r>
      <w:r w:rsidR="005E4005">
        <w:rPr>
          <w:lang w:val="fr-CH"/>
        </w:rPr>
        <w:t>4</w:t>
      </w:r>
      <w:r>
        <w:rPr>
          <w:lang w:val="fr-CH"/>
        </w:rPr>
        <w:t xml:space="preserve">, </w:t>
      </w:r>
      <w:r w:rsidRPr="00F34EE2">
        <w:rPr>
          <w:lang w:val="fr-CH"/>
        </w:rPr>
        <w:t xml:space="preserve">la </w:t>
      </w:r>
      <w:r w:rsidR="005E4005">
        <w:rPr>
          <w:lang w:val="fr-CH"/>
        </w:rPr>
        <w:t>Réunion</w:t>
      </w:r>
      <w:r w:rsidR="00CE7B93">
        <w:rPr>
          <w:lang w:val="fr-CH"/>
        </w:rPr>
        <w:t xml:space="preserve"> de</w:t>
      </w:r>
      <w:r w:rsidR="005E4005">
        <w:rPr>
          <w:lang w:val="fr-CH"/>
        </w:rPr>
        <w:t xml:space="preserve"> préparat</w:t>
      </w:r>
      <w:r w:rsidR="00CE7B93">
        <w:rPr>
          <w:lang w:val="fr-CH"/>
        </w:rPr>
        <w:t>i</w:t>
      </w:r>
      <w:r w:rsidR="005E4005">
        <w:rPr>
          <w:lang w:val="fr-CH"/>
        </w:rPr>
        <w:t>o</w:t>
      </w:r>
      <w:r w:rsidR="00CE7B93">
        <w:rPr>
          <w:lang w:val="fr-CH"/>
        </w:rPr>
        <w:t>n</w:t>
      </w:r>
      <w:r w:rsidR="005E4005">
        <w:rPr>
          <w:lang w:val="fr-CH"/>
        </w:rPr>
        <w:t xml:space="preserve"> à la Conférence de 2015 (RPC</w:t>
      </w:r>
      <w:r w:rsidR="005E4005">
        <w:rPr>
          <w:lang w:val="fr-CH"/>
        </w:rPr>
        <w:noBreakHyphen/>
        <w:t xml:space="preserve">15), à sa première session (RPC15-1), a </w:t>
      </w:r>
      <w:r>
        <w:rPr>
          <w:lang w:val="fr-CH"/>
        </w:rPr>
        <w:t>relanc</w:t>
      </w:r>
      <w:r w:rsidR="005E4005">
        <w:rPr>
          <w:lang w:val="fr-CH"/>
        </w:rPr>
        <w:t>é</w:t>
      </w:r>
      <w:r>
        <w:rPr>
          <w:lang w:val="fr-CH"/>
        </w:rPr>
        <w:t xml:space="preserve"> les travaux de la Commission spéciale </w:t>
      </w:r>
      <w:r w:rsidRPr="00F34EE2">
        <w:rPr>
          <w:lang w:val="fr-CH"/>
        </w:rPr>
        <w:t>chargée d</w:t>
      </w:r>
      <w:r>
        <w:rPr>
          <w:lang w:val="fr-CH"/>
        </w:rPr>
        <w:t>'</w:t>
      </w:r>
      <w:r w:rsidRPr="00F34EE2">
        <w:rPr>
          <w:lang w:val="fr-CH"/>
        </w:rPr>
        <w:t>examiner les questions réglementaires et de procédure (appelée en abrégé Commission spéciale)</w:t>
      </w:r>
      <w:r>
        <w:rPr>
          <w:lang w:val="fr-CH"/>
        </w:rPr>
        <w:t xml:space="preserve"> dans le cadre du processus de préparation de la CMR-</w:t>
      </w:r>
      <w:r w:rsidRPr="00F34EE2">
        <w:rPr>
          <w:lang w:val="fr-CH"/>
        </w:rPr>
        <w:t>1</w:t>
      </w:r>
      <w:r w:rsidR="005E4005">
        <w:rPr>
          <w:lang w:val="fr-CH"/>
        </w:rPr>
        <w:t>5</w:t>
      </w:r>
      <w:r>
        <w:rPr>
          <w:lang w:val="fr-CH"/>
        </w:rPr>
        <w:t xml:space="preserve">. </w:t>
      </w:r>
      <w:r w:rsidRPr="00F34EE2">
        <w:rPr>
          <w:lang w:val="fr-CH"/>
        </w:rPr>
        <w:t>Lors de l</w:t>
      </w:r>
      <w:r>
        <w:rPr>
          <w:lang w:val="fr-CH"/>
        </w:rPr>
        <w:t>'</w:t>
      </w:r>
      <w:r w:rsidRPr="00F34EE2">
        <w:rPr>
          <w:lang w:val="fr-CH"/>
        </w:rPr>
        <w:t>AR-</w:t>
      </w:r>
      <w:r w:rsidR="005E4005">
        <w:rPr>
          <w:lang w:val="fr-CH"/>
        </w:rPr>
        <w:t>12</w:t>
      </w:r>
      <w:r w:rsidRPr="00F34EE2">
        <w:rPr>
          <w:lang w:val="fr-CH"/>
        </w:rPr>
        <w:t>, M.</w:t>
      </w:r>
      <w:r w:rsidR="000419A4">
        <w:rPr>
          <w:lang w:val="fr-CH"/>
        </w:rPr>
        <w:t> </w:t>
      </w:r>
      <w:r w:rsidR="005E4005" w:rsidRPr="005E4005">
        <w:rPr>
          <w:lang w:val="fr-CH"/>
        </w:rPr>
        <w:t>Taghi</w:t>
      </w:r>
      <w:r w:rsidR="000419A4">
        <w:rPr>
          <w:lang w:val="fr-CH"/>
        </w:rPr>
        <w:t> </w:t>
      </w:r>
      <w:r w:rsidR="005E4005" w:rsidRPr="005E4005">
        <w:rPr>
          <w:lang w:val="fr-CH"/>
        </w:rPr>
        <w:t xml:space="preserve">Shafiee </w:t>
      </w:r>
      <w:r w:rsidRPr="00F34EE2">
        <w:rPr>
          <w:lang w:val="fr-CH"/>
        </w:rPr>
        <w:t>(</w:t>
      </w:r>
      <w:r w:rsidR="00CE7B93">
        <w:rPr>
          <w:lang w:val="fr-CH"/>
        </w:rPr>
        <w:t>République islamique d'Iran)</w:t>
      </w:r>
      <w:r w:rsidRPr="00F34EE2">
        <w:rPr>
          <w:lang w:val="fr-CH"/>
        </w:rPr>
        <w:t xml:space="preserve"> a été nommé Président de la Commission spéciale.</w:t>
      </w:r>
    </w:p>
    <w:p w:rsidR="00522214" w:rsidRDefault="005E4005" w:rsidP="005E4005">
      <w:pPr>
        <w:rPr>
          <w:lang w:val="fr-CH"/>
        </w:rPr>
      </w:pPr>
      <w:r>
        <w:rPr>
          <w:lang w:val="fr-CH"/>
        </w:rPr>
        <w:t>L</w:t>
      </w:r>
      <w:r w:rsidR="00522214">
        <w:rPr>
          <w:lang w:val="fr-CH"/>
        </w:rPr>
        <w:t>a R</w:t>
      </w:r>
      <w:r w:rsidR="00522214" w:rsidRPr="00F34EE2">
        <w:rPr>
          <w:lang w:val="fr-CH"/>
        </w:rPr>
        <w:t>PC1</w:t>
      </w:r>
      <w:r>
        <w:rPr>
          <w:lang w:val="fr-CH"/>
        </w:rPr>
        <w:t>5</w:t>
      </w:r>
      <w:r w:rsidR="00522214" w:rsidRPr="00F34EE2">
        <w:rPr>
          <w:lang w:val="fr-CH"/>
        </w:rPr>
        <w:noBreakHyphen/>
        <w:t>1</w:t>
      </w:r>
      <w:r w:rsidR="00522214">
        <w:rPr>
          <w:lang w:val="fr-CH"/>
        </w:rPr>
        <w:t xml:space="preserve"> a chargé la Commission spéciale d'effectuer les études nécessaires sur les questions réglementaires et de procédure se rapportant aux points de l'ordre du jour pertinents de la CMR</w:t>
      </w:r>
      <w:r w:rsidR="00522214">
        <w:rPr>
          <w:lang w:val="fr-CH"/>
        </w:rPr>
        <w:noBreakHyphen/>
      </w:r>
      <w:r w:rsidR="00522214" w:rsidRPr="006A6C49">
        <w:rPr>
          <w:lang w:val="fr-CH"/>
        </w:rPr>
        <w:t>1</w:t>
      </w:r>
      <w:r>
        <w:rPr>
          <w:lang w:val="fr-CH"/>
        </w:rPr>
        <w:t>5</w:t>
      </w:r>
      <w:r w:rsidR="00522214">
        <w:rPr>
          <w:lang w:val="fr-CH"/>
        </w:rPr>
        <w:t>, sur la base des propositions émanant des membres de l'UIT et des groupes responsables compétents de l'UIT</w:t>
      </w:r>
      <w:r w:rsidR="00522214">
        <w:rPr>
          <w:lang w:val="fr-CH"/>
        </w:rPr>
        <w:noBreakHyphen/>
        <w:t xml:space="preserve">R </w:t>
      </w:r>
      <w:r w:rsidR="00522214" w:rsidRPr="006A6C49">
        <w:rPr>
          <w:lang w:val="fr-CH"/>
        </w:rPr>
        <w:t>(voir la Note 1 de</w:t>
      </w:r>
      <w:r>
        <w:rPr>
          <w:lang w:val="fr-CH"/>
        </w:rPr>
        <w:t xml:space="preserve">s </w:t>
      </w:r>
      <w:r w:rsidR="00522214" w:rsidRPr="006A6C49">
        <w:rPr>
          <w:lang w:val="fr-CH"/>
        </w:rPr>
        <w:t>Annexe</w:t>
      </w:r>
      <w:r>
        <w:rPr>
          <w:lang w:val="fr-CH"/>
        </w:rPr>
        <w:t>s</w:t>
      </w:r>
      <w:r w:rsidR="00522214" w:rsidRPr="006A6C49">
        <w:rPr>
          <w:lang w:val="fr-CH"/>
        </w:rPr>
        <w:t xml:space="preserve"> </w:t>
      </w:r>
      <w:r>
        <w:rPr>
          <w:lang w:val="fr-CH"/>
        </w:rPr>
        <w:t>8 et 9</w:t>
      </w:r>
      <w:r w:rsidR="00522214" w:rsidRPr="006A6C49">
        <w:rPr>
          <w:lang w:val="fr-CH"/>
        </w:rPr>
        <w:t xml:space="preserve"> de la Circulaire administrative </w:t>
      </w:r>
      <w:hyperlink r:id="rId8" w:history="1">
        <w:r w:rsidRPr="00411629">
          <w:rPr>
            <w:rStyle w:val="Hyperlink"/>
            <w:rFonts w:asciiTheme="majorBidi" w:hAnsiTheme="majorBidi" w:cstheme="majorBidi"/>
          </w:rPr>
          <w:t>CA/201</w:t>
        </w:r>
      </w:hyperlink>
      <w:r w:rsidR="00522214" w:rsidRPr="006A6C49">
        <w:rPr>
          <w:lang w:val="fr-CH"/>
        </w:rPr>
        <w:t xml:space="preserve"> du </w:t>
      </w:r>
      <w:r>
        <w:rPr>
          <w:lang w:val="fr-CH"/>
        </w:rPr>
        <w:t>19 mars </w:t>
      </w:r>
      <w:r w:rsidR="00522214" w:rsidRPr="006A6C49">
        <w:rPr>
          <w:lang w:val="fr-CH"/>
        </w:rPr>
        <w:t>20</w:t>
      </w:r>
      <w:r>
        <w:rPr>
          <w:lang w:val="fr-CH"/>
        </w:rPr>
        <w:t>12</w:t>
      </w:r>
      <w:r w:rsidR="00522214" w:rsidRPr="006A6C49">
        <w:rPr>
          <w:lang w:val="fr-CH"/>
        </w:rPr>
        <w:t>).</w:t>
      </w:r>
    </w:p>
    <w:p w:rsidR="00522214" w:rsidRDefault="00522214" w:rsidP="00522214">
      <w:pPr>
        <w:pStyle w:val="Heading1"/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  <w:t>Organisation des activités de la Commission spéciale</w:t>
      </w:r>
    </w:p>
    <w:p w:rsidR="00522214" w:rsidRDefault="00522214" w:rsidP="00CE7B93">
      <w:pPr>
        <w:rPr>
          <w:lang w:val="fr-CH"/>
        </w:rPr>
      </w:pPr>
      <w:r>
        <w:rPr>
          <w:lang w:val="fr-CH"/>
        </w:rPr>
        <w:t>Dans le cadre des travaux de préparation de la CMR</w:t>
      </w:r>
      <w:r>
        <w:rPr>
          <w:lang w:val="fr-CH"/>
        </w:rPr>
        <w:noBreakHyphen/>
      </w:r>
      <w:r w:rsidRPr="006A6C49">
        <w:rPr>
          <w:lang w:val="fr-CH"/>
        </w:rPr>
        <w:t>1</w:t>
      </w:r>
      <w:r w:rsidR="005E4005">
        <w:rPr>
          <w:lang w:val="fr-CH"/>
        </w:rPr>
        <w:t>5</w:t>
      </w:r>
      <w:r>
        <w:rPr>
          <w:lang w:val="fr-CH"/>
        </w:rPr>
        <w:t xml:space="preserve">, comme lors de précédentes conférences, la </w:t>
      </w:r>
      <w:r w:rsidRPr="006A6C49">
        <w:rPr>
          <w:lang w:val="fr-CH"/>
        </w:rPr>
        <w:t>RPC1</w:t>
      </w:r>
      <w:r w:rsidR="005E4005">
        <w:rPr>
          <w:lang w:val="fr-CH"/>
        </w:rPr>
        <w:t>5</w:t>
      </w:r>
      <w:r w:rsidRPr="006A6C49">
        <w:rPr>
          <w:lang w:val="fr-CH"/>
        </w:rPr>
        <w:noBreakHyphen/>
        <w:t>1</w:t>
      </w:r>
      <w:r>
        <w:rPr>
          <w:lang w:val="fr-CH"/>
        </w:rPr>
        <w:t xml:space="preserve"> a décidé d'inclure dans la structure du projet de Rapport de la RPC, </w:t>
      </w:r>
      <w:r w:rsidR="005E4005">
        <w:rPr>
          <w:lang w:val="fr-CH"/>
        </w:rPr>
        <w:t>pour chaque point de l'ordre du jour de la CMR</w:t>
      </w:r>
      <w:r w:rsidR="005E4005">
        <w:rPr>
          <w:lang w:val="fr-CH"/>
        </w:rPr>
        <w:noBreakHyphen/>
      </w:r>
      <w:r w:rsidR="005E4005" w:rsidRPr="006A6C49">
        <w:rPr>
          <w:lang w:val="fr-CH"/>
        </w:rPr>
        <w:t>1</w:t>
      </w:r>
      <w:r w:rsidR="005E4005">
        <w:rPr>
          <w:lang w:val="fr-CH"/>
        </w:rPr>
        <w:t xml:space="preserve">5, </w:t>
      </w:r>
      <w:r>
        <w:rPr>
          <w:lang w:val="fr-CH"/>
        </w:rPr>
        <w:t>un paragraphe intitulé «</w:t>
      </w:r>
      <w:r w:rsidRPr="005E4005">
        <w:rPr>
          <w:lang w:val="fr-CH"/>
        </w:rPr>
        <w:t>Considérations touchant à la réglementation et aux procédures</w:t>
      </w:r>
      <w:r>
        <w:rPr>
          <w:lang w:val="fr-CH"/>
        </w:rPr>
        <w:t>». Les groupes de l'UIT</w:t>
      </w:r>
      <w:r>
        <w:rPr>
          <w:lang w:val="fr-CH"/>
        </w:rPr>
        <w:noBreakHyphen/>
        <w:t>R responsables de l'étude des points de l'ordre du jour de la CMR</w:t>
      </w:r>
      <w:r>
        <w:rPr>
          <w:lang w:val="fr-CH"/>
        </w:rPr>
        <w:noBreakHyphen/>
      </w:r>
      <w:r w:rsidRPr="006A6C49">
        <w:rPr>
          <w:lang w:val="fr-CH"/>
        </w:rPr>
        <w:t>1</w:t>
      </w:r>
      <w:r w:rsidR="005E4005">
        <w:rPr>
          <w:lang w:val="fr-CH"/>
        </w:rPr>
        <w:t>5</w:t>
      </w:r>
      <w:r>
        <w:rPr>
          <w:lang w:val="fr-CH"/>
        </w:rPr>
        <w:t xml:space="preserve"> ont procédé ainsi lors de l'élaboration de leurs projets de texte pour la RPC, </w:t>
      </w:r>
      <w:r w:rsidR="005E4005">
        <w:rPr>
          <w:lang w:val="fr-CH"/>
        </w:rPr>
        <w:t>ce qui a simplifié l'examen des textes pendant la réunion de la Commission spéciale.</w:t>
      </w:r>
    </w:p>
    <w:p w:rsidR="00522214" w:rsidRPr="006A6C49" w:rsidRDefault="00522214" w:rsidP="00E34604">
      <w:pPr>
        <w:rPr>
          <w:lang w:val="fr-CH"/>
        </w:rPr>
      </w:pPr>
      <w:r>
        <w:rPr>
          <w:lang w:val="fr-CH"/>
        </w:rPr>
        <w:t xml:space="preserve">Compte tenu </w:t>
      </w:r>
      <w:r w:rsidRPr="006A6C49">
        <w:rPr>
          <w:lang w:val="fr-CH"/>
        </w:rPr>
        <w:t>des travaux préparatoires</w:t>
      </w:r>
      <w:r>
        <w:rPr>
          <w:lang w:val="fr-CH"/>
        </w:rPr>
        <w:t xml:space="preserve"> satisfaisants</w:t>
      </w:r>
      <w:r w:rsidRPr="006A6C49">
        <w:rPr>
          <w:lang w:val="fr-CH"/>
        </w:rPr>
        <w:t xml:space="preserve"> </w:t>
      </w:r>
      <w:r w:rsidR="005E4005">
        <w:rPr>
          <w:lang w:val="fr-CH"/>
        </w:rPr>
        <w:t xml:space="preserve">et rentables </w:t>
      </w:r>
      <w:r w:rsidRPr="006A6C49">
        <w:rPr>
          <w:lang w:val="fr-CH"/>
        </w:rPr>
        <w:t>de la Commission spéciale en vue de la RPC07-2</w:t>
      </w:r>
      <w:r w:rsidR="005E4005">
        <w:rPr>
          <w:lang w:val="fr-CH"/>
        </w:rPr>
        <w:t xml:space="preserve"> et de la </w:t>
      </w:r>
      <w:r w:rsidR="005E4005" w:rsidRPr="005E4005">
        <w:rPr>
          <w:lang w:val="fr-CH"/>
        </w:rPr>
        <w:t>RPC11</w:t>
      </w:r>
      <w:r w:rsidR="005E4005" w:rsidRPr="005E4005">
        <w:rPr>
          <w:lang w:val="fr-CH"/>
        </w:rPr>
        <w:noBreakHyphen/>
        <w:t>2</w:t>
      </w:r>
      <w:r w:rsidRPr="006A6C49">
        <w:rPr>
          <w:lang w:val="fr-CH"/>
        </w:rPr>
        <w:t>,</w:t>
      </w:r>
      <w:r w:rsidR="005E4005">
        <w:rPr>
          <w:lang w:val="fr-CH"/>
        </w:rPr>
        <w:t xml:space="preserve"> </w:t>
      </w:r>
      <w:r>
        <w:rPr>
          <w:lang w:val="fr-CH"/>
        </w:rPr>
        <w:t>la RPC</w:t>
      </w:r>
      <w:r w:rsidRPr="006A6C49">
        <w:rPr>
          <w:lang w:val="fr-CH"/>
        </w:rPr>
        <w:t>1</w:t>
      </w:r>
      <w:r w:rsidR="005E4005">
        <w:rPr>
          <w:lang w:val="fr-CH"/>
        </w:rPr>
        <w:t>5</w:t>
      </w:r>
      <w:r>
        <w:rPr>
          <w:lang w:val="fr-CH"/>
        </w:rPr>
        <w:t xml:space="preserve">-1 a </w:t>
      </w:r>
      <w:r w:rsidR="005E4005">
        <w:rPr>
          <w:lang w:val="fr-CH"/>
        </w:rPr>
        <w:t>pris note de la création d'</w:t>
      </w:r>
      <w:r>
        <w:rPr>
          <w:lang w:val="fr-CH"/>
        </w:rPr>
        <w:t>un Groupe de travail de la Commission spéciale (GT</w:t>
      </w:r>
      <w:r>
        <w:rPr>
          <w:lang w:val="fr-CH"/>
        </w:rPr>
        <w:noBreakHyphen/>
        <w:t>SC), présidé par</w:t>
      </w:r>
      <w:r w:rsidR="005E4005">
        <w:rPr>
          <w:lang w:val="fr-CH"/>
        </w:rPr>
        <w:t xml:space="preserve"> le Président de la Commission spéciale (voir l'Annexe 2 de la Circulaire administrative</w:t>
      </w:r>
      <w:r w:rsidR="005E4005" w:rsidRPr="005E4005">
        <w:rPr>
          <w:lang w:val="fr-CH"/>
        </w:rPr>
        <w:t xml:space="preserve"> </w:t>
      </w:r>
      <w:hyperlink r:id="rId9" w:history="1">
        <w:r w:rsidR="005E4005" w:rsidRPr="00E11292">
          <w:rPr>
            <w:rStyle w:val="Hyperlink"/>
            <w:rFonts w:asciiTheme="majorBidi" w:hAnsiTheme="majorBidi" w:cstheme="majorBidi"/>
          </w:rPr>
          <w:t>CA/201</w:t>
        </w:r>
      </w:hyperlink>
      <w:r w:rsidRPr="006A6C49">
        <w:rPr>
          <w:lang w:val="fr-CH"/>
        </w:rPr>
        <w:t>). Ce groupe, qui s</w:t>
      </w:r>
      <w:r>
        <w:rPr>
          <w:lang w:val="fr-CH"/>
        </w:rPr>
        <w:t>'</w:t>
      </w:r>
      <w:r w:rsidRPr="006A6C49">
        <w:rPr>
          <w:lang w:val="fr-CH"/>
        </w:rPr>
        <w:t>est</w:t>
      </w:r>
      <w:r>
        <w:rPr>
          <w:lang w:val="fr-CH"/>
        </w:rPr>
        <w:t xml:space="preserve"> réuni </w:t>
      </w:r>
      <w:r w:rsidR="005E4005">
        <w:rPr>
          <w:lang w:val="fr-CH"/>
        </w:rPr>
        <w:t>une</w:t>
      </w:r>
      <w:r>
        <w:rPr>
          <w:lang w:val="fr-CH"/>
        </w:rPr>
        <w:t xml:space="preserve"> fois à Genève, du </w:t>
      </w:r>
      <w:r w:rsidR="005E4005">
        <w:rPr>
          <w:lang w:val="fr-CH"/>
        </w:rPr>
        <w:t>6</w:t>
      </w:r>
      <w:r>
        <w:rPr>
          <w:lang w:val="fr-CH"/>
        </w:rPr>
        <w:t xml:space="preserve"> au </w:t>
      </w:r>
      <w:r w:rsidR="005E4005">
        <w:rPr>
          <w:lang w:val="fr-CH"/>
        </w:rPr>
        <w:t>11</w:t>
      </w:r>
      <w:r>
        <w:rPr>
          <w:lang w:val="fr-CH"/>
        </w:rPr>
        <w:t> </w:t>
      </w:r>
      <w:r w:rsidR="005E4005">
        <w:rPr>
          <w:lang w:val="fr-CH"/>
        </w:rPr>
        <w:t>déc</w:t>
      </w:r>
      <w:r>
        <w:rPr>
          <w:lang w:val="fr-CH"/>
        </w:rPr>
        <w:t>embre 20</w:t>
      </w:r>
      <w:r w:rsidR="005E4005">
        <w:rPr>
          <w:lang w:val="fr-CH"/>
        </w:rPr>
        <w:t>13</w:t>
      </w:r>
      <w:r w:rsidRPr="006A6C49">
        <w:rPr>
          <w:lang w:val="fr-CH"/>
        </w:rPr>
        <w:t>, a préparé les travaux de la Commission spéciale sur plusieurs questions en étroite collaboration avec les commissions d</w:t>
      </w:r>
      <w:r>
        <w:rPr>
          <w:lang w:val="fr-CH"/>
        </w:rPr>
        <w:t>'</w:t>
      </w:r>
      <w:r w:rsidRPr="006A6C49">
        <w:rPr>
          <w:lang w:val="fr-CH"/>
        </w:rPr>
        <w:t>études ou les groupes de travail concernés de l</w:t>
      </w:r>
      <w:r>
        <w:rPr>
          <w:lang w:val="fr-CH"/>
        </w:rPr>
        <w:t>'</w:t>
      </w:r>
      <w:r w:rsidRPr="006A6C49">
        <w:rPr>
          <w:lang w:val="fr-CH"/>
        </w:rPr>
        <w:t>UIT</w:t>
      </w:r>
      <w:r w:rsidRPr="006A6C49">
        <w:rPr>
          <w:lang w:val="fr-CH"/>
        </w:rPr>
        <w:noBreakHyphen/>
        <w:t>R.</w:t>
      </w:r>
    </w:p>
    <w:p w:rsidR="00522214" w:rsidRDefault="00522214" w:rsidP="005E4005">
      <w:pPr>
        <w:keepNext/>
        <w:keepLines/>
        <w:rPr>
          <w:bCs/>
          <w:szCs w:val="24"/>
        </w:rPr>
      </w:pPr>
      <w:r w:rsidRPr="006A6C49">
        <w:rPr>
          <w:lang w:val="fr-CH"/>
        </w:rPr>
        <w:lastRenderedPageBreak/>
        <w:t>La Commission spéciale s</w:t>
      </w:r>
      <w:r>
        <w:rPr>
          <w:lang w:val="fr-CH"/>
        </w:rPr>
        <w:t>'est réunie du 1er au 5 </w:t>
      </w:r>
      <w:r w:rsidR="005E4005">
        <w:rPr>
          <w:lang w:val="fr-CH"/>
        </w:rPr>
        <w:t>déc</w:t>
      </w:r>
      <w:r w:rsidRPr="006A6C49">
        <w:rPr>
          <w:lang w:val="fr-CH"/>
        </w:rPr>
        <w:t>embre 201</w:t>
      </w:r>
      <w:r w:rsidR="005E4005">
        <w:rPr>
          <w:lang w:val="fr-CH"/>
        </w:rPr>
        <w:t>4</w:t>
      </w:r>
      <w:r w:rsidRPr="006A6C49">
        <w:rPr>
          <w:lang w:val="fr-CH"/>
        </w:rPr>
        <w:t xml:space="preserve"> à Genève et a étudié différentes</w:t>
      </w:r>
      <w:r>
        <w:rPr>
          <w:bCs/>
          <w:szCs w:val="24"/>
        </w:rPr>
        <w:t xml:space="preserve"> </w:t>
      </w:r>
      <w:r>
        <w:rPr>
          <w:lang w:val="fr-CH"/>
        </w:rPr>
        <w:t>questions ré</w:t>
      </w:r>
      <w:r w:rsidRPr="006A6C49">
        <w:rPr>
          <w:lang w:val="fr-CH"/>
        </w:rPr>
        <w:t>glementaires et de procédure se rapportant à divers points de l</w:t>
      </w:r>
      <w:r>
        <w:rPr>
          <w:lang w:val="fr-CH"/>
        </w:rPr>
        <w:t>'</w:t>
      </w:r>
      <w:r w:rsidRPr="006A6C49">
        <w:rPr>
          <w:lang w:val="fr-CH"/>
        </w:rPr>
        <w:t>ordre du jour de la CMR</w:t>
      </w:r>
      <w:r w:rsidRPr="006A6C49">
        <w:rPr>
          <w:lang w:val="fr-CH"/>
        </w:rPr>
        <w:noBreakHyphen/>
        <w:t>1</w:t>
      </w:r>
      <w:r w:rsidR="005E4005">
        <w:rPr>
          <w:lang w:val="fr-CH"/>
        </w:rPr>
        <w:t>5</w:t>
      </w:r>
      <w:r w:rsidRPr="006A6C49">
        <w:rPr>
          <w:lang w:val="fr-CH"/>
        </w:rPr>
        <w:t>, sur la base du rapport du Président du GT</w:t>
      </w:r>
      <w:r w:rsidRPr="006A6C49">
        <w:rPr>
          <w:lang w:val="fr-CH"/>
        </w:rPr>
        <w:noBreakHyphen/>
        <w:t>SC, de l</w:t>
      </w:r>
      <w:r>
        <w:rPr>
          <w:lang w:val="fr-CH"/>
        </w:rPr>
        <w:t>'</w:t>
      </w:r>
      <w:r w:rsidRPr="006A6C49">
        <w:rPr>
          <w:lang w:val="fr-CH"/>
        </w:rPr>
        <w:t>extrait du projet de Rapport de la RPC</w:t>
      </w:r>
      <w:r w:rsidR="005E4005">
        <w:rPr>
          <w:lang w:val="fr-CH"/>
        </w:rPr>
        <w:t xml:space="preserve"> à la CMR-15</w:t>
      </w:r>
      <w:r w:rsidRPr="006A6C49">
        <w:rPr>
          <w:lang w:val="fr-CH"/>
        </w:rPr>
        <w:t>,</w:t>
      </w:r>
      <w:r>
        <w:rPr>
          <w:bCs/>
          <w:szCs w:val="24"/>
        </w:rPr>
        <w:t xml:space="preserve"> des propositions émanant des membres de l'UIT et des notes de liaison provenant de commissions d'études ou de groupes de travail de l'UIT</w:t>
      </w:r>
      <w:r>
        <w:rPr>
          <w:bCs/>
          <w:szCs w:val="24"/>
        </w:rPr>
        <w:noBreakHyphen/>
        <w:t xml:space="preserve">R. </w:t>
      </w:r>
    </w:p>
    <w:p w:rsidR="00522214" w:rsidRPr="006A6C49" w:rsidRDefault="00522214" w:rsidP="00CE7B93">
      <w:pPr>
        <w:rPr>
          <w:lang w:val="fr-CH"/>
        </w:rPr>
      </w:pPr>
      <w:r>
        <w:rPr>
          <w:lang w:val="fr-CH"/>
        </w:rPr>
        <w:t>La réunion s'est tenue en présence de 14</w:t>
      </w:r>
      <w:r w:rsidR="005E4005">
        <w:rPr>
          <w:lang w:val="fr-CH"/>
        </w:rPr>
        <w:t>5</w:t>
      </w:r>
      <w:r>
        <w:rPr>
          <w:lang w:val="fr-CH"/>
        </w:rPr>
        <w:t> </w:t>
      </w:r>
      <w:r w:rsidRPr="006A6C49">
        <w:rPr>
          <w:lang w:val="fr-CH"/>
        </w:rPr>
        <w:t>participants</w:t>
      </w:r>
      <w:r>
        <w:rPr>
          <w:lang w:val="fr-CH"/>
        </w:rPr>
        <w:t>, représentant 3</w:t>
      </w:r>
      <w:r w:rsidR="005E4005">
        <w:rPr>
          <w:lang w:val="fr-CH"/>
        </w:rPr>
        <w:t>4</w:t>
      </w:r>
      <w:r>
        <w:rPr>
          <w:lang w:val="fr-CH"/>
        </w:rPr>
        <w:t> </w:t>
      </w:r>
      <w:r w:rsidRPr="006A6C49">
        <w:rPr>
          <w:lang w:val="fr-CH"/>
        </w:rPr>
        <w:t xml:space="preserve">Etats Membres, </w:t>
      </w:r>
      <w:r w:rsidR="005E4005">
        <w:rPr>
          <w:lang w:val="fr-CH"/>
        </w:rPr>
        <w:t>11 </w:t>
      </w:r>
      <w:r w:rsidRPr="006A6C49">
        <w:rPr>
          <w:lang w:val="fr-CH"/>
        </w:rPr>
        <w:t xml:space="preserve">exploitations reconnues, </w:t>
      </w:r>
      <w:r w:rsidR="005E4005">
        <w:rPr>
          <w:lang w:val="fr-CH"/>
        </w:rPr>
        <w:t xml:space="preserve">4 </w:t>
      </w:r>
      <w:r w:rsidRPr="006A6C49">
        <w:rPr>
          <w:lang w:val="fr-CH"/>
        </w:rPr>
        <w:t xml:space="preserve">organismes scientifiques ou industriels, </w:t>
      </w:r>
      <w:r w:rsidR="00CE7B93">
        <w:rPr>
          <w:lang w:val="fr-CH"/>
        </w:rPr>
        <w:t>2</w:t>
      </w:r>
      <w:r>
        <w:rPr>
          <w:lang w:val="fr-CH"/>
        </w:rPr>
        <w:t xml:space="preserve"> </w:t>
      </w:r>
      <w:r w:rsidRPr="006A6C49">
        <w:rPr>
          <w:lang w:val="fr-CH"/>
        </w:rPr>
        <w:t>organisations intergouvernementales exploitant des systèmes à satellites, le Comité du Règlement des radiocommunications et le Bureau des radiocommunications.</w:t>
      </w:r>
    </w:p>
    <w:p w:rsidR="00522214" w:rsidRDefault="00522214" w:rsidP="005E4005">
      <w:pPr>
        <w:rPr>
          <w:bCs/>
          <w:szCs w:val="24"/>
        </w:rPr>
      </w:pPr>
      <w:r w:rsidRPr="006A6C49">
        <w:rPr>
          <w:lang w:val="fr-CH"/>
        </w:rPr>
        <w:t xml:space="preserve">Pour effectuer ses travaux, la Commission spéciale a créé deux groupes de travail </w:t>
      </w:r>
      <w:r w:rsidR="005E4005">
        <w:rPr>
          <w:lang w:val="fr-CH"/>
        </w:rPr>
        <w:t xml:space="preserve">décrits </w:t>
      </w:r>
      <w:r>
        <w:rPr>
          <w:bCs/>
          <w:szCs w:val="24"/>
        </w:rPr>
        <w:t>dans le Tableau 1 ci-après.</w:t>
      </w:r>
    </w:p>
    <w:p w:rsidR="00522214" w:rsidRPr="00402A17" w:rsidRDefault="00522214" w:rsidP="00E34604">
      <w:pPr>
        <w:pStyle w:val="TableNoBR"/>
        <w:spacing w:before="400"/>
      </w:pPr>
      <w:r w:rsidRPr="00402A17">
        <w:t>Tableau 1</w:t>
      </w:r>
    </w:p>
    <w:p w:rsidR="00522214" w:rsidRPr="00F96FB8" w:rsidRDefault="00522214" w:rsidP="00CE7B93">
      <w:pPr>
        <w:pStyle w:val="TabletitleBR"/>
        <w:keepNext w:val="0"/>
        <w:keepLines w:val="0"/>
      </w:pPr>
      <w:r w:rsidRPr="00F96FB8">
        <w:t xml:space="preserve">Structure </w:t>
      </w:r>
      <w:r>
        <w:t>de la réunion de la Commission s</w:t>
      </w:r>
      <w:r w:rsidRPr="00F96FB8">
        <w:t>péciale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4722"/>
        <w:gridCol w:w="2631"/>
      </w:tblGrid>
      <w:tr w:rsidR="00522214" w:rsidTr="004A4357">
        <w:trPr>
          <w:tblHeader/>
          <w:jc w:val="center"/>
        </w:trPr>
        <w:tc>
          <w:tcPr>
            <w:tcW w:w="1685" w:type="dxa"/>
            <w:vAlign w:val="center"/>
          </w:tcPr>
          <w:p w:rsidR="00522214" w:rsidRPr="00F96FB8" w:rsidRDefault="00522214" w:rsidP="004A4357">
            <w:pPr>
              <w:pStyle w:val="Tablehead"/>
            </w:pPr>
            <w:r>
              <w:t xml:space="preserve">Groupe de </w:t>
            </w:r>
            <w:r>
              <w:br/>
            </w:r>
            <w:r w:rsidRPr="00EB5D8E">
              <w:t>travail</w:t>
            </w:r>
          </w:p>
        </w:tc>
        <w:tc>
          <w:tcPr>
            <w:tcW w:w="4722" w:type="dxa"/>
            <w:vAlign w:val="center"/>
          </w:tcPr>
          <w:p w:rsidR="00522214" w:rsidRPr="00F96FB8" w:rsidRDefault="00522214" w:rsidP="00CE7B93">
            <w:pPr>
              <w:pStyle w:val="Tablehead"/>
            </w:pPr>
            <w:r>
              <w:t>Sujet</w:t>
            </w:r>
          </w:p>
        </w:tc>
        <w:tc>
          <w:tcPr>
            <w:tcW w:w="2631" w:type="dxa"/>
            <w:vAlign w:val="center"/>
          </w:tcPr>
          <w:p w:rsidR="00522214" w:rsidRDefault="00522214" w:rsidP="004A4357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Président</w:t>
            </w:r>
          </w:p>
        </w:tc>
      </w:tr>
      <w:tr w:rsidR="005E4005" w:rsidRPr="005E4005" w:rsidTr="003E513E">
        <w:trPr>
          <w:jc w:val="center"/>
        </w:trPr>
        <w:tc>
          <w:tcPr>
            <w:tcW w:w="1685" w:type="dxa"/>
            <w:vAlign w:val="center"/>
          </w:tcPr>
          <w:p w:rsidR="005E4005" w:rsidRPr="00EB5D8E" w:rsidRDefault="005E4005" w:rsidP="005E4005">
            <w:pPr>
              <w:pStyle w:val="Tabletext"/>
              <w:jc w:val="center"/>
              <w:rPr>
                <w:b/>
              </w:rPr>
            </w:pPr>
            <w:r>
              <w:t xml:space="preserve">GT </w:t>
            </w:r>
            <w:r w:rsidRPr="00EB5D8E">
              <w:t>1</w:t>
            </w:r>
          </w:p>
        </w:tc>
        <w:tc>
          <w:tcPr>
            <w:tcW w:w="4722" w:type="dxa"/>
          </w:tcPr>
          <w:p w:rsidR="005E4005" w:rsidRPr="005E4005" w:rsidRDefault="005E4005" w:rsidP="005E4005">
            <w:pPr>
              <w:pStyle w:val="Tabletext"/>
              <w:rPr>
                <w:sz w:val="22"/>
                <w:szCs w:val="22"/>
                <w:lang w:val="fr-CH"/>
              </w:rPr>
            </w:pPr>
            <w:r w:rsidRPr="005E4005">
              <w:rPr>
                <w:sz w:val="22"/>
                <w:szCs w:val="22"/>
                <w:lang w:val="fr-CH"/>
              </w:rPr>
              <w:t>Questions relevant du point 7 de l'ord</w:t>
            </w:r>
            <w:r w:rsidR="000419A4">
              <w:rPr>
                <w:sz w:val="22"/>
                <w:szCs w:val="22"/>
                <w:lang w:val="fr-CH"/>
              </w:rPr>
              <w:t>r</w:t>
            </w:r>
            <w:r w:rsidRPr="005E4005">
              <w:rPr>
                <w:sz w:val="22"/>
                <w:szCs w:val="22"/>
                <w:lang w:val="fr-CH"/>
              </w:rPr>
              <w:t>e du jour de la CMR</w:t>
            </w:r>
            <w:r w:rsidRPr="005E4005">
              <w:rPr>
                <w:sz w:val="22"/>
                <w:szCs w:val="22"/>
                <w:lang w:val="fr-CH"/>
              </w:rPr>
              <w:noBreakHyphen/>
              <w:t>15</w:t>
            </w:r>
          </w:p>
        </w:tc>
        <w:tc>
          <w:tcPr>
            <w:tcW w:w="2631" w:type="dxa"/>
          </w:tcPr>
          <w:p w:rsidR="005E4005" w:rsidRPr="005E4005" w:rsidRDefault="005E4005" w:rsidP="005E4005">
            <w:pPr>
              <w:pStyle w:val="Tabletext"/>
              <w:jc w:val="center"/>
              <w:rPr>
                <w:sz w:val="22"/>
                <w:szCs w:val="22"/>
                <w:lang w:val="fr-CH"/>
              </w:rPr>
            </w:pPr>
            <w:r w:rsidRPr="005E4005">
              <w:rPr>
                <w:sz w:val="22"/>
                <w:szCs w:val="22"/>
                <w:lang w:val="fr-CH"/>
              </w:rPr>
              <w:t>M. Jack Wengryniuk (Etats-Unis d'Amérique)</w:t>
            </w:r>
          </w:p>
        </w:tc>
      </w:tr>
      <w:tr w:rsidR="005E4005" w:rsidRPr="00EB5D8E" w:rsidTr="003E513E">
        <w:trPr>
          <w:jc w:val="center"/>
        </w:trPr>
        <w:tc>
          <w:tcPr>
            <w:tcW w:w="1685" w:type="dxa"/>
            <w:vAlign w:val="center"/>
          </w:tcPr>
          <w:p w:rsidR="005E4005" w:rsidRPr="00EB5D8E" w:rsidRDefault="005E4005" w:rsidP="005E4005">
            <w:pPr>
              <w:pStyle w:val="Tabletext"/>
              <w:jc w:val="center"/>
            </w:pPr>
            <w:r>
              <w:t xml:space="preserve">GT </w:t>
            </w:r>
            <w:r w:rsidRPr="00EB5D8E">
              <w:t>2</w:t>
            </w:r>
          </w:p>
        </w:tc>
        <w:tc>
          <w:tcPr>
            <w:tcW w:w="4722" w:type="dxa"/>
          </w:tcPr>
          <w:p w:rsidR="005E4005" w:rsidRPr="00E34604" w:rsidRDefault="005E4005" w:rsidP="005E4005">
            <w:pPr>
              <w:pStyle w:val="Tabletext"/>
              <w:rPr>
                <w:sz w:val="22"/>
                <w:szCs w:val="22"/>
                <w:lang w:val="fr-CH"/>
              </w:rPr>
            </w:pPr>
            <w:r w:rsidRPr="005E4005">
              <w:rPr>
                <w:sz w:val="22"/>
                <w:szCs w:val="22"/>
                <w:lang w:val="fr-CH"/>
              </w:rPr>
              <w:t xml:space="preserve">Questions relevant </w:t>
            </w:r>
            <w:r>
              <w:rPr>
                <w:sz w:val="22"/>
                <w:szCs w:val="22"/>
                <w:lang w:val="fr-CH"/>
              </w:rPr>
              <w:t>d'autres point</w:t>
            </w:r>
            <w:r w:rsidRPr="00E34604">
              <w:rPr>
                <w:sz w:val="22"/>
                <w:szCs w:val="22"/>
                <w:lang w:val="fr-CH"/>
              </w:rPr>
              <w:t xml:space="preserve">s </w:t>
            </w:r>
            <w:r w:rsidR="00E34604" w:rsidRPr="005E4005">
              <w:rPr>
                <w:sz w:val="22"/>
                <w:szCs w:val="22"/>
                <w:lang w:val="fr-CH"/>
              </w:rPr>
              <w:t>de l'ord</w:t>
            </w:r>
            <w:r w:rsidR="000419A4">
              <w:rPr>
                <w:sz w:val="22"/>
                <w:szCs w:val="22"/>
                <w:lang w:val="fr-CH"/>
              </w:rPr>
              <w:t>r</w:t>
            </w:r>
            <w:r w:rsidR="00E34604" w:rsidRPr="005E4005">
              <w:rPr>
                <w:sz w:val="22"/>
                <w:szCs w:val="22"/>
                <w:lang w:val="fr-CH"/>
              </w:rPr>
              <w:t>e du jour de la</w:t>
            </w:r>
            <w:r w:rsidRPr="00E34604">
              <w:rPr>
                <w:sz w:val="22"/>
                <w:szCs w:val="22"/>
                <w:lang w:val="fr-CH"/>
              </w:rPr>
              <w:t xml:space="preserve"> CMR</w:t>
            </w:r>
            <w:r w:rsidRPr="00E34604">
              <w:rPr>
                <w:sz w:val="22"/>
                <w:szCs w:val="22"/>
                <w:lang w:val="fr-CH"/>
              </w:rPr>
              <w:noBreakHyphen/>
              <w:t>15</w:t>
            </w:r>
          </w:p>
        </w:tc>
        <w:tc>
          <w:tcPr>
            <w:tcW w:w="2631" w:type="dxa"/>
          </w:tcPr>
          <w:p w:rsidR="005E4005" w:rsidRPr="00F317EC" w:rsidRDefault="005E4005" w:rsidP="005E4005">
            <w:pPr>
              <w:pStyle w:val="Tabletext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t>M</w:t>
            </w:r>
            <w:r w:rsidRPr="00F317EC">
              <w:rPr>
                <w:sz w:val="22"/>
                <w:szCs w:val="22"/>
              </w:rPr>
              <w:t>. Per Hovstad (AsiaSat)</w:t>
            </w:r>
          </w:p>
        </w:tc>
      </w:tr>
    </w:tbl>
    <w:p w:rsidR="00522214" w:rsidRPr="00F96FB8" w:rsidRDefault="00522214" w:rsidP="00E34604">
      <w:pPr>
        <w:pStyle w:val="Normalaftertitle"/>
      </w:pPr>
      <w:r>
        <w:rPr>
          <w:lang w:val="fr-CH"/>
        </w:rPr>
        <w:t>Les résultats des discussions de la Commission spéciale ont été inclus dans le Rapport de la Commission spéciale à la RPC</w:t>
      </w:r>
      <w:r w:rsidRPr="00EB5D8E">
        <w:rPr>
          <w:lang w:val="fr-CH"/>
        </w:rPr>
        <w:t>1</w:t>
      </w:r>
      <w:r w:rsidR="00E34604">
        <w:rPr>
          <w:lang w:val="fr-CH"/>
        </w:rPr>
        <w:t>5</w:t>
      </w:r>
      <w:r>
        <w:rPr>
          <w:lang w:val="fr-CH"/>
        </w:rPr>
        <w:noBreakHyphen/>
        <w:t xml:space="preserve">2 (Document </w:t>
      </w:r>
      <w:hyperlink r:id="rId10" w:history="1">
        <w:r w:rsidR="00E34604" w:rsidRPr="00E34604">
          <w:rPr>
            <w:rStyle w:val="Hyperlink"/>
            <w:lang w:val="fr-CH"/>
          </w:rPr>
          <w:t>CPM15-2/2</w:t>
        </w:r>
      </w:hyperlink>
      <w:r w:rsidRPr="00EB5D8E">
        <w:t>)</w:t>
      </w:r>
      <w:r>
        <w:t xml:space="preserve"> et ont</w:t>
      </w:r>
      <w:r w:rsidRPr="00F96FB8">
        <w:t xml:space="preserve"> fait l</w:t>
      </w:r>
      <w:r>
        <w:t>'</w:t>
      </w:r>
      <w:r w:rsidRPr="00F96FB8">
        <w:t>objet d</w:t>
      </w:r>
      <w:r>
        <w:t>'</w:t>
      </w:r>
      <w:r w:rsidRPr="00F96FB8">
        <w:t xml:space="preserve">un rapport du Président </w:t>
      </w:r>
      <w:r w:rsidR="00E34604">
        <w:t xml:space="preserve">de la Commission spéciale sur la réunion de décembre 2014 </w:t>
      </w:r>
      <w:r w:rsidRPr="00F96FB8">
        <w:t>(</w:t>
      </w:r>
      <w:r w:rsidR="00E34604">
        <w:t xml:space="preserve">voir le </w:t>
      </w:r>
      <w:r w:rsidRPr="00F96FB8">
        <w:t xml:space="preserve">Document </w:t>
      </w:r>
      <w:hyperlink r:id="rId11" w:history="1">
        <w:r w:rsidR="00E34604" w:rsidRPr="00E11292">
          <w:rPr>
            <w:rStyle w:val="Hyperlink"/>
            <w:rFonts w:asciiTheme="majorBidi" w:hAnsiTheme="majorBidi" w:cstheme="majorBidi"/>
          </w:rPr>
          <w:t>SC/42</w:t>
        </w:r>
      </w:hyperlink>
      <w:r w:rsidR="00E34604" w:rsidRPr="00EB5D8E">
        <w:t>)</w:t>
      </w:r>
      <w:r w:rsidRPr="00F96FB8">
        <w:t>.</w:t>
      </w:r>
    </w:p>
    <w:p w:rsidR="00522214" w:rsidRDefault="00522214" w:rsidP="00522214">
      <w:pPr>
        <w:pStyle w:val="Heading1"/>
      </w:pPr>
      <w:r>
        <w:t>3</w:t>
      </w:r>
      <w:r>
        <w:tab/>
        <w:t>Travaux futurs de la Commission spéciale</w:t>
      </w:r>
    </w:p>
    <w:p w:rsidR="00522214" w:rsidRDefault="00522214" w:rsidP="00E34604">
      <w:r>
        <w:t>L'organisation des travaux de la Commission spéciale, par la RPC</w:t>
      </w:r>
      <w:r w:rsidRPr="00EB5D8E">
        <w:t>1</w:t>
      </w:r>
      <w:r w:rsidR="00E34604">
        <w:t>5</w:t>
      </w:r>
      <w:r>
        <w:noBreakHyphen/>
        <w:t>1, s'est révélée efficace du point de vue du nombre de questions étudiées pendant les réunions du G</w:t>
      </w:r>
      <w:r w:rsidR="00E34604">
        <w:t>T</w:t>
      </w:r>
      <w:r>
        <w:t xml:space="preserve"> de la Commission spéciale </w:t>
      </w:r>
      <w:r w:rsidR="00E34604">
        <w:t xml:space="preserve">et </w:t>
      </w:r>
      <w:r>
        <w:t>de la Commission spéciale. Pour des raisons d'économie, et comme décidé à la RPC</w:t>
      </w:r>
      <w:r w:rsidRPr="00EB5D8E">
        <w:t>1</w:t>
      </w:r>
      <w:r w:rsidR="00E34604">
        <w:t>5</w:t>
      </w:r>
      <w:r>
        <w:noBreakHyphen/>
        <w:t xml:space="preserve">1, l'interprétation n'a été assurée que pendant la réunion de la Commission spéciale. </w:t>
      </w:r>
      <w:r w:rsidR="00E34604">
        <w:t xml:space="preserve">Compte tenu des bons résultats des </w:t>
      </w:r>
      <w:r>
        <w:t>travaux préparatoires</w:t>
      </w:r>
      <w:r w:rsidR="00E34604">
        <w:t xml:space="preserve">, </w:t>
      </w:r>
      <w:r>
        <w:t>le rapport de la Commission spéciale à la RPC</w:t>
      </w:r>
      <w:r w:rsidRPr="00EB5D8E">
        <w:t>1</w:t>
      </w:r>
      <w:r w:rsidR="00E34604">
        <w:t>5</w:t>
      </w:r>
      <w:r>
        <w:noBreakHyphen/>
        <w:t xml:space="preserve">2 </w:t>
      </w:r>
      <w:r w:rsidR="00E34604">
        <w:t xml:space="preserve">contient </w:t>
      </w:r>
      <w:r>
        <w:t xml:space="preserve">des projets de texte </w:t>
      </w:r>
      <w:r w:rsidR="00E34604">
        <w:t>sur</w:t>
      </w:r>
      <w:r>
        <w:t xml:space="preserve"> plusieurs points </w:t>
      </w:r>
      <w:r w:rsidR="00E34604">
        <w:t>et questions inscrits à</w:t>
      </w:r>
      <w:r>
        <w:t xml:space="preserve"> l'ordre du jour de la CMR</w:t>
      </w:r>
      <w:r>
        <w:noBreakHyphen/>
      </w:r>
      <w:r w:rsidRPr="00EB5D8E">
        <w:t>1</w:t>
      </w:r>
      <w:r w:rsidR="00E34604">
        <w:t>5</w:t>
      </w:r>
      <w:r>
        <w:t>.</w:t>
      </w:r>
    </w:p>
    <w:p w:rsidR="00522214" w:rsidRDefault="00E34604" w:rsidP="00E34604">
      <w:r>
        <w:t>L</w:t>
      </w:r>
      <w:r w:rsidR="00522214">
        <w:t>'AR-</w:t>
      </w:r>
      <w:r w:rsidR="00522214" w:rsidRPr="00EB5D8E">
        <w:t>1</w:t>
      </w:r>
      <w:r>
        <w:t>5</w:t>
      </w:r>
      <w:r w:rsidR="00522214">
        <w:t xml:space="preserve"> tien</w:t>
      </w:r>
      <w:r>
        <w:t>dra peut-être</w:t>
      </w:r>
      <w:r w:rsidR="00522214">
        <w:t xml:space="preserve"> compte de ces éléments organisationnels pour la préparation de la prochaine période d'études en vue de la CMR</w:t>
      </w:r>
      <w:r w:rsidR="00522214">
        <w:noBreakHyphen/>
      </w:r>
      <w:r w:rsidR="00522214" w:rsidRPr="00EB5D8E">
        <w:t>1</w:t>
      </w:r>
      <w:r>
        <w:t>9</w:t>
      </w:r>
      <w:r w:rsidR="00522214">
        <w:t xml:space="preserve"> et l'examen des Résolutions UIT</w:t>
      </w:r>
      <w:r w:rsidR="00522214">
        <w:noBreakHyphen/>
        <w:t>R 2</w:t>
      </w:r>
      <w:r w:rsidR="00522214">
        <w:noBreakHyphen/>
      </w:r>
      <w:r>
        <w:t>6</w:t>
      </w:r>
      <w:r w:rsidR="00522214">
        <w:t xml:space="preserve"> et 38</w:t>
      </w:r>
      <w:r w:rsidR="00522214">
        <w:noBreakHyphen/>
      </w:r>
      <w:r>
        <w:t>4</w:t>
      </w:r>
      <w:r w:rsidR="00522214">
        <w:t>, selon qu'il conviendra.</w:t>
      </w:r>
    </w:p>
    <w:p w:rsidR="00522214" w:rsidRDefault="00522214" w:rsidP="00E34604">
      <w:pPr>
        <w:pStyle w:val="Heading1"/>
      </w:pPr>
      <w:r>
        <w:t>4</w:t>
      </w:r>
      <w:r>
        <w:tab/>
        <w:t>Conclusion</w:t>
      </w:r>
    </w:p>
    <w:p w:rsidR="00522214" w:rsidRDefault="00522214" w:rsidP="00CE7B93">
      <w:r w:rsidRPr="00E4522F">
        <w:t>J</w:t>
      </w:r>
      <w:r>
        <w:t>'</w:t>
      </w:r>
      <w:r w:rsidRPr="00E4522F">
        <w:t>exprime ma gratitude aux Vice-Présidents de la Commiss</w:t>
      </w:r>
      <w:r>
        <w:t xml:space="preserve">ion (MM. </w:t>
      </w:r>
      <w:bookmarkStart w:id="10" w:name="_GoBack"/>
      <w:bookmarkEnd w:id="10"/>
      <w:r w:rsidR="00E34604" w:rsidRPr="00036725">
        <w:t>Nasser B</w:t>
      </w:r>
      <w:r w:rsidR="00E34604">
        <w:t>in</w:t>
      </w:r>
      <w:r w:rsidR="00E34604" w:rsidRPr="00036725">
        <w:t xml:space="preserve"> H</w:t>
      </w:r>
      <w:r w:rsidR="00E34604">
        <w:t xml:space="preserve">ammad, </w:t>
      </w:r>
      <w:r w:rsidR="00E34604" w:rsidRPr="00036725">
        <w:t>Alexander K</w:t>
      </w:r>
      <w:r w:rsidR="00E34604">
        <w:t xml:space="preserve">ühn, </w:t>
      </w:r>
      <w:r w:rsidR="00E34604" w:rsidRPr="00036725">
        <w:t>Ram Jee Singh K</w:t>
      </w:r>
      <w:r w:rsidR="00E34604">
        <w:t xml:space="preserve">ushvaha, </w:t>
      </w:r>
      <w:r w:rsidR="00E34604" w:rsidRPr="00036725">
        <w:t>Stanislas O</w:t>
      </w:r>
      <w:r w:rsidR="00E34604">
        <w:t xml:space="preserve">kouma </w:t>
      </w:r>
      <w:r w:rsidR="00E34604" w:rsidRPr="00036725">
        <w:t>L</w:t>
      </w:r>
      <w:r w:rsidR="00E34604">
        <w:t xml:space="preserve">ekhouyi, </w:t>
      </w:r>
      <w:r w:rsidR="00E34604" w:rsidRPr="00036725">
        <w:t>Ramiro R</w:t>
      </w:r>
      <w:r w:rsidR="00E34604">
        <w:t xml:space="preserve">obledo Lopez, </w:t>
      </w:r>
      <w:r w:rsidR="00E34604" w:rsidRPr="00036725">
        <w:t>Igor V. Z</w:t>
      </w:r>
      <w:r w:rsidR="00E34604">
        <w:t xml:space="preserve">heltonogov et </w:t>
      </w:r>
      <w:r w:rsidR="00E34604" w:rsidRPr="00036725">
        <w:t xml:space="preserve">Franz </w:t>
      </w:r>
      <w:r w:rsidR="00E34604">
        <w:t>Zichy</w:t>
      </w:r>
      <w:r>
        <w:t xml:space="preserve">), aux Présidents des </w:t>
      </w:r>
      <w:r w:rsidR="00E34604">
        <w:t xml:space="preserve">différents </w:t>
      </w:r>
      <w:r>
        <w:t>G</w:t>
      </w:r>
      <w:r w:rsidRPr="00E4522F">
        <w:t xml:space="preserve">roupes de travail </w:t>
      </w:r>
      <w:r w:rsidR="00E34604">
        <w:t xml:space="preserve">et du Groupe de travail de </w:t>
      </w:r>
      <w:r w:rsidRPr="00E4522F">
        <w:t>de la Commission spéciale (M</w:t>
      </w:r>
      <w:r w:rsidR="00E34604">
        <w:t>M</w:t>
      </w:r>
      <w:r w:rsidRPr="00E4522F">
        <w:t>. </w:t>
      </w:r>
      <w:r w:rsidR="00E34604">
        <w:t xml:space="preserve">Jack </w:t>
      </w:r>
      <w:r w:rsidR="00E34604" w:rsidRPr="00036725">
        <w:t>W</w:t>
      </w:r>
      <w:r w:rsidR="00E34604">
        <w:t>engryniuk et Per Hovstad</w:t>
      </w:r>
      <w:r w:rsidRPr="00E4522F">
        <w:t>), au Directeur du BR, aux experts et aux spécialistes du BR, au Conseiller de la Commission spéciale (M. Ph. Aubineau) et aux membres de l</w:t>
      </w:r>
      <w:r>
        <w:t>'</w:t>
      </w:r>
      <w:r w:rsidRPr="00E4522F">
        <w:t>UIT pour leurs très intéressantes contributions.</w:t>
      </w:r>
    </w:p>
    <w:p w:rsidR="00E34604" w:rsidRDefault="00E34604" w:rsidP="00E34604">
      <w:pPr>
        <w:jc w:val="center"/>
      </w:pPr>
      <w:r>
        <w:t>______________</w:t>
      </w:r>
    </w:p>
    <w:sectPr w:rsidR="00E3460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14" w:rsidRDefault="00522214">
      <w:r>
        <w:separator/>
      </w:r>
    </w:p>
  </w:endnote>
  <w:endnote w:type="continuationSeparator" w:id="0">
    <w:p w:rsidR="00522214" w:rsidRDefault="0052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0419A4" w:rsidRDefault="00EC0EB4">
    <w:pPr>
      <w:rPr>
        <w:lang w:val="es-ES_tradnl"/>
      </w:rPr>
    </w:pPr>
    <w:r>
      <w:fldChar w:fldCharType="begin"/>
    </w:r>
    <w:r w:rsidRPr="000419A4">
      <w:rPr>
        <w:lang w:val="es-ES_tradnl"/>
      </w:rPr>
      <w:instrText xml:space="preserve"> FILENAME \p  \* MERGEFORMAT </w:instrText>
    </w:r>
    <w:r>
      <w:fldChar w:fldCharType="separate"/>
    </w:r>
    <w:r w:rsidR="000419A4">
      <w:rPr>
        <w:noProof/>
        <w:lang w:val="es-ES_tradnl"/>
      </w:rPr>
      <w:t>P:\FRA\ITU-R\CONF-R\AR\PLEN\000\002F.docx</w:t>
    </w:r>
    <w:r>
      <w:fldChar w:fldCharType="end"/>
    </w:r>
    <w:r w:rsidRPr="000419A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7B93">
      <w:rPr>
        <w:noProof/>
      </w:rPr>
      <w:t>31.07.15</w:t>
    </w:r>
    <w:r>
      <w:fldChar w:fldCharType="end"/>
    </w:r>
    <w:r w:rsidRPr="000419A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19A4">
      <w:rPr>
        <w:noProof/>
      </w:rPr>
      <w:t>31.07.15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E34604" w:rsidRDefault="00E34604" w:rsidP="00E34604">
    <w:pPr>
      <w:pStyle w:val="Footer"/>
      <w:rPr>
        <w:lang w:val="es-ES_tradnl"/>
      </w:rPr>
    </w:pPr>
    <w:r>
      <w:fldChar w:fldCharType="begin"/>
    </w:r>
    <w:r w:rsidRPr="00E34604">
      <w:rPr>
        <w:lang w:val="es-ES_tradnl"/>
      </w:rPr>
      <w:instrText xml:space="preserve"> FILENAME \p  \* MERGEFORMAT </w:instrText>
    </w:r>
    <w:r>
      <w:fldChar w:fldCharType="separate"/>
    </w:r>
    <w:r w:rsidR="000419A4">
      <w:rPr>
        <w:lang w:val="es-ES_tradnl"/>
      </w:rPr>
      <w:t>P:\FRA\ITU-R\CONF-R\AR\PLEN\000\002F.docx</w:t>
    </w:r>
    <w:r>
      <w:fldChar w:fldCharType="end"/>
    </w:r>
    <w:r w:rsidRPr="00E34604">
      <w:rPr>
        <w:lang w:val="es-ES_tradnl"/>
      </w:rPr>
      <w:t xml:space="preserve"> (382949)</w:t>
    </w:r>
    <w:r w:rsidRPr="00E3460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7B93">
      <w:t>31.07.15</w:t>
    </w:r>
    <w:r>
      <w:fldChar w:fldCharType="end"/>
    </w:r>
    <w:r w:rsidRPr="00E3460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19A4">
      <w:t>31.07.15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E34604" w:rsidRDefault="00E34604" w:rsidP="00E34604">
    <w:pPr>
      <w:pStyle w:val="Footer"/>
      <w:rPr>
        <w:lang w:val="es-ES_tradnl"/>
      </w:rPr>
    </w:pPr>
    <w:r>
      <w:fldChar w:fldCharType="begin"/>
    </w:r>
    <w:r w:rsidRPr="00E34604">
      <w:rPr>
        <w:lang w:val="es-ES_tradnl"/>
      </w:rPr>
      <w:instrText xml:space="preserve"> FILENAME \p  \* MERGEFORMAT </w:instrText>
    </w:r>
    <w:r>
      <w:fldChar w:fldCharType="separate"/>
    </w:r>
    <w:r w:rsidR="000419A4">
      <w:rPr>
        <w:lang w:val="es-ES_tradnl"/>
      </w:rPr>
      <w:t>P:\FRA\ITU-R\CONF-R\AR\PLEN\000\002F.docx</w:t>
    </w:r>
    <w:r>
      <w:fldChar w:fldCharType="end"/>
    </w:r>
    <w:r w:rsidRPr="00E34604">
      <w:rPr>
        <w:lang w:val="es-ES_tradnl"/>
      </w:rPr>
      <w:t xml:space="preserve"> (382949)</w:t>
    </w:r>
    <w:r w:rsidRPr="00E3460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7B93">
      <w:t>31.07.15</w:t>
    </w:r>
    <w:r>
      <w:fldChar w:fldCharType="end"/>
    </w:r>
    <w:r w:rsidRPr="00E3460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419A4">
      <w:t>31.07.15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14" w:rsidRDefault="00522214">
      <w:r>
        <w:rPr>
          <w:b/>
        </w:rPr>
        <w:t>_______________</w:t>
      </w:r>
    </w:p>
  </w:footnote>
  <w:footnote w:type="continuationSeparator" w:id="0">
    <w:p w:rsidR="00522214" w:rsidRDefault="0052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E2" w:rsidRDefault="004442E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E7B93">
      <w:rPr>
        <w:noProof/>
      </w:rPr>
      <w:t>2</w:t>
    </w:r>
    <w:r>
      <w:fldChar w:fldCharType="end"/>
    </w:r>
  </w:p>
  <w:p w:rsidR="004442E2" w:rsidRDefault="004442E2">
    <w:pPr>
      <w:pStyle w:val="Header"/>
    </w:pPr>
    <w:r>
      <w:t>RA15/</w:t>
    </w:r>
    <w:r w:rsidR="00E34604">
      <w:t>PLEN/2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14"/>
    <w:rsid w:val="00006711"/>
    <w:rsid w:val="000419A4"/>
    <w:rsid w:val="000B1F11"/>
    <w:rsid w:val="0013523C"/>
    <w:rsid w:val="00160694"/>
    <w:rsid w:val="00223DF9"/>
    <w:rsid w:val="00312771"/>
    <w:rsid w:val="003644F8"/>
    <w:rsid w:val="004442E2"/>
    <w:rsid w:val="00522214"/>
    <w:rsid w:val="00530E6D"/>
    <w:rsid w:val="005A46FB"/>
    <w:rsid w:val="005E4005"/>
    <w:rsid w:val="006B7103"/>
    <w:rsid w:val="006F73A7"/>
    <w:rsid w:val="00840A51"/>
    <w:rsid w:val="00852305"/>
    <w:rsid w:val="008962EE"/>
    <w:rsid w:val="008C5FD1"/>
    <w:rsid w:val="00A769F2"/>
    <w:rsid w:val="00AD26C8"/>
    <w:rsid w:val="00B82926"/>
    <w:rsid w:val="00CE7B93"/>
    <w:rsid w:val="00D278A9"/>
    <w:rsid w:val="00D32DD4"/>
    <w:rsid w:val="00D54910"/>
    <w:rsid w:val="00DC4CBD"/>
    <w:rsid w:val="00E34604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989987F-A332-46FA-8FB3-450BB55B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TabletitleBR">
    <w:name w:val="Table_title_BR"/>
    <w:basedOn w:val="Normal"/>
    <w:next w:val="Tablehead"/>
    <w:rsid w:val="0052221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2221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character" w:styleId="Hyperlink">
    <w:name w:val="Hyperlink"/>
    <w:rsid w:val="00522214"/>
    <w:rPr>
      <w:color w:val="0000FF"/>
      <w:u w:val="single"/>
    </w:rPr>
  </w:style>
  <w:style w:type="character" w:customStyle="1" w:styleId="TabletextChar">
    <w:name w:val="Table_text Char"/>
    <w:link w:val="Tabletext"/>
    <w:locked/>
    <w:rsid w:val="005E4005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01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C-C-0042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R07-CPM11.02-C-0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A-CIR-0201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18</TotalTime>
  <Pages>2</Pages>
  <Words>826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saxod</dc:creator>
  <cp:keywords/>
  <dc:description>PF_RA07.dot  Pour: _x000d_Date du document: _x000d_Enregistré par MM-43480 à 16:09:12 le 16.10.07</dc:description>
  <cp:lastModifiedBy>Saxod, Nathalie</cp:lastModifiedBy>
  <cp:revision>4</cp:revision>
  <cp:lastPrinted>2015-07-31T07:29:00Z</cp:lastPrinted>
  <dcterms:created xsi:type="dcterms:W3CDTF">2015-07-31T07:09:00Z</dcterms:created>
  <dcterms:modified xsi:type="dcterms:W3CDTF">2015-07-31T08:22:00Z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