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2D5B0A">
            <w:pPr>
              <w:spacing w:before="400" w:after="48"/>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D5B0A">
            <w:pPr>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2D5B0A">
            <w:pPr>
              <w:spacing w:before="0" w:after="48"/>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2D5B0A">
            <w:pPr>
              <w:spacing w:before="0"/>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2D5B0A">
            <w:pPr>
              <w:spacing w:before="0" w:after="48"/>
              <w:rPr>
                <w:rFonts w:ascii="Verdana" w:hAnsi="Verdana"/>
                <w:b/>
                <w:smallCaps/>
                <w:sz w:val="20"/>
              </w:rPr>
            </w:pPr>
          </w:p>
        </w:tc>
        <w:tc>
          <w:tcPr>
            <w:tcW w:w="3402" w:type="dxa"/>
            <w:tcBorders>
              <w:top w:val="single" w:sz="12" w:space="0" w:color="auto"/>
            </w:tcBorders>
          </w:tcPr>
          <w:p w:rsidR="004442E2" w:rsidRPr="00C324A8" w:rsidRDefault="004442E2" w:rsidP="002D5B0A">
            <w:pPr>
              <w:spacing w:before="0"/>
              <w:rPr>
                <w:rFonts w:ascii="Verdana" w:hAnsi="Verdana"/>
                <w:sz w:val="20"/>
              </w:rPr>
            </w:pPr>
          </w:p>
        </w:tc>
      </w:tr>
      <w:tr w:rsidR="004442E2" w:rsidRPr="00C324A8">
        <w:trPr>
          <w:cantSplit/>
          <w:trHeight w:val="23"/>
        </w:trPr>
        <w:tc>
          <w:tcPr>
            <w:tcW w:w="6629" w:type="dxa"/>
            <w:vMerge w:val="restart"/>
          </w:tcPr>
          <w:p w:rsidR="004442E2" w:rsidRPr="00442B08" w:rsidRDefault="00442B08" w:rsidP="002D5B0A">
            <w:pPr>
              <w:tabs>
                <w:tab w:val="left" w:pos="851"/>
              </w:tabs>
              <w:spacing w:before="0"/>
              <w:rPr>
                <w:rFonts w:ascii="Verdana" w:hAnsi="Verdana"/>
                <w:b/>
                <w:sz w:val="20"/>
                <w:lang w:val="en-GB"/>
              </w:rPr>
            </w:pPr>
            <w:bookmarkStart w:id="2" w:name="dnum" w:colFirst="1" w:colLast="1"/>
            <w:bookmarkStart w:id="3" w:name="dmeeting" w:colFirst="0" w:colLast="0"/>
            <w:bookmarkStart w:id="4" w:name="dbluepink" w:colFirst="0" w:colLast="0"/>
            <w:bookmarkEnd w:id="1"/>
            <w:r w:rsidRPr="00442B08">
              <w:rPr>
                <w:rFonts w:ascii="Verdana" w:hAnsi="Verdana"/>
                <w:b/>
                <w:sz w:val="20"/>
                <w:lang w:val="en-GB"/>
              </w:rPr>
              <w:t>SÉANCE PLÉNIÈRE</w:t>
            </w:r>
          </w:p>
        </w:tc>
        <w:tc>
          <w:tcPr>
            <w:tcW w:w="3402" w:type="dxa"/>
          </w:tcPr>
          <w:p w:rsidR="004442E2" w:rsidRPr="004442E2" w:rsidRDefault="002D5B0A" w:rsidP="002D5B0A">
            <w:pPr>
              <w:tabs>
                <w:tab w:val="left" w:pos="851"/>
              </w:tabs>
              <w:spacing w:before="0"/>
              <w:rPr>
                <w:rFonts w:ascii="Verdana" w:hAnsi="Verdana"/>
                <w:sz w:val="20"/>
              </w:rPr>
            </w:pPr>
            <w:r>
              <w:rPr>
                <w:rFonts w:ascii="Verdana" w:hAnsi="Verdana"/>
                <w:b/>
                <w:sz w:val="20"/>
              </w:rPr>
              <w:t>Document RA</w:t>
            </w:r>
            <w:r w:rsidR="004442E2">
              <w:rPr>
                <w:rFonts w:ascii="Verdana" w:hAnsi="Verdana"/>
                <w:b/>
                <w:sz w:val="20"/>
              </w:rPr>
              <w:t>15/</w:t>
            </w:r>
            <w:r w:rsidR="0037730C">
              <w:rPr>
                <w:rFonts w:ascii="Verdana" w:hAnsi="Verdana"/>
                <w:b/>
                <w:sz w:val="20"/>
              </w:rPr>
              <w:t>PLEN/1</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rsidP="002D5B0A">
            <w:pPr>
              <w:tabs>
                <w:tab w:val="left" w:pos="851"/>
              </w:tabs>
              <w:rPr>
                <w:rFonts w:ascii="Verdana" w:hAnsi="Verdana"/>
                <w:b/>
                <w:sz w:val="20"/>
              </w:rPr>
            </w:pPr>
            <w:bookmarkStart w:id="5" w:name="ddate" w:colFirst="1" w:colLast="1"/>
            <w:bookmarkEnd w:id="2"/>
            <w:bookmarkEnd w:id="3"/>
          </w:p>
        </w:tc>
        <w:tc>
          <w:tcPr>
            <w:tcW w:w="3402" w:type="dxa"/>
          </w:tcPr>
          <w:p w:rsidR="004442E2" w:rsidRPr="004442E2" w:rsidRDefault="0037730C" w:rsidP="002D5B0A">
            <w:pPr>
              <w:tabs>
                <w:tab w:val="left" w:pos="993"/>
              </w:tabs>
              <w:spacing w:before="0"/>
              <w:rPr>
                <w:rFonts w:ascii="Verdana" w:hAnsi="Verdana"/>
                <w:sz w:val="20"/>
              </w:rPr>
            </w:pPr>
            <w:r>
              <w:rPr>
                <w:rFonts w:ascii="Verdana" w:hAnsi="Verdana"/>
                <w:b/>
                <w:sz w:val="20"/>
              </w:rPr>
              <w:t>28</w:t>
            </w:r>
            <w:r w:rsidR="001950F4">
              <w:rPr>
                <w:rFonts w:ascii="Verdana" w:hAnsi="Verdana"/>
                <w:b/>
                <w:sz w:val="20"/>
              </w:rPr>
              <w:t xml:space="preserve"> </w:t>
            </w:r>
            <w:r>
              <w:rPr>
                <w:rFonts w:ascii="Verdana" w:hAnsi="Verdana"/>
                <w:b/>
                <w:sz w:val="20"/>
              </w:rPr>
              <w:t>août</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rsidP="002D5B0A">
            <w:pPr>
              <w:tabs>
                <w:tab w:val="left" w:pos="851"/>
              </w:tabs>
              <w:rPr>
                <w:rFonts w:ascii="Verdana" w:hAnsi="Verdana"/>
                <w:b/>
                <w:sz w:val="20"/>
              </w:rPr>
            </w:pPr>
            <w:bookmarkStart w:id="6" w:name="dorlang" w:colFirst="1" w:colLast="1"/>
            <w:bookmarkEnd w:id="5"/>
          </w:p>
        </w:tc>
        <w:tc>
          <w:tcPr>
            <w:tcW w:w="3402" w:type="dxa"/>
          </w:tcPr>
          <w:p w:rsidR="004442E2" w:rsidRPr="004442E2" w:rsidRDefault="004442E2" w:rsidP="002D5B0A">
            <w:pPr>
              <w:tabs>
                <w:tab w:val="left" w:pos="993"/>
              </w:tabs>
              <w:spacing w:before="0" w:after="120"/>
              <w:rPr>
                <w:rFonts w:ascii="Verdana" w:hAnsi="Verdana"/>
                <w:sz w:val="20"/>
              </w:rPr>
            </w:pPr>
            <w:r>
              <w:rPr>
                <w:rFonts w:ascii="Verdana" w:hAnsi="Verdana"/>
                <w:b/>
                <w:sz w:val="20"/>
              </w:rPr>
              <w:t>Original: anglais</w:t>
            </w: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37730C" w:rsidP="002D5B0A">
            <w:pPr>
              <w:pStyle w:val="Source"/>
              <w:rPr>
                <w:lang w:val="fr-CH"/>
              </w:rPr>
            </w:pPr>
            <w:bookmarkStart w:id="7" w:name="dsource" w:colFirst="0" w:colLast="0"/>
            <w:bookmarkEnd w:id="4"/>
            <w:bookmarkEnd w:id="6"/>
            <w:r>
              <w:rPr>
                <w:lang w:val="fr-CH"/>
              </w:rPr>
              <w:t xml:space="preserve">Directeur du </w:t>
            </w:r>
            <w:r w:rsidRPr="00145993">
              <w:rPr>
                <w:lang w:val="fr-CH"/>
              </w:rPr>
              <w:t>Bureau des radiocommunications</w:t>
            </w:r>
          </w:p>
        </w:tc>
      </w:tr>
      <w:tr w:rsidR="004442E2">
        <w:trPr>
          <w:cantSplit/>
        </w:trPr>
        <w:tc>
          <w:tcPr>
            <w:tcW w:w="10031" w:type="dxa"/>
          </w:tcPr>
          <w:p w:rsidR="004442E2" w:rsidRDefault="0037730C" w:rsidP="002D5B0A">
            <w:pPr>
              <w:pStyle w:val="Title1"/>
              <w:rPr>
                <w:lang w:val="fr-CH"/>
              </w:rPr>
            </w:pPr>
            <w:bookmarkStart w:id="8" w:name="dtitle1" w:colFirst="0" w:colLast="0"/>
            <w:bookmarkEnd w:id="7"/>
            <w:r>
              <w:rPr>
                <w:lang w:val="fr-CH"/>
              </w:rPr>
              <w:t>Rapport du directeur</w:t>
            </w:r>
          </w:p>
        </w:tc>
      </w:tr>
      <w:tr w:rsidR="004442E2">
        <w:trPr>
          <w:cantSplit/>
        </w:trPr>
        <w:tc>
          <w:tcPr>
            <w:tcW w:w="10031" w:type="dxa"/>
          </w:tcPr>
          <w:p w:rsidR="004442E2" w:rsidRDefault="004442E2" w:rsidP="002D5B0A">
            <w:pPr>
              <w:pStyle w:val="Title2"/>
              <w:rPr>
                <w:lang w:val="fr-CH"/>
              </w:rPr>
            </w:pPr>
            <w:bookmarkStart w:id="9" w:name="dtitle2" w:colFirst="0" w:colLast="0"/>
            <w:bookmarkEnd w:id="8"/>
          </w:p>
        </w:tc>
      </w:tr>
    </w:tbl>
    <w:bookmarkEnd w:id="9"/>
    <w:p w:rsidR="0037730C" w:rsidRDefault="0037730C" w:rsidP="002D5B0A">
      <w:pPr>
        <w:pStyle w:val="Heading1"/>
        <w:rPr>
          <w:lang w:val="fr-CH"/>
        </w:rPr>
      </w:pPr>
      <w:r>
        <w:rPr>
          <w:lang w:val="fr-CH"/>
        </w:rPr>
        <w:t>1</w:t>
      </w:r>
      <w:r>
        <w:rPr>
          <w:lang w:val="fr-CH"/>
        </w:rPr>
        <w:tab/>
        <w:t>Introduction</w:t>
      </w:r>
    </w:p>
    <w:p w:rsidR="0037730C" w:rsidRPr="000D1D98" w:rsidRDefault="0037730C" w:rsidP="002D5B0A">
      <w:pPr>
        <w:rPr>
          <w:spacing w:val="-3"/>
          <w:lang w:val="fr-CH"/>
        </w:rPr>
      </w:pPr>
      <w:r w:rsidRPr="000D1D98">
        <w:rPr>
          <w:spacing w:val="-3"/>
          <w:lang w:val="fr-CH"/>
        </w:rPr>
        <w:t xml:space="preserve">Conformément aux dispositions </w:t>
      </w:r>
      <w:r w:rsidR="00D7095E" w:rsidRPr="000D1D98">
        <w:rPr>
          <w:spacing w:val="-3"/>
          <w:lang w:val="fr-CH"/>
        </w:rPr>
        <w:t>du § 1.6 de la Résolution UIT-R </w:t>
      </w:r>
      <w:r w:rsidRPr="000D1D98">
        <w:rPr>
          <w:spacing w:val="-3"/>
          <w:lang w:val="fr-CH"/>
        </w:rPr>
        <w:t>1-6, le présent Rapport couvre la période qui s</w:t>
      </w:r>
      <w:r w:rsidR="0025212F">
        <w:rPr>
          <w:spacing w:val="-3"/>
          <w:lang w:val="fr-CH"/>
        </w:rPr>
        <w:t>'</w:t>
      </w:r>
      <w:r w:rsidRPr="000D1D98">
        <w:rPr>
          <w:spacing w:val="-3"/>
          <w:lang w:val="fr-CH"/>
        </w:rPr>
        <w:t>est écoulée depuis la dernière Assemblée des radiocommunications en 2012 (AR-12). Il décrit les activités des six Commissions d</w:t>
      </w:r>
      <w:r w:rsidR="0025212F">
        <w:rPr>
          <w:spacing w:val="-3"/>
          <w:lang w:val="fr-CH"/>
        </w:rPr>
        <w:t>'</w:t>
      </w:r>
      <w:r w:rsidRPr="000D1D98">
        <w:rPr>
          <w:spacing w:val="-3"/>
          <w:lang w:val="fr-CH"/>
        </w:rPr>
        <w:t>études des radiocommunications, de la Commission spéciale chargée d</w:t>
      </w:r>
      <w:r w:rsidR="0025212F">
        <w:rPr>
          <w:spacing w:val="-3"/>
          <w:lang w:val="fr-CH"/>
        </w:rPr>
        <w:t>'</w:t>
      </w:r>
      <w:r w:rsidRPr="000D1D98">
        <w:rPr>
          <w:spacing w:val="-3"/>
          <w:lang w:val="fr-CH"/>
        </w:rPr>
        <w:t>examiner les questions réglementaires et de procédure (SC), du Comité de coordination pour le vocabulaire (CCV) et de la Réunion de préparation à la Conférence (RPC). Les activités de liaison et la coopération avec les deux autres Secteurs ainsi qu</w:t>
      </w:r>
      <w:r w:rsidR="0025212F">
        <w:rPr>
          <w:spacing w:val="-3"/>
          <w:lang w:val="fr-CH"/>
        </w:rPr>
        <w:t>'</w:t>
      </w:r>
      <w:r w:rsidRPr="000D1D98">
        <w:rPr>
          <w:spacing w:val="-3"/>
          <w:lang w:val="fr-CH"/>
        </w:rPr>
        <w:t>avec d</w:t>
      </w:r>
      <w:r w:rsidR="0025212F">
        <w:rPr>
          <w:spacing w:val="-3"/>
          <w:lang w:val="fr-CH"/>
        </w:rPr>
        <w:t>'</w:t>
      </w:r>
      <w:r w:rsidRPr="000D1D98">
        <w:rPr>
          <w:spacing w:val="-3"/>
          <w:lang w:val="fr-CH"/>
        </w:rPr>
        <w:t>autres organisations sont brièvement décrites. Il est également fait état des activités se rapportant aux réunions du Groupe consultatif des radiocommunications (GCR) et à la Conférence de plénipotentiaires.</w:t>
      </w:r>
    </w:p>
    <w:p w:rsidR="001950F4" w:rsidRDefault="0037730C" w:rsidP="002D5B0A">
      <w:pPr>
        <w:tabs>
          <w:tab w:val="clear" w:pos="1134"/>
          <w:tab w:val="clear" w:pos="1871"/>
          <w:tab w:val="clear" w:pos="2268"/>
          <w:tab w:val="center" w:pos="7088"/>
        </w:tabs>
      </w:pPr>
      <w:r>
        <w:t>L</w:t>
      </w:r>
      <w:r w:rsidR="0025212F">
        <w:t>'</w:t>
      </w:r>
      <w:r>
        <w:t>appui que le Bureau des radiocommunications (en particulier le rôle du Départe</w:t>
      </w:r>
      <w:r w:rsidR="00D7095E">
        <w:t>ment des Commissions d</w:t>
      </w:r>
      <w:r w:rsidR="0025212F">
        <w:t>'</w:t>
      </w:r>
      <w:r w:rsidR="00D7095E">
        <w:t>études</w:t>
      </w:r>
      <w:r w:rsidR="00D110E8">
        <w:t> – </w:t>
      </w:r>
      <w:r>
        <w:t>SGD) apporte à ces activités est également examiné</w:t>
      </w:r>
      <w:r w:rsidR="00F73E13">
        <w:t>,</w:t>
      </w:r>
      <w:r>
        <w:t xml:space="preserve"> tout comme l</w:t>
      </w:r>
      <w:r w:rsidR="0025212F">
        <w:t>'</w:t>
      </w:r>
      <w:r>
        <w:t>environnement financier dans lequel les travaux sont réalisés.</w:t>
      </w:r>
    </w:p>
    <w:p w:rsidR="0037730C" w:rsidRDefault="0037730C" w:rsidP="002D5B0A">
      <w:pPr>
        <w:pStyle w:val="Heading1"/>
      </w:pPr>
      <w:r w:rsidRPr="0037730C">
        <w:rPr>
          <w:lang w:val="fr-CH"/>
        </w:rPr>
        <w:t>2</w:t>
      </w:r>
      <w:r w:rsidRPr="0037730C">
        <w:rPr>
          <w:lang w:val="fr-CH"/>
        </w:rPr>
        <w:tab/>
      </w:r>
      <w:r>
        <w:t>Suite donnée aux r</w:t>
      </w:r>
      <w:r w:rsidRPr="0099655C">
        <w:t>ésultats de l</w:t>
      </w:r>
      <w:r w:rsidR="0025212F">
        <w:t>'</w:t>
      </w:r>
      <w:r w:rsidRPr="0099655C">
        <w:t>AR-</w:t>
      </w:r>
      <w:r>
        <w:t>12</w:t>
      </w:r>
    </w:p>
    <w:p w:rsidR="004D609F" w:rsidRPr="000D1D98" w:rsidRDefault="004D609F" w:rsidP="002D5B0A">
      <w:pPr>
        <w:rPr>
          <w:spacing w:val="-3"/>
        </w:rPr>
      </w:pPr>
      <w:r w:rsidRPr="000D1D98">
        <w:rPr>
          <w:spacing w:val="-3"/>
        </w:rPr>
        <w:t>L</w:t>
      </w:r>
      <w:r w:rsidR="0025212F">
        <w:rPr>
          <w:spacing w:val="-3"/>
        </w:rPr>
        <w:t>'</w:t>
      </w:r>
      <w:r w:rsidRPr="000D1D98">
        <w:rPr>
          <w:spacing w:val="-3"/>
        </w:rPr>
        <w:t>Assemblée des radiocommunicati</w:t>
      </w:r>
      <w:r w:rsidR="00621A0D" w:rsidRPr="000D1D98">
        <w:rPr>
          <w:spacing w:val="-3"/>
        </w:rPr>
        <w:t>ons tenue en </w:t>
      </w:r>
      <w:r w:rsidR="002855FF" w:rsidRPr="000D1D98">
        <w:rPr>
          <w:spacing w:val="-3"/>
        </w:rPr>
        <w:t>2012 a approuvé 40 </w:t>
      </w:r>
      <w:r w:rsidRPr="000D1D98">
        <w:rPr>
          <w:spacing w:val="-3"/>
        </w:rPr>
        <w:t>Résolutions qui constituent les textes fondamentaux et les directiv</w:t>
      </w:r>
      <w:r w:rsidR="0053613F" w:rsidRPr="000D1D98">
        <w:rPr>
          <w:spacing w:val="-3"/>
        </w:rPr>
        <w:t>es sur lesquels s</w:t>
      </w:r>
      <w:r w:rsidR="0025212F">
        <w:rPr>
          <w:spacing w:val="-3"/>
        </w:rPr>
        <w:t>'</w:t>
      </w:r>
      <w:r w:rsidR="0053613F" w:rsidRPr="000D1D98">
        <w:rPr>
          <w:spacing w:val="-3"/>
        </w:rPr>
        <w:t>appuient les C</w:t>
      </w:r>
      <w:r w:rsidRPr="000D1D98">
        <w:rPr>
          <w:spacing w:val="-3"/>
        </w:rPr>
        <w:t>ommissions d</w:t>
      </w:r>
      <w:r w:rsidR="0025212F">
        <w:rPr>
          <w:spacing w:val="-3"/>
        </w:rPr>
        <w:t>'</w:t>
      </w:r>
      <w:r w:rsidRPr="000D1D98">
        <w:rPr>
          <w:spacing w:val="-3"/>
        </w:rPr>
        <w:t>études pour s</w:t>
      </w:r>
      <w:r w:rsidR="0025212F">
        <w:rPr>
          <w:spacing w:val="-3"/>
        </w:rPr>
        <w:t>'</w:t>
      </w:r>
      <w:r w:rsidRPr="000D1D98">
        <w:rPr>
          <w:spacing w:val="-3"/>
        </w:rPr>
        <w:t>acquitter de leurs responsabilités.</w:t>
      </w:r>
    </w:p>
    <w:p w:rsidR="004D609F" w:rsidRPr="00C042CB" w:rsidRDefault="004D609F" w:rsidP="005E3CD4">
      <w:pPr>
        <w:rPr>
          <w:lang w:val="fr-CH"/>
        </w:rPr>
      </w:pPr>
      <w:r w:rsidRPr="00F82CCD">
        <w:t>Les Résolu</w:t>
      </w:r>
      <w:r w:rsidR="00621A0D">
        <w:t>tions UIT-R 4 et </w:t>
      </w:r>
      <w:r w:rsidR="0053613F">
        <w:t xml:space="preserve">5 décrivent la structure des </w:t>
      </w:r>
      <w:r w:rsidR="005E3CD4">
        <w:t>c</w:t>
      </w:r>
      <w:r w:rsidRPr="00F82CCD">
        <w:t>ommissions d</w:t>
      </w:r>
      <w:r w:rsidR="0025212F">
        <w:t>'</w:t>
      </w:r>
      <w:r w:rsidRPr="00F82CCD">
        <w:t>études et leur p</w:t>
      </w:r>
      <w:r>
        <w:t>rogramme de travail respectif. Ces Résolutions ont</w:t>
      </w:r>
      <w:r w:rsidR="0053613F">
        <w:t xml:space="preserve"> servi de base aux travaux des </w:t>
      </w:r>
      <w:r w:rsidR="005E3CD4">
        <w:t>c</w:t>
      </w:r>
      <w:r>
        <w:t>ommissions d</w:t>
      </w:r>
      <w:r w:rsidR="0025212F">
        <w:t>'</w:t>
      </w:r>
      <w:r>
        <w:t>étu</w:t>
      </w:r>
      <w:r w:rsidR="00621A0D">
        <w:t>des pendant la période d</w:t>
      </w:r>
      <w:r w:rsidR="0025212F">
        <w:t>'</w:t>
      </w:r>
      <w:r w:rsidR="00621A0D">
        <w:t>études </w:t>
      </w:r>
      <w:r>
        <w:t>2012</w:t>
      </w:r>
      <w:r>
        <w:noBreakHyphen/>
        <w:t>2015.</w:t>
      </w:r>
    </w:p>
    <w:p w:rsidR="004D609F" w:rsidRPr="00B177FC" w:rsidRDefault="004D609F" w:rsidP="005E3CD4">
      <w:pPr>
        <w:rPr>
          <w:lang w:val="fr-CH"/>
        </w:rPr>
      </w:pPr>
      <w:r w:rsidRPr="000C727E">
        <w:t>La Résolution UIT-R 9 (Liaison et collaboration avec d</w:t>
      </w:r>
      <w:r w:rsidR="0025212F">
        <w:t>'</w:t>
      </w:r>
      <w:r w:rsidRPr="000C727E">
        <w:t xml:space="preserve">autres organisations) </w:t>
      </w:r>
      <w:r>
        <w:t>reconnaît</w:t>
      </w:r>
      <w:r w:rsidRPr="00FA103C">
        <w:t xml:space="preserve"> la nécessité de faciliter la coordination et </w:t>
      </w:r>
      <w:r>
        <w:t>l</w:t>
      </w:r>
      <w:r w:rsidR="0025212F">
        <w:t>'</w:t>
      </w:r>
      <w:r>
        <w:t>échange d</w:t>
      </w:r>
      <w:r w:rsidR="0025212F">
        <w:t>'</w:t>
      </w:r>
      <w:r w:rsidRPr="00FA103C">
        <w:t>information</w:t>
      </w:r>
      <w:r>
        <w:t>s</w:t>
      </w:r>
      <w:r w:rsidRPr="00FA103C">
        <w:t xml:space="preserve"> </w:t>
      </w:r>
      <w:r>
        <w:t>entre l</w:t>
      </w:r>
      <w:r w:rsidR="0025212F">
        <w:t>'</w:t>
      </w:r>
      <w:r w:rsidRPr="00FA103C">
        <w:t xml:space="preserve">UIT-R et </w:t>
      </w:r>
      <w:r>
        <w:t>d</w:t>
      </w:r>
      <w:r w:rsidR="0025212F">
        <w:t>'</w:t>
      </w:r>
      <w:r>
        <w:t>autres organismes</w:t>
      </w:r>
      <w:r w:rsidRPr="00FA103C">
        <w:t xml:space="preserve">, </w:t>
      </w:r>
      <w:r>
        <w:t>en particulier ceux qui s</w:t>
      </w:r>
      <w:r w:rsidR="0025212F">
        <w:t>'</w:t>
      </w:r>
      <w:r>
        <w:t>occupent de normalisation. Cette Résolution a été modifiée par l</w:t>
      </w:r>
      <w:r w:rsidR="0025212F">
        <w:t>'</w:t>
      </w:r>
      <w:r>
        <w:t>AR-12 dans le but d</w:t>
      </w:r>
      <w:r w:rsidR="0025212F">
        <w:t>'</w:t>
      </w:r>
      <w:r>
        <w:t>énoncer les principes régissant les relations entre l</w:t>
      </w:r>
      <w:r w:rsidR="0025212F">
        <w:t>'</w:t>
      </w:r>
      <w:r>
        <w:t>UIT-R et d</w:t>
      </w:r>
      <w:r w:rsidR="0025212F">
        <w:t>'</w:t>
      </w:r>
      <w:r>
        <w:t xml:space="preserve">autres organisations, principes qui ont </w:t>
      </w:r>
      <w:r w:rsidR="0053613F">
        <w:t xml:space="preserve">été appliqués par le BR et les </w:t>
      </w:r>
      <w:r w:rsidR="005E3CD4">
        <w:t>c</w:t>
      </w:r>
      <w:r>
        <w:t>ommissions d</w:t>
      </w:r>
      <w:r w:rsidR="0025212F">
        <w:t>'</w:t>
      </w:r>
      <w:r>
        <w:t xml:space="preserve">études pour ces relations. </w:t>
      </w:r>
    </w:p>
    <w:p w:rsidR="004D609F" w:rsidRDefault="004D609F" w:rsidP="002D5B0A">
      <w:pPr>
        <w:keepNext/>
        <w:keepLines/>
      </w:pPr>
      <w:r w:rsidRPr="00EE741B">
        <w:lastRenderedPageBreak/>
        <w:t>L</w:t>
      </w:r>
      <w:r w:rsidR="0025212F">
        <w:t>'</w:t>
      </w:r>
      <w:r w:rsidRPr="00EE741B">
        <w:t>AR</w:t>
      </w:r>
      <w:r w:rsidRPr="00EE741B">
        <w:noBreakHyphen/>
      </w:r>
      <w:r>
        <w:t xml:space="preserve">12 </w:t>
      </w:r>
      <w:r w:rsidR="002D5B0A">
        <w:t xml:space="preserve">a approuvé plusieurs </w:t>
      </w:r>
      <w:r w:rsidR="005E3CD4">
        <w:t>R</w:t>
      </w:r>
      <w:r w:rsidRPr="00EE741B">
        <w:t>ésolutions</w:t>
      </w:r>
      <w:r>
        <w:t xml:space="preserve">, nouvelles ou révisées, </w:t>
      </w:r>
      <w:r w:rsidRPr="00EE741B">
        <w:t xml:space="preserve">portant </w:t>
      </w:r>
      <w:r w:rsidR="0053613F">
        <w:t>sur les travaux des C</w:t>
      </w:r>
      <w:r w:rsidRPr="00EE741B">
        <w:t>ommissions d</w:t>
      </w:r>
      <w:r w:rsidR="0025212F">
        <w:t>'</w:t>
      </w:r>
      <w:r w:rsidRPr="00EE741B">
        <w:t>études, par exemple</w:t>
      </w:r>
      <w:r>
        <w:t xml:space="preserve"> sur</w:t>
      </w:r>
      <w:r w:rsidRPr="00EE741B">
        <w:t xml:space="preserve"> </w:t>
      </w:r>
      <w:r>
        <w:t>les dispositifs à courte portée,</w:t>
      </w:r>
      <w:r w:rsidRPr="00D06FC3">
        <w:rPr>
          <w:color w:val="000000"/>
        </w:rPr>
        <w:t xml:space="preserve"> </w:t>
      </w:r>
      <w:r>
        <w:rPr>
          <w:color w:val="000000"/>
        </w:rPr>
        <w:t>la prévision ou la détection des catastrophes et l</w:t>
      </w:r>
      <w:r w:rsidR="0025212F">
        <w:rPr>
          <w:color w:val="000000"/>
        </w:rPr>
        <w:t>'</w:t>
      </w:r>
      <w:r>
        <w:rPr>
          <w:color w:val="000000"/>
        </w:rPr>
        <w:t>atténuation de leurs effets et les opérations de secours,</w:t>
      </w:r>
      <w:r w:rsidRPr="00D06FC3">
        <w:rPr>
          <w:color w:val="000000"/>
        </w:rPr>
        <w:t xml:space="preserve"> </w:t>
      </w:r>
      <w:r>
        <w:rPr>
          <w:color w:val="000000"/>
        </w:rPr>
        <w:t>les systèmes de radiocommunication cognitifs,</w:t>
      </w:r>
      <w:r w:rsidRPr="00D06FC3">
        <w:rPr>
          <w:color w:val="000000"/>
        </w:rPr>
        <w:t xml:space="preserve"> </w:t>
      </w:r>
      <w:r>
        <w:rPr>
          <w:color w:val="000000"/>
        </w:rPr>
        <w:t>les systèmes de reportage électronique d</w:t>
      </w:r>
      <w:r w:rsidR="0025212F">
        <w:rPr>
          <w:color w:val="000000"/>
        </w:rPr>
        <w:t>'</w:t>
      </w:r>
      <w:r>
        <w:rPr>
          <w:color w:val="000000"/>
        </w:rPr>
        <w:t>actualités de Terre</w:t>
      </w:r>
      <w:r>
        <w:t xml:space="preserve"> ainsi que</w:t>
      </w:r>
      <w:r w:rsidRPr="005919B2">
        <w:rPr>
          <w:color w:val="000000"/>
        </w:rPr>
        <w:t xml:space="preserve"> </w:t>
      </w:r>
      <w:r>
        <w:rPr>
          <w:color w:val="000000"/>
        </w:rPr>
        <w:t>la réduction de la consommation d</w:t>
      </w:r>
      <w:r w:rsidR="0025212F">
        <w:rPr>
          <w:color w:val="000000"/>
        </w:rPr>
        <w:t>'</w:t>
      </w:r>
      <w:r>
        <w:rPr>
          <w:color w:val="000000"/>
        </w:rPr>
        <w:t>énergie pour la protection de l</w:t>
      </w:r>
      <w:r w:rsidR="0025212F">
        <w:rPr>
          <w:color w:val="000000"/>
        </w:rPr>
        <w:t>'</w:t>
      </w:r>
      <w:r>
        <w:rPr>
          <w:color w:val="000000"/>
        </w:rPr>
        <w:t>environnement et l</w:t>
      </w:r>
      <w:r w:rsidR="0025212F">
        <w:rPr>
          <w:color w:val="000000"/>
        </w:rPr>
        <w:t>'</w:t>
      </w:r>
      <w:r>
        <w:rPr>
          <w:color w:val="000000"/>
        </w:rPr>
        <w:t>atténuation des effets des changements climatiques</w:t>
      </w:r>
      <w:r w:rsidR="0053613F">
        <w:t>. Les C</w:t>
      </w:r>
      <w:r>
        <w:t>ommissions d</w:t>
      </w:r>
      <w:r w:rsidR="0025212F">
        <w:t>'</w:t>
      </w:r>
      <w:r>
        <w:t>études concernées ont dûment tenu compte de ces Résolutions dans leur programme de travail.</w:t>
      </w:r>
    </w:p>
    <w:p w:rsidR="00C67C69" w:rsidRPr="005A1130" w:rsidRDefault="00C67C69" w:rsidP="005E3CD4">
      <w:pPr>
        <w:pStyle w:val="Default"/>
        <w:spacing w:before="120"/>
        <w:rPr>
          <w:lang w:val="fr-CH"/>
        </w:rPr>
      </w:pPr>
      <w:r w:rsidRPr="00C67C69">
        <w:rPr>
          <w:lang w:val="fr-CH"/>
        </w:rPr>
        <w:t>S</w:t>
      </w:r>
      <w:r w:rsidR="0025212F">
        <w:rPr>
          <w:lang w:val="fr-CH"/>
        </w:rPr>
        <w:t>'</w:t>
      </w:r>
      <w:r w:rsidRPr="00C67C69">
        <w:rPr>
          <w:lang w:val="fr-CH"/>
        </w:rPr>
        <w:t>agissant de la Résolution UIT-R 60</w:t>
      </w:r>
      <w:r w:rsidR="002F3451">
        <w:rPr>
          <w:lang w:val="fr-CH"/>
        </w:rPr>
        <w:t>, relative à la r</w:t>
      </w:r>
      <w:r w:rsidRPr="00C67C69">
        <w:rPr>
          <w:lang w:val="fr-CH"/>
        </w:rPr>
        <w:t>éduction de la consommation d</w:t>
      </w:r>
      <w:r w:rsidR="0025212F">
        <w:rPr>
          <w:lang w:val="fr-CH"/>
        </w:rPr>
        <w:t>'</w:t>
      </w:r>
      <w:r w:rsidRPr="00C67C69">
        <w:rPr>
          <w:lang w:val="fr-CH"/>
        </w:rPr>
        <w:t>énergie pour la protection de l</w:t>
      </w:r>
      <w:r w:rsidR="0025212F">
        <w:rPr>
          <w:lang w:val="fr-CH"/>
        </w:rPr>
        <w:t>'</w:t>
      </w:r>
      <w:r w:rsidRPr="00C67C69">
        <w:rPr>
          <w:lang w:val="fr-CH"/>
        </w:rPr>
        <w:t>environnement et l</w:t>
      </w:r>
      <w:r w:rsidR="0025212F">
        <w:rPr>
          <w:lang w:val="fr-CH"/>
        </w:rPr>
        <w:t>'</w:t>
      </w:r>
      <w:r w:rsidRPr="00C67C69">
        <w:rPr>
          <w:lang w:val="fr-CH"/>
        </w:rPr>
        <w:t>atténuation des effets des changements climatiques grâce à l</w:t>
      </w:r>
      <w:r w:rsidR="0025212F">
        <w:rPr>
          <w:lang w:val="fr-CH"/>
        </w:rPr>
        <w:t>'</w:t>
      </w:r>
      <w:r w:rsidRPr="00C67C69">
        <w:rPr>
          <w:lang w:val="fr-CH"/>
        </w:rPr>
        <w:t>utilisation de technologies et systèmes des radiocommunications/technologies de l</w:t>
      </w:r>
      <w:r w:rsidR="0025212F">
        <w:rPr>
          <w:lang w:val="fr-CH"/>
        </w:rPr>
        <w:t>'</w:t>
      </w:r>
      <w:r w:rsidRPr="00C67C69">
        <w:rPr>
          <w:lang w:val="fr-CH"/>
        </w:rPr>
        <w:t>information et de la communication</w:t>
      </w:r>
      <w:r w:rsidR="002F3451">
        <w:rPr>
          <w:lang w:val="fr-CH"/>
        </w:rPr>
        <w:t>, la Commission d</w:t>
      </w:r>
      <w:r w:rsidR="0025212F">
        <w:rPr>
          <w:lang w:val="fr-CH"/>
        </w:rPr>
        <w:t>'</w:t>
      </w:r>
      <w:r w:rsidR="002F3451">
        <w:rPr>
          <w:lang w:val="fr-CH"/>
        </w:rPr>
        <w:t xml:space="preserve">études 5 </w:t>
      </w:r>
      <w:r w:rsidR="00ED6310" w:rsidRPr="00CA65A0">
        <w:rPr>
          <w:lang w:val="fr-CH"/>
        </w:rPr>
        <w:t>a intégré</w:t>
      </w:r>
      <w:r w:rsidR="00786008">
        <w:rPr>
          <w:lang w:val="fr-CH"/>
        </w:rPr>
        <w:t>,</w:t>
      </w:r>
      <w:r w:rsidR="00ED6310" w:rsidRPr="00CA65A0">
        <w:rPr>
          <w:lang w:val="fr-CH"/>
        </w:rPr>
        <w:t xml:space="preserve"> </w:t>
      </w:r>
      <w:r w:rsidR="00786008" w:rsidRPr="00CA65A0">
        <w:rPr>
          <w:lang w:val="fr-CH"/>
        </w:rPr>
        <w:t xml:space="preserve">dans ses </w:t>
      </w:r>
      <w:r w:rsidR="002D5B0A">
        <w:rPr>
          <w:lang w:val="fr-CH"/>
        </w:rPr>
        <w:t>r</w:t>
      </w:r>
      <w:r w:rsidR="00786008" w:rsidRPr="00CA65A0">
        <w:rPr>
          <w:lang w:val="fr-CH"/>
        </w:rPr>
        <w:t xml:space="preserve">apports et </w:t>
      </w:r>
      <w:r w:rsidR="002D5B0A">
        <w:rPr>
          <w:lang w:val="fr-CH"/>
        </w:rPr>
        <w:t>r</w:t>
      </w:r>
      <w:r w:rsidR="00786008" w:rsidRPr="00CA65A0">
        <w:rPr>
          <w:lang w:val="fr-CH"/>
        </w:rPr>
        <w:t xml:space="preserve">ecommandations </w:t>
      </w:r>
      <w:r w:rsidR="00786008">
        <w:rPr>
          <w:lang w:val="fr-CH"/>
        </w:rPr>
        <w:t>sur</w:t>
      </w:r>
      <w:r w:rsidR="00786008" w:rsidRPr="00CA65A0">
        <w:rPr>
          <w:lang w:val="fr-CH"/>
        </w:rPr>
        <w:t xml:space="preserve"> les systèmes mobiles</w:t>
      </w:r>
      <w:r w:rsidR="002D5B0A">
        <w:rPr>
          <w:lang w:val="fr-CH"/>
        </w:rPr>
        <w:t xml:space="preserve"> et les normes correspondantes</w:t>
      </w:r>
      <w:r w:rsidR="00786008">
        <w:rPr>
          <w:lang w:val="fr-CH"/>
        </w:rPr>
        <w:t xml:space="preserve">, des considérations relatives aux </w:t>
      </w:r>
      <w:r w:rsidR="00ED6310" w:rsidRPr="00CA65A0">
        <w:rPr>
          <w:lang w:val="fr-CH"/>
        </w:rPr>
        <w:t xml:space="preserve">nouvelles avancées technologiques </w:t>
      </w:r>
      <w:r w:rsidR="00786008">
        <w:rPr>
          <w:lang w:val="fr-CH"/>
        </w:rPr>
        <w:t>qui permettront de réaliser des économies d</w:t>
      </w:r>
      <w:r w:rsidR="0025212F">
        <w:rPr>
          <w:lang w:val="fr-CH"/>
        </w:rPr>
        <w:t>'</w:t>
      </w:r>
      <w:r w:rsidR="00786008">
        <w:rPr>
          <w:lang w:val="fr-CH"/>
        </w:rPr>
        <w:t>énergie</w:t>
      </w:r>
      <w:r w:rsidR="00ED6310" w:rsidRPr="00CA65A0">
        <w:rPr>
          <w:lang w:val="fr-CH"/>
        </w:rPr>
        <w:t>. Bien qu</w:t>
      </w:r>
      <w:r w:rsidR="0025212F">
        <w:rPr>
          <w:lang w:val="fr-CH"/>
        </w:rPr>
        <w:t>'</w:t>
      </w:r>
      <w:r w:rsidR="00ED6310" w:rsidRPr="00CA65A0">
        <w:rPr>
          <w:lang w:val="fr-CH"/>
        </w:rPr>
        <w:t>aucun produit particulier n</w:t>
      </w:r>
      <w:r w:rsidR="0025212F">
        <w:rPr>
          <w:lang w:val="fr-CH"/>
        </w:rPr>
        <w:t>'</w:t>
      </w:r>
      <w:r w:rsidR="00ED6310" w:rsidRPr="00CA65A0">
        <w:rPr>
          <w:lang w:val="fr-CH"/>
        </w:rPr>
        <w:t xml:space="preserve">ait été élaboré </w:t>
      </w:r>
      <w:r w:rsidR="00D76170">
        <w:rPr>
          <w:lang w:val="fr-CH"/>
        </w:rPr>
        <w:t xml:space="preserve">à ce propos, ce sujet </w:t>
      </w:r>
      <w:r w:rsidR="00ED6310" w:rsidRPr="00CA65A0">
        <w:rPr>
          <w:lang w:val="fr-CH"/>
        </w:rPr>
        <w:t>est traité lors de la mise à jour régulière des caractéristiques techniques et opérationnelles des systèmes et des normes, dans le cadre du mandat de la Commission d</w:t>
      </w:r>
      <w:r w:rsidR="0025212F">
        <w:rPr>
          <w:lang w:val="fr-CH"/>
        </w:rPr>
        <w:t>'</w:t>
      </w:r>
      <w:r w:rsidR="00ED6310" w:rsidRPr="00CA65A0">
        <w:rPr>
          <w:lang w:val="fr-CH"/>
        </w:rPr>
        <w:t>études 5.</w:t>
      </w:r>
      <w:r w:rsidR="0056072D" w:rsidRPr="00CA65A0">
        <w:rPr>
          <w:lang w:val="fr-CH"/>
        </w:rPr>
        <w:t xml:space="preserve"> La Commission d</w:t>
      </w:r>
      <w:r w:rsidR="0025212F">
        <w:rPr>
          <w:lang w:val="fr-CH"/>
        </w:rPr>
        <w:t>'</w:t>
      </w:r>
      <w:r w:rsidR="0056072D" w:rsidRPr="00CA65A0">
        <w:rPr>
          <w:lang w:val="fr-CH"/>
        </w:rPr>
        <w:t xml:space="preserve">études 6 continue </w:t>
      </w:r>
      <w:r w:rsidR="00E92BB7">
        <w:rPr>
          <w:lang w:val="fr-CH"/>
        </w:rPr>
        <w:t xml:space="preserve">à travailler sur </w:t>
      </w:r>
      <w:r w:rsidR="002D5B0A">
        <w:rPr>
          <w:lang w:val="fr-CH"/>
        </w:rPr>
        <w:t>la poursuite</w:t>
      </w:r>
      <w:r w:rsidR="00E92BB7">
        <w:rPr>
          <w:lang w:val="fr-CH"/>
        </w:rPr>
        <w:t xml:space="preserve"> de</w:t>
      </w:r>
      <w:r w:rsidR="0056072D" w:rsidRPr="00CA65A0">
        <w:rPr>
          <w:lang w:val="fr-CH"/>
        </w:rPr>
        <w:t xml:space="preserve"> </w:t>
      </w:r>
      <w:r w:rsidR="002D5B0A">
        <w:rPr>
          <w:lang w:val="fr-CH"/>
        </w:rPr>
        <w:t xml:space="preserve">la </w:t>
      </w:r>
      <w:r w:rsidR="0056072D" w:rsidRPr="00CA65A0">
        <w:rPr>
          <w:lang w:val="fr-CH"/>
        </w:rPr>
        <w:t>rédu</w:t>
      </w:r>
      <w:r w:rsidR="00E92BB7">
        <w:rPr>
          <w:lang w:val="fr-CH"/>
        </w:rPr>
        <w:t>ction de</w:t>
      </w:r>
      <w:r w:rsidR="0056072D" w:rsidRPr="00CA65A0">
        <w:rPr>
          <w:lang w:val="fr-CH"/>
        </w:rPr>
        <w:t xml:space="preserve"> la consommation d</w:t>
      </w:r>
      <w:r w:rsidR="0025212F">
        <w:rPr>
          <w:lang w:val="fr-CH"/>
        </w:rPr>
        <w:t>'</w:t>
      </w:r>
      <w:r w:rsidR="0056072D" w:rsidRPr="00CA65A0">
        <w:rPr>
          <w:lang w:val="fr-CH"/>
        </w:rPr>
        <w:t xml:space="preserve">énergie liée </w:t>
      </w:r>
      <w:r w:rsidR="00E92BB7">
        <w:rPr>
          <w:lang w:val="fr-CH"/>
        </w:rPr>
        <w:t>aux technologies de</w:t>
      </w:r>
      <w:r w:rsidR="0056072D" w:rsidRPr="00CA65A0">
        <w:rPr>
          <w:lang w:val="fr-CH"/>
        </w:rPr>
        <w:t xml:space="preserve"> radiodiffusion, dans le cadre des programmes sur la </w:t>
      </w:r>
      <w:r w:rsidR="002D5B0A">
        <w:rPr>
          <w:lang w:val="fr-CH"/>
        </w:rPr>
        <w:t>«</w:t>
      </w:r>
      <w:r w:rsidR="009C6C2E">
        <w:rPr>
          <w:lang w:val="fr-CH"/>
        </w:rPr>
        <w:t>radio</w:t>
      </w:r>
      <w:r w:rsidR="0056072D" w:rsidRPr="00CA65A0">
        <w:rPr>
          <w:lang w:val="fr-CH"/>
        </w:rPr>
        <w:t>diffusion verte</w:t>
      </w:r>
      <w:r w:rsidR="002D5B0A">
        <w:rPr>
          <w:lang w:val="fr-CH"/>
        </w:rPr>
        <w:t>»</w:t>
      </w:r>
      <w:r w:rsidR="0056072D" w:rsidRPr="00CA65A0">
        <w:rPr>
          <w:lang w:val="fr-CH"/>
        </w:rPr>
        <w:t xml:space="preserve"> et la </w:t>
      </w:r>
      <w:r w:rsidR="002D5B0A">
        <w:rPr>
          <w:lang w:val="fr-CH"/>
        </w:rPr>
        <w:t>«</w:t>
      </w:r>
      <w:r w:rsidR="009C6C2E">
        <w:rPr>
          <w:lang w:val="fr-CH"/>
        </w:rPr>
        <w:t>radio</w:t>
      </w:r>
      <w:r w:rsidR="0056072D" w:rsidRPr="00CA65A0">
        <w:rPr>
          <w:lang w:val="fr-CH"/>
        </w:rPr>
        <w:t>diffusion durable</w:t>
      </w:r>
      <w:r w:rsidR="002D5B0A">
        <w:rPr>
          <w:lang w:val="fr-CH"/>
        </w:rPr>
        <w:t>»</w:t>
      </w:r>
      <w:r w:rsidR="0056072D" w:rsidRPr="00CA65A0">
        <w:rPr>
          <w:lang w:val="fr-CH"/>
        </w:rPr>
        <w:t>.</w:t>
      </w:r>
      <w:r w:rsidR="005A1130" w:rsidRPr="00CA65A0">
        <w:rPr>
          <w:lang w:val="fr-CH"/>
        </w:rPr>
        <w:t xml:space="preserve"> </w:t>
      </w:r>
      <w:r w:rsidR="00E91EA2">
        <w:rPr>
          <w:lang w:val="fr-CH"/>
        </w:rPr>
        <w:t>En juillet 2015, la Commission d</w:t>
      </w:r>
      <w:r w:rsidR="0025212F">
        <w:rPr>
          <w:lang w:val="fr-CH"/>
        </w:rPr>
        <w:t>'</w:t>
      </w:r>
      <w:r w:rsidR="00E91EA2">
        <w:rPr>
          <w:lang w:val="fr-CH"/>
        </w:rPr>
        <w:t xml:space="preserve">études 6 a approuvé le </w:t>
      </w:r>
      <w:r w:rsidR="005E3CD4">
        <w:rPr>
          <w:lang w:val="fr-CH"/>
        </w:rPr>
        <w:t>R</w:t>
      </w:r>
      <w:r w:rsidR="00E91EA2">
        <w:rPr>
          <w:lang w:val="fr-CH"/>
        </w:rPr>
        <w:t>apport UIT-R BT.2385-0</w:t>
      </w:r>
      <w:r w:rsidR="00D76170">
        <w:rPr>
          <w:lang w:val="fr-CH"/>
        </w:rPr>
        <w:t xml:space="preserve"> portant sur la r</w:t>
      </w:r>
      <w:r w:rsidR="00E91EA2">
        <w:rPr>
          <w:lang w:val="fr-CH"/>
        </w:rPr>
        <w:t>éduction de l</w:t>
      </w:r>
      <w:r w:rsidR="0025212F">
        <w:rPr>
          <w:lang w:val="fr-CH"/>
        </w:rPr>
        <w:t>'</w:t>
      </w:r>
      <w:r w:rsidR="00E91EA2">
        <w:rPr>
          <w:lang w:val="fr-CH"/>
        </w:rPr>
        <w:t xml:space="preserve">impact environnemental des systèmes de radiodiffusion </w:t>
      </w:r>
      <w:r w:rsidR="00305DF9">
        <w:rPr>
          <w:lang w:val="fr-CH"/>
        </w:rPr>
        <w:t>de Terre</w:t>
      </w:r>
      <w:r w:rsidR="00E91EA2">
        <w:rPr>
          <w:lang w:val="fr-CH"/>
        </w:rPr>
        <w:t>. La Commission d</w:t>
      </w:r>
      <w:r w:rsidR="0025212F">
        <w:rPr>
          <w:lang w:val="fr-CH"/>
        </w:rPr>
        <w:t>'</w:t>
      </w:r>
      <w:r w:rsidR="00E91EA2">
        <w:rPr>
          <w:lang w:val="fr-CH"/>
        </w:rPr>
        <w:t xml:space="preserve">études 6 continue de prendre part aux travaux du </w:t>
      </w:r>
      <w:r w:rsidR="00E91EA2" w:rsidRPr="00E91EA2">
        <w:rPr>
          <w:lang w:val="fr-CH"/>
        </w:rPr>
        <w:t xml:space="preserve">Groupe spécialisé </w:t>
      </w:r>
      <w:r w:rsidR="00E91EA2">
        <w:rPr>
          <w:lang w:val="fr-CH"/>
        </w:rPr>
        <w:t>de la Commission</w:t>
      </w:r>
      <w:r w:rsidR="00D76170">
        <w:rPr>
          <w:lang w:val="fr-CH"/>
        </w:rPr>
        <w:t xml:space="preserve"> d</w:t>
      </w:r>
      <w:r w:rsidR="0025212F">
        <w:rPr>
          <w:lang w:val="fr-CH"/>
        </w:rPr>
        <w:t>'</w:t>
      </w:r>
      <w:r w:rsidR="00D76170">
        <w:rPr>
          <w:lang w:val="fr-CH"/>
        </w:rPr>
        <w:t>études 5 de l</w:t>
      </w:r>
      <w:r w:rsidR="0025212F">
        <w:rPr>
          <w:lang w:val="fr-CH"/>
        </w:rPr>
        <w:t>'</w:t>
      </w:r>
      <w:r w:rsidR="000D1D98">
        <w:rPr>
          <w:lang w:val="fr-CH"/>
        </w:rPr>
        <w:t>UIT</w:t>
      </w:r>
      <w:r w:rsidR="000D1D98">
        <w:rPr>
          <w:lang w:val="fr-CH"/>
        </w:rPr>
        <w:noBreakHyphen/>
      </w:r>
      <w:r w:rsidR="00D76170">
        <w:rPr>
          <w:lang w:val="fr-CH"/>
        </w:rPr>
        <w:t>T</w:t>
      </w:r>
      <w:r w:rsidR="002D5B0A">
        <w:rPr>
          <w:lang w:val="fr-CH"/>
        </w:rPr>
        <w:t>,</w:t>
      </w:r>
      <w:r w:rsidR="00D76170">
        <w:rPr>
          <w:lang w:val="fr-CH"/>
        </w:rPr>
        <w:t xml:space="preserve"> </w:t>
      </w:r>
      <w:r w:rsidR="002D5B0A">
        <w:rPr>
          <w:lang w:val="fr-CH"/>
        </w:rPr>
        <w:t>qui élabore</w:t>
      </w:r>
      <w:r w:rsidR="004D1215">
        <w:rPr>
          <w:lang w:val="fr-CH"/>
        </w:rPr>
        <w:t xml:space="preserve"> de</w:t>
      </w:r>
      <w:r w:rsidR="002D5B0A">
        <w:rPr>
          <w:lang w:val="fr-CH"/>
        </w:rPr>
        <w:t>s</w:t>
      </w:r>
      <w:r w:rsidR="00D76170">
        <w:rPr>
          <w:lang w:val="fr-CH"/>
        </w:rPr>
        <w:t xml:space="preserve"> l</w:t>
      </w:r>
      <w:r w:rsidR="00E91EA2">
        <w:rPr>
          <w:lang w:val="fr-CH"/>
        </w:rPr>
        <w:t xml:space="preserve">ignes directrices pour </w:t>
      </w:r>
      <w:r w:rsidR="00D76170">
        <w:rPr>
          <w:lang w:val="fr-CH"/>
        </w:rPr>
        <w:t>une</w:t>
      </w:r>
      <w:r w:rsidR="00E91EA2">
        <w:rPr>
          <w:lang w:val="fr-CH"/>
        </w:rPr>
        <w:t xml:space="preserve"> radiodiffusion durable. </w:t>
      </w:r>
      <w:r w:rsidR="005A1130" w:rsidRPr="005A1130">
        <w:rPr>
          <w:lang w:val="fr-CH"/>
        </w:rPr>
        <w:t>Il convient également de noter que d</w:t>
      </w:r>
      <w:r w:rsidR="0025212F">
        <w:rPr>
          <w:lang w:val="fr-CH"/>
        </w:rPr>
        <w:t>'</w:t>
      </w:r>
      <w:r w:rsidR="005A1130" w:rsidRPr="005A1130">
        <w:rPr>
          <w:lang w:val="fr-CH"/>
        </w:rPr>
        <w:t xml:space="preserve">importantes économies </w:t>
      </w:r>
      <w:r w:rsidR="005A1130">
        <w:rPr>
          <w:lang w:val="fr-CH"/>
        </w:rPr>
        <w:t>d</w:t>
      </w:r>
      <w:r w:rsidR="0025212F">
        <w:rPr>
          <w:lang w:val="fr-CH"/>
        </w:rPr>
        <w:t>'</w:t>
      </w:r>
      <w:r w:rsidR="005A1130">
        <w:rPr>
          <w:lang w:val="fr-CH"/>
        </w:rPr>
        <w:t xml:space="preserve">énergie </w:t>
      </w:r>
      <w:r w:rsidR="005A1130" w:rsidRPr="005A1130">
        <w:rPr>
          <w:lang w:val="fr-CH"/>
        </w:rPr>
        <w:t xml:space="preserve">ont déjà été réalisées en matière de </w:t>
      </w:r>
      <w:r w:rsidR="00E92BB7">
        <w:rPr>
          <w:lang w:val="fr-CH"/>
        </w:rPr>
        <w:t>radio</w:t>
      </w:r>
      <w:r w:rsidR="005A1130" w:rsidRPr="005A1130">
        <w:rPr>
          <w:lang w:val="fr-CH"/>
        </w:rPr>
        <w:t>diffusion</w:t>
      </w:r>
      <w:r w:rsidR="005A1130">
        <w:rPr>
          <w:lang w:val="fr-CH"/>
        </w:rPr>
        <w:t>,</w:t>
      </w:r>
      <w:r w:rsidR="005A1130" w:rsidRPr="005A1130">
        <w:rPr>
          <w:lang w:val="fr-CH"/>
        </w:rPr>
        <w:t xml:space="preserve"> </w:t>
      </w:r>
      <w:r w:rsidR="005A1130">
        <w:rPr>
          <w:lang w:val="fr-CH"/>
        </w:rPr>
        <w:t xml:space="preserve">du fait du passage </w:t>
      </w:r>
      <w:r w:rsidR="005A1130" w:rsidRPr="005A1130">
        <w:rPr>
          <w:lang w:val="fr-CH"/>
        </w:rPr>
        <w:t xml:space="preserve">de la radiodiffusion télévisuelle </w:t>
      </w:r>
      <w:r w:rsidR="002D5B0A" w:rsidRPr="005A1130">
        <w:rPr>
          <w:lang w:val="fr-CH"/>
        </w:rPr>
        <w:t xml:space="preserve">analogique </w:t>
      </w:r>
      <w:r w:rsidR="005A1130" w:rsidRPr="005A1130">
        <w:rPr>
          <w:lang w:val="fr-CH"/>
        </w:rPr>
        <w:t>à la radiodiffusion télévisuelle numérique</w:t>
      </w:r>
      <w:r w:rsidR="005A1130">
        <w:rPr>
          <w:lang w:val="fr-CH"/>
        </w:rPr>
        <w:t xml:space="preserve">. Cette transition est en cours ou déjà aboutie dans </w:t>
      </w:r>
      <w:r w:rsidR="002D5B0A">
        <w:rPr>
          <w:lang w:val="fr-CH"/>
        </w:rPr>
        <w:t>de nombreuses régions du monde.</w:t>
      </w:r>
    </w:p>
    <w:p w:rsidR="004D609F" w:rsidRPr="002D5B0A" w:rsidRDefault="004D609F" w:rsidP="005E3CD4">
      <w:pPr>
        <w:rPr>
          <w:spacing w:val="-3"/>
        </w:rPr>
      </w:pPr>
      <w:r w:rsidRPr="002D5B0A">
        <w:rPr>
          <w:spacing w:val="-3"/>
        </w:rPr>
        <w:t>L</w:t>
      </w:r>
      <w:r w:rsidR="0025212F">
        <w:rPr>
          <w:spacing w:val="-3"/>
        </w:rPr>
        <w:t>'</w:t>
      </w:r>
      <w:r w:rsidRPr="002D5B0A">
        <w:rPr>
          <w:spacing w:val="-3"/>
        </w:rPr>
        <w:t>AR-12 a approu</w:t>
      </w:r>
      <w:r w:rsidR="00F76180" w:rsidRPr="002D5B0A">
        <w:rPr>
          <w:spacing w:val="-3"/>
        </w:rPr>
        <w:t>vé la nouvelle Résolution UIT</w:t>
      </w:r>
      <w:r w:rsidR="00F76180" w:rsidRPr="002D5B0A">
        <w:rPr>
          <w:spacing w:val="-3"/>
        </w:rPr>
        <w:noBreakHyphen/>
        <w:t>R </w:t>
      </w:r>
      <w:r w:rsidRPr="002D5B0A">
        <w:rPr>
          <w:spacing w:val="-3"/>
        </w:rPr>
        <w:t>63, relative à l</w:t>
      </w:r>
      <w:r w:rsidR="0025212F">
        <w:rPr>
          <w:spacing w:val="-3"/>
        </w:rPr>
        <w:t>'</w:t>
      </w:r>
      <w:r w:rsidRPr="002D5B0A">
        <w:rPr>
          <w:spacing w:val="-3"/>
        </w:rPr>
        <w:t xml:space="preserve">admission </w:t>
      </w:r>
      <w:r w:rsidRPr="002D5B0A">
        <w:rPr>
          <w:color w:val="000000"/>
          <w:spacing w:val="-3"/>
        </w:rPr>
        <w:t>des établissements universitaires, des universités et des instituts de recherche associés à participer aux travaux de l</w:t>
      </w:r>
      <w:r w:rsidR="0025212F">
        <w:rPr>
          <w:color w:val="000000"/>
          <w:spacing w:val="-3"/>
        </w:rPr>
        <w:t>'</w:t>
      </w:r>
      <w:r w:rsidR="000D1D98">
        <w:rPr>
          <w:color w:val="000000"/>
          <w:spacing w:val="-3"/>
        </w:rPr>
        <w:t>UIT</w:t>
      </w:r>
      <w:r w:rsidR="000D1D98">
        <w:rPr>
          <w:color w:val="000000"/>
          <w:spacing w:val="-3"/>
        </w:rPr>
        <w:noBreakHyphen/>
      </w:r>
      <w:r w:rsidRPr="002D5B0A">
        <w:rPr>
          <w:color w:val="000000"/>
          <w:spacing w:val="-3"/>
        </w:rPr>
        <w:t xml:space="preserve">R. En outre, la Conférence de plénipotentiaires </w:t>
      </w:r>
      <w:r w:rsidR="00F76180" w:rsidRPr="002D5B0A">
        <w:rPr>
          <w:spacing w:val="-3"/>
        </w:rPr>
        <w:t>(Busan, </w:t>
      </w:r>
      <w:r w:rsidRPr="002D5B0A">
        <w:rPr>
          <w:spacing w:val="-3"/>
        </w:rPr>
        <w:t xml:space="preserve">2014) </w:t>
      </w:r>
      <w:r w:rsidRPr="002D5B0A">
        <w:rPr>
          <w:color w:val="000000"/>
          <w:spacing w:val="-3"/>
        </w:rPr>
        <w:t>a modifié la Résolution</w:t>
      </w:r>
      <w:r w:rsidR="004C1B5B" w:rsidRPr="002D5B0A">
        <w:rPr>
          <w:spacing w:val="-3"/>
        </w:rPr>
        <w:t> </w:t>
      </w:r>
      <w:r w:rsidRPr="002D5B0A">
        <w:rPr>
          <w:spacing w:val="-3"/>
        </w:rPr>
        <w:t>169 (Guadalajara</w:t>
      </w:r>
      <w:r w:rsidR="00F76180" w:rsidRPr="002D5B0A">
        <w:rPr>
          <w:spacing w:val="-3"/>
        </w:rPr>
        <w:t>, </w:t>
      </w:r>
      <w:r w:rsidRPr="002D5B0A">
        <w:rPr>
          <w:spacing w:val="-3"/>
        </w:rPr>
        <w:t>2010), en vue de renforcer la participation des établissements universitaires aux travaux de l</w:t>
      </w:r>
      <w:r w:rsidR="0025212F">
        <w:rPr>
          <w:spacing w:val="-3"/>
        </w:rPr>
        <w:t>'</w:t>
      </w:r>
      <w:r w:rsidRPr="002D5B0A">
        <w:rPr>
          <w:spacing w:val="-3"/>
        </w:rPr>
        <w:t xml:space="preserve">Union. En conséquence, les </w:t>
      </w:r>
      <w:r w:rsidRPr="002D5B0A">
        <w:rPr>
          <w:color w:val="000000"/>
          <w:spacing w:val="-3"/>
        </w:rPr>
        <w:t>établissements universitaires participant aux activités de l</w:t>
      </w:r>
      <w:r w:rsidR="0025212F">
        <w:rPr>
          <w:color w:val="000000"/>
          <w:spacing w:val="-3"/>
        </w:rPr>
        <w:t>'</w:t>
      </w:r>
      <w:r w:rsidRPr="002D5B0A">
        <w:rPr>
          <w:color w:val="000000"/>
          <w:spacing w:val="-3"/>
        </w:rPr>
        <w:t>Union se sont vu accorder l</w:t>
      </w:r>
      <w:r w:rsidR="0025212F">
        <w:rPr>
          <w:color w:val="000000"/>
          <w:spacing w:val="-3"/>
        </w:rPr>
        <w:t>'</w:t>
      </w:r>
      <w:r w:rsidRPr="002D5B0A">
        <w:rPr>
          <w:color w:val="000000"/>
          <w:spacing w:val="-3"/>
        </w:rPr>
        <w:t>accè</w:t>
      </w:r>
      <w:r w:rsidR="00C44753" w:rsidRPr="002D5B0A">
        <w:rPr>
          <w:color w:val="000000"/>
          <w:spacing w:val="-3"/>
        </w:rPr>
        <w:t xml:space="preserve">s à toute la documentation des </w:t>
      </w:r>
      <w:r w:rsidR="005E3CD4">
        <w:rPr>
          <w:color w:val="000000"/>
          <w:spacing w:val="-3"/>
        </w:rPr>
        <w:t>c</w:t>
      </w:r>
      <w:r w:rsidRPr="002D5B0A">
        <w:rPr>
          <w:color w:val="000000"/>
          <w:spacing w:val="-3"/>
        </w:rPr>
        <w:t>ommissions d</w:t>
      </w:r>
      <w:r w:rsidR="0025212F">
        <w:rPr>
          <w:color w:val="000000"/>
          <w:spacing w:val="-3"/>
        </w:rPr>
        <w:t>'</w:t>
      </w:r>
      <w:r w:rsidRPr="002D5B0A">
        <w:rPr>
          <w:color w:val="000000"/>
          <w:spacing w:val="-3"/>
        </w:rPr>
        <w:t>études et peuvent participer à l</w:t>
      </w:r>
      <w:r w:rsidR="0025212F">
        <w:rPr>
          <w:color w:val="000000"/>
          <w:spacing w:val="-3"/>
        </w:rPr>
        <w:t>'</w:t>
      </w:r>
      <w:r w:rsidRPr="002D5B0A">
        <w:rPr>
          <w:color w:val="000000"/>
          <w:spacing w:val="-3"/>
        </w:rPr>
        <w:t>Assemblée des radiocommunicat</w:t>
      </w:r>
      <w:r w:rsidR="00C44753" w:rsidRPr="002D5B0A">
        <w:rPr>
          <w:color w:val="000000"/>
          <w:spacing w:val="-3"/>
        </w:rPr>
        <w:t>ions ainsi qu</w:t>
      </w:r>
      <w:r w:rsidR="0025212F">
        <w:rPr>
          <w:color w:val="000000"/>
          <w:spacing w:val="-3"/>
        </w:rPr>
        <w:t>'</w:t>
      </w:r>
      <w:r w:rsidR="00C44753" w:rsidRPr="002D5B0A">
        <w:rPr>
          <w:color w:val="000000"/>
          <w:spacing w:val="-3"/>
        </w:rPr>
        <w:t xml:space="preserve">aux réunions des </w:t>
      </w:r>
      <w:r w:rsidR="005E3CD4">
        <w:rPr>
          <w:color w:val="000000"/>
          <w:spacing w:val="-3"/>
        </w:rPr>
        <w:t>c</w:t>
      </w:r>
      <w:r w:rsidRPr="002D5B0A">
        <w:rPr>
          <w:color w:val="000000"/>
          <w:spacing w:val="-3"/>
        </w:rPr>
        <w:t>ommissions d</w:t>
      </w:r>
      <w:r w:rsidR="0025212F">
        <w:rPr>
          <w:color w:val="000000"/>
          <w:spacing w:val="-3"/>
        </w:rPr>
        <w:t>'</w:t>
      </w:r>
      <w:r w:rsidRPr="002D5B0A">
        <w:rPr>
          <w:color w:val="000000"/>
          <w:spacing w:val="-3"/>
        </w:rPr>
        <w:t xml:space="preserve">études et des groupes de travail. </w:t>
      </w:r>
      <w:r w:rsidRPr="002D5B0A">
        <w:rPr>
          <w:spacing w:val="-3"/>
        </w:rPr>
        <w:t>C</w:t>
      </w:r>
      <w:r w:rsidR="00F76180" w:rsidRPr="002D5B0A">
        <w:rPr>
          <w:spacing w:val="-3"/>
        </w:rPr>
        <w:t>onformément au point </w:t>
      </w:r>
      <w:r w:rsidRPr="002D5B0A">
        <w:rPr>
          <w:spacing w:val="-3"/>
        </w:rPr>
        <w:t xml:space="preserve">5 du </w:t>
      </w:r>
      <w:r w:rsidRPr="002D5B0A">
        <w:rPr>
          <w:i/>
          <w:iCs/>
          <w:spacing w:val="-3"/>
        </w:rPr>
        <w:t>décide</w:t>
      </w:r>
      <w:r w:rsidR="00F76180" w:rsidRPr="002D5B0A">
        <w:rPr>
          <w:spacing w:val="-3"/>
        </w:rPr>
        <w:t xml:space="preserve"> de la Résolution </w:t>
      </w:r>
      <w:r w:rsidRPr="002D5B0A">
        <w:rPr>
          <w:spacing w:val="-3"/>
        </w:rPr>
        <w:t>169 (Rév. </w:t>
      </w:r>
      <w:r w:rsidR="00F76180" w:rsidRPr="002D5B0A">
        <w:rPr>
          <w:spacing w:val="-3"/>
        </w:rPr>
        <w:t>Busan, </w:t>
      </w:r>
      <w:r w:rsidRPr="002D5B0A">
        <w:rPr>
          <w:spacing w:val="-3"/>
        </w:rPr>
        <w:t xml:space="preserve">2014), </w:t>
      </w:r>
      <w:r w:rsidRPr="002D5B0A">
        <w:rPr>
          <w:color w:val="000000"/>
          <w:spacing w:val="-3"/>
        </w:rPr>
        <w:t>les établissements universitaires ne doivent pas intervenir dans le processus de prise de décisions, notamment en ce qui concerne l</w:t>
      </w:r>
      <w:r w:rsidR="0025212F">
        <w:rPr>
          <w:color w:val="000000"/>
          <w:spacing w:val="-3"/>
        </w:rPr>
        <w:t>'</w:t>
      </w:r>
      <w:r w:rsidRPr="002D5B0A">
        <w:rPr>
          <w:color w:val="000000"/>
          <w:spacing w:val="-3"/>
        </w:rPr>
        <w:t xml:space="preserve">adoption de </w:t>
      </w:r>
      <w:r w:rsidR="005E3CD4" w:rsidRPr="002D5B0A">
        <w:rPr>
          <w:color w:val="000000"/>
          <w:spacing w:val="-3"/>
        </w:rPr>
        <w:t>R</w:t>
      </w:r>
      <w:r w:rsidRPr="002D5B0A">
        <w:rPr>
          <w:color w:val="000000"/>
          <w:spacing w:val="-3"/>
        </w:rPr>
        <w:t xml:space="preserve">ésolutions ou de </w:t>
      </w:r>
      <w:r w:rsidR="005E3CD4" w:rsidRPr="002D5B0A">
        <w:rPr>
          <w:color w:val="000000"/>
          <w:spacing w:val="-3"/>
        </w:rPr>
        <w:t>R</w:t>
      </w:r>
      <w:r w:rsidRPr="002D5B0A">
        <w:rPr>
          <w:color w:val="000000"/>
          <w:spacing w:val="-3"/>
        </w:rPr>
        <w:t>ecommandations, indépendamment de la procédure d</w:t>
      </w:r>
      <w:r w:rsidR="0025212F">
        <w:rPr>
          <w:color w:val="000000"/>
          <w:spacing w:val="-3"/>
        </w:rPr>
        <w:t>'</w:t>
      </w:r>
      <w:r w:rsidRPr="002D5B0A">
        <w:rPr>
          <w:color w:val="000000"/>
          <w:spacing w:val="-3"/>
        </w:rPr>
        <w:t>approbation.</w:t>
      </w:r>
    </w:p>
    <w:p w:rsidR="004D609F" w:rsidRPr="00DC24FD" w:rsidRDefault="004D609F" w:rsidP="002D5B0A">
      <w:pPr>
        <w:pStyle w:val="Heading1"/>
      </w:pPr>
      <w:r w:rsidRPr="00B92F19">
        <w:t>3</w:t>
      </w:r>
      <w:r w:rsidRPr="00B92F19">
        <w:tab/>
      </w:r>
      <w:r>
        <w:t>T</w:t>
      </w:r>
      <w:r w:rsidRPr="00E76C85">
        <w:t>ravaux préparatoires en vue de la CMR</w:t>
      </w:r>
      <w:r w:rsidRPr="00E76C85">
        <w:noBreakHyphen/>
      </w:r>
      <w:r>
        <w:t>15</w:t>
      </w:r>
    </w:p>
    <w:p w:rsidR="005114C3" w:rsidRDefault="0053613F" w:rsidP="005E3CD4">
      <w:r>
        <w:t xml:space="preserve">Les travaux préparatoires des </w:t>
      </w:r>
      <w:r w:rsidR="005E3CD4">
        <w:t>c</w:t>
      </w:r>
      <w:r w:rsidR="005114C3" w:rsidRPr="00E76C85">
        <w:t>ommissions d</w:t>
      </w:r>
      <w:r w:rsidR="0025212F">
        <w:t>'</w:t>
      </w:r>
      <w:r w:rsidR="005114C3" w:rsidRPr="00E76C85">
        <w:t xml:space="preserve">études en vue de la </w:t>
      </w:r>
      <w:r w:rsidR="005114C3">
        <w:t>CMR</w:t>
      </w:r>
      <w:r w:rsidR="005114C3">
        <w:noBreakHyphen/>
        <w:t>15 ont été menés dans le cadre de la RPC,</w:t>
      </w:r>
      <w:r w:rsidR="005114C3" w:rsidRPr="00E76C85">
        <w:t xml:space="preserve"> </w:t>
      </w:r>
      <w:r w:rsidR="005114C3">
        <w:t xml:space="preserve">conformément à la </w:t>
      </w:r>
      <w:r w:rsidR="009327D5">
        <w:t>Résolution UIT-R </w:t>
      </w:r>
      <w:r w:rsidR="005114C3" w:rsidRPr="00E76C85">
        <w:t>2-</w:t>
      </w:r>
      <w:r w:rsidR="005114C3">
        <w:t>6.</w:t>
      </w:r>
    </w:p>
    <w:p w:rsidR="005114C3" w:rsidRPr="00BD57FF" w:rsidRDefault="005114C3" w:rsidP="002D5B0A">
      <w:r>
        <w:rPr>
          <w:color w:val="000000"/>
        </w:rPr>
        <w:t xml:space="preserve">La première session de la Réunion de </w:t>
      </w:r>
      <w:r w:rsidR="009327D5">
        <w:rPr>
          <w:color w:val="000000"/>
        </w:rPr>
        <w:t>préparation de la Conférence de </w:t>
      </w:r>
      <w:r>
        <w:rPr>
          <w:color w:val="000000"/>
        </w:rPr>
        <w:t>2015 (RP</w:t>
      </w:r>
      <w:r w:rsidR="009327D5">
        <w:rPr>
          <w:color w:val="000000"/>
        </w:rPr>
        <w:t>C15-1) s</w:t>
      </w:r>
      <w:r w:rsidR="0025212F">
        <w:rPr>
          <w:color w:val="000000"/>
        </w:rPr>
        <w:t>'</w:t>
      </w:r>
      <w:r w:rsidR="009327D5">
        <w:rPr>
          <w:color w:val="000000"/>
        </w:rPr>
        <w:t>est tenue à Genève les 20 et 21 février </w:t>
      </w:r>
      <w:r>
        <w:rPr>
          <w:color w:val="000000"/>
        </w:rPr>
        <w:t>2012, en vue d</w:t>
      </w:r>
      <w:r w:rsidR="0025212F">
        <w:rPr>
          <w:color w:val="000000"/>
        </w:rPr>
        <w:t>'</w:t>
      </w:r>
      <w:r>
        <w:rPr>
          <w:color w:val="000000"/>
        </w:rPr>
        <w:t>organiser les études préparatoires pour la CMR-15. Elle a également déterminé les études</w:t>
      </w:r>
      <w:r w:rsidRPr="00492151">
        <w:rPr>
          <w:color w:val="000000"/>
        </w:rPr>
        <w:t xml:space="preserve"> </w:t>
      </w:r>
      <w:r>
        <w:rPr>
          <w:color w:val="000000"/>
        </w:rPr>
        <w:t>préparatoires à effectuer pour la CMR suivante. Elle a approuvé une structure pour le rapport de la RPC à la CMR-15 ainsi qu</w:t>
      </w:r>
      <w:r w:rsidR="0025212F">
        <w:rPr>
          <w:color w:val="000000"/>
        </w:rPr>
        <w:t>'</w:t>
      </w:r>
      <w:r>
        <w:rPr>
          <w:color w:val="000000"/>
        </w:rPr>
        <w:t>un processus préparatoire, des méthodes de travail et une structure par chapitre. Elle a en outre nommé</w:t>
      </w:r>
      <w:r w:rsidRPr="005C5A11">
        <w:rPr>
          <w:color w:val="000000"/>
        </w:rPr>
        <w:t xml:space="preserve"> </w:t>
      </w:r>
      <w:r>
        <w:rPr>
          <w:color w:val="000000"/>
        </w:rPr>
        <w:t xml:space="preserve">pour chaque chapitre un Rapporteur </w:t>
      </w:r>
      <w:r>
        <w:t>chargé</w:t>
      </w:r>
      <w:r>
        <w:rPr>
          <w:color w:val="000000"/>
        </w:rPr>
        <w:t xml:space="preserve"> d</w:t>
      </w:r>
      <w:r w:rsidR="0025212F">
        <w:rPr>
          <w:color w:val="000000"/>
        </w:rPr>
        <w:t>'</w:t>
      </w:r>
      <w:r>
        <w:rPr>
          <w:color w:val="000000"/>
        </w:rPr>
        <w:t>aider le Président à gérer l</w:t>
      </w:r>
      <w:r w:rsidR="0025212F">
        <w:rPr>
          <w:color w:val="000000"/>
        </w:rPr>
        <w:t>'</w:t>
      </w:r>
      <w:r>
        <w:rPr>
          <w:color w:val="000000"/>
        </w:rPr>
        <w:t xml:space="preserve">élaboration et le flux des contributions pour le projet de rapport. Les résultats de la RPC15-1 ont été publiés dans la Circulaire administrative </w:t>
      </w:r>
      <w:hyperlink r:id="rId9" w:history="1">
        <w:r w:rsidRPr="00031128">
          <w:rPr>
            <w:rStyle w:val="Hyperlink"/>
          </w:rPr>
          <w:t>CA/201</w:t>
        </w:r>
      </w:hyperlink>
      <w:r>
        <w:rPr>
          <w:color w:val="000000"/>
        </w:rPr>
        <w:t xml:space="preserve"> du Bureau des rad</w:t>
      </w:r>
      <w:r w:rsidR="009327D5">
        <w:rPr>
          <w:color w:val="000000"/>
        </w:rPr>
        <w:t>iocommunications en date du 19 mars </w:t>
      </w:r>
      <w:r>
        <w:rPr>
          <w:color w:val="000000"/>
        </w:rPr>
        <w:t>2012.</w:t>
      </w:r>
    </w:p>
    <w:p w:rsidR="005114C3" w:rsidRDefault="005114C3" w:rsidP="002D5B0A">
      <w:r>
        <w:t>La RPC15-1 a convoqué la Commission spéciale chargée d</w:t>
      </w:r>
      <w:r w:rsidR="0025212F">
        <w:t>'</w:t>
      </w:r>
      <w:r>
        <w:t>examiner les questions réglementaires et de procédure (en abrégé la Commission spéciale, SC), con</w:t>
      </w:r>
      <w:r w:rsidR="009327D5">
        <w:t>formément à la Résolution UIT-R </w:t>
      </w:r>
      <w:r>
        <w:t>38-4, et a noté que les activités de cette Commission entraient dans deux catégories:</w:t>
      </w:r>
    </w:p>
    <w:p w:rsidR="005114C3" w:rsidRDefault="005114C3" w:rsidP="002D5B0A">
      <w:pPr>
        <w:pStyle w:val="enumlev1"/>
        <w:rPr>
          <w:lang w:val="fr-CH"/>
        </w:rPr>
      </w:pPr>
      <w:r>
        <w:rPr>
          <w:color w:val="000000"/>
          <w:lang w:val="fr-CH"/>
        </w:rPr>
        <w:t>1)</w:t>
      </w:r>
      <w:r>
        <w:rPr>
          <w:color w:val="000000"/>
          <w:lang w:val="fr-CH"/>
        </w:rPr>
        <w:tab/>
      </w:r>
      <w:r w:rsidRPr="006B6E5C">
        <w:rPr>
          <w:color w:val="000000"/>
          <w:lang w:val="fr-CH"/>
        </w:rPr>
        <w:t>travaux que la RPC</w:t>
      </w:r>
      <w:r w:rsidR="00AD0FA1">
        <w:rPr>
          <w:color w:val="000000"/>
          <w:lang w:val="fr-CH"/>
        </w:rPr>
        <w:t>,</w:t>
      </w:r>
      <w:r w:rsidRPr="006B6E5C">
        <w:rPr>
          <w:color w:val="000000"/>
          <w:lang w:val="fr-CH"/>
        </w:rPr>
        <w:t xml:space="preserve"> </w:t>
      </w:r>
      <w:r w:rsidR="00AD0FA1" w:rsidRPr="006B6E5C">
        <w:rPr>
          <w:color w:val="000000"/>
          <w:lang w:val="fr-CH"/>
        </w:rPr>
        <w:t>à sa première session</w:t>
      </w:r>
      <w:r w:rsidR="00AD0FA1">
        <w:rPr>
          <w:color w:val="000000"/>
          <w:lang w:val="fr-CH"/>
        </w:rPr>
        <w:t>,</w:t>
      </w:r>
      <w:r w:rsidR="00AD0FA1" w:rsidRPr="006B6E5C">
        <w:rPr>
          <w:color w:val="000000"/>
          <w:lang w:val="fr-CH"/>
        </w:rPr>
        <w:t xml:space="preserve"> </w:t>
      </w:r>
      <w:r w:rsidRPr="006B6E5C">
        <w:rPr>
          <w:color w:val="000000"/>
          <w:lang w:val="fr-CH"/>
        </w:rPr>
        <w:t>a confiés directement à la Commission spéciale; et</w:t>
      </w:r>
    </w:p>
    <w:p w:rsidR="005114C3" w:rsidRPr="006B6E5C" w:rsidRDefault="005114C3" w:rsidP="005E3CD4">
      <w:pPr>
        <w:pStyle w:val="enumlev1"/>
        <w:rPr>
          <w:lang w:val="fr-CH"/>
        </w:rPr>
      </w:pPr>
      <w:r w:rsidRPr="006B6E5C">
        <w:rPr>
          <w:color w:val="000000"/>
          <w:lang w:val="fr-CH"/>
        </w:rPr>
        <w:t>2)</w:t>
      </w:r>
      <w:r>
        <w:rPr>
          <w:color w:val="000000"/>
          <w:lang w:val="fr-CH"/>
        </w:rPr>
        <w:tab/>
      </w:r>
      <w:r w:rsidRPr="006B6E5C">
        <w:rPr>
          <w:color w:val="000000"/>
          <w:lang w:val="fr-CH"/>
        </w:rPr>
        <w:t>tâches liées aux aspects réglementaires des travaux que la RPC, à sa première session, a confié</w:t>
      </w:r>
      <w:r>
        <w:rPr>
          <w:color w:val="000000"/>
          <w:lang w:val="fr-CH"/>
        </w:rPr>
        <w:t>e</w:t>
      </w:r>
      <w:r w:rsidR="0053613F">
        <w:rPr>
          <w:color w:val="000000"/>
          <w:lang w:val="fr-CH"/>
        </w:rPr>
        <w:t xml:space="preserve">s aux </w:t>
      </w:r>
      <w:r w:rsidR="005E3CD4">
        <w:rPr>
          <w:color w:val="000000"/>
          <w:lang w:val="fr-CH"/>
        </w:rPr>
        <w:t>c</w:t>
      </w:r>
      <w:r w:rsidRPr="006B6E5C">
        <w:rPr>
          <w:color w:val="000000"/>
          <w:lang w:val="fr-CH"/>
        </w:rPr>
        <w:t>ommissions d</w:t>
      </w:r>
      <w:r w:rsidR="0025212F">
        <w:rPr>
          <w:color w:val="000000"/>
          <w:lang w:val="fr-CH"/>
        </w:rPr>
        <w:t>'</w:t>
      </w:r>
      <w:r w:rsidRPr="006B6E5C">
        <w:rPr>
          <w:color w:val="000000"/>
          <w:lang w:val="fr-CH"/>
        </w:rPr>
        <w:t>études et à leurs groupes de travail.</w:t>
      </w:r>
    </w:p>
    <w:p w:rsidR="005114C3" w:rsidRPr="006B6E5C" w:rsidRDefault="005114C3" w:rsidP="002D5B0A">
      <w:pPr>
        <w:rPr>
          <w:lang w:val="fr-CH"/>
        </w:rPr>
      </w:pPr>
      <w:r w:rsidRPr="006B6E5C">
        <w:rPr>
          <w:lang w:val="fr-CH"/>
        </w:rPr>
        <w:t>En outre</w:t>
      </w:r>
      <w:r>
        <w:rPr>
          <w:lang w:val="fr-CH"/>
        </w:rPr>
        <w:t>,</w:t>
      </w:r>
      <w:r w:rsidRPr="006B6E5C">
        <w:rPr>
          <w:lang w:val="fr-CH"/>
        </w:rPr>
        <w:t xml:space="preserve"> </w:t>
      </w:r>
      <w:r>
        <w:rPr>
          <w:lang w:val="fr-CH"/>
        </w:rPr>
        <w:t>l</w:t>
      </w:r>
      <w:r w:rsidRPr="006B6E5C">
        <w:rPr>
          <w:lang w:val="fr-CH"/>
        </w:rPr>
        <w:t>a RPC15-1 a noté que les résultats des études de la Commission spéciale d</w:t>
      </w:r>
      <w:r>
        <w:rPr>
          <w:lang w:val="fr-CH"/>
        </w:rPr>
        <w:t>e</w:t>
      </w:r>
      <w:r w:rsidRPr="006B6E5C">
        <w:rPr>
          <w:lang w:val="fr-CH"/>
        </w:rPr>
        <w:t>v</w:t>
      </w:r>
      <w:r>
        <w:rPr>
          <w:lang w:val="fr-CH"/>
        </w:rPr>
        <w:t>ai</w:t>
      </w:r>
      <w:r w:rsidRPr="006B6E5C">
        <w:rPr>
          <w:lang w:val="fr-CH"/>
        </w:rPr>
        <w:t>ent être soumis sous forme de contributions aux travaux de la RPC pour l</w:t>
      </w:r>
      <w:r w:rsidR="0025212F">
        <w:rPr>
          <w:lang w:val="fr-CH"/>
        </w:rPr>
        <w:t>'</w:t>
      </w:r>
      <w:r w:rsidRPr="006B6E5C">
        <w:rPr>
          <w:lang w:val="fr-CH"/>
        </w:rPr>
        <w:t>aider à établir son rapport à l</w:t>
      </w:r>
      <w:r w:rsidR="0025212F">
        <w:rPr>
          <w:lang w:val="fr-CH"/>
        </w:rPr>
        <w:t>'</w:t>
      </w:r>
      <w:r w:rsidRPr="006B6E5C">
        <w:rPr>
          <w:lang w:val="fr-CH"/>
        </w:rPr>
        <w:t>intention de</w:t>
      </w:r>
      <w:r>
        <w:rPr>
          <w:lang w:val="fr-CH"/>
        </w:rPr>
        <w:t xml:space="preserve"> </w:t>
      </w:r>
      <w:r w:rsidR="000D1D98">
        <w:rPr>
          <w:lang w:val="fr-CH"/>
        </w:rPr>
        <w:t>la CMR concernée.</w:t>
      </w:r>
    </w:p>
    <w:p w:rsidR="005114C3" w:rsidRPr="006B6E5C" w:rsidRDefault="005114C3" w:rsidP="002D5B0A">
      <w:pPr>
        <w:rPr>
          <w:lang w:val="fr-CH"/>
        </w:rPr>
      </w:pPr>
      <w:r w:rsidRPr="006B6E5C">
        <w:rPr>
          <w:lang w:val="fr-CH"/>
        </w:rPr>
        <w:t>Les travaux préparatoires de l</w:t>
      </w:r>
      <w:r w:rsidR="0025212F">
        <w:rPr>
          <w:lang w:val="fr-CH"/>
        </w:rPr>
        <w:t>'</w:t>
      </w:r>
      <w:r w:rsidRPr="006B6E5C">
        <w:rPr>
          <w:lang w:val="fr-CH"/>
        </w:rPr>
        <w:t xml:space="preserve">UIT-R </w:t>
      </w:r>
      <w:r>
        <w:rPr>
          <w:lang w:val="fr-CH"/>
        </w:rPr>
        <w:t xml:space="preserve">pour </w:t>
      </w:r>
      <w:r w:rsidRPr="006B6E5C">
        <w:rPr>
          <w:lang w:val="fr-CH"/>
        </w:rPr>
        <w:t>la CMR-15 ont surtout été menés à bien par les groupes responsables ci-</w:t>
      </w:r>
      <w:r>
        <w:rPr>
          <w:lang w:val="fr-CH"/>
        </w:rPr>
        <w:t>aprè</w:t>
      </w:r>
      <w:r w:rsidR="0053613F">
        <w:rPr>
          <w:lang w:val="fr-CH"/>
        </w:rPr>
        <w:t>s (énumérés dans l</w:t>
      </w:r>
      <w:r w:rsidR="0025212F">
        <w:rPr>
          <w:lang w:val="fr-CH"/>
        </w:rPr>
        <w:t>'</w:t>
      </w:r>
      <w:r w:rsidR="0053613F">
        <w:rPr>
          <w:lang w:val="fr-CH"/>
        </w:rPr>
        <w:t>ordre des C</w:t>
      </w:r>
      <w:r w:rsidRPr="006B6E5C">
        <w:rPr>
          <w:lang w:val="fr-CH"/>
        </w:rPr>
        <w:t>ommissions d</w:t>
      </w:r>
      <w:r w:rsidR="0025212F">
        <w:rPr>
          <w:lang w:val="fr-CH"/>
        </w:rPr>
        <w:t>'</w:t>
      </w:r>
      <w:r w:rsidRPr="006B6E5C">
        <w:rPr>
          <w:lang w:val="fr-CH"/>
        </w:rPr>
        <w:t>études):</w:t>
      </w:r>
    </w:p>
    <w:p w:rsidR="005114C3" w:rsidRDefault="005114C3" w:rsidP="002D5B0A">
      <w:r>
        <w:rPr>
          <w:b/>
        </w:rPr>
        <w:t>Commission d</w:t>
      </w:r>
      <w:r w:rsidR="0025212F">
        <w:rPr>
          <w:b/>
        </w:rPr>
        <w:t>'</w:t>
      </w:r>
      <w:r>
        <w:rPr>
          <w:b/>
        </w:rPr>
        <w:t>études 1</w:t>
      </w:r>
      <w:r w:rsidR="005915C8">
        <w:t>, présidée par M. S. </w:t>
      </w:r>
      <w:r>
        <w:t>Pastukh (Fédération</w:t>
      </w:r>
      <w:r w:rsidR="009327D5">
        <w:t xml:space="preserve"> de Russie), et GT </w:t>
      </w:r>
      <w:r>
        <w:t>1B,</w:t>
      </w:r>
      <w:r w:rsidR="005915C8">
        <w:t xml:space="preserve"> présidé par M. N. </w:t>
      </w:r>
      <w:r w:rsidR="00124AC1">
        <w:t>Al-Rashedi (E</w:t>
      </w:r>
      <w:r w:rsidR="005E3CD4">
        <w:t>mirats arabes unis).</w:t>
      </w:r>
    </w:p>
    <w:p w:rsidR="005114C3" w:rsidRDefault="005114C3" w:rsidP="002D5B0A">
      <w:pPr>
        <w:rPr>
          <w:sz w:val="20"/>
        </w:rPr>
      </w:pPr>
      <w:r>
        <w:rPr>
          <w:b/>
          <w:bCs/>
        </w:rPr>
        <w:t>Commission d</w:t>
      </w:r>
      <w:r w:rsidR="0025212F">
        <w:rPr>
          <w:b/>
          <w:bCs/>
        </w:rPr>
        <w:t>'</w:t>
      </w:r>
      <w:r>
        <w:rPr>
          <w:b/>
          <w:bCs/>
        </w:rPr>
        <w:t>études 3</w:t>
      </w:r>
      <w:r w:rsidR="005915C8">
        <w:t>, présidée par M. B. </w:t>
      </w:r>
      <w:r>
        <w:t>Arbesser-Rastbu</w:t>
      </w:r>
      <w:r w:rsidR="005E3CD4">
        <w:t>rg (Agence spatiale européenne).</w:t>
      </w:r>
    </w:p>
    <w:p w:rsidR="005114C3" w:rsidRDefault="005114C3" w:rsidP="002D5B0A">
      <w:r>
        <w:rPr>
          <w:b/>
        </w:rPr>
        <w:t>Commission d</w:t>
      </w:r>
      <w:r w:rsidR="0025212F">
        <w:rPr>
          <w:b/>
        </w:rPr>
        <w:t>'</w:t>
      </w:r>
      <w:r>
        <w:rPr>
          <w:b/>
        </w:rPr>
        <w:t>études 4</w:t>
      </w:r>
      <w:r w:rsidR="005915C8">
        <w:t>, présidée par M. C. </w:t>
      </w:r>
      <w:r w:rsidR="00124AC1">
        <w:t>Hofer (E</w:t>
      </w:r>
      <w:r w:rsidR="005915C8">
        <w:t>tats-Unis d</w:t>
      </w:r>
      <w:r w:rsidR="0025212F">
        <w:t>'</w:t>
      </w:r>
      <w:r w:rsidR="005915C8">
        <w:t>Amérique), GT </w:t>
      </w:r>
      <w:r>
        <w:t>4A, présidé par</w:t>
      </w:r>
      <w:r w:rsidR="00124AC1">
        <w:t xml:space="preserve"> M. J. Wengryniuk (E</w:t>
      </w:r>
      <w:r w:rsidR="005915C8">
        <w:t>tats-Unis d</w:t>
      </w:r>
      <w:r w:rsidR="0025212F">
        <w:t>'</w:t>
      </w:r>
      <w:r w:rsidR="005915C8">
        <w:t>Amérique), et GT 4C, présidé par M. A. </w:t>
      </w:r>
      <w:r w:rsidR="005E3CD4">
        <w:t>Vallet (France).</w:t>
      </w:r>
    </w:p>
    <w:p w:rsidR="005114C3" w:rsidRDefault="005114C3" w:rsidP="002D5B0A">
      <w:pPr>
        <w:tabs>
          <w:tab w:val="left" w:pos="1701"/>
        </w:tabs>
      </w:pPr>
      <w:r>
        <w:rPr>
          <w:b/>
          <w:bCs/>
        </w:rPr>
        <w:t>Commission d</w:t>
      </w:r>
      <w:r w:rsidR="0025212F">
        <w:rPr>
          <w:b/>
          <w:bCs/>
        </w:rPr>
        <w:t>'</w:t>
      </w:r>
      <w:r>
        <w:rPr>
          <w:b/>
          <w:bCs/>
        </w:rPr>
        <w:t>études 5</w:t>
      </w:r>
      <w:r>
        <w:t xml:space="preserve">, présidée </w:t>
      </w:r>
      <w:r w:rsidR="005915C8">
        <w:t>par M. A. Hashimoto (Japon), GT </w:t>
      </w:r>
      <w:r>
        <w:t xml:space="preserve">5A, présidé </w:t>
      </w:r>
      <w:r w:rsidR="005915C8">
        <w:t>par M. J. Costa (Canada), et GT 5B, présidé par M. J. </w:t>
      </w:r>
      <w:r>
        <w:t>Mettrop (Royaume-Uni de Grande-Bretagne et d</w:t>
      </w:r>
      <w:r w:rsidR="0025212F">
        <w:t>'</w:t>
      </w:r>
      <w:r w:rsidR="005E3CD4">
        <w:t>Irlande du Nord).</w:t>
      </w:r>
    </w:p>
    <w:p w:rsidR="005114C3" w:rsidRDefault="005114C3" w:rsidP="002D5B0A">
      <w:pPr>
        <w:rPr>
          <w:highlight w:val="yellow"/>
        </w:rPr>
      </w:pPr>
      <w:r>
        <w:rPr>
          <w:b/>
        </w:rPr>
        <w:t>Commission d</w:t>
      </w:r>
      <w:r w:rsidR="0025212F">
        <w:rPr>
          <w:b/>
        </w:rPr>
        <w:t>'</w:t>
      </w:r>
      <w:r>
        <w:rPr>
          <w:b/>
        </w:rPr>
        <w:t>études 6</w:t>
      </w:r>
      <w:r w:rsidR="005915C8">
        <w:t>, présidée par M. C. </w:t>
      </w:r>
      <w:r>
        <w:t>Dosch (Allemagne (République fédérale d</w:t>
      </w:r>
      <w:r w:rsidR="0025212F">
        <w:t>'</w:t>
      </w:r>
      <w:r w:rsidR="005E3CD4">
        <w:t>)).</w:t>
      </w:r>
    </w:p>
    <w:p w:rsidR="005114C3" w:rsidRDefault="005114C3" w:rsidP="002D5B0A">
      <w:r>
        <w:rPr>
          <w:b/>
        </w:rPr>
        <w:t>Commission d</w:t>
      </w:r>
      <w:r w:rsidR="0025212F">
        <w:rPr>
          <w:b/>
        </w:rPr>
        <w:t>'</w:t>
      </w:r>
      <w:r>
        <w:rPr>
          <w:b/>
        </w:rPr>
        <w:t>études 7</w:t>
      </w:r>
      <w:r w:rsidR="005915C8">
        <w:t>, présidée par M. V. Meens (France), GT </w:t>
      </w:r>
      <w:r>
        <w:t>7A, présidé par M.</w:t>
      </w:r>
      <w:r w:rsidR="005915C8">
        <w:t> </w:t>
      </w:r>
      <w:r>
        <w:t>R.</w:t>
      </w:r>
      <w:r w:rsidR="005915C8">
        <w:t> </w:t>
      </w:r>
      <w:r>
        <w:t>Beard (</w:t>
      </w:r>
      <w:r w:rsidR="00124AC1">
        <w:t>E</w:t>
      </w:r>
      <w:r w:rsidR="00293F92">
        <w:t>tat</w:t>
      </w:r>
      <w:r>
        <w:t>s-Unis d</w:t>
      </w:r>
      <w:r w:rsidR="0025212F">
        <w:t>'</w:t>
      </w:r>
      <w:r>
        <w:t>Amérique), GT</w:t>
      </w:r>
      <w:r w:rsidR="005915C8">
        <w:t> </w:t>
      </w:r>
      <w:r>
        <w:t>7B présidé pa</w:t>
      </w:r>
      <w:r w:rsidR="005915C8">
        <w:t>r M. B. </w:t>
      </w:r>
      <w:r>
        <w:t>Kaufman (</w:t>
      </w:r>
      <w:r w:rsidR="00124AC1">
        <w:t>E</w:t>
      </w:r>
      <w:r w:rsidR="00293F92">
        <w:t>tat</w:t>
      </w:r>
      <w:r w:rsidR="005915C8">
        <w:t>s-Unis d</w:t>
      </w:r>
      <w:r w:rsidR="0025212F">
        <w:t>'</w:t>
      </w:r>
      <w:r w:rsidR="005915C8">
        <w:t>Amérique), et GT 7C, présidé par M. E. </w:t>
      </w:r>
      <w:r>
        <w:t>Marel</w:t>
      </w:r>
      <w:r w:rsidR="005E3CD4">
        <w:t>li (Agence spatiale européenne).</w:t>
      </w:r>
    </w:p>
    <w:p w:rsidR="005114C3" w:rsidRDefault="005114C3" w:rsidP="002D5B0A">
      <w:r>
        <w:rPr>
          <w:b/>
          <w:bCs/>
        </w:rPr>
        <w:t>Groupe d</w:t>
      </w:r>
      <w:r w:rsidR="0025212F">
        <w:rPr>
          <w:b/>
          <w:bCs/>
        </w:rPr>
        <w:t>'</w:t>
      </w:r>
      <w:r>
        <w:rPr>
          <w:b/>
          <w:bCs/>
        </w:rPr>
        <w:t>action mixte 4-5-6-7</w:t>
      </w:r>
      <w:r w:rsidR="005915C8">
        <w:t>, présidé au départ par M. T. </w:t>
      </w:r>
      <w:r>
        <w:t>Ewers (Allemagne (République fédérale d</w:t>
      </w:r>
      <w:r w:rsidR="0025212F">
        <w:t>'</w:t>
      </w:r>
      <w:r>
        <w:t xml:space="preserve">)), puis par </w:t>
      </w:r>
      <w:r w:rsidR="005915C8">
        <w:t>M. M. </w:t>
      </w:r>
      <w:r>
        <w:t>Fenton (Royaume-Uni de Grande-Bretagne et d</w:t>
      </w:r>
      <w:r w:rsidR="0025212F">
        <w:t>'</w:t>
      </w:r>
      <w:r w:rsidR="005E3CD4">
        <w:t>Irlande du Nord).</w:t>
      </w:r>
    </w:p>
    <w:p w:rsidR="005114C3" w:rsidRDefault="005114C3" w:rsidP="002D5B0A">
      <w:pPr>
        <w:rPr>
          <w:bCs/>
        </w:rPr>
      </w:pPr>
      <w:r>
        <w:rPr>
          <w:b/>
        </w:rPr>
        <w:t>Commission spéciale chargée d</w:t>
      </w:r>
      <w:r w:rsidR="0025212F">
        <w:rPr>
          <w:b/>
        </w:rPr>
        <w:t>'</w:t>
      </w:r>
      <w:r>
        <w:rPr>
          <w:b/>
        </w:rPr>
        <w:t xml:space="preserve">examiner les questions réglementaires et de procédure </w:t>
      </w:r>
      <w:r w:rsidRPr="00584279">
        <w:rPr>
          <w:b/>
        </w:rPr>
        <w:t>(SC)</w:t>
      </w:r>
      <w:r>
        <w:rPr>
          <w:bCs/>
        </w:rPr>
        <w:t>, présidée par M.</w:t>
      </w:r>
      <w:r w:rsidR="005915C8">
        <w:rPr>
          <w:bCs/>
        </w:rPr>
        <w:t> </w:t>
      </w:r>
      <w:r w:rsidR="005915C8">
        <w:t>T. </w:t>
      </w:r>
      <w:r>
        <w:t>Shafiee (Iran (République islamique d</w:t>
      </w:r>
      <w:r w:rsidR="0025212F">
        <w:t>'</w:t>
      </w:r>
      <w:r>
        <w:t>))</w:t>
      </w:r>
      <w:r>
        <w:rPr>
          <w:bCs/>
        </w:rPr>
        <w:t>.</w:t>
      </w:r>
    </w:p>
    <w:p w:rsidR="005114C3" w:rsidRDefault="005114C3" w:rsidP="002D5B0A">
      <w:r>
        <w:t xml:space="preserve">Les textes du projet de rapport de la RPC ont été établis par les groupes </w:t>
      </w:r>
      <w:r w:rsidR="005915C8">
        <w:t xml:space="preserve">responsables désignés </w:t>
      </w:r>
      <w:r>
        <w:t>par la RPC15-1 et ont été remis par les Présidents de ces groupes aux Rapporteurs chargés des chapitres.</w:t>
      </w:r>
    </w:p>
    <w:p w:rsidR="005114C3" w:rsidRDefault="005114C3" w:rsidP="002D5B0A">
      <w:r>
        <w:t>Les travaux ont été coordonnés par le Président de la RPC</w:t>
      </w:r>
      <w:r>
        <w:noBreakHyphen/>
        <w:t>15, en concertation avec l</w:t>
      </w:r>
      <w:r w:rsidR="0025212F">
        <w:t>'</w:t>
      </w:r>
      <w:r>
        <w:t>équipe de gestion de la RPC-15, telle qu</w:t>
      </w:r>
      <w:r w:rsidR="0025212F">
        <w:t>'</w:t>
      </w:r>
      <w:r>
        <w:t>elle est définie aux § 5 et 6 de l</w:t>
      </w:r>
      <w:r w:rsidR="0025212F">
        <w:t>'</w:t>
      </w:r>
      <w:r>
        <w:t>Annex</w:t>
      </w:r>
      <w:r w:rsidR="007B1DF1">
        <w:t>e 1 de la Résolution UIT</w:t>
      </w:r>
      <w:r w:rsidR="007B1DF1">
        <w:noBreakHyphen/>
        <w:t>R 2</w:t>
      </w:r>
      <w:r w:rsidR="007B1DF1">
        <w:noBreakHyphen/>
        <w:t>6.</w:t>
      </w:r>
    </w:p>
    <w:p w:rsidR="005114C3" w:rsidRDefault="005114C3" w:rsidP="002D5B0A">
      <w:r>
        <w:t>Conformément au § 6 de l</w:t>
      </w:r>
      <w:r w:rsidR="0025212F">
        <w:t>'</w:t>
      </w:r>
      <w:r w:rsidR="00F506F3">
        <w:t>Annexe 1 de la Résolution UIT-R 2-6, l</w:t>
      </w:r>
      <w:r w:rsidR="0025212F">
        <w:t>'</w:t>
      </w:r>
      <w:r w:rsidR="000D1D98">
        <w:t>E</w:t>
      </w:r>
      <w:r>
        <w:t>quipe de gestion de la RPC-15 s</w:t>
      </w:r>
      <w:r w:rsidR="0025212F">
        <w:t>'</w:t>
      </w:r>
      <w:r>
        <w:t>est réunie du 1</w:t>
      </w:r>
      <w:r w:rsidRPr="00A424CA">
        <w:t>er</w:t>
      </w:r>
      <w:r w:rsidR="00F506F3">
        <w:t> au 5 septembre </w:t>
      </w:r>
      <w:r>
        <w:t xml:space="preserve">2014 à Genève. Elle a élaboré le projet de rapport de la RPC, qui a été distribué à tous les </w:t>
      </w:r>
      <w:r w:rsidR="00124AC1">
        <w:t>E</w:t>
      </w:r>
      <w:r w:rsidR="00293F92">
        <w:t>tat</w:t>
      </w:r>
      <w:r>
        <w:t>s Membres ainsi qu</w:t>
      </w:r>
      <w:r w:rsidR="0025212F">
        <w:t>'</w:t>
      </w:r>
      <w:r>
        <w:t>aux Membres du Secteur des radiocommunications (Document CPM15</w:t>
      </w:r>
      <w:r>
        <w:noBreakHyphen/>
        <w:t>2/1).</w:t>
      </w:r>
    </w:p>
    <w:p w:rsidR="005114C3" w:rsidRDefault="005114C3" w:rsidP="002D5B0A">
      <w:r>
        <w:t>La Commission spéciale s</w:t>
      </w:r>
      <w:r w:rsidR="0025212F">
        <w:t>'</w:t>
      </w:r>
      <w:r>
        <w:t>est réunie à Genève du 1</w:t>
      </w:r>
      <w:r w:rsidRPr="00A424CA">
        <w:t>er</w:t>
      </w:r>
      <w:r w:rsidR="004A79BE">
        <w:t> au 5 décembre </w:t>
      </w:r>
      <w:r>
        <w:t>2014, a examiné les aspects du projet de rapport de la RPC touchant à la réglementation et aux procédures et a établi son rapport à l</w:t>
      </w:r>
      <w:r w:rsidR="0025212F">
        <w:t>'</w:t>
      </w:r>
      <w:r>
        <w:t xml:space="preserve">intention de la seconde session de la RPC-15, qui a par la suite été distribué à tous les </w:t>
      </w:r>
      <w:r w:rsidR="00124AC1">
        <w:t>E</w:t>
      </w:r>
      <w:r w:rsidR="00293F92">
        <w:t>tat</w:t>
      </w:r>
      <w:r>
        <w:t xml:space="preserve">s Membres et aux Membres du Secteur des radiocommunications </w:t>
      </w:r>
      <w:r w:rsidR="00E336B3">
        <w:t>(</w:t>
      </w:r>
      <w:r>
        <w:t>Document CPM15</w:t>
      </w:r>
      <w:r>
        <w:noBreakHyphen/>
        <w:t>2/2</w:t>
      </w:r>
      <w:r w:rsidR="00E336B3">
        <w:t>)</w:t>
      </w:r>
      <w:r>
        <w:t>.</w:t>
      </w:r>
    </w:p>
    <w:p w:rsidR="005114C3" w:rsidRDefault="005114C3" w:rsidP="007B1DF1">
      <w:pPr>
        <w:keepNext/>
        <w:keepLines/>
      </w:pPr>
      <w:r>
        <w:t xml:space="preserve">La RPC-15 a tenu sa seconde session (RPC15-2) à Genève du 23 mars au 2 avril 2015, sous la présidence de M. Aboubakar Zourmba (Cameroun (République du)) </w:t>
      </w:r>
      <w:r>
        <w:rPr>
          <w:color w:val="000000"/>
        </w:rPr>
        <w:t>pour examiner le projet de rapport de la RPC ainsi que le rapport de la Commission spéciale, les contributions des Membres de l</w:t>
      </w:r>
      <w:r w:rsidR="0025212F">
        <w:rPr>
          <w:color w:val="000000"/>
        </w:rPr>
        <w:t>'</w:t>
      </w:r>
      <w:r>
        <w:rPr>
          <w:color w:val="000000"/>
        </w:rPr>
        <w:t>UIT et d</w:t>
      </w:r>
      <w:r w:rsidR="0025212F">
        <w:rPr>
          <w:color w:val="000000"/>
        </w:rPr>
        <w:t>'</w:t>
      </w:r>
      <w:r>
        <w:rPr>
          <w:color w:val="000000"/>
        </w:rPr>
        <w:t>autres documents soumis par le Bureau des radiocommunications.</w:t>
      </w:r>
    </w:p>
    <w:p w:rsidR="005114C3" w:rsidRDefault="005114C3" w:rsidP="002D5B0A">
      <w:pPr>
        <w:rPr>
          <w:color w:val="000000"/>
        </w:rPr>
      </w:pPr>
      <w:r>
        <w:rPr>
          <w:color w:val="000000"/>
        </w:rPr>
        <w:t xml:space="preserve">La RPC15-2 a réparti les travaux entre six groupes de travail selon la structure par chapitre qui avait été arrêtée. En outre, un groupe </w:t>
      </w:r>
      <w:r w:rsidRPr="00AF02DB">
        <w:rPr>
          <w:i/>
          <w:iCs/>
          <w:color w:val="000000"/>
        </w:rPr>
        <w:t>ad hoc</w:t>
      </w:r>
      <w:r>
        <w:rPr>
          <w:color w:val="000000"/>
        </w:rPr>
        <w:t xml:space="preserve"> de la plénière a été constitué, afin d</w:t>
      </w:r>
      <w:r w:rsidR="0025212F">
        <w:rPr>
          <w:color w:val="000000"/>
        </w:rPr>
        <w:t>'</w:t>
      </w:r>
      <w:r>
        <w:rPr>
          <w:color w:val="000000"/>
        </w:rPr>
        <w:t>examiner les contribu</w:t>
      </w:r>
      <w:r w:rsidR="00945370">
        <w:rPr>
          <w:color w:val="000000"/>
        </w:rPr>
        <w:t>tions relatives à la Résolution 185 (Busan, 2014)</w:t>
      </w:r>
      <w:r w:rsidR="00D110E8">
        <w:rPr>
          <w:color w:val="000000"/>
        </w:rPr>
        <w:t> – </w:t>
      </w:r>
      <w:r>
        <w:rPr>
          <w:color w:val="000000"/>
        </w:rPr>
        <w:t>Suivi des vols à l</w:t>
      </w:r>
      <w:r w:rsidR="0025212F">
        <w:rPr>
          <w:color w:val="000000"/>
        </w:rPr>
        <w:t>'</w:t>
      </w:r>
      <w:r>
        <w:rPr>
          <w:color w:val="000000"/>
        </w:rPr>
        <w:t>échelle mondiale pour l</w:t>
      </w:r>
      <w:r w:rsidR="0025212F">
        <w:rPr>
          <w:color w:val="000000"/>
        </w:rPr>
        <w:t>'</w:t>
      </w:r>
      <w:r>
        <w:rPr>
          <w:color w:val="000000"/>
        </w:rPr>
        <w:t>aviation civile.</w:t>
      </w:r>
    </w:p>
    <w:p w:rsidR="00425276" w:rsidRDefault="00425276" w:rsidP="002D5B0A">
      <w:pPr>
        <w:pStyle w:val="TableNo"/>
      </w:pPr>
      <w:r>
        <w:t>tableAU 4.3-1</w:t>
      </w:r>
    </w:p>
    <w:p w:rsidR="00425276" w:rsidRDefault="00425276" w:rsidP="002D5B0A">
      <w:pPr>
        <w:pStyle w:val="Tabletitle"/>
      </w:pPr>
      <w:r>
        <w:t>Structure du rapport de la RPC15-2</w:t>
      </w:r>
    </w:p>
    <w:tbl>
      <w:tblPr>
        <w:tblW w:w="83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11"/>
        <w:gridCol w:w="3468"/>
        <w:gridCol w:w="2931"/>
      </w:tblGrid>
      <w:tr w:rsidR="00425276" w:rsidRPr="00031128" w:rsidTr="000D1D98">
        <w:trPr>
          <w:jc w:val="center"/>
        </w:trPr>
        <w:tc>
          <w:tcPr>
            <w:tcW w:w="1911" w:type="dxa"/>
            <w:vAlign w:val="center"/>
          </w:tcPr>
          <w:p w:rsidR="00425276" w:rsidRPr="00584279" w:rsidRDefault="00425276" w:rsidP="002D5B0A">
            <w:pPr>
              <w:pStyle w:val="Tablehead0"/>
              <w:spacing w:before="80" w:after="80"/>
              <w:rPr>
                <w:sz w:val="20"/>
              </w:rPr>
            </w:pPr>
            <w:r w:rsidRPr="00584279">
              <w:rPr>
                <w:sz w:val="20"/>
              </w:rPr>
              <w:t>Groupes de la RPC15-2</w:t>
            </w:r>
          </w:p>
        </w:tc>
        <w:tc>
          <w:tcPr>
            <w:tcW w:w="3468" w:type="dxa"/>
            <w:vAlign w:val="center"/>
          </w:tcPr>
          <w:p w:rsidR="00425276" w:rsidRPr="00584279" w:rsidRDefault="00425276" w:rsidP="002D5B0A">
            <w:pPr>
              <w:pStyle w:val="Tablehead0"/>
              <w:spacing w:before="80" w:after="80"/>
              <w:rPr>
                <w:sz w:val="20"/>
              </w:rPr>
            </w:pPr>
            <w:r w:rsidRPr="00584279">
              <w:rPr>
                <w:sz w:val="20"/>
              </w:rPr>
              <w:t>Sujet</w:t>
            </w:r>
          </w:p>
        </w:tc>
        <w:tc>
          <w:tcPr>
            <w:tcW w:w="2931" w:type="dxa"/>
            <w:vAlign w:val="center"/>
          </w:tcPr>
          <w:p w:rsidR="00425276" w:rsidRPr="00584279" w:rsidRDefault="00425276" w:rsidP="002D5B0A">
            <w:pPr>
              <w:pStyle w:val="Tablehead0"/>
              <w:spacing w:before="80" w:after="80"/>
              <w:rPr>
                <w:sz w:val="20"/>
              </w:rPr>
            </w:pPr>
            <w:r w:rsidRPr="00584279">
              <w:rPr>
                <w:sz w:val="20"/>
              </w:rPr>
              <w:t>(Co-)Président</w:t>
            </w:r>
          </w:p>
        </w:tc>
      </w:tr>
      <w:tr w:rsidR="00425276" w:rsidRPr="005E3CD4"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1</w:t>
            </w:r>
          </w:p>
        </w:tc>
        <w:tc>
          <w:tcPr>
            <w:tcW w:w="3468" w:type="dxa"/>
            <w:vAlign w:val="center"/>
          </w:tcPr>
          <w:p w:rsidR="00425276" w:rsidRPr="007B1DF1" w:rsidRDefault="00B06A78" w:rsidP="007B1DF1">
            <w:pPr>
              <w:pStyle w:val="Tabletext"/>
            </w:pPr>
            <w:r w:rsidRPr="007B1DF1">
              <w:t>Chapitre </w:t>
            </w:r>
            <w:r w:rsidR="00425276" w:rsidRPr="007B1DF1">
              <w:t>1: Questions relatives aux servi</w:t>
            </w:r>
            <w:r w:rsidRPr="007B1DF1">
              <w:t>ces mobile et d</w:t>
            </w:r>
            <w:r w:rsidR="0025212F">
              <w:t>'</w:t>
            </w:r>
            <w:r w:rsidRPr="007B1DF1">
              <w:t>amateur; Points </w:t>
            </w:r>
            <w:r w:rsidR="00425276" w:rsidRPr="007B1DF1">
              <w:t>1.1, 1.2, 1.3, 1.4 de l</w:t>
            </w:r>
            <w:r w:rsidR="0025212F">
              <w:t>'</w:t>
            </w:r>
            <w:r w:rsidR="00425276" w:rsidRPr="007B1DF1">
              <w:t>ordre du jour</w:t>
            </w:r>
          </w:p>
        </w:tc>
        <w:tc>
          <w:tcPr>
            <w:tcW w:w="2931" w:type="dxa"/>
            <w:vAlign w:val="center"/>
          </w:tcPr>
          <w:p w:rsidR="00425276" w:rsidRPr="00124AC1" w:rsidRDefault="00425276" w:rsidP="007B1DF1">
            <w:pPr>
              <w:pStyle w:val="Tabletext"/>
              <w:rPr>
                <w:lang w:val="en-US"/>
              </w:rPr>
            </w:pPr>
            <w:r w:rsidRPr="00124AC1">
              <w:rPr>
                <w:lang w:val="en-US"/>
              </w:rPr>
              <w:t>Mme</w:t>
            </w:r>
            <w:r w:rsidR="00B06A78" w:rsidRPr="00124AC1">
              <w:rPr>
                <w:lang w:val="en-US"/>
              </w:rPr>
              <w:t> </w:t>
            </w:r>
            <w:r w:rsidRPr="00124AC1">
              <w:rPr>
                <w:lang w:val="en-US"/>
              </w:rPr>
              <w:t>C.</w:t>
            </w:r>
            <w:r w:rsidR="00B06A78" w:rsidRPr="00124AC1">
              <w:rPr>
                <w:lang w:val="en-US"/>
              </w:rPr>
              <w:t> </w:t>
            </w:r>
            <w:r w:rsidRPr="00124AC1">
              <w:rPr>
                <w:lang w:val="en-US"/>
              </w:rPr>
              <w:t>Cook (CAN)</w:t>
            </w:r>
            <w:r w:rsidRPr="00124AC1">
              <w:rPr>
                <w:lang w:val="en-US"/>
              </w:rPr>
              <w:br/>
              <w:t>M.</w:t>
            </w:r>
            <w:r w:rsidR="00B06A78" w:rsidRPr="00124AC1">
              <w:rPr>
                <w:lang w:val="en-US"/>
              </w:rPr>
              <w:t> C. </w:t>
            </w:r>
            <w:r w:rsidRPr="00124AC1">
              <w:rPr>
                <w:lang w:val="en-US"/>
              </w:rPr>
              <w:t>Glass (USA)</w:t>
            </w:r>
          </w:p>
        </w:tc>
      </w:tr>
      <w:tr w:rsidR="00425276" w:rsidRPr="00031128"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2</w:t>
            </w:r>
          </w:p>
        </w:tc>
        <w:tc>
          <w:tcPr>
            <w:tcW w:w="3468" w:type="dxa"/>
            <w:vAlign w:val="center"/>
          </w:tcPr>
          <w:p w:rsidR="00425276" w:rsidRPr="007B1DF1" w:rsidRDefault="00B06A78" w:rsidP="007B1DF1">
            <w:pPr>
              <w:pStyle w:val="Tabletext"/>
            </w:pPr>
            <w:r w:rsidRPr="007B1DF1">
              <w:t>Chapitre </w:t>
            </w:r>
            <w:r w:rsidR="00425276" w:rsidRPr="007B1DF1">
              <w:t>2: Questions relatives aux</w:t>
            </w:r>
            <w:r w:rsidRPr="007B1DF1">
              <w:t xml:space="preserve"> services scientifiques; Points </w:t>
            </w:r>
            <w:r w:rsidR="00425276" w:rsidRPr="007B1DF1">
              <w:t>1.11, 1.12, 1.13, 1.14, 9.2 (questions pertinentes) de l</w:t>
            </w:r>
            <w:r w:rsidR="0025212F">
              <w:t>'</w:t>
            </w:r>
            <w:r w:rsidR="00425276" w:rsidRPr="007B1DF1">
              <w:t>ordre du jour</w:t>
            </w:r>
          </w:p>
        </w:tc>
        <w:tc>
          <w:tcPr>
            <w:tcW w:w="2931" w:type="dxa"/>
            <w:vAlign w:val="center"/>
          </w:tcPr>
          <w:p w:rsidR="00425276" w:rsidRPr="007B1DF1" w:rsidRDefault="00425276" w:rsidP="007B1DF1">
            <w:pPr>
              <w:pStyle w:val="Tabletext"/>
              <w:rPr>
                <w:rFonts w:eastAsia="SimSun"/>
              </w:rPr>
            </w:pPr>
            <w:r w:rsidRPr="007B1DF1">
              <w:rPr>
                <w:rFonts w:eastAsia="SimSun"/>
              </w:rPr>
              <w:t>M.</w:t>
            </w:r>
            <w:r w:rsidR="00B06A78" w:rsidRPr="007B1DF1">
              <w:rPr>
                <w:rFonts w:eastAsia="SimSun"/>
              </w:rPr>
              <w:t> A. </w:t>
            </w:r>
            <w:r w:rsidRPr="007B1DF1">
              <w:rPr>
                <w:rFonts w:eastAsia="SimSun"/>
              </w:rPr>
              <w:t>Vassiliev (RUS)</w:t>
            </w:r>
          </w:p>
        </w:tc>
      </w:tr>
      <w:tr w:rsidR="00425276" w:rsidRPr="00031128"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3</w:t>
            </w:r>
          </w:p>
        </w:tc>
        <w:tc>
          <w:tcPr>
            <w:tcW w:w="3468" w:type="dxa"/>
            <w:vAlign w:val="center"/>
          </w:tcPr>
          <w:p w:rsidR="00425276" w:rsidRPr="007B1DF1" w:rsidRDefault="00B06A78" w:rsidP="007B1DF1">
            <w:pPr>
              <w:pStyle w:val="Tabletext"/>
            </w:pPr>
            <w:r w:rsidRPr="007B1DF1">
              <w:t>Chapitre </w:t>
            </w:r>
            <w:r w:rsidR="00425276" w:rsidRPr="007B1DF1">
              <w:t xml:space="preserve">3: Questions relatives aux services aéronautique, maritime </w:t>
            </w:r>
            <w:r w:rsidRPr="007B1DF1">
              <w:t>et de radiolocalisation; Points </w:t>
            </w:r>
            <w:r w:rsidR="00425276" w:rsidRPr="007B1DF1">
              <w:t>1.5, 1.15, 1.16, 1.17, 1.18 de l</w:t>
            </w:r>
            <w:r w:rsidR="0025212F">
              <w:t>'</w:t>
            </w:r>
            <w:r w:rsidR="00425276" w:rsidRPr="007B1DF1">
              <w:t>ordre du jour</w:t>
            </w:r>
          </w:p>
        </w:tc>
        <w:tc>
          <w:tcPr>
            <w:tcW w:w="2931" w:type="dxa"/>
            <w:vAlign w:val="center"/>
          </w:tcPr>
          <w:p w:rsidR="00425276" w:rsidRPr="007B1DF1" w:rsidRDefault="00425276" w:rsidP="007B1DF1">
            <w:pPr>
              <w:pStyle w:val="Tabletext"/>
            </w:pPr>
            <w:r w:rsidRPr="007B1DF1">
              <w:t>M.</w:t>
            </w:r>
            <w:r w:rsidR="00B06A78" w:rsidRPr="007B1DF1">
              <w:t> M. </w:t>
            </w:r>
            <w:r w:rsidRPr="007B1DF1">
              <w:t>Weber (D)</w:t>
            </w:r>
          </w:p>
        </w:tc>
      </w:tr>
      <w:tr w:rsidR="00425276" w:rsidRPr="00031128"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4.1</w:t>
            </w:r>
          </w:p>
        </w:tc>
        <w:tc>
          <w:tcPr>
            <w:tcW w:w="3468" w:type="dxa"/>
            <w:vAlign w:val="center"/>
          </w:tcPr>
          <w:p w:rsidR="00425276" w:rsidRPr="007B1DF1" w:rsidRDefault="00B06A78" w:rsidP="007B1DF1">
            <w:pPr>
              <w:pStyle w:val="Tabletext"/>
            </w:pPr>
            <w:r w:rsidRPr="007B1DF1">
              <w:t>Chapitre </w:t>
            </w:r>
            <w:r w:rsidR="00425276" w:rsidRPr="007B1DF1">
              <w:t>4 (Services</w:t>
            </w:r>
            <w:r w:rsidRPr="007B1DF1">
              <w:t xml:space="preserve"> par satellite), </w:t>
            </w:r>
            <w:r w:rsidRPr="007B1DF1">
              <w:br/>
              <w:t>Sous-Chapitre 4.1: SFS; Points </w:t>
            </w:r>
            <w:r w:rsidR="00425276" w:rsidRPr="007B1DF1">
              <w:t>1.6, 1.7, 1.8, 1.9.1 de l</w:t>
            </w:r>
            <w:r w:rsidR="0025212F">
              <w:t>'</w:t>
            </w:r>
            <w:r w:rsidR="00425276" w:rsidRPr="007B1DF1">
              <w:t>ordre du jour</w:t>
            </w:r>
          </w:p>
        </w:tc>
        <w:tc>
          <w:tcPr>
            <w:tcW w:w="2931" w:type="dxa"/>
            <w:vAlign w:val="center"/>
          </w:tcPr>
          <w:p w:rsidR="00425276" w:rsidRPr="007B1DF1" w:rsidRDefault="00425276" w:rsidP="007B1DF1">
            <w:pPr>
              <w:pStyle w:val="Tabletext"/>
            </w:pPr>
            <w:r w:rsidRPr="007B1DF1">
              <w:t>M.</w:t>
            </w:r>
            <w:r w:rsidR="00B06A78" w:rsidRPr="007B1DF1">
              <w:t> X. </w:t>
            </w:r>
            <w:r w:rsidRPr="007B1DF1">
              <w:t>Gao (CHN)</w:t>
            </w:r>
          </w:p>
        </w:tc>
      </w:tr>
      <w:tr w:rsidR="00425276" w:rsidRPr="00584279"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4.2</w:t>
            </w:r>
          </w:p>
        </w:tc>
        <w:tc>
          <w:tcPr>
            <w:tcW w:w="3468" w:type="dxa"/>
            <w:vAlign w:val="center"/>
          </w:tcPr>
          <w:p w:rsidR="00425276" w:rsidRPr="007B1DF1" w:rsidRDefault="00B06A78" w:rsidP="007B1DF1">
            <w:pPr>
              <w:pStyle w:val="Tabletext"/>
            </w:pPr>
            <w:r w:rsidRPr="007B1DF1">
              <w:t>Chapitre </w:t>
            </w:r>
            <w:r w:rsidR="00425276" w:rsidRPr="007B1DF1">
              <w:t xml:space="preserve">4 (Services par satellite), </w:t>
            </w:r>
            <w:r w:rsidRPr="007B1DF1">
              <w:br/>
              <w:t>Sous-Chapitre 4.2: SMS; Points </w:t>
            </w:r>
            <w:r w:rsidR="00425276" w:rsidRPr="007B1DF1">
              <w:t>1.9.2, 1.10 de l</w:t>
            </w:r>
            <w:r w:rsidR="0025212F">
              <w:t>'</w:t>
            </w:r>
            <w:r w:rsidR="00425276" w:rsidRPr="007B1DF1">
              <w:t>ordre du jour</w:t>
            </w:r>
          </w:p>
        </w:tc>
        <w:tc>
          <w:tcPr>
            <w:tcW w:w="2931" w:type="dxa"/>
            <w:vAlign w:val="center"/>
          </w:tcPr>
          <w:p w:rsidR="00425276" w:rsidRPr="007B1DF1" w:rsidRDefault="00425276" w:rsidP="007B1DF1">
            <w:pPr>
              <w:pStyle w:val="Tabletext"/>
            </w:pPr>
            <w:r w:rsidRPr="007B1DF1">
              <w:t>M.</w:t>
            </w:r>
            <w:r w:rsidR="00B06A78" w:rsidRPr="007B1DF1">
              <w:t> </w:t>
            </w:r>
            <w:r w:rsidRPr="007B1DF1">
              <w:t>M.A.</w:t>
            </w:r>
            <w:r w:rsidR="00B06A78" w:rsidRPr="007B1DF1">
              <w:t> </w:t>
            </w:r>
            <w:r w:rsidRPr="007B1DF1">
              <w:t>Nazari (IRN)</w:t>
            </w:r>
          </w:p>
        </w:tc>
      </w:tr>
      <w:tr w:rsidR="00425276" w:rsidRPr="005E3CD4"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5</w:t>
            </w:r>
          </w:p>
        </w:tc>
        <w:tc>
          <w:tcPr>
            <w:tcW w:w="3468" w:type="dxa"/>
            <w:vAlign w:val="center"/>
          </w:tcPr>
          <w:p w:rsidR="00425276" w:rsidRPr="007B1DF1" w:rsidRDefault="00B06A78" w:rsidP="007B1DF1">
            <w:pPr>
              <w:pStyle w:val="Tabletext"/>
            </w:pPr>
            <w:r w:rsidRPr="007B1DF1">
              <w:t>Chapitre </w:t>
            </w:r>
            <w:r w:rsidR="00425276" w:rsidRPr="007B1DF1">
              <w:t>5: Questions réglementaires relatives aux services par satellite; Points 7, 9.1 (questions 9.1.1, 9.1.2, 9.1.3, 9.1.5, 9.1.8), 9.2 (questions pertinentes), 9.3 de l</w:t>
            </w:r>
            <w:r w:rsidR="0025212F">
              <w:t>'</w:t>
            </w:r>
            <w:r w:rsidR="00425276" w:rsidRPr="007B1DF1">
              <w:t xml:space="preserve">ordre du jour </w:t>
            </w:r>
          </w:p>
        </w:tc>
        <w:tc>
          <w:tcPr>
            <w:tcW w:w="2931" w:type="dxa"/>
            <w:vAlign w:val="center"/>
          </w:tcPr>
          <w:p w:rsidR="00425276" w:rsidRPr="00124AC1" w:rsidRDefault="00B06A78" w:rsidP="007B1DF1">
            <w:pPr>
              <w:pStyle w:val="Tabletext"/>
              <w:rPr>
                <w:lang w:val="es-ES_tradnl"/>
              </w:rPr>
            </w:pPr>
            <w:r w:rsidRPr="00124AC1">
              <w:rPr>
                <w:lang w:val="es-ES_tradnl"/>
              </w:rPr>
              <w:t>M. K. </w:t>
            </w:r>
            <w:r w:rsidR="00425276" w:rsidRPr="00124AC1">
              <w:rPr>
                <w:lang w:val="es-ES_tradnl"/>
              </w:rPr>
              <w:t>Al-Awadhi (UAE)</w:t>
            </w:r>
          </w:p>
        </w:tc>
      </w:tr>
      <w:tr w:rsidR="00425276" w:rsidRPr="005E3CD4" w:rsidTr="000D1D98">
        <w:trPr>
          <w:jc w:val="center"/>
        </w:trPr>
        <w:tc>
          <w:tcPr>
            <w:tcW w:w="1911" w:type="dxa"/>
            <w:vAlign w:val="center"/>
          </w:tcPr>
          <w:p w:rsidR="00425276" w:rsidRPr="007B1DF1" w:rsidRDefault="00425276" w:rsidP="007B1DF1">
            <w:pPr>
              <w:pStyle w:val="Tabletext"/>
            </w:pPr>
            <w:r w:rsidRPr="007B1DF1">
              <w:t>Groupe de travail</w:t>
            </w:r>
            <w:r w:rsidR="00B06A78" w:rsidRPr="007B1DF1">
              <w:t> </w:t>
            </w:r>
            <w:r w:rsidRPr="007B1DF1">
              <w:t>6</w:t>
            </w:r>
          </w:p>
        </w:tc>
        <w:tc>
          <w:tcPr>
            <w:tcW w:w="3468" w:type="dxa"/>
            <w:vAlign w:val="center"/>
          </w:tcPr>
          <w:p w:rsidR="00425276" w:rsidRPr="007B1DF1" w:rsidRDefault="00B06A78" w:rsidP="007B1DF1">
            <w:pPr>
              <w:pStyle w:val="Tabletext"/>
            </w:pPr>
            <w:r w:rsidRPr="007B1DF1">
              <w:t>Chapitre </w:t>
            </w:r>
            <w:r w:rsidR="00425276" w:rsidRPr="007B1DF1">
              <w:t>6: Questions de caractère général; Points</w:t>
            </w:r>
            <w:r w:rsidRPr="007B1DF1">
              <w:t> 2, 4, 9.1 (questions </w:t>
            </w:r>
            <w:r w:rsidR="00425276" w:rsidRPr="007B1DF1">
              <w:t>9.1.4, 9.1.6, 9.1.7), 9.2 (questions pertinentes), 10 de l</w:t>
            </w:r>
            <w:r w:rsidR="0025212F">
              <w:t>'</w:t>
            </w:r>
            <w:r w:rsidR="00425276" w:rsidRPr="007B1DF1">
              <w:t>ordre du jour</w:t>
            </w:r>
          </w:p>
        </w:tc>
        <w:tc>
          <w:tcPr>
            <w:tcW w:w="2931" w:type="dxa"/>
            <w:vAlign w:val="center"/>
          </w:tcPr>
          <w:p w:rsidR="00425276" w:rsidRPr="00124AC1" w:rsidRDefault="00425276" w:rsidP="007B1DF1">
            <w:pPr>
              <w:pStyle w:val="Tabletext"/>
              <w:rPr>
                <w:lang w:val="de-CH"/>
              </w:rPr>
            </w:pPr>
            <w:r w:rsidRPr="00124AC1">
              <w:rPr>
                <w:lang w:val="de-CH"/>
              </w:rPr>
              <w:t>M.</w:t>
            </w:r>
            <w:r w:rsidR="00B06A78" w:rsidRPr="00124AC1">
              <w:rPr>
                <w:lang w:val="de-CH"/>
              </w:rPr>
              <w:t> P.N. </w:t>
            </w:r>
            <w:r w:rsidRPr="00124AC1">
              <w:rPr>
                <w:lang w:val="de-CH"/>
              </w:rPr>
              <w:t>Ngige (KEN)</w:t>
            </w:r>
          </w:p>
        </w:tc>
      </w:tr>
      <w:tr w:rsidR="00425276" w:rsidRPr="00031128" w:rsidTr="000D1D98">
        <w:trPr>
          <w:jc w:val="center"/>
        </w:trPr>
        <w:tc>
          <w:tcPr>
            <w:tcW w:w="1911" w:type="dxa"/>
            <w:vAlign w:val="center"/>
          </w:tcPr>
          <w:p w:rsidR="00425276" w:rsidRPr="007B1DF1" w:rsidRDefault="00425276" w:rsidP="007B1DF1">
            <w:pPr>
              <w:pStyle w:val="Tabletext"/>
            </w:pPr>
            <w:r w:rsidRPr="007B1DF1">
              <w:t>Groupe ad hoc de la plénière</w:t>
            </w:r>
          </w:p>
        </w:tc>
        <w:tc>
          <w:tcPr>
            <w:tcW w:w="3468" w:type="dxa"/>
            <w:vAlign w:val="center"/>
          </w:tcPr>
          <w:p w:rsidR="00425276" w:rsidRPr="007B1DF1" w:rsidRDefault="00425276" w:rsidP="007B1DF1">
            <w:pPr>
              <w:pStyle w:val="Tabletext"/>
            </w:pPr>
            <w:r w:rsidRPr="007B1DF1">
              <w:t>Contributions relatives au suivi des vols à l</w:t>
            </w:r>
            <w:r w:rsidR="0025212F">
              <w:t>'</w:t>
            </w:r>
            <w:r w:rsidRPr="007B1DF1">
              <w:t>échelle mondiale pour l</w:t>
            </w:r>
            <w:r w:rsidR="0025212F">
              <w:t>'</w:t>
            </w:r>
            <w:r w:rsidRPr="007B1DF1">
              <w:t>aviation civile</w:t>
            </w:r>
          </w:p>
        </w:tc>
        <w:tc>
          <w:tcPr>
            <w:tcW w:w="2931" w:type="dxa"/>
            <w:vAlign w:val="center"/>
          </w:tcPr>
          <w:p w:rsidR="00425276" w:rsidRPr="007B1DF1" w:rsidRDefault="00425276" w:rsidP="007B1DF1">
            <w:pPr>
              <w:pStyle w:val="Tabletext"/>
            </w:pPr>
            <w:r w:rsidRPr="007B1DF1">
              <w:t>M.</w:t>
            </w:r>
            <w:r w:rsidR="00B06A78" w:rsidRPr="007B1DF1">
              <w:t> W. </w:t>
            </w:r>
            <w:r w:rsidRPr="007B1DF1">
              <w:t>Guggi (AUT)</w:t>
            </w:r>
          </w:p>
        </w:tc>
      </w:tr>
    </w:tbl>
    <w:p w:rsidR="002010AF" w:rsidRDefault="002010AF" w:rsidP="002D5B0A">
      <w:r>
        <w:t>Depuis la RPC15-2, le rapport de la RPC figure parmi les contributions à</w:t>
      </w:r>
      <w:r w:rsidR="00B06A78">
        <w:t xml:space="preserve"> la CMR-15 en tant que Document </w:t>
      </w:r>
      <w:r>
        <w:t>3.</w:t>
      </w:r>
    </w:p>
    <w:p w:rsidR="00CA605E" w:rsidRDefault="00CA605E" w:rsidP="002D5B0A">
      <w:r>
        <w:t>Le rapport comprend six chapitres qui suivent la structure décrite ci</w:t>
      </w:r>
      <w:r w:rsidR="00B06A78">
        <w:t>-dessus. En outre, l</w:t>
      </w:r>
      <w:r w:rsidR="0025212F">
        <w:t>'</w:t>
      </w:r>
      <w:r w:rsidR="00B06A78">
        <w:t>Annexe </w:t>
      </w:r>
      <w:r>
        <w:t>1 a été ajoutée au rapport, afin de tenir compte des travaux de la RPC, qui a examiné comment traiter la question du suivi des vols à l</w:t>
      </w:r>
      <w:r w:rsidR="0025212F">
        <w:t>'</w:t>
      </w:r>
      <w:r>
        <w:t>échelle mondiale.</w:t>
      </w:r>
    </w:p>
    <w:p w:rsidR="00CA605E" w:rsidRDefault="00CA605E" w:rsidP="002D5B0A">
      <w:r>
        <w:t>Le rapport contient également dans l</w:t>
      </w:r>
      <w:r w:rsidR="0025212F">
        <w:t>'</w:t>
      </w:r>
      <w:r>
        <w:t>Annexe 2 une liste des Recommandations de l</w:t>
      </w:r>
      <w:r w:rsidR="0025212F">
        <w:t>'</w:t>
      </w:r>
      <w:r>
        <w:t>UIT-R, y compris certains projets de Recommandations, nouvelles ou révisées, auxquelles il est fait référence dans le texte du rapport. La version finale de cette liste, qui tiendra compte des décisions de l</w:t>
      </w:r>
      <w:r w:rsidR="0025212F">
        <w:t>'</w:t>
      </w:r>
      <w:r>
        <w:t>Assem</w:t>
      </w:r>
      <w:r w:rsidR="00B06A78">
        <w:t>blée des radiocommunications de </w:t>
      </w:r>
      <w:r>
        <w:t>2015, sera communiquée à la Conférence mond</w:t>
      </w:r>
      <w:r w:rsidR="00B06A78">
        <w:t>iale des radiocommunications de </w:t>
      </w:r>
      <w:r>
        <w:t>2015.</w:t>
      </w:r>
    </w:p>
    <w:p w:rsidR="00D75770" w:rsidRPr="007B1DF1" w:rsidRDefault="00BD0E2F" w:rsidP="005E3CD4">
      <w:pPr>
        <w:pStyle w:val="Heading1"/>
      </w:pPr>
      <w:r w:rsidRPr="007B1DF1">
        <w:t>4</w:t>
      </w:r>
      <w:r w:rsidRPr="007B1DF1">
        <w:tab/>
        <w:t>Activité</w:t>
      </w:r>
      <w:r w:rsidR="00D75770" w:rsidRPr="007B1DF1">
        <w:t xml:space="preserve">s </w:t>
      </w:r>
      <w:r w:rsidRPr="007B1DF1">
        <w:t xml:space="preserve">des </w:t>
      </w:r>
      <w:r w:rsidR="005E3CD4">
        <w:t>c</w:t>
      </w:r>
      <w:r w:rsidRPr="007B1DF1">
        <w:t>ommissions d</w:t>
      </w:r>
      <w:r w:rsidR="0025212F">
        <w:t>'</w:t>
      </w:r>
      <w:r w:rsidRPr="007B1DF1">
        <w:t>études</w:t>
      </w:r>
    </w:p>
    <w:p w:rsidR="0040007E" w:rsidRPr="00BD0E2F" w:rsidRDefault="0040007E" w:rsidP="005E3CD4">
      <w:pPr>
        <w:rPr>
          <w:lang w:val="fr-CH"/>
        </w:rPr>
      </w:pPr>
      <w:bookmarkStart w:id="10" w:name="_Toc426463246"/>
      <w:r>
        <w:t>Un compte rendu détaillé des activités de chacune des Commissions d</w:t>
      </w:r>
      <w:r w:rsidR="0025212F">
        <w:t>'</w:t>
      </w:r>
      <w:r>
        <w:t>études et du Comité de coordination pour le vocabulaire pendant la période d</w:t>
      </w:r>
      <w:r w:rsidR="0025212F">
        <w:t>'</w:t>
      </w:r>
      <w:r>
        <w:t>études est donné dans les D</w:t>
      </w:r>
      <w:r w:rsidR="00D6579A">
        <w:t>ocuments </w:t>
      </w:r>
      <w:r>
        <w:t>X/1001 soumis à l</w:t>
      </w:r>
      <w:r w:rsidR="0025212F">
        <w:t>'</w:t>
      </w:r>
      <w:r>
        <w:t>AR-15 (</w:t>
      </w:r>
      <w:r w:rsidR="00D6579A">
        <w:t>o</w:t>
      </w:r>
      <w:r w:rsidR="005E3CD4">
        <w:t>ù</w:t>
      </w:r>
      <w:r w:rsidR="00D6579A">
        <w:t> </w:t>
      </w:r>
      <w:r>
        <w:t>X représente la Commission d</w:t>
      </w:r>
      <w:r w:rsidR="0025212F">
        <w:t>'</w:t>
      </w:r>
      <w:r>
        <w:t>études concernée).</w:t>
      </w:r>
    </w:p>
    <w:p w:rsidR="00FC0296" w:rsidRPr="00FC0296" w:rsidRDefault="00FC0296" w:rsidP="005E3CD4">
      <w:pPr>
        <w:pStyle w:val="Heading2"/>
        <w:rPr>
          <w:lang w:val="fr-CH"/>
        </w:rPr>
      </w:pPr>
      <w:r>
        <w:t>4.1</w:t>
      </w:r>
      <w:r w:rsidRPr="00BF0139">
        <w:tab/>
        <w:t xml:space="preserve">Recommandations, </w:t>
      </w:r>
      <w:r w:rsidR="005E3CD4">
        <w:t>r</w:t>
      </w:r>
      <w:r w:rsidR="00C27517" w:rsidRPr="00BF0139">
        <w:t xml:space="preserve">apports </w:t>
      </w:r>
      <w:r w:rsidRPr="00BF0139">
        <w:t xml:space="preserve">et </w:t>
      </w:r>
      <w:bookmarkEnd w:id="10"/>
      <w:r w:rsidR="005E3CD4">
        <w:t>m</w:t>
      </w:r>
      <w:r w:rsidR="00C27517" w:rsidRPr="00BF0139">
        <w:t>anuels</w:t>
      </w:r>
    </w:p>
    <w:p w:rsidR="00FC0296" w:rsidRDefault="00FC0296" w:rsidP="005E3CD4">
      <w:r>
        <w:t>En</w:t>
      </w:r>
      <w:r w:rsidRPr="00BF0139">
        <w:t xml:space="preserve"> </w:t>
      </w:r>
      <w:r w:rsidR="009C56C2">
        <w:t>juillet 2015, environ 250 </w:t>
      </w:r>
      <w:r w:rsidRPr="00BF0139">
        <w:t>Recommandations</w:t>
      </w:r>
      <w:r>
        <w:t>,</w:t>
      </w:r>
      <w:r w:rsidRPr="00BF0139">
        <w:t xml:space="preserve"> nouvelles ou révisées</w:t>
      </w:r>
      <w:r>
        <w:t>,</w:t>
      </w:r>
      <w:r w:rsidRPr="00BF0139">
        <w:t xml:space="preserve"> et </w:t>
      </w:r>
      <w:r w:rsidR="009C56C2">
        <w:t>150 </w:t>
      </w:r>
      <w:r>
        <w:t xml:space="preserve">rapports, nouveaux ou révisés, avaient été approuvés au </w:t>
      </w:r>
      <w:r w:rsidR="009C56C2">
        <w:t>cours de la période d</w:t>
      </w:r>
      <w:r w:rsidR="0025212F">
        <w:t>'</w:t>
      </w:r>
      <w:r w:rsidR="009C56C2">
        <w:t>études </w:t>
      </w:r>
      <w:r>
        <w:t>2012</w:t>
      </w:r>
      <w:r>
        <w:noBreakHyphen/>
        <w:t>2015.</w:t>
      </w:r>
      <w:r w:rsidRPr="00BF0139">
        <w:t xml:space="preserve"> Beaucoup</w:t>
      </w:r>
      <w:r>
        <w:t xml:space="preserve"> de ces Recommandations et rapports</w:t>
      </w:r>
      <w:r w:rsidRPr="00BF0139">
        <w:t xml:space="preserve"> résultent d</w:t>
      </w:r>
      <w:r w:rsidR="0025212F">
        <w:t>'</w:t>
      </w:r>
      <w:r w:rsidRPr="00BF0139">
        <w:t xml:space="preserve">études associées aux activités de la RPC, même si un grand nombre </w:t>
      </w:r>
      <w:r w:rsidR="00F81F2A">
        <w:t>d</w:t>
      </w:r>
      <w:r w:rsidR="0025212F">
        <w:t>'</w:t>
      </w:r>
      <w:r w:rsidR="00F81F2A">
        <w:t xml:space="preserve">entre eux </w:t>
      </w:r>
      <w:r w:rsidRPr="00BF0139">
        <w:t>reflètent les études fondamentales qui structur</w:t>
      </w:r>
      <w:r w:rsidR="00E45ADF">
        <w:t xml:space="preserve">ent les travaux essentiels des </w:t>
      </w:r>
      <w:r w:rsidR="005E3CD4">
        <w:t>c</w:t>
      </w:r>
      <w:r w:rsidRPr="00BF0139">
        <w:t>ommissions d</w:t>
      </w:r>
      <w:r w:rsidR="0025212F">
        <w:t>'</w:t>
      </w:r>
      <w:r w:rsidRPr="00BF0139">
        <w:t xml:space="preserve">études. Des Recommandations </w:t>
      </w:r>
      <w:r>
        <w:t>et des rapports s</w:t>
      </w:r>
      <w:r w:rsidRPr="00BF0139">
        <w:t xml:space="preserve">ont </w:t>
      </w:r>
      <w:r>
        <w:t>en cours d</w:t>
      </w:r>
      <w:r w:rsidR="0025212F">
        <w:t>'</w:t>
      </w:r>
      <w:r w:rsidRPr="00BF0139">
        <w:t>élabor</w:t>
      </w:r>
      <w:r>
        <w:t>ation</w:t>
      </w:r>
      <w:r w:rsidRPr="00BF0139">
        <w:t xml:space="preserve"> pour certains domaines importants:</w:t>
      </w:r>
    </w:p>
    <w:p w:rsidR="00FC0296" w:rsidRDefault="00FC0296" w:rsidP="002D5B0A">
      <w:pPr>
        <w:pStyle w:val="enumlev1"/>
      </w:pPr>
      <w:r>
        <w:rPr>
          <w:color w:val="000000"/>
        </w:rPr>
        <w:t>–</w:t>
      </w:r>
      <w:r>
        <w:tab/>
        <w:t>harmonisation d</w:t>
      </w:r>
      <w:r w:rsidR="000D1D98">
        <w:t>es dispositifs à courte portée;</w:t>
      </w:r>
    </w:p>
    <w:p w:rsidR="00FC0296" w:rsidRDefault="00FC0296" w:rsidP="002D5B0A">
      <w:pPr>
        <w:pStyle w:val="enumlev1"/>
        <w:rPr>
          <w:lang w:val="fr-CH" w:eastAsia="zh-CN"/>
        </w:rPr>
      </w:pPr>
      <w:r>
        <w:rPr>
          <w:color w:val="000000"/>
        </w:rPr>
        <w:t>–</w:t>
      </w:r>
      <w:r>
        <w:rPr>
          <w:color w:val="000000"/>
        </w:rPr>
        <w:tab/>
        <w:t>études de propagation relatives à l</w:t>
      </w:r>
      <w:r w:rsidR="0025212F">
        <w:rPr>
          <w:color w:val="000000"/>
        </w:rPr>
        <w:t>'</w:t>
      </w:r>
      <w:r>
        <w:rPr>
          <w:color w:val="000000"/>
        </w:rPr>
        <w:t>affaiblissement dû à la pénétration dans les bâtiments et aux</w:t>
      </w:r>
      <w:r>
        <w:rPr>
          <w:lang w:val="fr-CH" w:eastAsia="zh-CN"/>
        </w:rPr>
        <w:t xml:space="preserve"> modèles de propagation ainsi qu</w:t>
      </w:r>
      <w:r w:rsidR="0025212F">
        <w:rPr>
          <w:lang w:val="fr-CH" w:eastAsia="zh-CN"/>
        </w:rPr>
        <w:t>'</w:t>
      </w:r>
      <w:r>
        <w:rPr>
          <w:lang w:val="fr-CH" w:eastAsia="zh-CN"/>
        </w:rPr>
        <w:t xml:space="preserve">aux caractéristiques connexes aux fréquences supérieures </w:t>
      </w:r>
      <w:r w:rsidRPr="009202AB">
        <w:rPr>
          <w:lang w:val="fr-CH" w:eastAsia="zh-CN"/>
        </w:rPr>
        <w:t>(6-100 GHz)</w:t>
      </w:r>
      <w:r>
        <w:rPr>
          <w:lang w:val="fr-CH" w:eastAsia="zh-CN"/>
        </w:rPr>
        <w:t>;</w:t>
      </w:r>
    </w:p>
    <w:p w:rsidR="00FC0296" w:rsidRPr="00BF0139" w:rsidRDefault="00FC0296" w:rsidP="002D5B0A">
      <w:pPr>
        <w:pStyle w:val="enumlev1"/>
      </w:pPr>
      <w:r>
        <w:rPr>
          <w:color w:val="000000"/>
        </w:rPr>
        <w:t>–</w:t>
      </w:r>
      <w:r>
        <w:rPr>
          <w:color w:val="000000"/>
        </w:rPr>
        <w:tab/>
      </w:r>
      <w:r>
        <w:t>s</w:t>
      </w:r>
      <w:r w:rsidRPr="00460F4D">
        <w:t>ystème d</w:t>
      </w:r>
      <w:r w:rsidR="0025212F">
        <w:t>'</w:t>
      </w:r>
      <w:r w:rsidRPr="00460F4D">
        <w:t>identification des porteuses pour les transmissions à modulation numérique de stations terriennes du service fixe par satellite utilisées occasionnellement</w:t>
      </w:r>
      <w:r>
        <w:t>;</w:t>
      </w:r>
    </w:p>
    <w:p w:rsidR="00FC0296" w:rsidRDefault="00FC0296" w:rsidP="002D5B0A">
      <w:pPr>
        <w:pStyle w:val="enumlev1"/>
        <w:rPr>
          <w:lang w:val="fr-CH"/>
        </w:rPr>
      </w:pPr>
      <w:r>
        <w:t>–</w:t>
      </w:r>
      <w:r w:rsidRPr="00BF0139">
        <w:tab/>
      </w:r>
      <w:r w:rsidRPr="00E76E17">
        <w:rPr>
          <w:lang w:val="fr-CH"/>
        </w:rPr>
        <w:t>critères de protection applicables aux instruments de recherche et</w:t>
      </w:r>
      <w:r>
        <w:rPr>
          <w:lang w:val="fr-CH"/>
        </w:rPr>
        <w:t xml:space="preserve"> </w:t>
      </w:r>
      <w:r w:rsidRPr="00E76E17">
        <w:rPr>
          <w:lang w:val="fr-CH"/>
        </w:rPr>
        <w:t>de sauvetage Cospas</w:t>
      </w:r>
      <w:r w:rsidR="009B15E2">
        <w:rPr>
          <w:lang w:val="fr-CH"/>
        </w:rPr>
        <w:noBreakHyphen/>
        <w:t>Sarsat dans la bande </w:t>
      </w:r>
      <w:r>
        <w:rPr>
          <w:lang w:val="fr-CH"/>
        </w:rPr>
        <w:t>406-406,1 </w:t>
      </w:r>
      <w:r w:rsidRPr="00E76E17">
        <w:rPr>
          <w:lang w:val="fr-CH"/>
        </w:rPr>
        <w:t>MHz</w:t>
      </w:r>
      <w:r>
        <w:rPr>
          <w:lang w:val="fr-CH"/>
        </w:rPr>
        <w:t>;</w:t>
      </w:r>
    </w:p>
    <w:p w:rsidR="00FC0296" w:rsidRDefault="00FC0296" w:rsidP="002D5B0A">
      <w:pPr>
        <w:pStyle w:val="enumlev1"/>
        <w:rPr>
          <w:color w:val="000000"/>
        </w:rPr>
      </w:pPr>
      <w:r>
        <w:t>–</w:t>
      </w:r>
      <w:r w:rsidRPr="00BF0139">
        <w:tab/>
      </w:r>
      <w:r w:rsidRPr="008C6C5D">
        <w:rPr>
          <w:lang w:val="fr-CH"/>
        </w:rPr>
        <w:t>évolution technologique des systèmes IMT de Terre</w:t>
      </w:r>
      <w:r>
        <w:rPr>
          <w:lang w:val="fr-CH"/>
        </w:rPr>
        <w:t xml:space="preserve"> </w:t>
      </w:r>
      <w:r>
        <w:rPr>
          <w:color w:val="000000"/>
        </w:rPr>
        <w:t>pour la période 2015-2020 et au</w:t>
      </w:r>
      <w:r>
        <w:rPr>
          <w:color w:val="000000"/>
        </w:rPr>
        <w:noBreakHyphen/>
        <w:t>delà;</w:t>
      </w:r>
    </w:p>
    <w:p w:rsidR="00FC0296" w:rsidRPr="008369B3" w:rsidRDefault="00FC0296" w:rsidP="007B1DF1">
      <w:pPr>
        <w:pStyle w:val="enumlev1"/>
        <w:rPr>
          <w:color w:val="000000"/>
          <w:lang w:val="fr-CH"/>
        </w:rPr>
      </w:pPr>
      <w:r w:rsidRPr="008369B3">
        <w:rPr>
          <w:lang w:val="fr-CH"/>
        </w:rPr>
        <w:t>–</w:t>
      </w:r>
      <w:r w:rsidRPr="008369B3">
        <w:rPr>
          <w:lang w:val="fr-CH"/>
        </w:rPr>
        <w:tab/>
      </w:r>
      <w:r w:rsidR="008369B3" w:rsidRPr="008369B3">
        <w:rPr>
          <w:rFonts w:asciiTheme="majorBidi" w:hAnsiTheme="majorBidi" w:cstheme="majorBidi"/>
          <w:color w:val="000000"/>
          <w:szCs w:val="24"/>
          <w:lang w:val="fr-CH"/>
        </w:rPr>
        <w:t xml:space="preserve">objectifs et </w:t>
      </w:r>
      <w:r w:rsidR="00C60499">
        <w:rPr>
          <w:rFonts w:asciiTheme="majorBidi" w:hAnsiTheme="majorBidi" w:cstheme="majorBidi"/>
          <w:color w:val="000000"/>
          <w:szCs w:val="24"/>
          <w:lang w:val="fr-CH"/>
        </w:rPr>
        <w:t xml:space="preserve">spécifications des systèmes de radiocommunication </w:t>
      </w:r>
      <w:r w:rsidR="007B1DF1">
        <w:rPr>
          <w:rFonts w:asciiTheme="majorBidi" w:hAnsiTheme="majorBidi" w:cstheme="majorBidi"/>
          <w:color w:val="000000"/>
          <w:szCs w:val="24"/>
          <w:lang w:val="fr-CH"/>
        </w:rPr>
        <w:t>pour la</w:t>
      </w:r>
      <w:r w:rsidR="00C60499">
        <w:rPr>
          <w:rFonts w:asciiTheme="majorBidi" w:hAnsiTheme="majorBidi" w:cstheme="majorBidi"/>
          <w:color w:val="000000"/>
          <w:szCs w:val="24"/>
          <w:lang w:val="fr-CH"/>
        </w:rPr>
        <w:t xml:space="preserve"> </w:t>
      </w:r>
      <w:r w:rsidR="008369B3">
        <w:rPr>
          <w:color w:val="000000"/>
        </w:rPr>
        <w:t xml:space="preserve">protection du public et </w:t>
      </w:r>
      <w:r w:rsidR="007B1DF1">
        <w:rPr>
          <w:color w:val="000000"/>
        </w:rPr>
        <w:t>les</w:t>
      </w:r>
      <w:r w:rsidR="008369B3">
        <w:rPr>
          <w:color w:val="000000"/>
        </w:rPr>
        <w:t xml:space="preserve"> secours en cas de catastrophe;</w:t>
      </w:r>
    </w:p>
    <w:p w:rsidR="00FC0296" w:rsidRDefault="00FC0296" w:rsidP="002D5B0A">
      <w:pPr>
        <w:pStyle w:val="enumlev1"/>
        <w:rPr>
          <w:lang w:val="fr-CH"/>
        </w:rPr>
      </w:pPr>
      <w:r>
        <w:t>–</w:t>
      </w:r>
      <w:r w:rsidRPr="00BF0139">
        <w:tab/>
      </w:r>
      <w:r>
        <w:rPr>
          <w:lang w:val="fr-CH"/>
        </w:rPr>
        <w:t>paramètres techniques, caractéristiques opérationnelles et scénarios de déploiement de</w:t>
      </w:r>
      <w:r w:rsidRPr="00DA31EF">
        <w:rPr>
          <w:lang w:val="fr-CH"/>
        </w:rPr>
        <w:t xml:space="preserve"> </w:t>
      </w:r>
      <w:r>
        <w:rPr>
          <w:color w:val="000000"/>
        </w:rPr>
        <w:t>la radiodiffusion SAB/SAP</w:t>
      </w:r>
      <w:r w:rsidRPr="00DA31EF">
        <w:rPr>
          <w:lang w:val="fr-CH"/>
        </w:rPr>
        <w:t xml:space="preserve"> </w:t>
      </w:r>
      <w:r>
        <w:rPr>
          <w:lang w:val="fr-CH"/>
        </w:rPr>
        <w:t>utilisés dans la production de radiodiffusion;</w:t>
      </w:r>
    </w:p>
    <w:p w:rsidR="00FC0296" w:rsidRPr="00BF0139" w:rsidRDefault="00FC0296" w:rsidP="002D5B0A">
      <w:pPr>
        <w:pStyle w:val="enumlev1"/>
      </w:pPr>
      <w:r>
        <w:t>–</w:t>
      </w:r>
      <w:r w:rsidRPr="00BF0139">
        <w:tab/>
      </w:r>
      <w:r w:rsidRPr="003E0FA8">
        <w:rPr>
          <w:lang w:val="fr-CH"/>
        </w:rPr>
        <w:t>détection active au voisinage de 9 GHz</w:t>
      </w:r>
      <w:r>
        <w:rPr>
          <w:lang w:val="fr-CH"/>
        </w:rPr>
        <w:t>;</w:t>
      </w:r>
    </w:p>
    <w:p w:rsidR="00FC0296" w:rsidRPr="00BF0139" w:rsidRDefault="00FC0296" w:rsidP="002D5B0A">
      <w:pPr>
        <w:pStyle w:val="enumlev1"/>
      </w:pPr>
      <w:r>
        <w:t>–</w:t>
      </w:r>
      <w:r>
        <w:tab/>
      </w:r>
      <w:r>
        <w:rPr>
          <w:color w:val="000000"/>
        </w:rPr>
        <w:t>caractéristiques et besoins de spectre des systèmes à satellites utilisant des nanosatellites et des picosatellites.</w:t>
      </w:r>
    </w:p>
    <w:p w:rsidR="00FC0296" w:rsidRDefault="00FC0296" w:rsidP="005E3CD4">
      <w:r>
        <w:t>Dix</w:t>
      </w:r>
      <w:r w:rsidRPr="00BF0139">
        <w:t xml:space="preserve"> </w:t>
      </w:r>
      <w:r w:rsidR="005E3CD4">
        <w:t>m</w:t>
      </w:r>
      <w:r>
        <w:t xml:space="preserve">anuels, nouveaux ou révisés, </w:t>
      </w:r>
      <w:r w:rsidRPr="00BF0139">
        <w:t>ont été publiés sur</w:t>
      </w:r>
      <w:r>
        <w:t xml:space="preserve"> les thèmes suivants:</w:t>
      </w:r>
    </w:p>
    <w:p w:rsidR="00FC0296" w:rsidRPr="00C238B4" w:rsidRDefault="00FC0296" w:rsidP="002D5B0A">
      <w:pPr>
        <w:pStyle w:val="enumlev1"/>
      </w:pPr>
      <w:r w:rsidRPr="00C238B4">
        <w:t>–</w:t>
      </w:r>
      <w:r w:rsidRPr="00C238B4">
        <w:tab/>
        <w:t>gestion nationale du spectre;</w:t>
      </w:r>
    </w:p>
    <w:p w:rsidR="00FC0296" w:rsidRPr="00C238B4" w:rsidRDefault="00854F1D" w:rsidP="002D5B0A">
      <w:pPr>
        <w:pStyle w:val="enumlev1"/>
      </w:pPr>
      <w:r>
        <w:t>–</w:t>
      </w:r>
      <w:r>
        <w:tab/>
        <w:t>évolution des t</w:t>
      </w:r>
      <w:r w:rsidR="00FC0296" w:rsidRPr="00C238B4">
        <w:t>élécommunications mobiles internationales dans le monde;</w:t>
      </w:r>
    </w:p>
    <w:p w:rsidR="00FC0296" w:rsidRPr="00C238B4" w:rsidRDefault="00FC0296" w:rsidP="002D5B0A">
      <w:pPr>
        <w:pStyle w:val="enumlev1"/>
      </w:pPr>
      <w:r w:rsidRPr="00C238B4">
        <w:t>–</w:t>
      </w:r>
      <w:r w:rsidRPr="00C238B4">
        <w:tab/>
        <w:t>application des techniques informatiques à la gestion du spectre radioélectrique;</w:t>
      </w:r>
    </w:p>
    <w:p w:rsidR="00FC0296" w:rsidRPr="00C238B4" w:rsidRDefault="00FC0296" w:rsidP="002D5B0A">
      <w:pPr>
        <w:pStyle w:val="enumlev1"/>
      </w:pPr>
      <w:r w:rsidRPr="00C238B4">
        <w:t>–</w:t>
      </w:r>
      <w:r w:rsidRPr="00C238B4">
        <w:tab/>
        <w:t>orientations pour les discussions bilatérales ou multilatérales sur l</w:t>
      </w:r>
      <w:r w:rsidR="0025212F">
        <w:t>'</w:t>
      </w:r>
      <w:r w:rsidRPr="00C238B4">
        <w:t>utilisat</w:t>
      </w:r>
      <w:r w:rsidR="008369B3">
        <w:t>ion de la gamme de fréquences 1 </w:t>
      </w:r>
      <w:r w:rsidR="009B15E2">
        <w:t>350 MHz-43,5 </w:t>
      </w:r>
      <w:r w:rsidRPr="00C238B4">
        <w:t>GHz par les systèmes du service fixe;</w:t>
      </w:r>
    </w:p>
    <w:p w:rsidR="00FC0296" w:rsidRPr="00C238B4" w:rsidRDefault="00FC0296" w:rsidP="002D5B0A">
      <w:pPr>
        <w:pStyle w:val="enumlev1"/>
      </w:pPr>
      <w:r w:rsidRPr="00C238B4">
        <w:t>–</w:t>
      </w:r>
      <w:r w:rsidRPr="00C238B4">
        <w:tab/>
        <w:t>communications dans le service de recherche spatiale;</w:t>
      </w:r>
    </w:p>
    <w:p w:rsidR="00FC0296" w:rsidRPr="00C238B4" w:rsidRDefault="00FC0296" w:rsidP="002D5B0A">
      <w:pPr>
        <w:pStyle w:val="enumlev1"/>
      </w:pPr>
      <w:r w:rsidRPr="00C238B4">
        <w:t>–</w:t>
      </w:r>
      <w:r w:rsidRPr="00C238B4">
        <w:tab/>
        <w:t>service d</w:t>
      </w:r>
      <w:r w:rsidR="0025212F">
        <w:t>'</w:t>
      </w:r>
      <w:r w:rsidRPr="00C238B4">
        <w:t>amateur et service d</w:t>
      </w:r>
      <w:r w:rsidR="0025212F">
        <w:t>'</w:t>
      </w:r>
      <w:r w:rsidRPr="00C238B4">
        <w:t>amateur par satellite;</w:t>
      </w:r>
    </w:p>
    <w:p w:rsidR="00FC0296" w:rsidRPr="00C238B4" w:rsidRDefault="00FC0296" w:rsidP="002D5B0A">
      <w:pPr>
        <w:pStyle w:val="enumlev1"/>
      </w:pPr>
      <w:r w:rsidRPr="00C238B4">
        <w:t>–</w:t>
      </w:r>
      <w:r w:rsidRPr="00C238B4">
        <w:tab/>
        <w:t>propagation par l</w:t>
      </w:r>
      <w:r w:rsidR="0025212F">
        <w:t>'</w:t>
      </w:r>
      <w:r w:rsidRPr="00C238B4">
        <w:t>onde de sol;</w:t>
      </w:r>
    </w:p>
    <w:p w:rsidR="00FC0296" w:rsidRPr="00C238B4" w:rsidRDefault="00FC0296" w:rsidP="002D5B0A">
      <w:pPr>
        <w:pStyle w:val="enumlev1"/>
      </w:pPr>
      <w:r w:rsidRPr="00C238B4">
        <w:t>–</w:t>
      </w:r>
      <w:r w:rsidRPr="00C238B4">
        <w:tab/>
        <w:t>radioastronomie;</w:t>
      </w:r>
    </w:p>
    <w:p w:rsidR="00FC0296" w:rsidRPr="00C238B4" w:rsidRDefault="00FC0296" w:rsidP="002D5B0A">
      <w:pPr>
        <w:pStyle w:val="enumlev1"/>
      </w:pPr>
      <w:r w:rsidRPr="00C238B4">
        <w:t>–</w:t>
      </w:r>
      <w:r w:rsidRPr="00C238B4">
        <w:tab/>
        <w:t>radiométéorologie;</w:t>
      </w:r>
    </w:p>
    <w:p w:rsidR="00507D6E" w:rsidRPr="00507D6E" w:rsidRDefault="00FC0296" w:rsidP="002D5B0A">
      <w:pPr>
        <w:pStyle w:val="enumlev1"/>
      </w:pPr>
      <w:r w:rsidRPr="00C238B4">
        <w:t>–</w:t>
      </w:r>
      <w:r w:rsidRPr="00C238B4">
        <w:tab/>
        <w:t>méthodes de prévision de la propagation pour les évaluations des brouillages et les études de partage.</w:t>
      </w:r>
    </w:p>
    <w:p w:rsidR="0037730C" w:rsidRDefault="00507D6E" w:rsidP="007B1DF1">
      <w:pPr>
        <w:pStyle w:val="Heading2"/>
      </w:pPr>
      <w:r w:rsidRPr="00507D6E">
        <w:rPr>
          <w:lang w:val="fr-CH"/>
        </w:rPr>
        <w:t>4.2</w:t>
      </w:r>
      <w:r w:rsidRPr="00507D6E">
        <w:rPr>
          <w:lang w:val="fr-CH"/>
        </w:rPr>
        <w:tab/>
      </w:r>
      <w:r w:rsidRPr="00BF0139">
        <w:t>Statistiques concernant les réunions, la documentation et les textes établis sous leur forme finale (version électronique ou version papier</w:t>
      </w:r>
      <w:r>
        <w:t>)</w:t>
      </w:r>
    </w:p>
    <w:p w:rsidR="000642BB" w:rsidRPr="00BF0139" w:rsidRDefault="000642BB" w:rsidP="002D5B0A">
      <w:r w:rsidRPr="00BF0139">
        <w:t>Les chiffres suivants concernent la période d</w:t>
      </w:r>
      <w:r w:rsidR="0025212F">
        <w:t>'</w:t>
      </w:r>
      <w:r w:rsidRPr="00BF0139">
        <w:t>études depuis l</w:t>
      </w:r>
      <w:r w:rsidR="0025212F">
        <w:t>'</w:t>
      </w:r>
      <w:r w:rsidRPr="00BF0139">
        <w:t>AR-</w:t>
      </w:r>
      <w:r>
        <w:t>12</w:t>
      </w:r>
      <w:r w:rsidRPr="00BF0139">
        <w:t>:</w:t>
      </w:r>
    </w:p>
    <w:p w:rsidR="000642BB" w:rsidRPr="00C238B4" w:rsidRDefault="000642BB" w:rsidP="002D5B0A">
      <w:pPr>
        <w:pStyle w:val="enumlev1"/>
        <w:rPr>
          <w:lang w:val="fr-CH"/>
        </w:rPr>
      </w:pPr>
      <w:r w:rsidRPr="00C238B4">
        <w:rPr>
          <w:lang w:val="fr-CH"/>
        </w:rPr>
        <w:t>–</w:t>
      </w:r>
      <w:r w:rsidRPr="00C238B4">
        <w:rPr>
          <w:lang w:val="fr-CH"/>
        </w:rPr>
        <w:tab/>
        <w:t xml:space="preserve">Nombre de documents </w:t>
      </w:r>
      <w:r>
        <w:rPr>
          <w:lang w:val="fr-CH"/>
        </w:rPr>
        <w:t xml:space="preserve">traités </w:t>
      </w:r>
      <w:r w:rsidRPr="00C238B4">
        <w:rPr>
          <w:lang w:val="fr-CH"/>
        </w:rPr>
        <w:t>(</w:t>
      </w:r>
      <w:r>
        <w:rPr>
          <w:lang w:val="fr-CH"/>
        </w:rPr>
        <w:t>jusqu</w:t>
      </w:r>
      <w:r w:rsidR="0025212F">
        <w:rPr>
          <w:lang w:val="fr-CH"/>
        </w:rPr>
        <w:t>'</w:t>
      </w:r>
      <w:r>
        <w:rPr>
          <w:lang w:val="fr-CH"/>
        </w:rPr>
        <w:t>en juin</w:t>
      </w:r>
      <w:r w:rsidR="00694150">
        <w:rPr>
          <w:lang w:val="fr-CH"/>
        </w:rPr>
        <w:t> </w:t>
      </w:r>
      <w:r w:rsidR="008369B3">
        <w:rPr>
          <w:lang w:val="fr-CH"/>
        </w:rPr>
        <w:t>2015): 23 </w:t>
      </w:r>
      <w:r w:rsidRPr="00C238B4">
        <w:rPr>
          <w:lang w:val="fr-CH"/>
        </w:rPr>
        <w:t>180</w:t>
      </w:r>
    </w:p>
    <w:p w:rsidR="000642BB" w:rsidRDefault="000642BB" w:rsidP="002D5B0A">
      <w:pPr>
        <w:pStyle w:val="enumlev1"/>
      </w:pPr>
      <w:r w:rsidRPr="0046647B">
        <w:t>–</w:t>
      </w:r>
      <w:r>
        <w:tab/>
      </w:r>
      <w:r w:rsidRPr="00BF0139">
        <w:t>Nombre de pages traitées (jusqu</w:t>
      </w:r>
      <w:r w:rsidR="0025212F">
        <w:t>'</w:t>
      </w:r>
      <w:r w:rsidRPr="00BF0139">
        <w:t xml:space="preserve">en </w:t>
      </w:r>
      <w:r w:rsidR="00694150">
        <w:t>juin </w:t>
      </w:r>
      <w:r w:rsidRPr="00276074">
        <w:t>201</w:t>
      </w:r>
      <w:r>
        <w:t>5</w:t>
      </w:r>
      <w:r w:rsidRPr="00276074">
        <w:t xml:space="preserve">): </w:t>
      </w:r>
      <w:r w:rsidR="008369B3">
        <w:t>316 </w:t>
      </w:r>
      <w:r>
        <w:t>210</w:t>
      </w:r>
    </w:p>
    <w:p w:rsidR="000642BB" w:rsidRPr="00BC646B" w:rsidRDefault="000642BB" w:rsidP="002D5B0A">
      <w:pPr>
        <w:pStyle w:val="enumlev1"/>
        <w:rPr>
          <w:szCs w:val="24"/>
        </w:rPr>
      </w:pPr>
      <w:r w:rsidRPr="0046647B">
        <w:t>–</w:t>
      </w:r>
      <w:r>
        <w:tab/>
      </w:r>
      <w:r w:rsidRPr="00BF0139">
        <w:t>Nombre de réunions</w:t>
      </w:r>
      <w:r w:rsidRPr="00BC646B">
        <w:rPr>
          <w:szCs w:val="24"/>
        </w:rPr>
        <w:t xml:space="preserve">: </w:t>
      </w:r>
      <w:r>
        <w:rPr>
          <w:bCs/>
          <w:szCs w:val="24"/>
        </w:rPr>
        <w:t>168</w:t>
      </w:r>
    </w:p>
    <w:p w:rsidR="000642BB" w:rsidRPr="00BC646B" w:rsidRDefault="000642BB" w:rsidP="002D5B0A">
      <w:pPr>
        <w:pStyle w:val="enumlev1"/>
        <w:rPr>
          <w:szCs w:val="24"/>
        </w:rPr>
      </w:pPr>
      <w:r w:rsidRPr="0046647B">
        <w:t>–</w:t>
      </w:r>
      <w:r>
        <w:tab/>
      </w:r>
      <w:r w:rsidRPr="00BF0139">
        <w:t>Nombre de jours de réunion</w:t>
      </w:r>
      <w:r w:rsidRPr="00BC646B">
        <w:rPr>
          <w:szCs w:val="24"/>
        </w:rPr>
        <w:t xml:space="preserve"> (total): </w:t>
      </w:r>
      <w:r>
        <w:rPr>
          <w:bCs/>
          <w:szCs w:val="24"/>
        </w:rPr>
        <w:t>898</w:t>
      </w:r>
    </w:p>
    <w:p w:rsidR="000642BB" w:rsidRPr="000D1D98" w:rsidRDefault="000642BB" w:rsidP="002D5B0A">
      <w:pPr>
        <w:pStyle w:val="enumlev1"/>
        <w:rPr>
          <w:bCs/>
          <w:spacing w:val="-4"/>
          <w:szCs w:val="24"/>
        </w:rPr>
      </w:pPr>
      <w:r w:rsidRPr="0046647B">
        <w:t>–</w:t>
      </w:r>
      <w:r>
        <w:tab/>
      </w:r>
      <w:r w:rsidRPr="000D1D98">
        <w:rPr>
          <w:spacing w:val="-4"/>
        </w:rPr>
        <w:t>Nombre de jours pendant lesquels les réunions ont eu lieu</w:t>
      </w:r>
      <w:r w:rsidRPr="000D1D98">
        <w:rPr>
          <w:spacing w:val="-4"/>
          <w:szCs w:val="24"/>
        </w:rPr>
        <w:t xml:space="preserve"> (</w:t>
      </w:r>
      <w:r w:rsidRPr="000D1D98">
        <w:rPr>
          <w:spacing w:val="-4"/>
        </w:rPr>
        <w:t xml:space="preserve">jours de </w:t>
      </w:r>
      <w:r w:rsidRPr="000D1D98">
        <w:rPr>
          <w:color w:val="000000"/>
          <w:spacing w:val="-4"/>
        </w:rPr>
        <w:t>réunions groupées</w:t>
      </w:r>
      <w:r w:rsidRPr="000D1D98">
        <w:rPr>
          <w:spacing w:val="-4"/>
          <w:szCs w:val="24"/>
        </w:rPr>
        <w:t xml:space="preserve">): </w:t>
      </w:r>
      <w:r w:rsidRPr="000D1D98">
        <w:rPr>
          <w:bCs/>
          <w:spacing w:val="-4"/>
          <w:szCs w:val="24"/>
        </w:rPr>
        <w:t>440</w:t>
      </w:r>
    </w:p>
    <w:p w:rsidR="000642BB" w:rsidRDefault="000642BB" w:rsidP="005E3CD4">
      <w:pPr>
        <w:pStyle w:val="enumlev1"/>
        <w:rPr>
          <w:lang w:val="fr-CH"/>
        </w:rPr>
      </w:pPr>
      <w:r w:rsidRPr="0046647B">
        <w:t>–</w:t>
      </w:r>
      <w:r>
        <w:tab/>
        <w:t>Nombre moyen de</w:t>
      </w:r>
      <w:r w:rsidR="00E45ADF">
        <w:t xml:space="preserve"> participants aux réunions des </w:t>
      </w:r>
      <w:r w:rsidR="005E3CD4">
        <w:t>c</w:t>
      </w:r>
      <w:r>
        <w:t>ommissions d</w:t>
      </w:r>
      <w:r w:rsidR="0025212F">
        <w:t>'</w:t>
      </w:r>
      <w:r>
        <w:t>études et des groupes de travail: 129</w:t>
      </w:r>
    </w:p>
    <w:p w:rsidR="000642BB" w:rsidRPr="00596EA9" w:rsidRDefault="000642BB" w:rsidP="002D5B0A">
      <w:pPr>
        <w:pStyle w:val="enumlev1"/>
        <w:rPr>
          <w:lang w:val="fr-CH"/>
        </w:rPr>
      </w:pPr>
      <w:r w:rsidRPr="0046647B">
        <w:t>–</w:t>
      </w:r>
      <w:r>
        <w:tab/>
        <w:t>Nombre de Recommandations approuvées (jusqu</w:t>
      </w:r>
      <w:r w:rsidR="0025212F">
        <w:t>'</w:t>
      </w:r>
      <w:r w:rsidR="00694150">
        <w:t>en juin </w:t>
      </w:r>
      <w:r w:rsidRPr="00276074">
        <w:t>201</w:t>
      </w:r>
      <w:r>
        <w:t>5</w:t>
      </w:r>
      <w:r w:rsidRPr="00276074">
        <w:t>):</w:t>
      </w:r>
      <w:r>
        <w:t xml:space="preserve"> 254</w:t>
      </w:r>
    </w:p>
    <w:p w:rsidR="000642BB" w:rsidRDefault="000642BB" w:rsidP="002D5B0A">
      <w:pPr>
        <w:pStyle w:val="enumlev1"/>
      </w:pPr>
      <w:r w:rsidRPr="0046647B">
        <w:t>–</w:t>
      </w:r>
      <w:r>
        <w:tab/>
      </w:r>
      <w:r w:rsidRPr="00BF0139">
        <w:t xml:space="preserve">Nombre de </w:t>
      </w:r>
      <w:r>
        <w:t>r</w:t>
      </w:r>
      <w:r w:rsidRPr="00BF0139">
        <w:t>apports établis sous leur forme finale (</w:t>
      </w:r>
      <w:r w:rsidR="00694150">
        <w:t>jusqu</w:t>
      </w:r>
      <w:r w:rsidR="0025212F">
        <w:t>'</w:t>
      </w:r>
      <w:r w:rsidR="00694150">
        <w:t>en </w:t>
      </w:r>
      <w:r>
        <w:t xml:space="preserve">juin </w:t>
      </w:r>
      <w:r w:rsidRPr="00276074">
        <w:t>201</w:t>
      </w:r>
      <w:r>
        <w:t>5</w:t>
      </w:r>
      <w:r w:rsidRPr="00BF0139">
        <w:t xml:space="preserve">): </w:t>
      </w:r>
      <w:r w:rsidRPr="00596EA9">
        <w:rPr>
          <w:lang w:val="fr-CH"/>
        </w:rPr>
        <w:t>1</w:t>
      </w:r>
      <w:r>
        <w:rPr>
          <w:lang w:val="fr-CH"/>
        </w:rPr>
        <w:t>4</w:t>
      </w:r>
      <w:r w:rsidRPr="00596EA9">
        <w:rPr>
          <w:lang w:val="fr-CH"/>
        </w:rPr>
        <w:t>7</w:t>
      </w:r>
    </w:p>
    <w:p w:rsidR="000642BB" w:rsidRDefault="000642BB" w:rsidP="002D5B0A">
      <w:pPr>
        <w:pStyle w:val="enumlev1"/>
        <w:rPr>
          <w:lang w:val="fr-CH"/>
        </w:rPr>
      </w:pPr>
      <w:r w:rsidRPr="0046647B">
        <w:t>–</w:t>
      </w:r>
      <w:r>
        <w:tab/>
      </w:r>
      <w:r w:rsidRPr="00BF0139">
        <w:t>Nombre de Manuels établis sous leur forme finale (</w:t>
      </w:r>
      <w:r>
        <w:t>jusqu</w:t>
      </w:r>
      <w:r w:rsidR="0025212F">
        <w:t>'</w:t>
      </w:r>
      <w:r>
        <w:t>en</w:t>
      </w:r>
      <w:r w:rsidR="00694150">
        <w:t> </w:t>
      </w:r>
      <w:r>
        <w:t xml:space="preserve">juin </w:t>
      </w:r>
      <w:r w:rsidRPr="00276074">
        <w:t>201</w:t>
      </w:r>
      <w:r>
        <w:t>5</w:t>
      </w:r>
      <w:r w:rsidRPr="00BF0139">
        <w:t xml:space="preserve">): </w:t>
      </w:r>
      <w:r w:rsidRPr="00596EA9">
        <w:rPr>
          <w:lang w:val="fr-CH"/>
        </w:rPr>
        <w:t>10</w:t>
      </w:r>
    </w:p>
    <w:p w:rsidR="000D6B27" w:rsidRDefault="000D6B27" w:rsidP="005E3CD4">
      <w:pPr>
        <w:pStyle w:val="enumlev1"/>
        <w:tabs>
          <w:tab w:val="clear" w:pos="1134"/>
        </w:tabs>
        <w:ind w:left="0" w:firstLine="0"/>
        <w:rPr>
          <w:lang w:val="fr-CH"/>
        </w:rPr>
      </w:pPr>
      <w:r>
        <w:rPr>
          <w:lang w:val="fr-CH"/>
        </w:rPr>
        <w:t xml:space="preserve">Le tableau ci-dessous </w:t>
      </w:r>
      <w:r w:rsidR="00D110E8">
        <w:rPr>
          <w:lang w:val="fr-CH"/>
        </w:rPr>
        <w:t>présente</w:t>
      </w:r>
      <w:r>
        <w:rPr>
          <w:lang w:val="fr-CH"/>
        </w:rPr>
        <w:t xml:space="preserve"> le nombre total de réunions </w:t>
      </w:r>
      <w:r w:rsidR="00EB77F2">
        <w:rPr>
          <w:lang w:val="fr-CH"/>
        </w:rPr>
        <w:t>et de j</w:t>
      </w:r>
      <w:r w:rsidR="00DF5B54">
        <w:rPr>
          <w:lang w:val="fr-CH"/>
        </w:rPr>
        <w:t xml:space="preserve">ours de réunion des </w:t>
      </w:r>
      <w:r w:rsidR="005E3CD4">
        <w:rPr>
          <w:lang w:val="fr-CH"/>
        </w:rPr>
        <w:t>c</w:t>
      </w:r>
      <w:r w:rsidR="00EB77F2">
        <w:rPr>
          <w:lang w:val="fr-CH"/>
        </w:rPr>
        <w:t>ommissions d</w:t>
      </w:r>
      <w:r w:rsidR="0025212F">
        <w:rPr>
          <w:lang w:val="fr-CH"/>
        </w:rPr>
        <w:t>'</w:t>
      </w:r>
      <w:r w:rsidR="00EB77F2">
        <w:rPr>
          <w:lang w:val="fr-CH"/>
        </w:rPr>
        <w:t>études et</w:t>
      </w:r>
      <w:r w:rsidR="00DF5B54">
        <w:rPr>
          <w:lang w:val="fr-CH"/>
        </w:rPr>
        <w:t xml:space="preserve"> des </w:t>
      </w:r>
      <w:r w:rsidR="005E3CD4">
        <w:rPr>
          <w:lang w:val="fr-CH"/>
        </w:rPr>
        <w:t>g</w:t>
      </w:r>
      <w:r w:rsidR="00DF5B54">
        <w:rPr>
          <w:lang w:val="fr-CH"/>
        </w:rPr>
        <w:t>roupes de travail/</w:t>
      </w:r>
      <w:r w:rsidR="005E3CD4">
        <w:rPr>
          <w:lang w:val="fr-CH"/>
        </w:rPr>
        <w:t>g</w:t>
      </w:r>
      <w:r w:rsidR="00DF5B54">
        <w:rPr>
          <w:lang w:val="fr-CH"/>
        </w:rPr>
        <w:t>roupes d</w:t>
      </w:r>
      <w:r w:rsidR="0025212F">
        <w:rPr>
          <w:lang w:val="fr-CH"/>
        </w:rPr>
        <w:t>'</w:t>
      </w:r>
      <w:r w:rsidR="00DF5B54">
        <w:rPr>
          <w:lang w:val="fr-CH"/>
        </w:rPr>
        <w:t>action associés.</w:t>
      </w:r>
    </w:p>
    <w:p w:rsidR="00BE0F92" w:rsidRDefault="003D54FF" w:rsidP="002D5B0A">
      <w:r>
        <w:rPr>
          <w:noProof/>
          <w:sz w:val="20"/>
          <w:lang w:val="en-US" w:eastAsia="zh-CN"/>
        </w:rPr>
        <mc:AlternateContent>
          <mc:Choice Requires="wps">
            <w:drawing>
              <wp:anchor distT="0" distB="0" distL="114300" distR="114300" simplePos="0" relativeHeight="251658752" behindDoc="0" locked="0" layoutInCell="1" allowOverlap="1" wp14:anchorId="72F7F692" wp14:editId="2DBB228C">
                <wp:simplePos x="0" y="0"/>
                <wp:positionH relativeFrom="column">
                  <wp:posOffset>3420589</wp:posOffset>
                </wp:positionH>
                <wp:positionV relativeFrom="paragraph">
                  <wp:posOffset>3212309</wp:posOffset>
                </wp:positionV>
                <wp:extent cx="2087401" cy="189494"/>
                <wp:effectExtent l="0" t="0" r="8255"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401" cy="189494"/>
                        </a:xfrm>
                        <a:prstGeom prst="rect">
                          <a:avLst/>
                        </a:prstGeom>
                        <a:solidFill>
                          <a:srgbClr val="FFFFFF"/>
                        </a:solidFill>
                        <a:ln w="9525">
                          <a:noFill/>
                          <a:miter lim="800000"/>
                          <a:headEnd/>
                          <a:tailEnd/>
                        </a:ln>
                      </wps:spPr>
                      <wps:txbx>
                        <w:txbxContent>
                          <w:p w:rsidR="000D1D98" w:rsidRPr="003D54FF" w:rsidRDefault="000D1D98" w:rsidP="003D54FF">
                            <w:pPr>
                              <w:spacing w:before="0"/>
                              <w:jc w:val="center"/>
                              <w:rPr>
                                <w:b/>
                                <w:bCs/>
                                <w:sz w:val="22"/>
                                <w:szCs w:val="22"/>
                                <w:lang w:val="fr-CH"/>
                              </w:rPr>
                            </w:pPr>
                            <w:r w:rsidRPr="003D54FF">
                              <w:rPr>
                                <w:b/>
                                <w:bCs/>
                                <w:sz w:val="22"/>
                                <w:szCs w:val="22"/>
                                <w:lang w:val="fr-CH"/>
                              </w:rPr>
                              <w:t>Nombre de jours de réunion</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type w14:anchorId="72F7F692" id="_x0000_t202" coordsize="21600,21600" o:spt="202" path="m,l,21600r21600,l21600,xe">
                <v:stroke joinstyle="miter"/>
                <v:path gradientshapeok="t" o:connecttype="rect"/>
              </v:shapetype>
              <v:shape id="Text Box 2" o:spid="_x0000_s1026" type="#_x0000_t202" style="position:absolute;margin-left:269.35pt;margin-top:252.95pt;width:164.35pt;height:14.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" stroked="f">
                <v:textbox inset="0,0,0,0">
                  <w:txbxContent>
                    <w:p w:rsidR="000D1D98" w:rsidRPr="003D54FF" w:rsidRDefault="000D1D98" w:rsidP="003D54FF">
                      <w:pPr>
                        <w:spacing w:before="0"/>
                        <w:jc w:val="center"/>
                        <w:rPr>
                          <w:b/>
                          <w:bCs/>
                          <w:sz w:val="22"/>
                          <w:szCs w:val="22"/>
                          <w:lang w:val="fr-CH"/>
                        </w:rPr>
                      </w:pPr>
                      <w:r w:rsidRPr="003D54FF">
                        <w:rPr>
                          <w:b/>
                          <w:bCs/>
                          <w:sz w:val="22"/>
                          <w:szCs w:val="22"/>
                          <w:lang w:val="fr-CH"/>
                        </w:rPr>
                        <w:t>Nombre de jours de réunion</w:t>
                      </w:r>
                    </w:p>
                  </w:txbxContent>
                </v:textbox>
              </v:shape>
            </w:pict>
          </mc:Fallback>
        </mc:AlternateContent>
      </w:r>
      <w:r>
        <w:rPr>
          <w:noProof/>
          <w:lang w:val="en-US" w:eastAsia="zh-CN"/>
        </w:rPr>
        <mc:AlternateContent>
          <mc:Choice Requires="wps">
            <w:drawing>
              <wp:anchor distT="0" distB="0" distL="114300" distR="114300" simplePos="0" relativeHeight="251659776" behindDoc="0" locked="0" layoutInCell="1" allowOverlap="1" wp14:anchorId="1B33ED57" wp14:editId="3224F614">
                <wp:simplePos x="0" y="0"/>
                <wp:positionH relativeFrom="column">
                  <wp:posOffset>1462393</wp:posOffset>
                </wp:positionH>
                <wp:positionV relativeFrom="paragraph">
                  <wp:posOffset>3203683</wp:posOffset>
                </wp:positionV>
                <wp:extent cx="1630045" cy="198383"/>
                <wp:effectExtent l="0" t="0" r="825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98383"/>
                        </a:xfrm>
                        <a:prstGeom prst="rect">
                          <a:avLst/>
                        </a:prstGeom>
                        <a:solidFill>
                          <a:srgbClr val="FFFFFF"/>
                        </a:solidFill>
                        <a:ln w="9525">
                          <a:noFill/>
                          <a:miter lim="800000"/>
                          <a:headEnd/>
                          <a:tailEnd/>
                        </a:ln>
                      </wps:spPr>
                      <wps:txbx>
                        <w:txbxContent>
                          <w:p w:rsidR="000D1D98" w:rsidRPr="003D54FF" w:rsidRDefault="000D1D98" w:rsidP="003D54FF">
                            <w:pPr>
                              <w:spacing w:before="0" w:after="60"/>
                              <w:jc w:val="center"/>
                              <w:rPr>
                                <w:b/>
                                <w:bCs/>
                                <w:sz w:val="22"/>
                                <w:szCs w:val="22"/>
                                <w:lang w:val="fr-CH"/>
                              </w:rPr>
                            </w:pPr>
                            <w:r w:rsidRPr="003D54FF">
                              <w:rPr>
                                <w:b/>
                                <w:bCs/>
                                <w:sz w:val="22"/>
                                <w:szCs w:val="22"/>
                                <w:lang w:val="fr-CH"/>
                              </w:rPr>
                              <w:t>Nombre de réunions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3ED57" id="_x0000_s1027" type="#_x0000_t202" style="position:absolute;margin-left:115.15pt;margin-top:252.25pt;width:128.3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" stroked="f">
                <v:textbox inset="0,0,0,0">
                  <w:txbxContent>
                    <w:p w:rsidR="000D1D98" w:rsidRPr="003D54FF" w:rsidRDefault="000D1D98" w:rsidP="003D54FF">
                      <w:pPr>
                        <w:spacing w:before="0" w:after="60"/>
                        <w:jc w:val="center"/>
                        <w:rPr>
                          <w:b/>
                          <w:bCs/>
                          <w:sz w:val="22"/>
                          <w:szCs w:val="22"/>
                          <w:lang w:val="fr-CH"/>
                        </w:rPr>
                      </w:pPr>
                      <w:r w:rsidRPr="003D54FF">
                        <w:rPr>
                          <w:b/>
                          <w:bCs/>
                          <w:sz w:val="22"/>
                          <w:szCs w:val="22"/>
                          <w:lang w:val="fr-CH"/>
                        </w:rPr>
                        <w:t>Nombre de réunions</w:t>
                      </w:r>
                    </w:p>
                  </w:txbxContent>
                </v:textbox>
              </v:shape>
            </w:pict>
          </mc:Fallback>
        </mc:AlternateContent>
      </w:r>
      <w:r>
        <w:rPr>
          <w:noProof/>
          <w:sz w:val="20"/>
          <w:lang w:val="en-US" w:eastAsia="zh-CN"/>
        </w:rPr>
        <mc:AlternateContent>
          <mc:Choice Requires="wps">
            <w:drawing>
              <wp:anchor distT="0" distB="0" distL="114300" distR="114300" simplePos="0" relativeHeight="251654656" behindDoc="0" locked="0" layoutInCell="1" allowOverlap="1" wp14:anchorId="6EF35F66" wp14:editId="099FBB1A">
                <wp:simplePos x="0" y="0"/>
                <wp:positionH relativeFrom="column">
                  <wp:posOffset>1082831</wp:posOffset>
                </wp:positionH>
                <wp:positionV relativeFrom="paragraph">
                  <wp:posOffset>89547</wp:posOffset>
                </wp:positionV>
                <wp:extent cx="4018915" cy="585470"/>
                <wp:effectExtent l="0" t="0" r="63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585470"/>
                        </a:xfrm>
                        <a:prstGeom prst="rect">
                          <a:avLst/>
                        </a:prstGeom>
                        <a:solidFill>
                          <a:srgbClr val="FFFFFF"/>
                        </a:solidFill>
                        <a:ln w="9525">
                          <a:noFill/>
                          <a:miter lim="800000"/>
                          <a:headEnd/>
                          <a:tailEnd/>
                        </a:ln>
                      </wps:spPr>
                      <wps:txbx>
                        <w:txbxContent>
                          <w:p w:rsidR="000D1D98" w:rsidRPr="007B1DF1" w:rsidRDefault="000D1D98" w:rsidP="007B1DF1">
                            <w:pPr>
                              <w:jc w:val="center"/>
                              <w:rPr>
                                <w:b/>
                                <w:bCs/>
                                <w:sz w:val="28"/>
                                <w:szCs w:val="28"/>
                                <w:lang w:val="fr-CH"/>
                              </w:rPr>
                            </w:pPr>
                            <w:r w:rsidRPr="007B1DF1">
                              <w:rPr>
                                <w:b/>
                                <w:bCs/>
                                <w:sz w:val="28"/>
                                <w:szCs w:val="28"/>
                                <w:lang w:val="fr-CH"/>
                              </w:rPr>
                              <w:t>Nombre total de réunions et de jours de réunion pour la période d</w:t>
                            </w:r>
                            <w:r w:rsidR="0025212F">
                              <w:rPr>
                                <w:b/>
                                <w:bCs/>
                                <w:sz w:val="28"/>
                                <w:szCs w:val="28"/>
                                <w:lang w:val="fr-CH"/>
                              </w:rPr>
                              <w:t>'</w:t>
                            </w:r>
                            <w:r w:rsidRPr="007B1DF1">
                              <w:rPr>
                                <w:b/>
                                <w:bCs/>
                                <w:sz w:val="28"/>
                                <w:szCs w:val="28"/>
                                <w:lang w:val="fr-CH"/>
                              </w:rPr>
                              <w:t>études 2012-2015</w:t>
                            </w:r>
                          </w:p>
                        </w:txbxContent>
                      </wps:txbx>
                      <wps:bodyPr rot="0" vert="horz" wrap="square" lIns="91440" tIns="45720" rIns="91440" bIns="45720" anchor="t" anchorCtr="0">
                        <a:spAutoFit/>
                      </wps:bodyPr>
                    </wps:wsp>
                  </a:graphicData>
                </a:graphic>
              </wp:anchor>
            </w:drawing>
          </mc:Choice>
          <mc:Fallback>
            <w:pict>
              <v:shape w14:anchorId="6EF35F66" id="_x0000_s1028" type="#_x0000_t202" style="position:absolute;margin-left:85.25pt;margin-top:7.05pt;width:316.45pt;height:46.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" stroked="f">
                <v:textbox style="mso-fit-shape-to-text:t">
                  <w:txbxContent>
                    <w:p w:rsidR="000D1D98" w:rsidRPr="007B1DF1" w:rsidRDefault="000D1D98" w:rsidP="007B1DF1">
                      <w:pPr>
                        <w:jc w:val="center"/>
                        <w:rPr>
                          <w:b/>
                          <w:bCs/>
                          <w:sz w:val="28"/>
                          <w:szCs w:val="28"/>
                          <w:lang w:val="fr-CH"/>
                        </w:rPr>
                      </w:pPr>
                      <w:r w:rsidRPr="007B1DF1">
                        <w:rPr>
                          <w:b/>
                          <w:bCs/>
                          <w:sz w:val="28"/>
                          <w:szCs w:val="28"/>
                          <w:lang w:val="fr-CH"/>
                        </w:rPr>
                        <w:t>Nombre total de réunions et de jours de réunion pour la période d</w:t>
                      </w:r>
                      <w:r w:rsidR="0025212F">
                        <w:rPr>
                          <w:b/>
                          <w:bCs/>
                          <w:sz w:val="28"/>
                          <w:szCs w:val="28"/>
                          <w:lang w:val="fr-CH"/>
                        </w:rPr>
                        <w:t>'</w:t>
                      </w:r>
                      <w:r w:rsidRPr="007B1DF1">
                        <w:rPr>
                          <w:b/>
                          <w:bCs/>
                          <w:sz w:val="28"/>
                          <w:szCs w:val="28"/>
                          <w:lang w:val="fr-CH"/>
                        </w:rPr>
                        <w:t>études 2012-2015</w:t>
                      </w:r>
                    </w:p>
                  </w:txbxContent>
                </v:textbox>
              </v:shape>
            </w:pict>
          </mc:Fallback>
        </mc:AlternateContent>
      </w:r>
      <w:r>
        <w:rPr>
          <w:noProof/>
          <w:sz w:val="20"/>
          <w:lang w:val="en-US" w:eastAsia="zh-CN"/>
        </w:rPr>
        <mc:AlternateContent>
          <mc:Choice Requires="wps">
            <w:drawing>
              <wp:anchor distT="0" distB="0" distL="114300" distR="114300" simplePos="0" relativeHeight="251655680" behindDoc="0" locked="0" layoutInCell="1" allowOverlap="1" wp14:anchorId="4FD98F6A" wp14:editId="685FAD79">
                <wp:simplePos x="0" y="0"/>
                <wp:positionH relativeFrom="column">
                  <wp:posOffset>4041691</wp:posOffset>
                </wp:positionH>
                <wp:positionV relativeFrom="paragraph">
                  <wp:posOffset>2858627</wp:posOffset>
                </wp:positionV>
                <wp:extent cx="284480" cy="263729"/>
                <wp:effectExtent l="0" t="0" r="127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3729"/>
                        </a:xfrm>
                        <a:prstGeom prst="rect">
                          <a:avLst/>
                        </a:prstGeom>
                        <a:solidFill>
                          <a:srgbClr val="FFFFFF"/>
                        </a:solidFill>
                        <a:ln w="9525">
                          <a:noFill/>
                          <a:miter lim="800000"/>
                          <a:headEnd/>
                          <a:tailEnd/>
                        </a:ln>
                      </wps:spPr>
                      <wps:txbx>
                        <w:txbxContent>
                          <w:p w:rsidR="000D1D98" w:rsidRPr="007B1DF1" w:rsidRDefault="000D1D98" w:rsidP="004336F6">
                            <w:pPr>
                              <w:jc w:val="center"/>
                              <w:rPr>
                                <w:sz w:val="28"/>
                                <w:szCs w:val="28"/>
                                <w:lang w:val="fr-CH"/>
                              </w:rPr>
                            </w:pPr>
                            <w:r w:rsidRPr="007B1DF1">
                              <w:rPr>
                                <w:sz w:val="28"/>
                                <w:szCs w:val="28"/>
                                <w:lang w:val="fr-CH"/>
                              </w:rPr>
                              <w:t>CS</w:t>
                            </w:r>
                          </w:p>
                        </w:txbxContent>
                      </wps:txbx>
                      <wps:bodyPr rot="0" vert="horz" wrap="square" lIns="0" tIns="0" rIns="0" bIns="0" anchor="t" anchorCtr="0">
                        <a:noAutofit/>
                      </wps:bodyPr>
                    </wps:wsp>
                  </a:graphicData>
                </a:graphic>
              </wp:anchor>
            </w:drawing>
          </mc:Choice>
          <mc:Fallback>
            <w:pict>
              <v:shape w14:anchorId="4FD98F6A" id="_x0000_s1029" type="#_x0000_t202" style="position:absolute;margin-left:318.25pt;margin-top:225.1pt;width:22.4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" stroked="f">
                <v:textbox inset="0,0,0,0">
                  <w:txbxContent>
                    <w:p w:rsidR="000D1D98" w:rsidRPr="007B1DF1" w:rsidRDefault="000D1D98" w:rsidP="004336F6">
                      <w:pPr>
                        <w:jc w:val="center"/>
                        <w:rPr>
                          <w:sz w:val="28"/>
                          <w:szCs w:val="28"/>
                          <w:lang w:val="fr-CH"/>
                        </w:rPr>
                      </w:pPr>
                      <w:r w:rsidRPr="007B1DF1">
                        <w:rPr>
                          <w:sz w:val="28"/>
                          <w:szCs w:val="28"/>
                          <w:lang w:val="fr-CH"/>
                        </w:rPr>
                        <w:t>CS</w:t>
                      </w:r>
                    </w:p>
                  </w:txbxContent>
                </v:textbox>
              </v:shape>
            </w:pict>
          </mc:Fallback>
        </mc:AlternateContent>
      </w:r>
      <w:r>
        <w:rPr>
          <w:noProof/>
          <w:sz w:val="20"/>
          <w:lang w:val="en-US" w:eastAsia="zh-CN"/>
        </w:rPr>
        <mc:AlternateContent>
          <mc:Choice Requires="wps">
            <w:drawing>
              <wp:anchor distT="0" distB="0" distL="114300" distR="114300" simplePos="0" relativeHeight="251656704" behindDoc="0" locked="0" layoutInCell="1" allowOverlap="1" wp14:anchorId="398EDE3D" wp14:editId="38F0977D">
                <wp:simplePos x="0" y="0"/>
                <wp:positionH relativeFrom="column">
                  <wp:posOffset>4378121</wp:posOffset>
                </wp:positionH>
                <wp:positionV relativeFrom="paragraph">
                  <wp:posOffset>2858627</wp:posOffset>
                </wp:positionV>
                <wp:extent cx="431165" cy="256433"/>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56433"/>
                        </a:xfrm>
                        <a:prstGeom prst="rect">
                          <a:avLst/>
                        </a:prstGeom>
                        <a:solidFill>
                          <a:srgbClr val="FFFFFF"/>
                        </a:solidFill>
                        <a:ln w="9525">
                          <a:noFill/>
                          <a:miter lim="800000"/>
                          <a:headEnd/>
                          <a:tailEnd/>
                        </a:ln>
                      </wps:spPr>
                      <wps:txbx>
                        <w:txbxContent>
                          <w:p w:rsidR="000D1D98" w:rsidRPr="007B1DF1" w:rsidRDefault="000D1D98" w:rsidP="004336F6">
                            <w:pPr>
                              <w:jc w:val="center"/>
                              <w:rPr>
                                <w:sz w:val="28"/>
                                <w:szCs w:val="28"/>
                                <w:lang w:val="fr-CH"/>
                              </w:rPr>
                            </w:pPr>
                            <w:r>
                              <w:rPr>
                                <w:sz w:val="28"/>
                                <w:szCs w:val="28"/>
                                <w:lang w:val="fr-CH"/>
                              </w:rPr>
                              <w:t>RPC</w:t>
                            </w:r>
                          </w:p>
                        </w:txbxContent>
                      </wps:txbx>
                      <wps:bodyPr rot="0" vert="horz" wrap="square" lIns="0" tIns="0" rIns="0" bIns="0" anchor="t" anchorCtr="0">
                        <a:noAutofit/>
                      </wps:bodyPr>
                    </wps:wsp>
                  </a:graphicData>
                </a:graphic>
              </wp:anchor>
            </w:drawing>
          </mc:Choice>
          <mc:Fallback>
            <w:pict>
              <v:shape w14:anchorId="398EDE3D" id="_x0000_s1030" type="#_x0000_t202" style="position:absolute;margin-left:344.75pt;margin-top:225.1pt;width:33.95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" stroked="f">
                <v:textbox inset="0,0,0,0">
                  <w:txbxContent>
                    <w:p w:rsidR="000D1D98" w:rsidRPr="007B1DF1" w:rsidRDefault="000D1D98" w:rsidP="004336F6">
                      <w:pPr>
                        <w:jc w:val="center"/>
                        <w:rPr>
                          <w:sz w:val="28"/>
                          <w:szCs w:val="28"/>
                          <w:lang w:val="fr-CH"/>
                        </w:rPr>
                      </w:pPr>
                      <w:r>
                        <w:rPr>
                          <w:sz w:val="28"/>
                          <w:szCs w:val="28"/>
                          <w:lang w:val="fr-CH"/>
                        </w:rPr>
                        <w:t>RPC</w:t>
                      </w:r>
                    </w:p>
                  </w:txbxContent>
                </v:textbox>
              </v:shape>
            </w:pict>
          </mc:Fallback>
        </mc:AlternateContent>
      </w:r>
      <w:r>
        <w:rPr>
          <w:noProof/>
          <w:sz w:val="20"/>
          <w:lang w:val="en-US" w:eastAsia="zh-CN"/>
        </w:rPr>
        <mc:AlternateContent>
          <mc:Choice Requires="wps">
            <w:drawing>
              <wp:anchor distT="0" distB="0" distL="114300" distR="114300" simplePos="0" relativeHeight="251657728" behindDoc="0" locked="0" layoutInCell="1" allowOverlap="1" wp14:anchorId="00F05B46" wp14:editId="1FEA3D23">
                <wp:simplePos x="0" y="0"/>
                <wp:positionH relativeFrom="column">
                  <wp:posOffset>4809442</wp:posOffset>
                </wp:positionH>
                <wp:positionV relativeFrom="paragraph">
                  <wp:posOffset>2858627</wp:posOffset>
                </wp:positionV>
                <wp:extent cx="551815" cy="274205"/>
                <wp:effectExtent l="0" t="0" r="63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74205"/>
                        </a:xfrm>
                        <a:prstGeom prst="rect">
                          <a:avLst/>
                        </a:prstGeom>
                        <a:solidFill>
                          <a:srgbClr val="FFFFFF"/>
                        </a:solidFill>
                        <a:ln w="9525">
                          <a:noFill/>
                          <a:miter lim="800000"/>
                          <a:headEnd/>
                          <a:tailEnd/>
                        </a:ln>
                      </wps:spPr>
                      <wps:txbx>
                        <w:txbxContent>
                          <w:p w:rsidR="000D1D98" w:rsidRPr="007B1DF1" w:rsidRDefault="000D1D98" w:rsidP="004336F6">
                            <w:pPr>
                              <w:jc w:val="center"/>
                              <w:rPr>
                                <w:sz w:val="28"/>
                                <w:szCs w:val="28"/>
                                <w:lang w:val="fr-CH"/>
                              </w:rPr>
                            </w:pPr>
                            <w:r>
                              <w:rPr>
                                <w:sz w:val="28"/>
                                <w:szCs w:val="28"/>
                                <w:lang w:val="fr-CH"/>
                              </w:rPr>
                              <w:t>Autres</w:t>
                            </w:r>
                          </w:p>
                        </w:txbxContent>
                      </wps:txbx>
                      <wps:bodyPr rot="0" vert="horz" wrap="square" lIns="0" tIns="0" rIns="0" bIns="0" anchor="t" anchorCtr="0">
                        <a:noAutofit/>
                      </wps:bodyPr>
                    </wps:wsp>
                  </a:graphicData>
                </a:graphic>
              </wp:anchor>
            </w:drawing>
          </mc:Choice>
          <mc:Fallback>
            <w:pict>
              <v:shape w14:anchorId="00F05B46" id="_x0000_s1031" type="#_x0000_t202" style="position:absolute;margin-left:378.7pt;margin-top:225.1pt;width:43.45pt;height:21.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" stroked="f">
                <v:textbox inset="0,0,0,0">
                  <w:txbxContent>
                    <w:p w:rsidR="000D1D98" w:rsidRPr="007B1DF1" w:rsidRDefault="000D1D98" w:rsidP="004336F6">
                      <w:pPr>
                        <w:jc w:val="center"/>
                        <w:rPr>
                          <w:sz w:val="28"/>
                          <w:szCs w:val="28"/>
                          <w:lang w:val="fr-CH"/>
                        </w:rPr>
                      </w:pPr>
                      <w:r>
                        <w:rPr>
                          <w:sz w:val="28"/>
                          <w:szCs w:val="28"/>
                          <w:lang w:val="fr-CH"/>
                        </w:rPr>
                        <w:t>Autres</w:t>
                      </w:r>
                    </w:p>
                  </w:txbxContent>
                </v:textbox>
              </v:shape>
            </w:pict>
          </mc:Fallback>
        </mc:AlternateContent>
      </w:r>
      <w:r w:rsidR="004336F6" w:rsidRPr="007B1DF1">
        <w:rPr>
          <w:noProof/>
          <w:sz w:val="20"/>
          <w:lang w:val="en-US" w:eastAsia="zh-CN"/>
        </w:rPr>
        <mc:AlternateContent>
          <mc:Choice Requires="wps">
            <w:drawing>
              <wp:anchor distT="45720" distB="45720" distL="114300" distR="114300" simplePos="0" relativeHeight="251653632" behindDoc="0" locked="0" layoutInCell="1" allowOverlap="1" wp14:anchorId="4B3BC750" wp14:editId="4F5A32AF">
                <wp:simplePos x="0" y="0"/>
                <wp:positionH relativeFrom="margin">
                  <wp:posOffset>5331460</wp:posOffset>
                </wp:positionH>
                <wp:positionV relativeFrom="paragraph">
                  <wp:posOffset>2842413</wp:posOffset>
                </wp:positionV>
                <wp:extent cx="551970" cy="331927"/>
                <wp:effectExtent l="0" t="0"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70" cy="331927"/>
                        </a:xfrm>
                        <a:prstGeom prst="rect">
                          <a:avLst/>
                        </a:prstGeom>
                        <a:solidFill>
                          <a:srgbClr val="FFFFFF"/>
                        </a:solidFill>
                        <a:ln w="9525">
                          <a:noFill/>
                          <a:miter lim="800000"/>
                          <a:headEnd/>
                          <a:tailEnd/>
                        </a:ln>
                      </wps:spPr>
                      <wps:txbx>
                        <w:txbxContent>
                          <w:p w:rsidR="000D1D98" w:rsidRPr="007B1DF1" w:rsidRDefault="000D1D98" w:rsidP="004336F6">
                            <w:pPr>
                              <w:jc w:val="center"/>
                              <w:rPr>
                                <w:sz w:val="28"/>
                                <w:szCs w:val="28"/>
                                <w:lang w:val="fr-CH"/>
                              </w:rPr>
                            </w:pPr>
                            <w:r>
                              <w:rPr>
                                <w:sz w:val="28"/>
                                <w:szCs w:val="28"/>
                                <w:lang w:val="fr-CH"/>
                              </w:rPr>
                              <w:t>Total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BC750" id="_x0000_s1032" type="#_x0000_t202" style="position:absolute;margin-left:419.8pt;margin-top:223.8pt;width:43.45pt;height:26.1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" stroked="f">
                <v:textbox inset="0,0,0,0">
                  <w:txbxContent>
                    <w:p w:rsidR="000D1D98" w:rsidRPr="007B1DF1" w:rsidRDefault="000D1D98" w:rsidP="004336F6">
                      <w:pPr>
                        <w:jc w:val="center"/>
                        <w:rPr>
                          <w:sz w:val="28"/>
                          <w:szCs w:val="28"/>
                          <w:lang w:val="fr-CH"/>
                        </w:rPr>
                      </w:pPr>
                      <w:r>
                        <w:rPr>
                          <w:sz w:val="28"/>
                          <w:szCs w:val="28"/>
                          <w:lang w:val="fr-CH"/>
                        </w:rPr>
                        <w:t>Total</w:t>
                      </w:r>
                    </w:p>
                  </w:txbxContent>
                </v:textbox>
                <w10:wrap anchorx="margin"/>
              </v:shape>
            </w:pict>
          </mc:Fallback>
        </mc:AlternateContent>
      </w:r>
      <w:r w:rsidR="00BE0F92" w:rsidRPr="006B097C">
        <w:rPr>
          <w:noProof/>
          <w:lang w:val="en-US" w:eastAsia="zh-CN"/>
        </w:rPr>
        <w:drawing>
          <wp:inline distT="0" distB="0" distL="0" distR="0" wp14:anchorId="52574F9F" wp14:editId="7A965DC0">
            <wp:extent cx="6120765" cy="3351530"/>
            <wp:effectExtent l="0" t="0" r="1333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78AD" w:rsidRPr="0030628F" w:rsidRDefault="004478AD" w:rsidP="003F0E30">
      <w:pPr>
        <w:pStyle w:val="Figurelegend"/>
        <w:keepNext w:val="0"/>
        <w:keepLines w:val="0"/>
        <w:widowControl w:val="0"/>
        <w:rPr>
          <w:lang w:val="fr-CH"/>
        </w:rPr>
      </w:pPr>
      <w:r w:rsidRPr="0030628F">
        <w:rPr>
          <w:lang w:val="fr-CH"/>
        </w:rPr>
        <w:t>Légende:</w:t>
      </w:r>
    </w:p>
    <w:p w:rsidR="004478AD" w:rsidRPr="0030628F" w:rsidRDefault="004336F6" w:rsidP="003F0E30">
      <w:pPr>
        <w:pStyle w:val="Figurelegend"/>
        <w:keepNext w:val="0"/>
        <w:keepLines w:val="0"/>
        <w:widowControl w:val="0"/>
        <w:rPr>
          <w:lang w:val="fr-CH"/>
        </w:rPr>
      </w:pPr>
      <w:r>
        <w:rPr>
          <w:lang w:val="fr-CH"/>
        </w:rPr>
        <w:t xml:space="preserve">CS: </w:t>
      </w:r>
      <w:r w:rsidR="004478AD" w:rsidRPr="0030628F">
        <w:rPr>
          <w:lang w:val="fr-CH"/>
        </w:rPr>
        <w:t>Commission spéciale</w:t>
      </w:r>
    </w:p>
    <w:p w:rsidR="00BE0F92" w:rsidRDefault="00BE0F92" w:rsidP="00ED01A6">
      <w:pPr>
        <w:pStyle w:val="Heading2"/>
      </w:pPr>
      <w:r>
        <w:t>4.3</w:t>
      </w:r>
      <w:r>
        <w:tab/>
      </w:r>
      <w:r w:rsidR="004478AD">
        <w:t>Salles de réunion</w:t>
      </w:r>
    </w:p>
    <w:p w:rsidR="004478AD" w:rsidRDefault="000B232D" w:rsidP="005E3CD4">
      <w:pPr>
        <w:keepNext/>
        <w:keepLines/>
      </w:pPr>
      <w:r>
        <w:t>La</w:t>
      </w:r>
      <w:r w:rsidR="004478AD">
        <w:t xml:space="preserve"> restructuration des </w:t>
      </w:r>
      <w:r w:rsidR="005E3CD4">
        <w:t>c</w:t>
      </w:r>
      <w:r w:rsidR="004478AD">
        <w:t>ommissions d</w:t>
      </w:r>
      <w:r w:rsidR="0025212F">
        <w:t>'</w:t>
      </w:r>
      <w:r w:rsidR="004478AD">
        <w:t>études, notamment d</w:t>
      </w:r>
      <w:r w:rsidR="004D72E3">
        <w:t>es Commissions d</w:t>
      </w:r>
      <w:r w:rsidR="0025212F">
        <w:t>'</w:t>
      </w:r>
      <w:r w:rsidR="004D72E3">
        <w:t>études 4, 5 et </w:t>
      </w:r>
      <w:r w:rsidR="004478AD">
        <w:t xml:space="preserve">6, </w:t>
      </w:r>
      <w:r>
        <w:t>a entraîné un besoin accru</w:t>
      </w:r>
      <w:r w:rsidR="004478AD">
        <w:t xml:space="preserve"> de grandes salles</w:t>
      </w:r>
      <w:r w:rsidR="00BB4E2B">
        <w:t xml:space="preserve"> de réunion (pouvant accueillir 100 </w:t>
      </w:r>
      <w:r w:rsidR="004478AD">
        <w:t>à 200 personnes environ) pour les réunions</w:t>
      </w:r>
      <w:r w:rsidR="00C513E0">
        <w:t xml:space="preserve"> </w:t>
      </w:r>
      <w:r>
        <w:t xml:space="preserve">ayant lieu </w:t>
      </w:r>
      <w:r w:rsidR="00C513E0">
        <w:t xml:space="preserve">en parallèle </w:t>
      </w:r>
      <w:r>
        <w:t xml:space="preserve">de celles </w:t>
      </w:r>
      <w:r w:rsidR="00C513E0">
        <w:t>des grands</w:t>
      </w:r>
      <w:r w:rsidR="004478AD">
        <w:t xml:space="preserve"> </w:t>
      </w:r>
      <w:r w:rsidR="005E3CD4">
        <w:t>g</w:t>
      </w:r>
      <w:r w:rsidR="004478AD">
        <w:t xml:space="preserve">roupes de travail. </w:t>
      </w:r>
      <w:r>
        <w:t>Cela a créé</w:t>
      </w:r>
      <w:r w:rsidR="004478AD">
        <w:t xml:space="preserve"> des difficultés </w:t>
      </w:r>
      <w:r w:rsidR="00B37E5B">
        <w:t>concernant</w:t>
      </w:r>
      <w:r w:rsidR="004478AD">
        <w:t xml:space="preserve"> la programmation des réunion</w:t>
      </w:r>
      <w:r w:rsidR="00A333A3">
        <w:t>s</w:t>
      </w:r>
      <w:r w:rsidR="00B37E5B">
        <w:t>,</w:t>
      </w:r>
      <w:r w:rsidR="00A333A3">
        <w:t xml:space="preserve"> et</w:t>
      </w:r>
      <w:r>
        <w:t xml:space="preserve"> </w:t>
      </w:r>
      <w:r w:rsidR="00A333A3">
        <w:t xml:space="preserve">il </w:t>
      </w:r>
      <w:r w:rsidR="004478AD">
        <w:t xml:space="preserve">a </w:t>
      </w:r>
      <w:r>
        <w:t>parfois été nécessaire de</w:t>
      </w:r>
      <w:r w:rsidR="004478AD">
        <w:t xml:space="preserve"> louer des salles dans des bâtiments extérieurs</w:t>
      </w:r>
      <w:r w:rsidR="00B37E5B">
        <w:t>, comme le CCV ou le </w:t>
      </w:r>
      <w:r w:rsidR="004478AD">
        <w:t>CICG</w:t>
      </w:r>
      <w:r w:rsidR="00B37E5B">
        <w:t>,</w:t>
      </w:r>
      <w:r w:rsidR="004478AD">
        <w:t xml:space="preserve"> ou </w:t>
      </w:r>
      <w:r w:rsidR="00B37E5B">
        <w:t xml:space="preserve">de </w:t>
      </w:r>
      <w:r w:rsidR="004478AD">
        <w:t xml:space="preserve">tenir des réunions en dehors de Genève. Le problème est </w:t>
      </w:r>
      <w:r w:rsidR="00DA3F28">
        <w:t>aggravé du fait</w:t>
      </w:r>
      <w:r w:rsidR="004478AD">
        <w:t>, d</w:t>
      </w:r>
      <w:r w:rsidR="0025212F">
        <w:t>'</w:t>
      </w:r>
      <w:r w:rsidR="004478AD">
        <w:t>une part, de l</w:t>
      </w:r>
      <w:r w:rsidR="0025212F">
        <w:t>'</w:t>
      </w:r>
      <w:r w:rsidR="004478AD">
        <w:t>augmentation du nombre de réunions prévues par les autres Secteurs et le Secrétariat général et, d</w:t>
      </w:r>
      <w:r w:rsidR="0025212F">
        <w:t>'</w:t>
      </w:r>
      <w:r w:rsidR="004478AD">
        <w:t>autre part, des délais importants désormais nécessaires pour la réservation de salles dans des bâtiments situés à proximi</w:t>
      </w:r>
      <w:r w:rsidR="008C1580">
        <w:t>té de l</w:t>
      </w:r>
      <w:r w:rsidR="0025212F">
        <w:t>'</w:t>
      </w:r>
      <w:r w:rsidR="008C1580">
        <w:t>UIT comme le CICG et le </w:t>
      </w:r>
      <w:r w:rsidR="004478AD">
        <w:t>CCV. Pendant la période d</w:t>
      </w:r>
      <w:r w:rsidR="0025212F">
        <w:t>'</w:t>
      </w:r>
      <w:r w:rsidR="004478AD">
        <w:t xml:space="preserve">études à venir, il </w:t>
      </w:r>
      <w:r w:rsidR="00C513E0">
        <w:t>sera</w:t>
      </w:r>
      <w:r w:rsidR="004478AD">
        <w:t xml:space="preserve"> </w:t>
      </w:r>
      <w:r w:rsidR="000663C9">
        <w:t>peut-être</w:t>
      </w:r>
      <w:r w:rsidR="004478AD">
        <w:t xml:space="preserve"> </w:t>
      </w:r>
      <w:r w:rsidR="00C513E0">
        <w:t xml:space="preserve">nécessaire de </w:t>
      </w:r>
      <w:r w:rsidR="004478AD">
        <w:t>tenir davantage de réunions en dehors de Genève.</w:t>
      </w:r>
    </w:p>
    <w:p w:rsidR="001E1D15" w:rsidRDefault="001E1D15" w:rsidP="002D5B0A">
      <w:pPr>
        <w:pStyle w:val="Heading2"/>
      </w:pPr>
      <w:r>
        <w:t>4.4</w:t>
      </w:r>
      <w:r>
        <w:tab/>
        <w:t>Niveau de participation</w:t>
      </w:r>
    </w:p>
    <w:p w:rsidR="001E1D15" w:rsidRDefault="001E1D15" w:rsidP="005E3CD4">
      <w:r>
        <w:t>Par rapport à la période d</w:t>
      </w:r>
      <w:r w:rsidR="0025212F">
        <w:t>'</w:t>
      </w:r>
      <w:r>
        <w:t>études précédente</w:t>
      </w:r>
      <w:r w:rsidR="008218DB">
        <w:t xml:space="preserve">, </w:t>
      </w:r>
      <w:r>
        <w:t xml:space="preserve">le niveau global de participation aux travaux de toutes les </w:t>
      </w:r>
      <w:r w:rsidR="005E3CD4">
        <w:t>c</w:t>
      </w:r>
      <w:r>
        <w:t>ommissions d</w:t>
      </w:r>
      <w:r w:rsidR="0025212F">
        <w:t>'</w:t>
      </w:r>
      <w:r>
        <w:t xml:space="preserve">études et de tous les </w:t>
      </w:r>
      <w:r w:rsidR="005E3CD4">
        <w:t>g</w:t>
      </w:r>
      <w:r>
        <w:t>roupes de travail a augmenté</w:t>
      </w:r>
      <w:r w:rsidR="008C1580">
        <w:t xml:space="preserve"> de </w:t>
      </w:r>
      <w:r w:rsidR="006A41C3">
        <w:t>20% environ en moyenne, malgré la récession économique.</w:t>
      </w:r>
    </w:p>
    <w:p w:rsidR="00561234" w:rsidRPr="00F92313" w:rsidRDefault="00453A53" w:rsidP="002D5B0A">
      <w:pPr>
        <w:pStyle w:val="Heading2"/>
        <w:rPr>
          <w:lang w:val="fr-CH"/>
        </w:rPr>
      </w:pPr>
      <w:r>
        <w:rPr>
          <w:lang w:val="fr-CH"/>
        </w:rPr>
        <w:t>4.5</w:t>
      </w:r>
      <w:r>
        <w:rPr>
          <w:lang w:val="fr-CH"/>
        </w:rPr>
        <w:tab/>
        <w:t>Nombre de documents</w:t>
      </w:r>
    </w:p>
    <w:p w:rsidR="00507D6E" w:rsidRDefault="00561234" w:rsidP="002D5B0A">
      <w:r>
        <w:t>Le nombre de documents produits pendant la période d</w:t>
      </w:r>
      <w:r w:rsidR="0025212F">
        <w:t>'</w:t>
      </w:r>
      <w:r>
        <w:t>études considérée, comme le montre la</w:t>
      </w:r>
      <w:r w:rsidR="008C1580">
        <w:t xml:space="preserve"> figure ci-après, est d</w:t>
      </w:r>
      <w:r w:rsidR="0025212F">
        <w:t>'</w:t>
      </w:r>
      <w:r w:rsidR="008C1580">
        <w:t>environ </w:t>
      </w:r>
      <w:r>
        <w:t xml:space="preserve">22% supérieur au nombre de documents </w:t>
      </w:r>
      <w:r w:rsidR="00B30BAD">
        <w:t xml:space="preserve">produits pendant </w:t>
      </w:r>
      <w:r>
        <w:t>la période d</w:t>
      </w:r>
      <w:r w:rsidR="0025212F">
        <w:t>'</w:t>
      </w:r>
      <w:r>
        <w:t>études précédente.</w:t>
      </w:r>
    </w:p>
    <w:p w:rsidR="00561234" w:rsidRDefault="001C7CA1" w:rsidP="002D5B0A">
      <w:pPr>
        <w:rPr>
          <w:lang w:val="fr-CH"/>
        </w:rPr>
      </w:pPr>
      <w:r>
        <w:rPr>
          <w:noProof/>
          <w:lang w:val="en-US" w:eastAsia="zh-CN"/>
        </w:rPr>
        <mc:AlternateContent>
          <mc:Choice Requires="wpg">
            <w:drawing>
              <wp:anchor distT="0" distB="0" distL="114300" distR="114300" simplePos="0" relativeHeight="251660800" behindDoc="0" locked="0" layoutInCell="1" allowOverlap="1">
                <wp:simplePos x="0" y="0"/>
                <wp:positionH relativeFrom="column">
                  <wp:posOffset>4300484</wp:posOffset>
                </wp:positionH>
                <wp:positionV relativeFrom="paragraph">
                  <wp:posOffset>3473498</wp:posOffset>
                </wp:positionV>
                <wp:extent cx="836762" cy="232914"/>
                <wp:effectExtent l="0" t="0" r="1905" b="0"/>
                <wp:wrapNone/>
                <wp:docPr id="19" name="Group 19"/>
                <wp:cNvGraphicFramePr/>
                <a:graphic xmlns:a="http://schemas.openxmlformats.org/drawingml/2006/main">
                  <a:graphicData uri="http://schemas.microsoft.com/office/word/2010/wordprocessingGroup">
                    <wpg:wgp>
                      <wpg:cNvGrpSpPr/>
                      <wpg:grpSpPr>
                        <a:xfrm>
                          <a:off x="0" y="0"/>
                          <a:ext cx="836762" cy="232914"/>
                          <a:chOff x="0" y="0"/>
                          <a:chExt cx="836762" cy="232914"/>
                        </a:xfrm>
                      </wpg:grpSpPr>
                      <wps:wsp>
                        <wps:cNvPr id="12" name="Text Box 2"/>
                        <wps:cNvSpPr txBox="1">
                          <a:spLocks noChangeArrowheads="1"/>
                        </wps:cNvSpPr>
                        <wps:spPr bwMode="auto">
                          <a:xfrm>
                            <a:off x="0" y="0"/>
                            <a:ext cx="284466" cy="224286"/>
                          </a:xfrm>
                          <a:prstGeom prst="rect">
                            <a:avLst/>
                          </a:prstGeom>
                          <a:solidFill>
                            <a:srgbClr val="FFFFFF"/>
                          </a:solidFill>
                          <a:ln w="9525">
                            <a:noFill/>
                            <a:miter lim="800000"/>
                            <a:headEnd/>
                            <a:tailEnd/>
                          </a:ln>
                        </wps:spPr>
                        <wps:txbx>
                          <w:txbxContent>
                            <w:p w:rsidR="000D1D98" w:rsidRPr="00453A53" w:rsidRDefault="000D1D98" w:rsidP="00453A53">
                              <w:pPr>
                                <w:spacing w:before="0"/>
                                <w:jc w:val="center"/>
                                <w:rPr>
                                  <w:b/>
                                  <w:bCs/>
                                  <w:sz w:val="32"/>
                                  <w:szCs w:val="32"/>
                                  <w:lang w:val="fr-CH"/>
                                </w:rPr>
                              </w:pPr>
                              <w:r w:rsidRPr="00453A53">
                                <w:rPr>
                                  <w:b/>
                                  <w:bCs/>
                                  <w:sz w:val="32"/>
                                  <w:szCs w:val="32"/>
                                  <w:lang w:val="fr-CH"/>
                                </w:rPr>
                                <w:t>CS</w:t>
                              </w:r>
                            </w:p>
                          </w:txbxContent>
                        </wps:txbx>
                        <wps:bodyPr rot="0" vert="horz" wrap="square" lIns="0" tIns="0" rIns="0" bIns="0" anchor="t" anchorCtr="0">
                          <a:noAutofit/>
                        </wps:bodyPr>
                      </wps:wsp>
                      <wps:wsp>
                        <wps:cNvPr id="13" name="Text Box 2"/>
                        <wps:cNvSpPr txBox="1">
                          <a:spLocks noChangeArrowheads="1"/>
                        </wps:cNvSpPr>
                        <wps:spPr bwMode="auto">
                          <a:xfrm>
                            <a:off x="319177" y="0"/>
                            <a:ext cx="517585" cy="232914"/>
                          </a:xfrm>
                          <a:prstGeom prst="rect">
                            <a:avLst/>
                          </a:prstGeom>
                          <a:solidFill>
                            <a:srgbClr val="FFFFFF"/>
                          </a:solidFill>
                          <a:ln w="9525">
                            <a:noFill/>
                            <a:miter lim="800000"/>
                            <a:headEnd/>
                            <a:tailEnd/>
                          </a:ln>
                        </wps:spPr>
                        <wps:txbx>
                          <w:txbxContent>
                            <w:p w:rsidR="000D1D98" w:rsidRPr="00453A53" w:rsidRDefault="000D1D98" w:rsidP="00453A53">
                              <w:pPr>
                                <w:spacing w:before="0"/>
                                <w:jc w:val="center"/>
                                <w:rPr>
                                  <w:b/>
                                  <w:bCs/>
                                  <w:sz w:val="32"/>
                                  <w:szCs w:val="32"/>
                                  <w:lang w:val="fr-CH"/>
                                </w:rPr>
                              </w:pPr>
                              <w:r>
                                <w:rPr>
                                  <w:b/>
                                  <w:bCs/>
                                  <w:sz w:val="32"/>
                                  <w:szCs w:val="32"/>
                                  <w:lang w:val="fr-CH"/>
                                </w:rPr>
                                <w:t>RPC</w:t>
                              </w:r>
                            </w:p>
                          </w:txbxContent>
                        </wps:txbx>
                        <wps:bodyPr rot="0" vert="horz" wrap="square" lIns="0" tIns="0" rIns="0" bIns="0" anchor="t" anchorCtr="0">
                          <a:noAutofit/>
                        </wps:bodyPr>
                      </wps:wsp>
                    </wpg:wgp>
                  </a:graphicData>
                </a:graphic>
              </wp:anchor>
            </w:drawing>
          </mc:Choice>
          <mc:Fallback>
            <w:pict>
              <v:group id="Group 19" o:spid="_x0000_s1033" style="position:absolute;margin-left:338.6pt;margin-top:273.5pt;width:65.9pt;height:18.35pt;z-index:251675648" coordsize="8367,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">
                <v:shape id="_x0000_s1034" type="#_x0000_t202" style="position:absolute;width:284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0D1D98" w:rsidRPr="00453A53" w:rsidRDefault="000D1D98" w:rsidP="00453A53">
                        <w:pPr>
                          <w:spacing w:before="0"/>
                          <w:jc w:val="center"/>
                          <w:rPr>
                            <w:b/>
                            <w:bCs/>
                            <w:sz w:val="32"/>
                            <w:szCs w:val="32"/>
                            <w:lang w:val="fr-CH"/>
                          </w:rPr>
                        </w:pPr>
                        <w:r w:rsidRPr="00453A53">
                          <w:rPr>
                            <w:b/>
                            <w:bCs/>
                            <w:sz w:val="32"/>
                            <w:szCs w:val="32"/>
                            <w:lang w:val="fr-CH"/>
                          </w:rPr>
                          <w:t>CS</w:t>
                        </w:r>
                      </w:p>
                    </w:txbxContent>
                  </v:textbox>
                </v:shape>
                <v:shape id="_x0000_s1035" type="#_x0000_t202" style="position:absolute;left:3191;width:5176;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rsidR="000D1D98" w:rsidRPr="00453A53" w:rsidRDefault="000D1D98" w:rsidP="00453A53">
                        <w:pPr>
                          <w:spacing w:before="0"/>
                          <w:jc w:val="center"/>
                          <w:rPr>
                            <w:b/>
                            <w:bCs/>
                            <w:sz w:val="32"/>
                            <w:szCs w:val="32"/>
                            <w:lang w:val="fr-CH"/>
                          </w:rPr>
                        </w:pPr>
                        <w:r>
                          <w:rPr>
                            <w:b/>
                            <w:bCs/>
                            <w:sz w:val="32"/>
                            <w:szCs w:val="32"/>
                            <w:lang w:val="fr-CH"/>
                          </w:rPr>
                          <w:t>RPC</w:t>
                        </w:r>
                      </w:p>
                    </w:txbxContent>
                  </v:textbox>
                </v:shape>
              </v:group>
            </w:pict>
          </mc:Fallback>
        </mc:AlternateContent>
      </w:r>
      <w:r w:rsidR="009014C1">
        <w:rPr>
          <w:noProof/>
          <w:lang w:val="en-US" w:eastAsia="zh-CN"/>
        </w:rPr>
        <mc:AlternateContent>
          <mc:Choice Requires="wps">
            <w:drawing>
              <wp:anchor distT="0" distB="0" distL="114300" distR="114300" simplePos="0" relativeHeight="251661824" behindDoc="0" locked="0" layoutInCell="1" allowOverlap="1" wp14:anchorId="4AC91CEC" wp14:editId="2067769C">
                <wp:simplePos x="0" y="0"/>
                <wp:positionH relativeFrom="column">
                  <wp:posOffset>5102117</wp:posOffset>
                </wp:positionH>
                <wp:positionV relativeFrom="paragraph">
                  <wp:posOffset>3473175</wp:posOffset>
                </wp:positionV>
                <wp:extent cx="802257" cy="241540"/>
                <wp:effectExtent l="0" t="0" r="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241540"/>
                        </a:xfrm>
                        <a:prstGeom prst="rect">
                          <a:avLst/>
                        </a:prstGeom>
                        <a:solidFill>
                          <a:srgbClr val="FFFFFF"/>
                        </a:solidFill>
                        <a:ln w="9525">
                          <a:noFill/>
                          <a:miter lim="800000"/>
                          <a:headEnd/>
                          <a:tailEnd/>
                        </a:ln>
                      </wps:spPr>
                      <wps:txbx>
                        <w:txbxContent>
                          <w:p w:rsidR="000D1D98" w:rsidRPr="00453A53" w:rsidRDefault="000D1D98" w:rsidP="009014C1">
                            <w:pPr>
                              <w:spacing w:before="0"/>
                              <w:jc w:val="center"/>
                              <w:rPr>
                                <w:b/>
                                <w:bCs/>
                                <w:sz w:val="32"/>
                                <w:szCs w:val="32"/>
                                <w:lang w:val="fr-CH"/>
                              </w:rPr>
                            </w:pPr>
                            <w:r>
                              <w:rPr>
                                <w:b/>
                                <w:bCs/>
                                <w:sz w:val="32"/>
                                <w:szCs w:val="32"/>
                                <w:lang w:val="fr-CH"/>
                              </w:rPr>
                              <w:t>Autres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91CEC" id="_x0000_s1036" type="#_x0000_t202" style="position:absolute;margin-left:401.75pt;margin-top:273.5pt;width:63.15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" stroked="f">
                <v:textbox inset="0,0,0,0">
                  <w:txbxContent>
                    <w:p w:rsidR="000D1D98" w:rsidRPr="00453A53" w:rsidRDefault="000D1D98" w:rsidP="009014C1">
                      <w:pPr>
                        <w:spacing w:before="0"/>
                        <w:jc w:val="center"/>
                        <w:rPr>
                          <w:b/>
                          <w:bCs/>
                          <w:sz w:val="32"/>
                          <w:szCs w:val="32"/>
                          <w:lang w:val="fr-CH"/>
                        </w:rPr>
                      </w:pPr>
                      <w:r>
                        <w:rPr>
                          <w:b/>
                          <w:bCs/>
                          <w:sz w:val="32"/>
                          <w:szCs w:val="32"/>
                          <w:lang w:val="fr-CH"/>
                        </w:rPr>
                        <w:t>Autres</w:t>
                      </w:r>
                    </w:p>
                  </w:txbxContent>
                </v:textbox>
              </v:shape>
            </w:pict>
          </mc:Fallback>
        </mc:AlternateContent>
      </w:r>
      <w:r w:rsidR="00561234" w:rsidRPr="00BB21A0">
        <w:rPr>
          <w:noProof/>
          <w:lang w:val="en-US" w:eastAsia="zh-CN"/>
        </w:rPr>
        <w:drawing>
          <wp:inline distT="0" distB="0" distL="0" distR="0" wp14:anchorId="12CD223D" wp14:editId="62A72DE3">
            <wp:extent cx="6120765" cy="3862705"/>
            <wp:effectExtent l="0" t="0" r="1333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1234" w:rsidRPr="0030628F" w:rsidRDefault="00561234" w:rsidP="003F0E30">
      <w:pPr>
        <w:pStyle w:val="Figurelegend"/>
        <w:keepNext w:val="0"/>
        <w:keepLines w:val="0"/>
        <w:rPr>
          <w:lang w:val="fr-CH"/>
        </w:rPr>
      </w:pPr>
      <w:r w:rsidRPr="0030628F">
        <w:rPr>
          <w:lang w:val="fr-CH"/>
        </w:rPr>
        <w:t>Légende:</w:t>
      </w:r>
      <w:r w:rsidR="00453A53" w:rsidRPr="001C7CA1">
        <w:rPr>
          <w:noProof/>
          <w:lang w:val="fr-CH" w:eastAsia="zh-CN"/>
        </w:rPr>
        <w:t xml:space="preserve"> </w:t>
      </w:r>
    </w:p>
    <w:p w:rsidR="00561234" w:rsidRPr="0030628F" w:rsidRDefault="00453A53" w:rsidP="003F0E30">
      <w:pPr>
        <w:pStyle w:val="Figurelegend"/>
        <w:keepNext w:val="0"/>
        <w:keepLines w:val="0"/>
        <w:rPr>
          <w:lang w:val="fr-CH"/>
        </w:rPr>
      </w:pPr>
      <w:r>
        <w:rPr>
          <w:lang w:val="fr-CH"/>
        </w:rPr>
        <w:t xml:space="preserve">CS: </w:t>
      </w:r>
      <w:r w:rsidR="00561234" w:rsidRPr="0030628F">
        <w:rPr>
          <w:lang w:val="fr-CH"/>
        </w:rPr>
        <w:t>Commission spéciale</w:t>
      </w:r>
    </w:p>
    <w:p w:rsidR="008C3212" w:rsidRDefault="008C3212" w:rsidP="009014C1">
      <w:pPr>
        <w:pStyle w:val="Heading2"/>
      </w:pPr>
      <w:r>
        <w:t>4.6</w:t>
      </w:r>
      <w:r>
        <w:tab/>
        <w:t>Interprétation</w:t>
      </w:r>
    </w:p>
    <w:p w:rsidR="00561234" w:rsidRPr="00A333A3" w:rsidRDefault="003A67B7" w:rsidP="005E3CD4">
      <w:r>
        <w:t xml:space="preserve">Une interprétation dans les six langues officielles est assurée </w:t>
      </w:r>
      <w:r w:rsidR="0037097B">
        <w:t>pour les</w:t>
      </w:r>
      <w:r w:rsidR="001C7CA1">
        <w:t xml:space="preserve"> réunions des c</w:t>
      </w:r>
      <w:r>
        <w:t>ommissions d</w:t>
      </w:r>
      <w:r w:rsidR="0025212F">
        <w:t>'</w:t>
      </w:r>
      <w:r>
        <w:t xml:space="preserve">études. </w:t>
      </w:r>
      <w:r w:rsidR="001C7CA1">
        <w:t>Toutes les réunions des g</w:t>
      </w:r>
      <w:r w:rsidR="00A333A3">
        <w:t>roupes de travail se tiennent en anglais seulement.</w:t>
      </w:r>
    </w:p>
    <w:p w:rsidR="003A67B7" w:rsidRPr="006E2812" w:rsidRDefault="003A67B7" w:rsidP="009014C1">
      <w:pPr>
        <w:pStyle w:val="Heading2"/>
        <w:rPr>
          <w:lang w:val="fr-CH"/>
        </w:rPr>
      </w:pPr>
      <w:r w:rsidRPr="006E2812">
        <w:rPr>
          <w:lang w:val="fr-CH"/>
        </w:rPr>
        <w:t>4.7</w:t>
      </w:r>
      <w:r w:rsidRPr="006E2812">
        <w:rPr>
          <w:lang w:val="fr-CH"/>
        </w:rPr>
        <w:tab/>
        <w:t>Processus d</w:t>
      </w:r>
      <w:r w:rsidR="0025212F">
        <w:rPr>
          <w:lang w:val="fr-CH"/>
        </w:rPr>
        <w:t>'</w:t>
      </w:r>
      <w:r w:rsidRPr="006E2812">
        <w:rPr>
          <w:lang w:val="fr-CH"/>
        </w:rPr>
        <w:t>approbation</w:t>
      </w:r>
    </w:p>
    <w:p w:rsidR="003A67B7" w:rsidRPr="00C934FD" w:rsidRDefault="003A67B7" w:rsidP="009014C1">
      <w:pPr>
        <w:keepNext/>
        <w:keepLines/>
        <w:rPr>
          <w:spacing w:val="-3"/>
        </w:rPr>
      </w:pPr>
      <w:r w:rsidRPr="00C934FD">
        <w:rPr>
          <w:spacing w:val="-3"/>
        </w:rPr>
        <w:t>Pendant la période d</w:t>
      </w:r>
      <w:r w:rsidR="0025212F">
        <w:rPr>
          <w:spacing w:val="-3"/>
        </w:rPr>
        <w:t>'</w:t>
      </w:r>
      <w:r w:rsidRPr="00C934FD">
        <w:rPr>
          <w:spacing w:val="-3"/>
        </w:rPr>
        <w:t>études consid</w:t>
      </w:r>
      <w:r w:rsidR="002342AB" w:rsidRPr="00C934FD">
        <w:rPr>
          <w:spacing w:val="-3"/>
        </w:rPr>
        <w:t>érée (jusqu</w:t>
      </w:r>
      <w:r w:rsidR="0025212F">
        <w:rPr>
          <w:spacing w:val="-3"/>
        </w:rPr>
        <w:t>'</w:t>
      </w:r>
      <w:r w:rsidR="002342AB" w:rsidRPr="00C934FD">
        <w:rPr>
          <w:spacing w:val="-3"/>
        </w:rPr>
        <w:t>à septembre </w:t>
      </w:r>
      <w:r w:rsidR="006E2812" w:rsidRPr="00C934FD">
        <w:rPr>
          <w:spacing w:val="-3"/>
        </w:rPr>
        <w:t>2015), 9</w:t>
      </w:r>
      <w:r w:rsidRPr="00C934FD">
        <w:rPr>
          <w:spacing w:val="-3"/>
        </w:rPr>
        <w:t>3% environ des Recommandations nouvelles ou révisées ont été approuvées selon la procédure d</w:t>
      </w:r>
      <w:r w:rsidR="0025212F">
        <w:rPr>
          <w:spacing w:val="-3"/>
        </w:rPr>
        <w:t>'</w:t>
      </w:r>
      <w:r w:rsidRPr="00C934FD">
        <w:rPr>
          <w:spacing w:val="-3"/>
        </w:rPr>
        <w:t>adoption et d</w:t>
      </w:r>
      <w:r w:rsidR="0025212F">
        <w:rPr>
          <w:spacing w:val="-3"/>
        </w:rPr>
        <w:t>'</w:t>
      </w:r>
      <w:r w:rsidRPr="00C934FD">
        <w:rPr>
          <w:spacing w:val="-3"/>
        </w:rPr>
        <w:t xml:space="preserve">approbation simultanées par correspondance (PAAS). Trois pourcent ont été approuvées par consultation des </w:t>
      </w:r>
      <w:r w:rsidR="00124AC1" w:rsidRPr="00C934FD">
        <w:rPr>
          <w:spacing w:val="-3"/>
        </w:rPr>
        <w:t>E</w:t>
      </w:r>
      <w:r w:rsidR="00293F92" w:rsidRPr="00C934FD">
        <w:rPr>
          <w:spacing w:val="-3"/>
        </w:rPr>
        <w:t>tat</w:t>
      </w:r>
      <w:r w:rsidRPr="00C934FD">
        <w:rPr>
          <w:spacing w:val="-3"/>
        </w:rPr>
        <w:t xml:space="preserve">s Membres </w:t>
      </w:r>
      <w:r w:rsidR="001031C4" w:rsidRPr="00C934FD">
        <w:rPr>
          <w:spacing w:val="-3"/>
        </w:rPr>
        <w:t>après avoir été adoptées</w:t>
      </w:r>
      <w:r w:rsidR="00CC51C5" w:rsidRPr="00C934FD">
        <w:rPr>
          <w:spacing w:val="-3"/>
        </w:rPr>
        <w:t xml:space="preserve"> à la réunion de la c</w:t>
      </w:r>
      <w:r w:rsidR="002342AB" w:rsidRPr="00C934FD">
        <w:rPr>
          <w:spacing w:val="-3"/>
        </w:rPr>
        <w:t>ommission d</w:t>
      </w:r>
      <w:r w:rsidR="0025212F">
        <w:rPr>
          <w:spacing w:val="-3"/>
        </w:rPr>
        <w:t>'</w:t>
      </w:r>
      <w:r w:rsidR="002342AB" w:rsidRPr="00C934FD">
        <w:rPr>
          <w:spacing w:val="-3"/>
        </w:rPr>
        <w:t>études concernée et </w:t>
      </w:r>
      <w:r w:rsidR="006E2812" w:rsidRPr="00C934FD">
        <w:rPr>
          <w:spacing w:val="-3"/>
        </w:rPr>
        <w:t>4</w:t>
      </w:r>
      <w:r w:rsidRPr="00C934FD">
        <w:rPr>
          <w:spacing w:val="-3"/>
        </w:rPr>
        <w:t>% ont été approuvées selon la procédure d</w:t>
      </w:r>
      <w:r w:rsidR="0025212F">
        <w:rPr>
          <w:spacing w:val="-3"/>
        </w:rPr>
        <w:t>'</w:t>
      </w:r>
      <w:r w:rsidRPr="00C934FD">
        <w:rPr>
          <w:spacing w:val="-3"/>
        </w:rPr>
        <w:t>adoption par correspondance après avoir été approuvées par voie de consultation. L</w:t>
      </w:r>
      <w:r w:rsidR="0025212F">
        <w:rPr>
          <w:spacing w:val="-3"/>
        </w:rPr>
        <w:t>'</w:t>
      </w:r>
      <w:r w:rsidRPr="00C934FD">
        <w:rPr>
          <w:spacing w:val="-3"/>
        </w:rPr>
        <w:t>application de la procédure d</w:t>
      </w:r>
      <w:r w:rsidR="0025212F">
        <w:rPr>
          <w:spacing w:val="-3"/>
        </w:rPr>
        <w:t>'</w:t>
      </w:r>
      <w:r w:rsidRPr="00C934FD">
        <w:rPr>
          <w:spacing w:val="-3"/>
        </w:rPr>
        <w:t>adoption et d</w:t>
      </w:r>
      <w:r w:rsidR="0025212F">
        <w:rPr>
          <w:spacing w:val="-3"/>
        </w:rPr>
        <w:t>'</w:t>
      </w:r>
      <w:r w:rsidRPr="00C934FD">
        <w:rPr>
          <w:spacing w:val="-3"/>
        </w:rPr>
        <w:t xml:space="preserve">approbation simultanées par correspondance pour les Recommandations est devenue </w:t>
      </w:r>
      <w:r w:rsidR="00BC1ECB" w:rsidRPr="00C934FD">
        <w:rPr>
          <w:spacing w:val="-3"/>
        </w:rPr>
        <w:t>systématique</w:t>
      </w:r>
      <w:r w:rsidRPr="00C934FD">
        <w:rPr>
          <w:spacing w:val="-3"/>
        </w:rPr>
        <w:t xml:space="preserve"> dans t</w:t>
      </w:r>
      <w:r w:rsidR="00CC51C5" w:rsidRPr="00C934FD">
        <w:rPr>
          <w:spacing w:val="-3"/>
        </w:rPr>
        <w:t>outes les commissions d</w:t>
      </w:r>
      <w:r w:rsidR="0025212F">
        <w:rPr>
          <w:spacing w:val="-3"/>
        </w:rPr>
        <w:t>'</w:t>
      </w:r>
      <w:r w:rsidR="00CC51C5" w:rsidRPr="00C934FD">
        <w:rPr>
          <w:spacing w:val="-3"/>
        </w:rPr>
        <w:t>études.</w:t>
      </w:r>
    </w:p>
    <w:p w:rsidR="0072754D" w:rsidRPr="00F824CD" w:rsidRDefault="0072754D" w:rsidP="002D5B0A">
      <w:pPr>
        <w:pStyle w:val="Heading2"/>
      </w:pPr>
      <w:r w:rsidRPr="00F824CD">
        <w:t>4.8</w:t>
      </w:r>
      <w:r w:rsidRPr="00F824CD">
        <w:tab/>
        <w:t>Méthodes de travail électroniques</w:t>
      </w:r>
    </w:p>
    <w:p w:rsidR="00E2599D" w:rsidRDefault="00E2599D" w:rsidP="00CC51C5">
      <w:r>
        <w:t>Pendant la période d</w:t>
      </w:r>
      <w:r w:rsidR="0025212F">
        <w:t>'</w:t>
      </w:r>
      <w:r>
        <w:t>études considérée, l</w:t>
      </w:r>
      <w:r w:rsidR="0025212F">
        <w:t>'</w:t>
      </w:r>
      <w:r>
        <w:t>outil Sharepoint a été utilisé afin de faciliter l</w:t>
      </w:r>
      <w:r w:rsidR="0025212F">
        <w:t>'</w:t>
      </w:r>
      <w:r>
        <w:t>élaboration de projets de texte</w:t>
      </w:r>
      <w:r w:rsidR="00460557">
        <w:t>s</w:t>
      </w:r>
      <w:r w:rsidR="00CC51C5">
        <w:t xml:space="preserve"> pendant les réunions des groupes de travail et des c</w:t>
      </w:r>
      <w:r>
        <w:t>ommissions d</w:t>
      </w:r>
      <w:r w:rsidR="0025212F">
        <w:t>'</w:t>
      </w:r>
      <w:r>
        <w:t xml:space="preserve">études. Cet outil a connu un grand succès et il est </w:t>
      </w:r>
      <w:r w:rsidR="002A75F4">
        <w:t>largement employé</w:t>
      </w:r>
      <w:r w:rsidR="00CC51C5">
        <w:t xml:space="preserve"> par toutes les c</w:t>
      </w:r>
      <w:r>
        <w:t>ommissions d</w:t>
      </w:r>
      <w:r w:rsidR="0025212F">
        <w:t>'</w:t>
      </w:r>
      <w:r>
        <w:t xml:space="preserve">études et tous les </w:t>
      </w:r>
      <w:r w:rsidR="00CC51C5">
        <w:t>g</w:t>
      </w:r>
      <w:r>
        <w:t>roupes de travail.</w:t>
      </w:r>
    </w:p>
    <w:p w:rsidR="00E2599D" w:rsidRPr="00D31920" w:rsidRDefault="00CC51C5" w:rsidP="00CC51C5">
      <w:pPr>
        <w:rPr>
          <w:lang w:val="fr-CH"/>
        </w:rPr>
      </w:pPr>
      <w:r>
        <w:t>Les commissions d</w:t>
      </w:r>
      <w:r w:rsidR="0025212F">
        <w:t>'</w:t>
      </w:r>
      <w:r>
        <w:t>études et les g</w:t>
      </w:r>
      <w:r w:rsidR="00E2599D">
        <w:t xml:space="preserve">roupes de travail sont </w:t>
      </w:r>
      <w:r w:rsidR="00FA42D8">
        <w:t>désormais</w:t>
      </w:r>
      <w:r w:rsidR="00F73FB9">
        <w:t xml:space="preserve"> passé</w:t>
      </w:r>
      <w:r w:rsidR="00E2599D">
        <w:t>s à un environnement sans papier. L</w:t>
      </w:r>
      <w:r w:rsidR="0025212F">
        <w:t>'</w:t>
      </w:r>
      <w:r w:rsidR="00E2599D">
        <w:t>outil Sharepoint est utilisé pour toutes les réunions tenues en dehors de Genève</w:t>
      </w:r>
      <w:r w:rsidR="00A318C8">
        <w:t>,</w:t>
      </w:r>
      <w:r w:rsidR="00E2599D">
        <w:t xml:space="preserve"> qui sont </w:t>
      </w:r>
      <w:r w:rsidR="00637A67">
        <w:t>également</w:t>
      </w:r>
      <w:r w:rsidR="00E2599D">
        <w:t xml:space="preserve"> toutes des réunions sans papier.</w:t>
      </w:r>
      <w:r w:rsidR="00D31920" w:rsidRPr="00D31920">
        <w:rPr>
          <w:lang w:val="fr-CH"/>
        </w:rPr>
        <w:t xml:space="preserve"> Cet outil est aussi utilisé entre les </w:t>
      </w:r>
      <w:r w:rsidR="00D31920">
        <w:rPr>
          <w:lang w:val="fr-CH"/>
        </w:rPr>
        <w:t>réunions</w:t>
      </w:r>
      <w:r w:rsidR="00D31920" w:rsidRPr="00D31920">
        <w:rPr>
          <w:lang w:val="fr-CH"/>
        </w:rPr>
        <w:t xml:space="preserve"> par les </w:t>
      </w:r>
      <w:r>
        <w:rPr>
          <w:lang w:val="fr-CH"/>
        </w:rPr>
        <w:t>g</w:t>
      </w:r>
      <w:r w:rsidR="00D31920" w:rsidRPr="00D31920">
        <w:rPr>
          <w:lang w:val="fr-CH"/>
        </w:rPr>
        <w:t>roupe</w:t>
      </w:r>
      <w:r>
        <w:rPr>
          <w:lang w:val="fr-CH"/>
        </w:rPr>
        <w:t>s</w:t>
      </w:r>
      <w:r w:rsidR="00D31920" w:rsidRPr="00D31920">
        <w:rPr>
          <w:lang w:val="fr-CH"/>
        </w:rPr>
        <w:t xml:space="preserve"> du Rapporteur</w:t>
      </w:r>
      <w:r>
        <w:rPr>
          <w:lang w:val="fr-CH"/>
        </w:rPr>
        <w:t>/groupes de travail</w:t>
      </w:r>
      <w:r w:rsidR="00D31920" w:rsidRPr="00D31920">
        <w:rPr>
          <w:lang w:val="fr-CH"/>
        </w:rPr>
        <w:t xml:space="preserve"> par </w:t>
      </w:r>
      <w:r w:rsidR="00D31920">
        <w:rPr>
          <w:lang w:val="fr-CH"/>
        </w:rPr>
        <w:t>corresponda</w:t>
      </w:r>
      <w:r w:rsidR="00D31920" w:rsidRPr="00D31920">
        <w:rPr>
          <w:lang w:val="fr-CH"/>
        </w:rPr>
        <w:t xml:space="preserve">nce </w:t>
      </w:r>
      <w:r>
        <w:rPr>
          <w:lang w:val="fr-CH"/>
        </w:rPr>
        <w:t>pour les</w:t>
      </w:r>
      <w:r w:rsidR="00D31920">
        <w:rPr>
          <w:lang w:val="fr-CH"/>
        </w:rPr>
        <w:t xml:space="preserve"> discussions, </w:t>
      </w:r>
      <w:r>
        <w:rPr>
          <w:lang w:val="fr-CH"/>
        </w:rPr>
        <w:t>l</w:t>
      </w:r>
      <w:r w:rsidR="0025212F">
        <w:rPr>
          <w:lang w:val="fr-CH"/>
        </w:rPr>
        <w:t>'</w:t>
      </w:r>
      <w:r w:rsidR="00D31920">
        <w:rPr>
          <w:lang w:val="fr-CH"/>
        </w:rPr>
        <w:t xml:space="preserve">organisation de réunions et </w:t>
      </w:r>
      <w:r>
        <w:rPr>
          <w:lang w:val="fr-CH"/>
        </w:rPr>
        <w:t>l</w:t>
      </w:r>
      <w:r w:rsidR="0025212F">
        <w:rPr>
          <w:lang w:val="fr-CH"/>
        </w:rPr>
        <w:t>'</w:t>
      </w:r>
      <w:r w:rsidR="00D31920">
        <w:rPr>
          <w:lang w:val="fr-CH"/>
        </w:rPr>
        <w:t>échange de documents.</w:t>
      </w:r>
    </w:p>
    <w:p w:rsidR="00637A67" w:rsidRDefault="00637A67" w:rsidP="002D5B0A">
      <w:r>
        <w:t>Un outil de synchronisation de fichiers a été mis en place pour tout</w:t>
      </w:r>
      <w:r w:rsidR="00CC51C5">
        <w:t>es les réunions des commissions d</w:t>
      </w:r>
      <w:r w:rsidR="0025212F">
        <w:t>'</w:t>
      </w:r>
      <w:r w:rsidR="00CC51C5">
        <w:t>études et des g</w:t>
      </w:r>
      <w:r>
        <w:t>roupes de travail afin de faciliter l</w:t>
      </w:r>
      <w:r w:rsidR="0025212F">
        <w:t>'</w:t>
      </w:r>
      <w:r>
        <w:t xml:space="preserve">accès aux versions les plus récentes des documents pendant les réunions. </w:t>
      </w:r>
    </w:p>
    <w:p w:rsidR="00F37132" w:rsidRPr="00CF31FA" w:rsidRDefault="00F37132" w:rsidP="00CC51C5">
      <w:pPr>
        <w:rPr>
          <w:lang w:val="fr-CH"/>
        </w:rPr>
      </w:pPr>
      <w:r w:rsidRPr="00A76ADF">
        <w:rPr>
          <w:szCs w:val="24"/>
          <w:lang w:val="fr-CH"/>
        </w:rPr>
        <w:t>Afin de faciliter la participation à distance aux réunions de l</w:t>
      </w:r>
      <w:r w:rsidR="0025212F">
        <w:rPr>
          <w:szCs w:val="24"/>
          <w:lang w:val="fr-CH"/>
        </w:rPr>
        <w:t>'</w:t>
      </w:r>
      <w:r w:rsidRPr="00A76ADF">
        <w:rPr>
          <w:szCs w:val="24"/>
          <w:lang w:val="fr-CH"/>
        </w:rPr>
        <w:t>UIT-R, les séances plénières de</w:t>
      </w:r>
      <w:r w:rsidR="00CC51C5">
        <w:rPr>
          <w:szCs w:val="24"/>
          <w:lang w:val="fr-CH"/>
        </w:rPr>
        <w:t>s c</w:t>
      </w:r>
      <w:r w:rsidRPr="00A76ADF">
        <w:rPr>
          <w:szCs w:val="24"/>
          <w:lang w:val="fr-CH"/>
        </w:rPr>
        <w:t>ommission</w:t>
      </w:r>
      <w:r w:rsidR="00CC51C5">
        <w:rPr>
          <w:szCs w:val="24"/>
          <w:lang w:val="fr-CH"/>
        </w:rPr>
        <w:t>s</w:t>
      </w:r>
      <w:r w:rsidRPr="00A76ADF">
        <w:rPr>
          <w:szCs w:val="24"/>
          <w:lang w:val="fr-CH"/>
        </w:rPr>
        <w:t xml:space="preserve"> d</w:t>
      </w:r>
      <w:r w:rsidR="0025212F">
        <w:rPr>
          <w:szCs w:val="24"/>
          <w:lang w:val="fr-CH"/>
        </w:rPr>
        <w:t>'</w:t>
      </w:r>
      <w:r w:rsidRPr="00A76ADF">
        <w:rPr>
          <w:szCs w:val="24"/>
          <w:lang w:val="fr-CH"/>
        </w:rPr>
        <w:t xml:space="preserve">études </w:t>
      </w:r>
      <w:r w:rsidR="00CC51C5">
        <w:rPr>
          <w:szCs w:val="24"/>
          <w:lang w:val="fr-CH"/>
        </w:rPr>
        <w:t>et des</w:t>
      </w:r>
      <w:r w:rsidR="006D1533">
        <w:rPr>
          <w:szCs w:val="24"/>
          <w:lang w:val="fr-CH"/>
        </w:rPr>
        <w:t xml:space="preserve"> </w:t>
      </w:r>
      <w:r w:rsidR="00CC51C5">
        <w:rPr>
          <w:szCs w:val="24"/>
          <w:lang w:val="fr-CH"/>
        </w:rPr>
        <w:t>g</w:t>
      </w:r>
      <w:r w:rsidR="006D1533">
        <w:rPr>
          <w:szCs w:val="24"/>
          <w:lang w:val="fr-CH"/>
        </w:rPr>
        <w:t>roupe</w:t>
      </w:r>
      <w:r w:rsidR="00CC51C5">
        <w:rPr>
          <w:szCs w:val="24"/>
          <w:lang w:val="fr-CH"/>
        </w:rPr>
        <w:t>s</w:t>
      </w:r>
      <w:r w:rsidR="006D1533">
        <w:rPr>
          <w:szCs w:val="24"/>
          <w:lang w:val="fr-CH"/>
        </w:rPr>
        <w:t xml:space="preserve"> de travail </w:t>
      </w:r>
      <w:r w:rsidR="000D77B0">
        <w:rPr>
          <w:szCs w:val="24"/>
          <w:lang w:val="fr-CH"/>
        </w:rPr>
        <w:t>s</w:t>
      </w:r>
      <w:r w:rsidRPr="00A76ADF">
        <w:rPr>
          <w:szCs w:val="24"/>
          <w:lang w:val="fr-CH"/>
        </w:rPr>
        <w:t>ont diffusées en mode audio sur le web</w:t>
      </w:r>
      <w:r w:rsidR="006D1533">
        <w:rPr>
          <w:szCs w:val="24"/>
          <w:lang w:val="fr-CH"/>
        </w:rPr>
        <w:t xml:space="preserve"> </w:t>
      </w:r>
      <w:r w:rsidRPr="00A76ADF">
        <w:rPr>
          <w:szCs w:val="24"/>
          <w:lang w:val="fr-CH"/>
        </w:rPr>
        <w:t xml:space="preserve">grâce au Service de radiodiffusion </w:t>
      </w:r>
      <w:r w:rsidR="00CC51C5">
        <w:rPr>
          <w:szCs w:val="24"/>
          <w:lang w:val="fr-CH"/>
        </w:rPr>
        <w:t xml:space="preserve">sur </w:t>
      </w:r>
      <w:r w:rsidRPr="00A76ADF">
        <w:rPr>
          <w:szCs w:val="24"/>
          <w:lang w:val="fr-CH"/>
        </w:rPr>
        <w:t>Internet de l</w:t>
      </w:r>
      <w:r w:rsidR="0025212F">
        <w:rPr>
          <w:szCs w:val="24"/>
          <w:lang w:val="fr-CH"/>
        </w:rPr>
        <w:t>'</w:t>
      </w:r>
      <w:r w:rsidRPr="00A76ADF">
        <w:rPr>
          <w:szCs w:val="24"/>
          <w:lang w:val="fr-CH"/>
        </w:rPr>
        <w:t>UIT (IBS).</w:t>
      </w:r>
    </w:p>
    <w:p w:rsidR="004575CC" w:rsidRPr="00A409A2" w:rsidRDefault="00F37132" w:rsidP="00CC51C5">
      <w:pPr>
        <w:rPr>
          <w:rFonts w:asciiTheme="majorBidi" w:hAnsiTheme="majorBidi" w:cstheme="majorBidi"/>
          <w:szCs w:val="24"/>
          <w:lang w:val="fr-CH"/>
        </w:rPr>
      </w:pPr>
      <w:r w:rsidRPr="00CF31FA">
        <w:rPr>
          <w:lang w:val="fr-CH"/>
        </w:rPr>
        <w:t xml:space="preserve">Les participants à distance </w:t>
      </w:r>
      <w:r>
        <w:rPr>
          <w:lang w:val="fr-CH"/>
        </w:rPr>
        <w:t>peuvent</w:t>
      </w:r>
      <w:r w:rsidRPr="00CF31FA">
        <w:rPr>
          <w:lang w:val="fr-CH"/>
        </w:rPr>
        <w:t xml:space="preserve"> </w:t>
      </w:r>
      <w:r w:rsidR="001F4C90">
        <w:rPr>
          <w:lang w:val="fr-CH"/>
        </w:rPr>
        <w:t xml:space="preserve">prendre </w:t>
      </w:r>
      <w:r w:rsidR="00CC51C5">
        <w:rPr>
          <w:lang w:val="fr-CH"/>
        </w:rPr>
        <w:t xml:space="preserve">une </w:t>
      </w:r>
      <w:r w:rsidR="001F4C90">
        <w:rPr>
          <w:lang w:val="fr-CH"/>
        </w:rPr>
        <w:t xml:space="preserve">part </w:t>
      </w:r>
      <w:r w:rsidR="00CC51C5">
        <w:rPr>
          <w:lang w:val="fr-CH"/>
        </w:rPr>
        <w:t xml:space="preserve">active </w:t>
      </w:r>
      <w:r w:rsidRPr="00CF31FA">
        <w:rPr>
          <w:lang w:val="fr-CH"/>
        </w:rPr>
        <w:t xml:space="preserve">aux travaux (par exemple en présentant </w:t>
      </w:r>
      <w:r w:rsidR="00CC51C5">
        <w:rPr>
          <w:lang w:val="fr-CH"/>
        </w:rPr>
        <w:t>des</w:t>
      </w:r>
      <w:r w:rsidRPr="00CF31FA">
        <w:rPr>
          <w:lang w:val="fr-CH"/>
        </w:rPr>
        <w:t xml:space="preserve"> contribution</w:t>
      </w:r>
      <w:r w:rsidR="00CC51C5">
        <w:rPr>
          <w:lang w:val="fr-CH"/>
        </w:rPr>
        <w:t>s</w:t>
      </w:r>
      <w:r w:rsidRPr="00CF31FA">
        <w:rPr>
          <w:lang w:val="fr-CH"/>
        </w:rPr>
        <w:t xml:space="preserve">) </w:t>
      </w:r>
      <w:r>
        <w:rPr>
          <w:lang w:val="fr-CH"/>
        </w:rPr>
        <w:t>en s</w:t>
      </w:r>
      <w:r w:rsidR="0025212F">
        <w:rPr>
          <w:lang w:val="fr-CH"/>
        </w:rPr>
        <w:t>'</w:t>
      </w:r>
      <w:r>
        <w:rPr>
          <w:lang w:val="fr-CH"/>
        </w:rPr>
        <w:t>inscrivant au préalable à la réunion</w:t>
      </w:r>
      <w:r w:rsidRPr="00CF31FA">
        <w:rPr>
          <w:lang w:val="fr-CH"/>
        </w:rPr>
        <w:t xml:space="preserve"> et </w:t>
      </w:r>
      <w:r>
        <w:rPr>
          <w:lang w:val="fr-CH"/>
        </w:rPr>
        <w:t xml:space="preserve">en </w:t>
      </w:r>
      <w:r w:rsidRPr="00CF31FA">
        <w:rPr>
          <w:lang w:val="fr-CH"/>
        </w:rPr>
        <w:t>coordonn</w:t>
      </w:r>
      <w:r>
        <w:rPr>
          <w:lang w:val="fr-CH"/>
        </w:rPr>
        <w:t>ant</w:t>
      </w:r>
      <w:r w:rsidRPr="00CF31FA">
        <w:rPr>
          <w:lang w:val="fr-CH"/>
        </w:rPr>
        <w:t>, au moins un mois avant la réunion, leur participation active avec le Conseiller responsable. </w:t>
      </w:r>
    </w:p>
    <w:p w:rsidR="004575CC" w:rsidRPr="00A409A2" w:rsidRDefault="00CC51C5" w:rsidP="00CC51C5">
      <w:pPr>
        <w:rPr>
          <w:rFonts w:asciiTheme="majorBidi" w:hAnsiTheme="majorBidi" w:cstheme="majorBidi"/>
          <w:szCs w:val="24"/>
          <w:lang w:val="fr-CH"/>
        </w:rPr>
      </w:pPr>
      <w:r>
        <w:rPr>
          <w:rFonts w:asciiTheme="majorBidi" w:hAnsiTheme="majorBidi" w:cstheme="majorBidi"/>
          <w:szCs w:val="24"/>
          <w:lang w:val="fr-CH"/>
        </w:rPr>
        <w:t>Un sous-titrage est désormais assuré pour l</w:t>
      </w:r>
      <w:r w:rsidR="00A409A2" w:rsidRPr="00A409A2">
        <w:rPr>
          <w:rFonts w:asciiTheme="majorBidi" w:hAnsiTheme="majorBidi" w:cstheme="majorBidi"/>
          <w:szCs w:val="24"/>
          <w:lang w:val="fr-CH"/>
        </w:rPr>
        <w:t>es séances plénières de toutes les réunions de</w:t>
      </w:r>
      <w:r>
        <w:rPr>
          <w:rFonts w:asciiTheme="majorBidi" w:hAnsiTheme="majorBidi" w:cstheme="majorBidi"/>
          <w:szCs w:val="24"/>
          <w:lang w:val="fr-CH"/>
        </w:rPr>
        <w:t>s</w:t>
      </w:r>
      <w:r w:rsidR="00A409A2" w:rsidRPr="00A409A2">
        <w:rPr>
          <w:rFonts w:asciiTheme="majorBidi" w:hAnsiTheme="majorBidi" w:cstheme="majorBidi"/>
          <w:szCs w:val="24"/>
          <w:lang w:val="fr-CH"/>
        </w:rPr>
        <w:t xml:space="preserve"> </w:t>
      </w:r>
      <w:r>
        <w:rPr>
          <w:rFonts w:asciiTheme="majorBidi" w:hAnsiTheme="majorBidi" w:cstheme="majorBidi"/>
          <w:szCs w:val="24"/>
          <w:lang w:val="fr-CH"/>
        </w:rPr>
        <w:t>c</w:t>
      </w:r>
      <w:r w:rsidR="00A409A2" w:rsidRPr="00A409A2">
        <w:rPr>
          <w:rFonts w:asciiTheme="majorBidi" w:hAnsiTheme="majorBidi" w:cstheme="majorBidi"/>
          <w:szCs w:val="24"/>
          <w:lang w:val="fr-CH"/>
        </w:rPr>
        <w:t>ommissions</w:t>
      </w:r>
      <w:r w:rsidR="0039549F">
        <w:rPr>
          <w:rFonts w:asciiTheme="majorBidi" w:hAnsiTheme="majorBidi" w:cstheme="majorBidi"/>
          <w:szCs w:val="24"/>
          <w:lang w:val="fr-CH"/>
        </w:rPr>
        <w:t xml:space="preserve"> d</w:t>
      </w:r>
      <w:r w:rsidR="0025212F">
        <w:rPr>
          <w:rFonts w:asciiTheme="majorBidi" w:hAnsiTheme="majorBidi" w:cstheme="majorBidi"/>
          <w:szCs w:val="24"/>
          <w:lang w:val="fr-CH"/>
        </w:rPr>
        <w:t>'</w:t>
      </w:r>
      <w:r w:rsidR="0039549F">
        <w:rPr>
          <w:rFonts w:asciiTheme="majorBidi" w:hAnsiTheme="majorBidi" w:cstheme="majorBidi"/>
          <w:szCs w:val="24"/>
          <w:lang w:val="fr-CH"/>
        </w:rPr>
        <w:t>études</w:t>
      </w:r>
      <w:r w:rsidR="00A409A2" w:rsidRPr="00A409A2">
        <w:rPr>
          <w:rFonts w:asciiTheme="majorBidi" w:hAnsiTheme="majorBidi" w:cstheme="majorBidi"/>
          <w:szCs w:val="24"/>
          <w:lang w:val="fr-CH"/>
        </w:rPr>
        <w:t>.</w:t>
      </w:r>
    </w:p>
    <w:p w:rsidR="00C808D0" w:rsidRDefault="00EA396D" w:rsidP="002D5B0A">
      <w:pPr>
        <w:pStyle w:val="Heading2"/>
      </w:pPr>
      <w:r>
        <w:t>4.9</w:t>
      </w:r>
      <w:r w:rsidR="00C808D0">
        <w:tab/>
      </w:r>
      <w:r w:rsidR="00F018A8">
        <w:t>Outils de recherche de textes de l</w:t>
      </w:r>
      <w:r w:rsidR="0025212F">
        <w:t>'</w:t>
      </w:r>
      <w:r w:rsidR="00F018A8">
        <w:t>UIT-R</w:t>
      </w:r>
    </w:p>
    <w:p w:rsidR="00C808D0" w:rsidRPr="005B3964" w:rsidRDefault="0039549F" w:rsidP="00AA6F50">
      <w:r>
        <w:t>A</w:t>
      </w:r>
      <w:r w:rsidR="00C808D0">
        <w:t xml:space="preserve"> s</w:t>
      </w:r>
      <w:r w:rsidR="00C808D0" w:rsidRPr="005B3964">
        <w:t>a 19</w:t>
      </w:r>
      <w:r>
        <w:t>è</w:t>
      </w:r>
      <w:r w:rsidRPr="0039549F">
        <w:t>me</w:t>
      </w:r>
      <w:r w:rsidR="00A62AD5">
        <w:t> </w:t>
      </w:r>
      <w:r w:rsidR="00C808D0" w:rsidRPr="005B3964">
        <w:t xml:space="preserve">réunion, le GCR a invité le Directeur </w:t>
      </w:r>
      <w:r w:rsidR="00C808D0">
        <w:t>à</w:t>
      </w:r>
      <w:r w:rsidR="00C808D0" w:rsidRPr="005B3964">
        <w:t xml:space="preserve"> élabor</w:t>
      </w:r>
      <w:r w:rsidR="00C808D0">
        <w:t>er</w:t>
      </w:r>
      <w:r w:rsidR="00C808D0" w:rsidRPr="005B3964">
        <w:t xml:space="preserve"> une base de données, dans les limites budgétaires existantes, qui permettrait de</w:t>
      </w:r>
      <w:r w:rsidR="00C808D0">
        <w:t xml:space="preserve"> rechercher</w:t>
      </w:r>
      <w:r w:rsidR="00C808D0" w:rsidRPr="005B3964">
        <w:t xml:space="preserve"> </w:t>
      </w:r>
      <w:r w:rsidR="00C808D0">
        <w:t>d</w:t>
      </w:r>
      <w:r w:rsidR="00C808D0" w:rsidRPr="005B3964">
        <w:t>es Recommandations UIT-R et de les filtrer par catégorie, par exemple par service(s) de radiocommunication et par bande de fréquences applicable</w:t>
      </w:r>
      <w:r w:rsidR="00C808D0">
        <w:t>.</w:t>
      </w:r>
    </w:p>
    <w:p w:rsidR="00C808D0" w:rsidRPr="00762132" w:rsidRDefault="00C808D0" w:rsidP="0039549F">
      <w:r w:rsidRPr="005B3964">
        <w:t>Depuis l</w:t>
      </w:r>
      <w:r>
        <w:t>ors</w:t>
      </w:r>
      <w:r w:rsidRPr="005B3964">
        <w:t xml:space="preserve">, </w:t>
      </w:r>
      <w:r w:rsidR="007C47FA">
        <w:t xml:space="preserve">grâce à une </w:t>
      </w:r>
      <w:r w:rsidR="007C47FA" w:rsidRPr="007C47FA">
        <w:rPr>
          <w:lang w:val="fr-CH"/>
        </w:rPr>
        <w:t>contribution</w:t>
      </w:r>
      <w:r w:rsidR="007C47FA" w:rsidRPr="00C808D0">
        <w:rPr>
          <w:lang w:val="fr-CH"/>
        </w:rPr>
        <w:t xml:space="preserve"> </w:t>
      </w:r>
      <w:r w:rsidR="007C47FA">
        <w:rPr>
          <w:lang w:val="fr-CH"/>
        </w:rPr>
        <w:t xml:space="preserve">volontaire et </w:t>
      </w:r>
      <w:r w:rsidR="00560DB8">
        <w:t>au</w:t>
      </w:r>
      <w:r w:rsidRPr="005B3964">
        <w:t xml:space="preserve"> concours d</w:t>
      </w:r>
      <w:r w:rsidR="0025212F">
        <w:t>'</w:t>
      </w:r>
      <w:r w:rsidRPr="005B3964">
        <w:t>experts de l</w:t>
      </w:r>
      <w:r w:rsidR="0025212F">
        <w:t>'</w:t>
      </w:r>
      <w:r w:rsidRPr="005B3964">
        <w:t xml:space="preserve">Administration japonaise, </w:t>
      </w:r>
      <w:r w:rsidR="00560DB8">
        <w:t>le</w:t>
      </w:r>
      <w:r>
        <w:t xml:space="preserve"> dispositif de recherche de</w:t>
      </w:r>
      <w:r w:rsidRPr="005B3964">
        <w:t xml:space="preserve"> la base de données </w:t>
      </w:r>
      <w:r>
        <w:rPr>
          <w:lang w:val="fr-CH"/>
        </w:rPr>
        <w:t xml:space="preserve">concernant </w:t>
      </w:r>
      <w:r>
        <w:t>les</w:t>
      </w:r>
      <w:r w:rsidRPr="005B3964">
        <w:t xml:space="preserve"> documents de l</w:t>
      </w:r>
      <w:r w:rsidR="0025212F">
        <w:t>'</w:t>
      </w:r>
      <w:r w:rsidRPr="005B3964">
        <w:t xml:space="preserve">UIT-R a </w:t>
      </w:r>
      <w:r w:rsidR="00560DB8">
        <w:t>évolué</w:t>
      </w:r>
      <w:r w:rsidR="00762132">
        <w:t xml:space="preserve"> pour </w:t>
      </w:r>
      <w:r w:rsidR="0039549F">
        <w:t>s</w:t>
      </w:r>
      <w:r w:rsidR="0025212F">
        <w:t>'</w:t>
      </w:r>
      <w:r w:rsidR="0039549F">
        <w:t>appliquer aussi aux</w:t>
      </w:r>
      <w:r w:rsidR="00762132">
        <w:t xml:space="preserve"> </w:t>
      </w:r>
      <w:r w:rsidR="000663C9">
        <w:t>Recommandations</w:t>
      </w:r>
      <w:r w:rsidR="00762132">
        <w:t xml:space="preserve"> et Questions</w:t>
      </w:r>
      <w:r w:rsidR="0039549F">
        <w:t>.</w:t>
      </w:r>
      <w:r w:rsidR="00762132">
        <w:t xml:space="preserve"> Une version est disponible à </w:t>
      </w:r>
      <w:r w:rsidR="0039549F">
        <w:t>l</w:t>
      </w:r>
      <w:r w:rsidR="0025212F">
        <w:t>'</w:t>
      </w:r>
      <w:r w:rsidR="0039549F">
        <w:t xml:space="preserve">essai sur </w:t>
      </w:r>
      <w:hyperlink r:id="rId12" w:history="1">
        <w:r w:rsidR="00812E5B" w:rsidRPr="00762132">
          <w:rPr>
            <w:rStyle w:val="Hyperlink"/>
          </w:rPr>
          <w:t>https://extranet.itu.int/brdocsearch</w:t>
        </w:r>
      </w:hyperlink>
      <w:r w:rsidR="00812E5B" w:rsidRPr="00762132">
        <w:t xml:space="preserve">. </w:t>
      </w:r>
      <w:r w:rsidR="0039549F">
        <w:t>L</w:t>
      </w:r>
      <w:r w:rsidR="0025212F">
        <w:t>'</w:t>
      </w:r>
      <w:r w:rsidR="0039549F">
        <w:t>objectif est d</w:t>
      </w:r>
      <w:r w:rsidR="0025212F">
        <w:t>'</w:t>
      </w:r>
      <w:r w:rsidR="0039549F">
        <w:t>améliorer cet outil</w:t>
      </w:r>
      <w:r w:rsidR="00762132" w:rsidRPr="00762132">
        <w:t xml:space="preserve"> afin </w:t>
      </w:r>
      <w:r w:rsidR="0039549F">
        <w:t>qu</w:t>
      </w:r>
      <w:r w:rsidR="0025212F">
        <w:t>'</w:t>
      </w:r>
      <w:r w:rsidR="0039549F">
        <w:t>il s</w:t>
      </w:r>
      <w:r w:rsidR="0025212F">
        <w:t>'</w:t>
      </w:r>
      <w:r w:rsidR="0039549F">
        <w:t>applique</w:t>
      </w:r>
      <w:r w:rsidR="00762132" w:rsidRPr="00762132">
        <w:t xml:space="preserve"> </w:t>
      </w:r>
      <w:r w:rsidR="00D95347" w:rsidRPr="00762132">
        <w:t xml:space="preserve">également </w:t>
      </w:r>
      <w:r w:rsidR="0039549F">
        <w:t>aux résolutions, rapports et m</w:t>
      </w:r>
      <w:r w:rsidR="00762132" w:rsidRPr="00762132">
        <w:t>anuels de l</w:t>
      </w:r>
      <w:r w:rsidR="0025212F">
        <w:t>'</w:t>
      </w:r>
      <w:r w:rsidR="00762132" w:rsidRPr="00762132">
        <w:t>UIT-R.</w:t>
      </w:r>
    </w:p>
    <w:p w:rsidR="00E30AE1" w:rsidRPr="00F824CD" w:rsidRDefault="00E30AE1" w:rsidP="002D5B0A">
      <w:pPr>
        <w:pStyle w:val="Heading1"/>
      </w:pPr>
      <w:r w:rsidRPr="00F824CD">
        <w:t>5</w:t>
      </w:r>
      <w:r w:rsidRPr="00F824CD">
        <w:tab/>
        <w:t>Questions liées au Groupe consultatif des radiocommunications (GCR)</w:t>
      </w:r>
    </w:p>
    <w:p w:rsidR="00E30AE1" w:rsidRDefault="00E30AE1" w:rsidP="002D5B0A">
      <w:pPr>
        <w:rPr>
          <w:lang w:val="fr-CH"/>
        </w:rPr>
      </w:pPr>
      <w:r>
        <w:rPr>
          <w:lang w:val="fr-CH"/>
        </w:rPr>
        <w:t xml:space="preserve">Ces questions sont traitées dans le Rapport </w:t>
      </w:r>
      <w:r w:rsidR="00B15D78">
        <w:rPr>
          <w:lang w:val="fr-CH"/>
        </w:rPr>
        <w:t>du Président du GCR (Document AR</w:t>
      </w:r>
      <w:r>
        <w:rPr>
          <w:lang w:val="fr-CH"/>
        </w:rPr>
        <w:t>15/PLEN/7).</w:t>
      </w:r>
    </w:p>
    <w:p w:rsidR="00672CCD" w:rsidRDefault="00672CCD" w:rsidP="002D5B0A">
      <w:pPr>
        <w:pStyle w:val="Heading1"/>
      </w:pPr>
      <w:r w:rsidRPr="00F824CD">
        <w:t>6</w:t>
      </w:r>
      <w:r w:rsidRPr="00F824CD">
        <w:tab/>
      </w:r>
      <w:r>
        <w:t>Résultats de la PP-14 présentant un intérêt particulier pour l</w:t>
      </w:r>
      <w:r w:rsidR="0025212F">
        <w:t>'</w:t>
      </w:r>
      <w:r>
        <w:t>Assemblée des radiocommunications</w:t>
      </w:r>
    </w:p>
    <w:p w:rsidR="00D16DB5" w:rsidRPr="00095B50" w:rsidRDefault="00D16DB5" w:rsidP="002D5B0A">
      <w:pPr>
        <w:rPr>
          <w:lang w:val="fr-CH"/>
        </w:rPr>
      </w:pPr>
      <w:r w:rsidRPr="00095B50">
        <w:rPr>
          <w:lang w:val="fr-CH"/>
        </w:rPr>
        <w:t xml:space="preserve">La Conférence de plénipotentiaires </w:t>
      </w:r>
      <w:r w:rsidR="00CE4BF8">
        <w:rPr>
          <w:lang w:val="fr-CH"/>
        </w:rPr>
        <w:t>de </w:t>
      </w:r>
      <w:r w:rsidRPr="00095B50">
        <w:rPr>
          <w:lang w:val="fr-CH"/>
        </w:rPr>
        <w:t>2014 (PP-14) s</w:t>
      </w:r>
      <w:r w:rsidR="0025212F">
        <w:rPr>
          <w:lang w:val="fr-CH"/>
        </w:rPr>
        <w:t>'</w:t>
      </w:r>
      <w:r w:rsidRPr="00095B50">
        <w:rPr>
          <w:lang w:val="fr-CH"/>
        </w:rPr>
        <w:t>est tenue du 20</w:t>
      </w:r>
      <w:r>
        <w:rPr>
          <w:lang w:val="fr-CH"/>
        </w:rPr>
        <w:t> </w:t>
      </w:r>
      <w:r w:rsidRPr="00095B50">
        <w:rPr>
          <w:lang w:val="fr-CH"/>
        </w:rPr>
        <w:t>octobre au 7</w:t>
      </w:r>
      <w:r>
        <w:rPr>
          <w:lang w:val="fr-CH"/>
        </w:rPr>
        <w:t> </w:t>
      </w:r>
      <w:r w:rsidR="001D5471">
        <w:rPr>
          <w:lang w:val="fr-CH"/>
        </w:rPr>
        <w:t>novembre </w:t>
      </w:r>
      <w:r w:rsidR="008E2077">
        <w:rPr>
          <w:lang w:val="fr-CH"/>
        </w:rPr>
        <w:t>2014 à </w:t>
      </w:r>
      <w:r w:rsidRPr="00095B50">
        <w:rPr>
          <w:lang w:val="fr-CH"/>
        </w:rPr>
        <w:t>Busan (</w:t>
      </w:r>
      <w:r>
        <w:rPr>
          <w:lang w:val="fr-CH"/>
        </w:rPr>
        <w:t>République de</w:t>
      </w:r>
      <w:r w:rsidRPr="00095B50">
        <w:rPr>
          <w:lang w:val="fr-CH"/>
        </w:rPr>
        <w:t xml:space="preserve"> Corée</w:t>
      </w:r>
      <w:r>
        <w:rPr>
          <w:lang w:val="fr-CH"/>
        </w:rPr>
        <w:t xml:space="preserve">), </w:t>
      </w:r>
      <w:r w:rsidRPr="00095B50">
        <w:rPr>
          <w:lang w:val="fr-CH"/>
        </w:rPr>
        <w:t>en présence de 2</w:t>
      </w:r>
      <w:r>
        <w:rPr>
          <w:lang w:val="fr-CH"/>
        </w:rPr>
        <w:t> </w:t>
      </w:r>
      <w:r w:rsidRPr="00095B50">
        <w:rPr>
          <w:lang w:val="fr-CH"/>
        </w:rPr>
        <w:t>505</w:t>
      </w:r>
      <w:r>
        <w:rPr>
          <w:lang w:val="fr-CH"/>
        </w:rPr>
        <w:t> </w:t>
      </w:r>
      <w:r w:rsidRPr="00095B50">
        <w:rPr>
          <w:lang w:val="fr-CH"/>
        </w:rPr>
        <w:t>délégués de 171</w:t>
      </w:r>
      <w:r>
        <w:rPr>
          <w:lang w:val="fr-CH"/>
        </w:rPr>
        <w:t> </w:t>
      </w:r>
      <w:r w:rsidRPr="00095B50">
        <w:rPr>
          <w:lang w:val="fr-CH"/>
        </w:rPr>
        <w:t>pays,</w:t>
      </w:r>
      <w:r>
        <w:rPr>
          <w:lang w:val="fr-CH"/>
        </w:rPr>
        <w:t xml:space="preserve"> </w:t>
      </w:r>
      <w:r w:rsidRPr="00095B50">
        <w:rPr>
          <w:color w:val="000000"/>
          <w:lang w:val="fr-CH"/>
        </w:rPr>
        <w:t>dont 76</w:t>
      </w:r>
      <w:r>
        <w:rPr>
          <w:color w:val="000000"/>
          <w:lang w:val="fr-CH"/>
        </w:rPr>
        <w:t> </w:t>
      </w:r>
      <w:r w:rsidRPr="00095B50">
        <w:rPr>
          <w:color w:val="000000"/>
          <w:lang w:val="fr-CH"/>
        </w:rPr>
        <w:t>ministres, 36</w:t>
      </w:r>
      <w:r>
        <w:rPr>
          <w:color w:val="000000"/>
          <w:lang w:val="fr-CH"/>
        </w:rPr>
        <w:t> </w:t>
      </w:r>
      <w:r w:rsidRPr="00095B50">
        <w:rPr>
          <w:color w:val="000000"/>
          <w:lang w:val="fr-CH"/>
        </w:rPr>
        <w:t>vice-ministres et 56</w:t>
      </w:r>
      <w:r>
        <w:rPr>
          <w:color w:val="000000"/>
          <w:lang w:val="fr-CH"/>
        </w:rPr>
        <w:t> </w:t>
      </w:r>
      <w:r w:rsidRPr="00095B50">
        <w:rPr>
          <w:color w:val="000000"/>
          <w:lang w:val="fr-CH"/>
        </w:rPr>
        <w:t>ambassadeurs.</w:t>
      </w:r>
      <w:r>
        <w:rPr>
          <w:lang w:val="fr-CH"/>
        </w:rPr>
        <w:t xml:space="preserve"> Les principaux résultats intéressant directement l</w:t>
      </w:r>
      <w:r w:rsidR="0025212F">
        <w:rPr>
          <w:lang w:val="fr-CH"/>
        </w:rPr>
        <w:t>'</w:t>
      </w:r>
      <w:r w:rsidR="008E2077">
        <w:rPr>
          <w:lang w:val="fr-CH"/>
        </w:rPr>
        <w:t>UIT</w:t>
      </w:r>
      <w:r w:rsidR="008E2077">
        <w:rPr>
          <w:lang w:val="fr-CH"/>
        </w:rPr>
        <w:noBreakHyphen/>
      </w:r>
      <w:r>
        <w:rPr>
          <w:lang w:val="fr-CH"/>
        </w:rPr>
        <w:t>R peuvent être récapitulés comme suit:</w:t>
      </w:r>
    </w:p>
    <w:p w:rsidR="00D16DB5" w:rsidRPr="00095B50" w:rsidRDefault="00D16DB5" w:rsidP="002D5B0A">
      <w:pPr>
        <w:rPr>
          <w:lang w:val="fr-CH"/>
        </w:rPr>
      </w:pPr>
      <w:r w:rsidRPr="00095B50">
        <w:rPr>
          <w:lang w:val="fr-CH"/>
        </w:rPr>
        <w:t>M</w:t>
      </w:r>
      <w:r>
        <w:rPr>
          <w:lang w:val="fr-CH"/>
        </w:rPr>
        <w:t>. </w:t>
      </w:r>
      <w:r w:rsidRPr="00095B50">
        <w:rPr>
          <w:lang w:val="fr-CH"/>
        </w:rPr>
        <w:t xml:space="preserve">François Rancy a été réélu au poste de Directeur du Bureau </w:t>
      </w:r>
      <w:r>
        <w:rPr>
          <w:lang w:val="fr-CH"/>
        </w:rPr>
        <w:t>des radiocommunications.</w:t>
      </w:r>
    </w:p>
    <w:p w:rsidR="00D16DB5" w:rsidRPr="00095B50" w:rsidRDefault="00D16DB5" w:rsidP="002D5B0A">
      <w:pPr>
        <w:rPr>
          <w:lang w:val="fr-CH"/>
        </w:rPr>
      </w:pPr>
      <w:r>
        <w:rPr>
          <w:lang w:val="fr-CH"/>
        </w:rPr>
        <w:t xml:space="preserve">Les </w:t>
      </w:r>
      <w:r w:rsidR="001D5471">
        <w:rPr>
          <w:lang w:val="fr-CH"/>
        </w:rPr>
        <w:t>12 </w:t>
      </w:r>
      <w:r w:rsidRPr="00095B50">
        <w:rPr>
          <w:lang w:val="fr-CH"/>
        </w:rPr>
        <w:t xml:space="preserve">membres </w:t>
      </w:r>
      <w:r>
        <w:rPr>
          <w:lang w:val="fr-CH"/>
        </w:rPr>
        <w:t xml:space="preserve">ci-après </w:t>
      </w:r>
      <w:r w:rsidRPr="00095B50">
        <w:rPr>
          <w:lang w:val="fr-CH"/>
        </w:rPr>
        <w:t xml:space="preserve">du </w:t>
      </w:r>
      <w:r>
        <w:rPr>
          <w:lang w:val="fr-CH"/>
        </w:rPr>
        <w:t>C</w:t>
      </w:r>
      <w:r w:rsidRPr="00095B50">
        <w:rPr>
          <w:lang w:val="fr-CH"/>
        </w:rPr>
        <w:t xml:space="preserve">omité du </w:t>
      </w:r>
      <w:r>
        <w:rPr>
          <w:lang w:val="fr-CH"/>
        </w:rPr>
        <w:t>R</w:t>
      </w:r>
      <w:r w:rsidRPr="00095B50">
        <w:rPr>
          <w:lang w:val="fr-CH"/>
        </w:rPr>
        <w:t>èglement des radiocommunications ont été</w:t>
      </w:r>
      <w:r>
        <w:rPr>
          <w:lang w:val="fr-CH"/>
        </w:rPr>
        <w:t xml:space="preserve"> élus ou</w:t>
      </w:r>
      <w:r w:rsidRPr="00095B50">
        <w:rPr>
          <w:lang w:val="fr-CH"/>
        </w:rPr>
        <w:t xml:space="preserve"> réélus:</w:t>
      </w:r>
    </w:p>
    <w:p w:rsidR="00D16DB5" w:rsidRPr="00586F19" w:rsidRDefault="00D16DB5" w:rsidP="002D5B0A">
      <w:pPr>
        <w:pStyle w:val="enumlev1"/>
        <w:rPr>
          <w:lang w:val="fr-CH"/>
        </w:rPr>
      </w:pPr>
      <w:r w:rsidRPr="00586F19">
        <w:rPr>
          <w:lang w:val="fr-CH"/>
        </w:rPr>
        <w:t>•</w:t>
      </w:r>
      <w:r w:rsidRPr="00586F19">
        <w:rPr>
          <w:lang w:val="fr-CH"/>
        </w:rPr>
        <w:tab/>
        <w:t>Ré</w:t>
      </w:r>
      <w:r>
        <w:rPr>
          <w:lang w:val="fr-CH"/>
        </w:rPr>
        <w:t>gion A: M. </w:t>
      </w:r>
      <w:r w:rsidRPr="00586F19">
        <w:rPr>
          <w:lang w:val="fr-CH"/>
        </w:rPr>
        <w:t>R.</w:t>
      </w:r>
      <w:r>
        <w:rPr>
          <w:lang w:val="fr-CH"/>
        </w:rPr>
        <w:t> </w:t>
      </w:r>
      <w:r w:rsidRPr="00586F19">
        <w:rPr>
          <w:lang w:val="fr-CH"/>
        </w:rPr>
        <w:t>L.</w:t>
      </w:r>
      <w:r>
        <w:rPr>
          <w:lang w:val="fr-CH"/>
        </w:rPr>
        <w:t> </w:t>
      </w:r>
      <w:r w:rsidRPr="00586F19">
        <w:rPr>
          <w:lang w:val="fr-CH"/>
        </w:rPr>
        <w:t>Terán (Argentine</w:t>
      </w:r>
      <w:r>
        <w:rPr>
          <w:lang w:val="fr-CH"/>
        </w:rPr>
        <w:t>) et M</w:t>
      </w:r>
      <w:r w:rsidRPr="003F0E30">
        <w:rPr>
          <w:lang w:val="fr-CH"/>
        </w:rPr>
        <w:t>me</w:t>
      </w:r>
      <w:r>
        <w:rPr>
          <w:lang w:val="fr-CH"/>
        </w:rPr>
        <w:t> </w:t>
      </w:r>
      <w:r w:rsidRPr="00586F19">
        <w:rPr>
          <w:lang w:val="fr-CH"/>
        </w:rPr>
        <w:t>J.</w:t>
      </w:r>
      <w:r>
        <w:rPr>
          <w:lang w:val="fr-CH"/>
        </w:rPr>
        <w:t> </w:t>
      </w:r>
      <w:r w:rsidRPr="00586F19">
        <w:rPr>
          <w:lang w:val="fr-CH"/>
        </w:rPr>
        <w:t>Wilson (</w:t>
      </w:r>
      <w:r w:rsidR="00124AC1">
        <w:rPr>
          <w:lang w:val="fr-CH"/>
        </w:rPr>
        <w:t>E</w:t>
      </w:r>
      <w:r w:rsidR="00293F92">
        <w:rPr>
          <w:lang w:val="fr-CH"/>
        </w:rPr>
        <w:t>tat</w:t>
      </w:r>
      <w:r>
        <w:rPr>
          <w:lang w:val="fr-CH"/>
        </w:rPr>
        <w:t>s-Unis d</w:t>
      </w:r>
      <w:r w:rsidR="0025212F">
        <w:rPr>
          <w:lang w:val="fr-CH"/>
        </w:rPr>
        <w:t>'</w:t>
      </w:r>
      <w:r>
        <w:rPr>
          <w:lang w:val="fr-CH"/>
        </w:rPr>
        <w:t>Amérique)</w:t>
      </w:r>
    </w:p>
    <w:p w:rsidR="00D16DB5" w:rsidRPr="00586F19" w:rsidRDefault="00D16DB5" w:rsidP="002D5B0A">
      <w:pPr>
        <w:pStyle w:val="enumlev1"/>
        <w:rPr>
          <w:lang w:val="fr-CH"/>
        </w:rPr>
      </w:pPr>
      <w:r w:rsidRPr="00586F19">
        <w:rPr>
          <w:lang w:val="fr-CH"/>
        </w:rPr>
        <w:t>•</w:t>
      </w:r>
      <w:r w:rsidRPr="00586F19">
        <w:rPr>
          <w:lang w:val="fr-CH"/>
        </w:rPr>
        <w:tab/>
        <w:t>Région B: M</w:t>
      </w:r>
      <w:r>
        <w:rPr>
          <w:lang w:val="fr-CH"/>
        </w:rPr>
        <w:t>. </w:t>
      </w:r>
      <w:r w:rsidRPr="00586F19">
        <w:rPr>
          <w:lang w:val="fr-CH"/>
        </w:rPr>
        <w:t>A.</w:t>
      </w:r>
      <w:r>
        <w:rPr>
          <w:lang w:val="fr-CH"/>
        </w:rPr>
        <w:t> </w:t>
      </w:r>
      <w:r w:rsidRPr="00586F19">
        <w:rPr>
          <w:lang w:val="fr-CH"/>
        </w:rPr>
        <w:t xml:space="preserve">Magenta (Italie) </w:t>
      </w:r>
      <w:r>
        <w:rPr>
          <w:lang w:val="fr-CH"/>
        </w:rPr>
        <w:t>et</w:t>
      </w:r>
      <w:r w:rsidRPr="00586F19">
        <w:rPr>
          <w:lang w:val="fr-CH"/>
        </w:rPr>
        <w:t xml:space="preserve"> </w:t>
      </w:r>
      <w:r>
        <w:rPr>
          <w:lang w:val="fr-CH"/>
        </w:rPr>
        <w:t>M</w:t>
      </w:r>
      <w:r w:rsidRPr="003F0E30">
        <w:rPr>
          <w:lang w:val="fr-CH"/>
        </w:rPr>
        <w:t>me</w:t>
      </w:r>
      <w:r>
        <w:rPr>
          <w:lang w:val="fr-CH"/>
        </w:rPr>
        <w:t> </w:t>
      </w:r>
      <w:r w:rsidRPr="00586F19">
        <w:rPr>
          <w:lang w:val="fr-CH"/>
        </w:rPr>
        <w:t>L.</w:t>
      </w:r>
      <w:r>
        <w:rPr>
          <w:lang w:val="fr-CH"/>
        </w:rPr>
        <w:t> </w:t>
      </w:r>
      <w:r w:rsidRPr="00586F19">
        <w:rPr>
          <w:lang w:val="fr-CH"/>
        </w:rPr>
        <w:t>Jeanty (</w:t>
      </w:r>
      <w:r>
        <w:rPr>
          <w:lang w:val="fr-CH"/>
        </w:rPr>
        <w:t>Pays-Bas)</w:t>
      </w:r>
    </w:p>
    <w:p w:rsidR="00D16DB5" w:rsidRPr="00586F19" w:rsidRDefault="00D16DB5" w:rsidP="002D5B0A">
      <w:pPr>
        <w:pStyle w:val="enumlev1"/>
        <w:rPr>
          <w:lang w:val="fr-CH"/>
        </w:rPr>
      </w:pPr>
      <w:r w:rsidRPr="00586F19">
        <w:rPr>
          <w:lang w:val="fr-CH"/>
        </w:rPr>
        <w:t>•</w:t>
      </w:r>
      <w:r w:rsidRPr="00586F19">
        <w:rPr>
          <w:lang w:val="fr-CH"/>
        </w:rPr>
        <w:tab/>
        <w:t>Région C: M</w:t>
      </w:r>
      <w:r>
        <w:rPr>
          <w:lang w:val="fr-CH"/>
        </w:rPr>
        <w:t>. </w:t>
      </w:r>
      <w:r w:rsidRPr="00586F19">
        <w:rPr>
          <w:lang w:val="fr-CH"/>
        </w:rPr>
        <w:t>V.</w:t>
      </w:r>
      <w:r>
        <w:rPr>
          <w:lang w:val="fr-CH"/>
        </w:rPr>
        <w:t> </w:t>
      </w:r>
      <w:r w:rsidRPr="00586F19">
        <w:rPr>
          <w:lang w:val="fr-CH"/>
        </w:rPr>
        <w:t xml:space="preserve">Strelets (Fédération de Russie) </w:t>
      </w:r>
      <w:r>
        <w:rPr>
          <w:lang w:val="fr-CH"/>
        </w:rPr>
        <w:t>et</w:t>
      </w:r>
      <w:r w:rsidRPr="00586F19">
        <w:rPr>
          <w:lang w:val="fr-CH"/>
        </w:rPr>
        <w:t xml:space="preserve"> M</w:t>
      </w:r>
      <w:r>
        <w:rPr>
          <w:lang w:val="fr-CH"/>
        </w:rPr>
        <w:t>. </w:t>
      </w:r>
      <w:r w:rsidRPr="00586F19">
        <w:rPr>
          <w:lang w:val="fr-CH"/>
        </w:rPr>
        <w:t>I.</w:t>
      </w:r>
      <w:r>
        <w:rPr>
          <w:lang w:val="fr-CH"/>
        </w:rPr>
        <w:t> </w:t>
      </w:r>
      <w:r w:rsidRPr="00586F19">
        <w:rPr>
          <w:lang w:val="fr-CH"/>
        </w:rPr>
        <w:t>Khairov (Ukraine)</w:t>
      </w:r>
    </w:p>
    <w:p w:rsidR="00D16DB5" w:rsidRPr="00586F19" w:rsidRDefault="00D16DB5" w:rsidP="002D5B0A">
      <w:pPr>
        <w:pStyle w:val="enumlev1"/>
        <w:rPr>
          <w:lang w:val="fr-CH"/>
        </w:rPr>
      </w:pPr>
      <w:r w:rsidRPr="00586F19">
        <w:rPr>
          <w:lang w:val="fr-CH"/>
        </w:rPr>
        <w:t>•</w:t>
      </w:r>
      <w:r w:rsidRPr="00586F19">
        <w:rPr>
          <w:lang w:val="fr-CH"/>
        </w:rPr>
        <w:tab/>
        <w:t xml:space="preserve">Région </w:t>
      </w:r>
      <w:r>
        <w:rPr>
          <w:lang w:val="fr-CH"/>
        </w:rPr>
        <w:t>D: M. S. K. Kibe (Kenya) M. S. Koffi (Côte d</w:t>
      </w:r>
      <w:r w:rsidR="0025212F">
        <w:rPr>
          <w:lang w:val="fr-CH"/>
        </w:rPr>
        <w:t>'</w:t>
      </w:r>
      <w:r>
        <w:rPr>
          <w:lang w:val="fr-CH"/>
        </w:rPr>
        <w:t>Ivoire)</w:t>
      </w:r>
      <w:r w:rsidRPr="00586F19">
        <w:rPr>
          <w:lang w:val="fr-CH"/>
        </w:rPr>
        <w:t xml:space="preserve"> </w:t>
      </w:r>
      <w:r>
        <w:rPr>
          <w:lang w:val="fr-CH"/>
        </w:rPr>
        <w:t>et</w:t>
      </w:r>
      <w:r w:rsidRPr="00586F19">
        <w:rPr>
          <w:lang w:val="fr-CH"/>
        </w:rPr>
        <w:t xml:space="preserve"> M</w:t>
      </w:r>
      <w:r>
        <w:rPr>
          <w:lang w:val="fr-CH"/>
        </w:rPr>
        <w:t>. </w:t>
      </w:r>
      <w:r w:rsidRPr="00586F19">
        <w:rPr>
          <w:lang w:val="fr-CH"/>
        </w:rPr>
        <w:t>M.</w:t>
      </w:r>
      <w:r>
        <w:rPr>
          <w:lang w:val="fr-CH"/>
        </w:rPr>
        <w:t> </w:t>
      </w:r>
      <w:r w:rsidRPr="00586F19">
        <w:rPr>
          <w:lang w:val="fr-CH"/>
        </w:rPr>
        <w:t>Bessi (</w:t>
      </w:r>
      <w:r>
        <w:rPr>
          <w:lang w:val="fr-CH"/>
        </w:rPr>
        <w:t>Maroc)</w:t>
      </w:r>
    </w:p>
    <w:p w:rsidR="00D16DB5" w:rsidRPr="00586F19" w:rsidRDefault="00D16DB5" w:rsidP="002D5B0A">
      <w:pPr>
        <w:pStyle w:val="enumlev1"/>
        <w:rPr>
          <w:lang w:val="fr-CH"/>
        </w:rPr>
      </w:pPr>
      <w:r w:rsidRPr="00586F19">
        <w:rPr>
          <w:lang w:val="fr-CH"/>
        </w:rPr>
        <w:t>•</w:t>
      </w:r>
      <w:r w:rsidRPr="00586F19">
        <w:rPr>
          <w:lang w:val="fr-CH"/>
        </w:rPr>
        <w:tab/>
        <w:t>Région E: M.</w:t>
      </w:r>
      <w:r>
        <w:rPr>
          <w:lang w:val="fr-CH"/>
        </w:rPr>
        <w:t> </w:t>
      </w:r>
      <w:r w:rsidRPr="00586F19">
        <w:rPr>
          <w:lang w:val="fr-CH"/>
        </w:rPr>
        <w:t>Y.</w:t>
      </w:r>
      <w:r>
        <w:rPr>
          <w:lang w:val="fr-CH"/>
        </w:rPr>
        <w:t> </w:t>
      </w:r>
      <w:r w:rsidRPr="00586F19">
        <w:rPr>
          <w:lang w:val="fr-CH"/>
        </w:rPr>
        <w:t>Ito (Japon), M.</w:t>
      </w:r>
      <w:r>
        <w:rPr>
          <w:lang w:val="fr-CH"/>
        </w:rPr>
        <w:t> </w:t>
      </w:r>
      <w:r w:rsidRPr="00586F19">
        <w:rPr>
          <w:lang w:val="fr-CH"/>
        </w:rPr>
        <w:t>N.</w:t>
      </w:r>
      <w:r>
        <w:rPr>
          <w:lang w:val="fr-CH"/>
        </w:rPr>
        <w:t> </w:t>
      </w:r>
      <w:r w:rsidRPr="00586F19">
        <w:rPr>
          <w:lang w:val="fr-CH"/>
        </w:rPr>
        <w:t>Bin Hammad (</w:t>
      </w:r>
      <w:r w:rsidR="00124AC1">
        <w:rPr>
          <w:lang w:val="fr-CH"/>
        </w:rPr>
        <w:t>E</w:t>
      </w:r>
      <w:r>
        <w:rPr>
          <w:lang w:val="fr-CH"/>
        </w:rPr>
        <w:t>mirats arabes unis) et M.</w:t>
      </w:r>
      <w:r w:rsidRPr="00586F19">
        <w:rPr>
          <w:lang w:val="fr-CH"/>
        </w:rPr>
        <w:t> D.</w:t>
      </w:r>
      <w:r>
        <w:rPr>
          <w:lang w:val="fr-CH"/>
        </w:rPr>
        <w:t> </w:t>
      </w:r>
      <w:r w:rsidRPr="00586F19">
        <w:rPr>
          <w:lang w:val="fr-CH"/>
        </w:rPr>
        <w:t>Q. </w:t>
      </w:r>
      <w:r>
        <w:rPr>
          <w:lang w:val="fr-CH"/>
        </w:rPr>
        <w:t>Hoan (Viet Nam)</w:t>
      </w:r>
    </w:p>
    <w:p w:rsidR="00D16DB5" w:rsidRDefault="00B06F6D" w:rsidP="002D5B0A">
      <w:pPr>
        <w:rPr>
          <w:lang w:val="fr-CH"/>
        </w:rPr>
      </w:pPr>
      <w:r>
        <w:rPr>
          <w:lang w:val="fr-CH"/>
        </w:rPr>
        <w:t>Pour la première fois depuis </w:t>
      </w:r>
      <w:r w:rsidR="00D16DB5" w:rsidRPr="00586F19">
        <w:rPr>
          <w:lang w:val="fr-CH"/>
        </w:rPr>
        <w:t>1992, la Conférence n</w:t>
      </w:r>
      <w:r w:rsidR="0025212F">
        <w:rPr>
          <w:lang w:val="fr-CH"/>
        </w:rPr>
        <w:t>'</w:t>
      </w:r>
      <w:r w:rsidR="00D16DB5" w:rsidRPr="00586F19">
        <w:rPr>
          <w:lang w:val="fr-CH"/>
        </w:rPr>
        <w:t>a apporté aucun amendement à la Constitution et à la Convention de l</w:t>
      </w:r>
      <w:r w:rsidR="0025212F">
        <w:rPr>
          <w:lang w:val="fr-CH"/>
        </w:rPr>
        <w:t>'</w:t>
      </w:r>
      <w:r w:rsidR="00D16DB5" w:rsidRPr="00586F19">
        <w:rPr>
          <w:lang w:val="fr-CH"/>
        </w:rPr>
        <w:t>UIT.</w:t>
      </w:r>
    </w:p>
    <w:p w:rsidR="00D16DB5" w:rsidRDefault="00D16DB5" w:rsidP="002D5B0A">
      <w:r>
        <w:t>La Conférence a officiellement adopté le Plan strat</w:t>
      </w:r>
      <w:r w:rsidR="00B06F6D">
        <w:t>égique de l</w:t>
      </w:r>
      <w:r w:rsidR="0025212F">
        <w:t>'</w:t>
      </w:r>
      <w:r w:rsidR="00B06F6D">
        <w:t>UIT pour la période </w:t>
      </w:r>
      <w:r w:rsidR="008E2077">
        <w:t>2016</w:t>
      </w:r>
      <w:r w:rsidR="008E2077">
        <w:noBreakHyphen/>
      </w:r>
      <w:r w:rsidRPr="00621EC7">
        <w:t>2019</w:t>
      </w:r>
      <w:r>
        <w:t xml:space="preserve"> et le Plan financier pour la même période, notamment une nouvelle Résolution sur le </w:t>
      </w:r>
      <w:r>
        <w:rPr>
          <w:color w:val="000000"/>
        </w:rPr>
        <w:t>Programme «Connect 2020», qui présente une vision claire et des objectifs communs pour l</w:t>
      </w:r>
      <w:r w:rsidR="0025212F">
        <w:rPr>
          <w:color w:val="000000"/>
        </w:rPr>
        <w:t>'</w:t>
      </w:r>
      <w:r>
        <w:rPr>
          <w:color w:val="000000"/>
        </w:rPr>
        <w:t>avenir du secteur des TIC, grâce à la définition de nouvelles cibles statistiques mesurables.</w:t>
      </w:r>
    </w:p>
    <w:p w:rsidR="00D16DB5" w:rsidRPr="00C50D4F" w:rsidRDefault="00D16DB5" w:rsidP="002D5B0A">
      <w:pPr>
        <w:rPr>
          <w:lang w:val="fr-CH"/>
        </w:rPr>
      </w:pPr>
      <w:r>
        <w:rPr>
          <w:lang w:val="fr-CH"/>
        </w:rPr>
        <w:t xml:space="preserve">Le </w:t>
      </w:r>
      <w:r w:rsidRPr="00C50D4F">
        <w:rPr>
          <w:lang w:val="fr-CH"/>
        </w:rPr>
        <w:t>Plan stratégique pour la période 20</w:t>
      </w:r>
      <w:r>
        <w:rPr>
          <w:lang w:val="fr-CH"/>
        </w:rPr>
        <w:t>16-</w:t>
      </w:r>
      <w:r w:rsidRPr="00C50D4F">
        <w:rPr>
          <w:lang w:val="fr-CH"/>
        </w:rPr>
        <w:t>2019</w:t>
      </w:r>
      <w:r>
        <w:rPr>
          <w:lang w:val="fr-CH"/>
        </w:rPr>
        <w:t xml:space="preserve"> fixe les objectifs suivants</w:t>
      </w:r>
      <w:r w:rsidRPr="00C50D4F">
        <w:rPr>
          <w:lang w:val="fr-CH"/>
        </w:rPr>
        <w:t xml:space="preserve"> pour</w:t>
      </w:r>
      <w:r>
        <w:rPr>
          <w:lang w:val="fr-CH"/>
        </w:rPr>
        <w:t xml:space="preserve"> l</w:t>
      </w:r>
      <w:r w:rsidR="0025212F">
        <w:rPr>
          <w:lang w:val="fr-CH"/>
        </w:rPr>
        <w:t>'</w:t>
      </w:r>
      <w:r w:rsidRPr="00C50D4F">
        <w:rPr>
          <w:lang w:val="fr-CH"/>
        </w:rPr>
        <w:t>UIT</w:t>
      </w:r>
      <w:r>
        <w:rPr>
          <w:lang w:val="fr-CH"/>
        </w:rPr>
        <w:t>-</w:t>
      </w:r>
      <w:r w:rsidRPr="00C50D4F">
        <w:rPr>
          <w:lang w:val="fr-CH"/>
        </w:rPr>
        <w:t>R:</w:t>
      </w:r>
    </w:p>
    <w:p w:rsidR="00D16DB5" w:rsidRPr="000B3ABA" w:rsidRDefault="00D16DB5" w:rsidP="002D5B0A">
      <w:pPr>
        <w:pStyle w:val="enumlev1"/>
      </w:pPr>
      <w:r w:rsidRPr="000B3ABA">
        <w:t>R.1</w:t>
      </w:r>
      <w:r w:rsidRPr="000B3ABA">
        <w:tab/>
        <w:t>Répondre, de manière rationnelle, équitable, efficace, économique et rapide aux besoins des membres en ce qui concerne les ressources du spectre des fréquences radioélectriques et des orbites des satellites, tout en évitant les brouillages préjudiciables</w:t>
      </w:r>
      <w:r>
        <w:t>.</w:t>
      </w:r>
    </w:p>
    <w:p w:rsidR="00D16DB5" w:rsidRPr="000B3ABA" w:rsidRDefault="00D16DB5" w:rsidP="002D5B0A">
      <w:pPr>
        <w:pStyle w:val="enumlev1"/>
      </w:pPr>
      <w:r w:rsidRPr="000B3ABA">
        <w:t>R.2</w:t>
      </w:r>
      <w:r w:rsidRPr="000B3ABA">
        <w:tab/>
        <w:t>Assurer la connectivité et l</w:t>
      </w:r>
      <w:r w:rsidR="0025212F">
        <w:t>'</w:t>
      </w:r>
      <w:r w:rsidRPr="000B3ABA">
        <w:t>interopérabilité à l</w:t>
      </w:r>
      <w:r w:rsidR="0025212F">
        <w:t>'</w:t>
      </w:r>
      <w:r w:rsidRPr="000B3ABA">
        <w:t>échelle mondiale, l</w:t>
      </w:r>
      <w:r w:rsidR="0025212F">
        <w:t>'</w:t>
      </w:r>
      <w:r w:rsidRPr="000B3ABA">
        <w:t>amélioration de la qualité de fonctionnement, de la qualité, de l</w:t>
      </w:r>
      <w:r w:rsidR="0025212F">
        <w:t>'</w:t>
      </w:r>
      <w:r w:rsidRPr="000B3ABA">
        <w:t>accessibilité économique et de la rapidité d</w:t>
      </w:r>
      <w:r w:rsidR="0025212F">
        <w:t>'</w:t>
      </w:r>
      <w:r w:rsidRPr="000B3ABA">
        <w:t>exécution du service et une conception générale économique des systèmes dans le domaine des radiocommunications, notamment en élaborant des normes internationales</w:t>
      </w:r>
      <w:r>
        <w:t>.</w:t>
      </w:r>
    </w:p>
    <w:p w:rsidR="00D16DB5" w:rsidRDefault="00D16DB5" w:rsidP="002D5B0A">
      <w:pPr>
        <w:pStyle w:val="enumlev1"/>
      </w:pPr>
      <w:r w:rsidRPr="000B3ABA">
        <w:t>R.3</w:t>
      </w:r>
      <w:r w:rsidRPr="000B3ABA">
        <w:tab/>
        <w:t>Encourager l</w:t>
      </w:r>
      <w:r w:rsidR="0025212F">
        <w:t>'</w:t>
      </w:r>
      <w:r w:rsidRPr="000B3ABA">
        <w:t>acquisition et l</w:t>
      </w:r>
      <w:r w:rsidR="0025212F">
        <w:t>'</w:t>
      </w:r>
      <w:r w:rsidRPr="000B3ABA">
        <w:t xml:space="preserve">échange de connaissances et de </w:t>
      </w:r>
      <w:r w:rsidR="000663C9" w:rsidRPr="000B3ABA">
        <w:t>savoir</w:t>
      </w:r>
      <w:r w:rsidR="000663C9">
        <w:t>-</w:t>
      </w:r>
      <w:r w:rsidR="000663C9" w:rsidRPr="000B3ABA">
        <w:t>faire</w:t>
      </w:r>
      <w:r w:rsidRPr="000B3ABA">
        <w:t xml:space="preserve"> dans le domaine des radiocommunications</w:t>
      </w:r>
      <w:r>
        <w:t>.</w:t>
      </w:r>
    </w:p>
    <w:p w:rsidR="00D16DB5" w:rsidRPr="000073FA" w:rsidRDefault="00D16DB5" w:rsidP="002D5B0A">
      <w:pPr>
        <w:rPr>
          <w:lang w:val="fr-CH"/>
        </w:rPr>
      </w:pPr>
      <w:r>
        <w:rPr>
          <w:b/>
          <w:bCs/>
          <w:lang w:val="fr-CH"/>
        </w:rPr>
        <w:t>R</w:t>
      </w:r>
      <w:r w:rsidRPr="000073FA">
        <w:rPr>
          <w:b/>
          <w:bCs/>
          <w:lang w:val="fr-CH"/>
        </w:rPr>
        <w:t>ecettes et dépenses de l</w:t>
      </w:r>
      <w:r w:rsidR="0025212F">
        <w:rPr>
          <w:b/>
          <w:bCs/>
          <w:lang w:val="fr-CH"/>
        </w:rPr>
        <w:t>'</w:t>
      </w:r>
      <w:r w:rsidR="009329C0">
        <w:rPr>
          <w:b/>
          <w:bCs/>
          <w:lang w:val="fr-CH"/>
        </w:rPr>
        <w:t>Union pour la période </w:t>
      </w:r>
      <w:r w:rsidRPr="000073FA">
        <w:rPr>
          <w:b/>
          <w:bCs/>
          <w:lang w:val="fr-CH"/>
        </w:rPr>
        <w:t>2016-2019</w:t>
      </w:r>
      <w:r w:rsidR="00731752">
        <w:t> – </w:t>
      </w:r>
      <w:r>
        <w:t>La Conférence a adopté la</w:t>
      </w:r>
      <w:r>
        <w:rPr>
          <w:lang w:val="fr-CH"/>
        </w:rPr>
        <w:t xml:space="preserve"> Déc</w:t>
      </w:r>
      <w:r w:rsidRPr="000073FA">
        <w:rPr>
          <w:lang w:val="fr-CH"/>
        </w:rPr>
        <w:t>ision</w:t>
      </w:r>
      <w:r>
        <w:rPr>
          <w:lang w:val="fr-CH"/>
        </w:rPr>
        <w:t> </w:t>
      </w:r>
      <w:r w:rsidRPr="000073FA">
        <w:rPr>
          <w:lang w:val="fr-CH"/>
        </w:rPr>
        <w:t xml:space="preserve">5, </w:t>
      </w:r>
      <w:r>
        <w:rPr>
          <w:lang w:val="fr-CH"/>
        </w:rPr>
        <w:t>y compris l</w:t>
      </w:r>
      <w:r w:rsidR="0025212F">
        <w:rPr>
          <w:lang w:val="fr-CH"/>
        </w:rPr>
        <w:t>'</w:t>
      </w:r>
      <w:r w:rsidRPr="000073FA">
        <w:rPr>
          <w:lang w:val="fr-CH"/>
        </w:rPr>
        <w:t>Annex</w:t>
      </w:r>
      <w:r>
        <w:rPr>
          <w:lang w:val="fr-CH"/>
        </w:rPr>
        <w:t>e </w:t>
      </w:r>
      <w:r w:rsidRPr="000073FA">
        <w:rPr>
          <w:lang w:val="fr-CH"/>
        </w:rPr>
        <w:t xml:space="preserve">2, </w:t>
      </w:r>
      <w:r>
        <w:rPr>
          <w:lang w:val="fr-CH"/>
        </w:rPr>
        <w:t xml:space="preserve">qui comprend une longue liste de </w:t>
      </w:r>
      <w:r>
        <w:rPr>
          <w:color w:val="000000"/>
        </w:rPr>
        <w:t xml:space="preserve">mesures </w:t>
      </w:r>
      <w:r w:rsidR="00202D5C">
        <w:rPr>
          <w:color w:val="000000"/>
        </w:rPr>
        <w:t>visant à réduire les</w:t>
      </w:r>
      <w:r>
        <w:rPr>
          <w:color w:val="000000"/>
        </w:rPr>
        <w:t xml:space="preserve"> dépenses. Les mesures influant directement sur les travaux de l</w:t>
      </w:r>
      <w:r w:rsidR="0025212F">
        <w:rPr>
          <w:color w:val="000000"/>
        </w:rPr>
        <w:t>'</w:t>
      </w:r>
      <w:r>
        <w:rPr>
          <w:color w:val="000000"/>
        </w:rPr>
        <w:t>UIT-R sont notamment les suivantes</w:t>
      </w:r>
      <w:r w:rsidRPr="000073FA">
        <w:rPr>
          <w:lang w:val="fr-CH"/>
        </w:rPr>
        <w:t>:</w:t>
      </w:r>
    </w:p>
    <w:p w:rsidR="00D16DB5" w:rsidRDefault="00D16DB5" w:rsidP="002D5B0A">
      <w:pPr>
        <w:pStyle w:val="enumlev1"/>
      </w:pPr>
      <w:r>
        <w:t>–</w:t>
      </w:r>
      <w:r>
        <w:tab/>
      </w:r>
      <w:r w:rsidR="00D15701">
        <w:t>m</w:t>
      </w:r>
      <w:r w:rsidRPr="002F5CED">
        <w:t>ise en évidence et suppression des doubles emplois (et du recoupement des fonctions, des travaux, des ateliers et des séminaires) et centralisation des tâches d</w:t>
      </w:r>
      <w:r w:rsidR="0025212F">
        <w:t>'</w:t>
      </w:r>
      <w:r w:rsidRPr="002F5CED">
        <w:t xml:space="preserve">ordre financier et administratif, afin </w:t>
      </w:r>
      <w:r w:rsidR="009329C0">
        <w:t xml:space="preserve">de gagner en efficacité </w:t>
      </w:r>
      <w:r w:rsidRPr="002F5CED">
        <w:t>et de tirer profit d</w:t>
      </w:r>
      <w:r w:rsidR="0025212F">
        <w:t>'</w:t>
      </w:r>
      <w:r w:rsidRPr="002F5CED">
        <w:t>u</w:t>
      </w:r>
      <w:r w:rsidR="00D15701">
        <w:t>ne spécialisation des effectifs;</w:t>
      </w:r>
    </w:p>
    <w:p w:rsidR="00D16DB5" w:rsidRDefault="00D16DB5" w:rsidP="005E3CD4">
      <w:pPr>
        <w:pStyle w:val="enumlev1"/>
      </w:pPr>
      <w:r>
        <w:t>–</w:t>
      </w:r>
      <w:r>
        <w:tab/>
      </w:r>
      <w:r w:rsidR="00D15701">
        <w:t>invitation au</w:t>
      </w:r>
      <w:r w:rsidRPr="002F5CED">
        <w:t xml:space="preserve"> Secrétariat général et </w:t>
      </w:r>
      <w:r w:rsidR="00D15701">
        <w:t>aux</w:t>
      </w:r>
      <w:r w:rsidRPr="002F5CED">
        <w:t xml:space="preserve"> trois Secteurs de l</w:t>
      </w:r>
      <w:r w:rsidR="0025212F">
        <w:t>'</w:t>
      </w:r>
      <w:r w:rsidRPr="002F5CED">
        <w:t xml:space="preserve">Union </w:t>
      </w:r>
      <w:r w:rsidR="00D15701">
        <w:t>à</w:t>
      </w:r>
      <w:r w:rsidRPr="002F5CED">
        <w:t xml:space="preserve"> réduire le coût de la documentation des conférences et des réunions en organisant des manifestations/réunions/conférences sans papier et en encourageant l</w:t>
      </w:r>
      <w:r w:rsidR="0025212F">
        <w:t>'</w:t>
      </w:r>
      <w:r w:rsidRPr="002F5CED">
        <w:t>adoption des TIC comme solution de remplac</w:t>
      </w:r>
      <w:r w:rsidR="00D15701">
        <w:t>ement viable et la plus durable;</w:t>
      </w:r>
    </w:p>
    <w:p w:rsidR="00D16DB5" w:rsidRDefault="00D16DB5" w:rsidP="002D5B0A">
      <w:pPr>
        <w:pStyle w:val="enumlev1"/>
      </w:pPr>
      <w:r>
        <w:t>–</w:t>
      </w:r>
      <w:r>
        <w:tab/>
      </w:r>
      <w:r w:rsidR="00D15701">
        <w:t>r</w:t>
      </w:r>
      <w:r w:rsidRPr="002F5CED">
        <w:t>édu</w:t>
      </w:r>
      <w:r w:rsidR="00D15701">
        <w:t>ction</w:t>
      </w:r>
      <w:r w:rsidRPr="002F5CED">
        <w:t xml:space="preserve"> au strict minimum nécessaire</w:t>
      </w:r>
      <w:r w:rsidR="00D15701">
        <w:t xml:space="preserve"> de</w:t>
      </w:r>
      <w:r w:rsidRPr="002F5CED">
        <w:t xml:space="preserve"> l</w:t>
      </w:r>
      <w:r w:rsidR="0025212F">
        <w:t>'</w:t>
      </w:r>
      <w:r w:rsidRPr="002F5CED">
        <w:t xml:space="preserve">impression et </w:t>
      </w:r>
      <w:r w:rsidR="00D15701">
        <w:t xml:space="preserve">de </w:t>
      </w:r>
      <w:r w:rsidRPr="002F5CED">
        <w:t>la distribution de publications de l</w:t>
      </w:r>
      <w:r w:rsidR="0025212F">
        <w:t>'</w:t>
      </w:r>
      <w:r w:rsidRPr="002F5CED">
        <w:t>UIT promotionnel</w:t>
      </w:r>
      <w:r w:rsidR="00D15701">
        <w:t>les/ne générant pas de recettes;</w:t>
      </w:r>
    </w:p>
    <w:p w:rsidR="00D16DB5" w:rsidRDefault="00D16DB5" w:rsidP="002D5B0A">
      <w:pPr>
        <w:pStyle w:val="enumlev1"/>
      </w:pPr>
      <w:r>
        <w:t>–</w:t>
      </w:r>
      <w:r>
        <w:tab/>
      </w:r>
      <w:r w:rsidR="00D15701">
        <w:t>e</w:t>
      </w:r>
      <w:r w:rsidRPr="002F5CED">
        <w:t>xamen des économies possibles en ce qui concerne les services linguistiques (traduction, interprétation)</w:t>
      </w:r>
      <w:r w:rsidR="00E45ADF">
        <w:t xml:space="preserve"> assurés pour les réunions des C</w:t>
      </w:r>
      <w:r w:rsidRPr="002F5CED">
        <w:t>ommissions d</w:t>
      </w:r>
      <w:r w:rsidR="0025212F">
        <w:t>'</w:t>
      </w:r>
      <w:r w:rsidRPr="002F5CED">
        <w:t>études et les publications, sans préjudice des objectifs énoncés dans la Rés</w:t>
      </w:r>
      <w:r>
        <w:t>olution </w:t>
      </w:r>
      <w:r w:rsidRPr="002F5CED">
        <w:t>154 (Rév.</w:t>
      </w:r>
      <w:r>
        <w:t> </w:t>
      </w:r>
      <w:r w:rsidRPr="002F5CED">
        <w:t>Bus</w:t>
      </w:r>
      <w:r w:rsidR="006523FB">
        <w:t>an, </w:t>
      </w:r>
      <w:r w:rsidR="00D15701">
        <w:t>2014);</w:t>
      </w:r>
    </w:p>
    <w:p w:rsidR="00D16DB5" w:rsidRDefault="00D16DB5" w:rsidP="002D5B0A">
      <w:pPr>
        <w:pStyle w:val="enumlev1"/>
      </w:pPr>
      <w:r>
        <w:t>–</w:t>
      </w:r>
      <w:r>
        <w:tab/>
      </w:r>
      <w:r w:rsidR="00D15701">
        <w:t>é</w:t>
      </w:r>
      <w:r w:rsidRPr="002F5CED">
        <w:t>valuation et utilisation d</w:t>
      </w:r>
      <w:r w:rsidR="0025212F">
        <w:t>'</w:t>
      </w:r>
      <w:r w:rsidRPr="002F5CED">
        <w:t>autres méthodes de traduction susceptibles de faire baisser le coût des traductions tout en maintenant, voire en améliorant, la qualité actuelle et la précision de la terminol</w:t>
      </w:r>
      <w:r w:rsidR="00D15701">
        <w:t>ogie des télécommunications/TIC;</w:t>
      </w:r>
    </w:p>
    <w:p w:rsidR="00D16DB5" w:rsidRDefault="00D16DB5" w:rsidP="002D5B0A">
      <w:pPr>
        <w:pStyle w:val="enumlev1"/>
      </w:pPr>
      <w:r>
        <w:t>–</w:t>
      </w:r>
      <w:r>
        <w:tab/>
      </w:r>
      <w:r w:rsidR="00D15701">
        <w:t>e</w:t>
      </w:r>
      <w:r w:rsidRPr="002F5CED">
        <w:t>xame</w:t>
      </w:r>
      <w:r w:rsidR="003563D9">
        <w:t>n du nombre de réunions des c</w:t>
      </w:r>
      <w:r w:rsidRPr="002F5CED">
        <w:t>ommissions d</w:t>
      </w:r>
      <w:r w:rsidR="0025212F">
        <w:t>'</w:t>
      </w:r>
      <w:r w:rsidRPr="002F5CED">
        <w:t>études et de leur durée, en vue de réduire leurs coûts ainsi que ceux afférents à d</w:t>
      </w:r>
      <w:r w:rsidR="0025212F">
        <w:t>'</w:t>
      </w:r>
      <w:r w:rsidR="00D15701">
        <w:t>autres groupes;</w:t>
      </w:r>
    </w:p>
    <w:p w:rsidR="00D16DB5" w:rsidRDefault="00D16DB5" w:rsidP="002D5B0A">
      <w:pPr>
        <w:pStyle w:val="enumlev1"/>
      </w:pPr>
      <w:r>
        <w:t>–</w:t>
      </w:r>
      <w:r>
        <w:tab/>
      </w:r>
      <w:r w:rsidR="00D15701">
        <w:t>l</w:t>
      </w:r>
      <w:r w:rsidRPr="002F5CED">
        <w:t xml:space="preserve">imitation </w:t>
      </w:r>
      <w:r w:rsidR="00E6538F" w:rsidRPr="002F5CED">
        <w:t>à trois jours par an</w:t>
      </w:r>
      <w:r w:rsidR="001224C7">
        <w:t>,</w:t>
      </w:r>
      <w:r w:rsidR="00E6538F" w:rsidRPr="002F5CED">
        <w:t xml:space="preserve"> </w:t>
      </w:r>
      <w:r w:rsidR="00E6538F">
        <w:t xml:space="preserve">au maximum, </w:t>
      </w:r>
      <w:r w:rsidR="001224C7">
        <w:t>de</w:t>
      </w:r>
      <w:r w:rsidR="003563D9">
        <w:t>s</w:t>
      </w:r>
      <w:r w:rsidRPr="002F5CED">
        <w:t xml:space="preserve"> réunions des groupes consultatifs</w:t>
      </w:r>
      <w:r w:rsidR="009501F9" w:rsidRPr="009501F9">
        <w:t xml:space="preserve"> </w:t>
      </w:r>
      <w:r w:rsidR="009501F9">
        <w:t>avec interprétation</w:t>
      </w:r>
      <w:r w:rsidR="00D15701">
        <w:t>;</w:t>
      </w:r>
    </w:p>
    <w:p w:rsidR="00D16DB5" w:rsidRDefault="00D16DB5" w:rsidP="002D5B0A">
      <w:pPr>
        <w:pStyle w:val="enumlev1"/>
      </w:pPr>
      <w:r>
        <w:t>–</w:t>
      </w:r>
      <w:r>
        <w:tab/>
      </w:r>
      <w:r w:rsidR="00D15701">
        <w:t xml:space="preserve">examen de la possibilité, </w:t>
      </w:r>
      <w:r w:rsidR="000663C9">
        <w:t>c</w:t>
      </w:r>
      <w:r w:rsidR="000663C9" w:rsidRPr="002F5CED">
        <w:t>ompte</w:t>
      </w:r>
      <w:r w:rsidRPr="002F5CED">
        <w:t xml:space="preserve"> tenu du numéro</w:t>
      </w:r>
      <w:r>
        <w:t> </w:t>
      </w:r>
      <w:r w:rsidRPr="002F5CED">
        <w:t>145 de la Convention</w:t>
      </w:r>
      <w:r w:rsidR="00D15701">
        <w:t>,</w:t>
      </w:r>
      <w:r w:rsidRPr="002F5CED">
        <w:t xml:space="preserve"> de recourir à toute une série de méthodes de travail électroniques, afin de réduire le cas échéant le coût, le nombre et la durée des réunions du Comité du Règlement des radiocommunications dans l</w:t>
      </w:r>
      <w:r w:rsidR="0025212F">
        <w:t>'</w:t>
      </w:r>
      <w:r w:rsidRPr="002F5CED">
        <w:t>avenir e</w:t>
      </w:r>
      <w:r w:rsidR="005D7205">
        <w:t>t de ramener, par exemple, de 4 </w:t>
      </w:r>
      <w:r w:rsidRPr="002F5CED">
        <w:t>à</w:t>
      </w:r>
      <w:r w:rsidR="005D7205">
        <w:t> </w:t>
      </w:r>
      <w:r w:rsidRPr="002F5CED">
        <w:t xml:space="preserve">3 le nombre de réunions </w:t>
      </w:r>
      <w:r w:rsidR="00D15701">
        <w:t>par année calendaire;</w:t>
      </w:r>
    </w:p>
    <w:p w:rsidR="00D16DB5" w:rsidRDefault="00D16DB5" w:rsidP="002D5B0A">
      <w:pPr>
        <w:pStyle w:val="enumlev1"/>
      </w:pPr>
      <w:r>
        <w:t>–</w:t>
      </w:r>
      <w:r>
        <w:tab/>
      </w:r>
      <w:r w:rsidR="00D15701">
        <w:t>suppression, dans toute la mesure possible, de</w:t>
      </w:r>
      <w:r w:rsidRPr="002F5CED">
        <w:t xml:space="preserve"> la télécopie et </w:t>
      </w:r>
      <w:r w:rsidR="00D15701">
        <w:t>du</w:t>
      </w:r>
      <w:r w:rsidRPr="002F5CED">
        <w:t xml:space="preserve"> courrier postal traditionnel pour les communications entre l</w:t>
      </w:r>
      <w:r w:rsidR="0025212F">
        <w:t>'</w:t>
      </w:r>
      <w:r w:rsidRPr="002F5CED">
        <w:t xml:space="preserve">Union et les </w:t>
      </w:r>
      <w:r w:rsidR="00124AC1">
        <w:t>E</w:t>
      </w:r>
      <w:r w:rsidR="00293F92">
        <w:t>tat</w:t>
      </w:r>
      <w:r w:rsidRPr="002F5CED">
        <w:t>s Membres et remplace</w:t>
      </w:r>
      <w:r w:rsidR="00D15701">
        <w:t>ment</w:t>
      </w:r>
      <w:r w:rsidRPr="002F5CED">
        <w:t xml:space="preserve"> par les méthodes de comm</w:t>
      </w:r>
      <w:r w:rsidR="00D15701">
        <w:t>unication électronique modernes;</w:t>
      </w:r>
    </w:p>
    <w:p w:rsidR="00D16DB5" w:rsidRDefault="00D16DB5" w:rsidP="002D5B0A">
      <w:pPr>
        <w:pStyle w:val="enumlev1"/>
      </w:pPr>
      <w:r>
        <w:t>–</w:t>
      </w:r>
      <w:r>
        <w:tab/>
      </w:r>
      <w:r w:rsidR="00D15701">
        <w:t xml:space="preserve">appel aux </w:t>
      </w:r>
      <w:r w:rsidR="00124AC1">
        <w:t>E</w:t>
      </w:r>
      <w:r w:rsidR="00293F92">
        <w:t>tat</w:t>
      </w:r>
      <w:r w:rsidRPr="002F5CED">
        <w:t>s Membres à réduire au strict minimum le nombre de questions devant être examinées par les CMR.</w:t>
      </w:r>
    </w:p>
    <w:p w:rsidR="00D16DB5" w:rsidRDefault="00D16DB5" w:rsidP="002D5B0A">
      <w:pPr>
        <w:rPr>
          <w:lang w:val="fr-CH"/>
        </w:rPr>
      </w:pPr>
      <w:r w:rsidRPr="0083005F">
        <w:rPr>
          <w:b/>
          <w:bCs/>
          <w:lang w:val="fr-CH"/>
        </w:rPr>
        <w:t>Acc</w:t>
      </w:r>
      <w:r>
        <w:rPr>
          <w:b/>
          <w:bCs/>
          <w:lang w:val="fr-CH"/>
        </w:rPr>
        <w:t>è</w:t>
      </w:r>
      <w:r w:rsidRPr="0083005F">
        <w:rPr>
          <w:b/>
          <w:bCs/>
          <w:lang w:val="fr-CH"/>
        </w:rPr>
        <w:t xml:space="preserve">s </w:t>
      </w:r>
      <w:r>
        <w:rPr>
          <w:b/>
          <w:bCs/>
          <w:lang w:val="fr-CH"/>
        </w:rPr>
        <w:t xml:space="preserve">à la </w:t>
      </w:r>
      <w:r w:rsidRPr="0083005F">
        <w:rPr>
          <w:b/>
          <w:bCs/>
          <w:lang w:val="fr-CH"/>
        </w:rPr>
        <w:t>documentation</w:t>
      </w:r>
      <w:r w:rsidR="00731752">
        <w:t> – </w:t>
      </w:r>
      <w:r>
        <w:rPr>
          <w:lang w:val="fr-CH"/>
        </w:rPr>
        <w:t xml:space="preserve">La </w:t>
      </w:r>
      <w:r w:rsidRPr="0083005F">
        <w:rPr>
          <w:lang w:val="fr-CH"/>
        </w:rPr>
        <w:t xml:space="preserve">PP-14 </w:t>
      </w:r>
      <w:r>
        <w:rPr>
          <w:lang w:val="fr-CH"/>
        </w:rPr>
        <w:t xml:space="preserve">a également décidé </w:t>
      </w:r>
      <w:r>
        <w:rPr>
          <w:color w:val="000000"/>
        </w:rPr>
        <w:t>de rendre tous les documents de travail et les documents finals de toutes les conférences et assemblées de l</w:t>
      </w:r>
      <w:r w:rsidR="0025212F">
        <w:rPr>
          <w:color w:val="000000"/>
        </w:rPr>
        <w:t>'</w:t>
      </w:r>
      <w:r>
        <w:rPr>
          <w:color w:val="000000"/>
        </w:rPr>
        <w:t xml:space="preserve">Union accessibles </w:t>
      </w:r>
      <w:r w:rsidR="002232A2">
        <w:rPr>
          <w:color w:val="000000"/>
        </w:rPr>
        <w:t>au public à compter du début de </w:t>
      </w:r>
      <w:r>
        <w:rPr>
          <w:color w:val="000000"/>
        </w:rPr>
        <w:t>2015, «sauf dans les cas où la divulgation risque de causer à des intérêts publics ou privés légitimes un préjudice que ne sauraient justifier les avantages de l</w:t>
      </w:r>
      <w:r w:rsidR="0025212F">
        <w:rPr>
          <w:color w:val="000000"/>
        </w:rPr>
        <w:t>'</w:t>
      </w:r>
      <w:r>
        <w:rPr>
          <w:color w:val="000000"/>
        </w:rPr>
        <w:t>accessibilité»</w:t>
      </w:r>
      <w:r>
        <w:rPr>
          <w:lang w:val="fr-CH"/>
        </w:rPr>
        <w:t>. L</w:t>
      </w:r>
      <w:r w:rsidR="0025212F">
        <w:rPr>
          <w:lang w:val="fr-CH"/>
        </w:rPr>
        <w:t>'</w:t>
      </w:r>
      <w:r>
        <w:rPr>
          <w:lang w:val="fr-CH"/>
        </w:rPr>
        <w:t xml:space="preserve">accès public à </w:t>
      </w:r>
      <w:r>
        <w:rPr>
          <w:color w:val="000000"/>
        </w:rPr>
        <w:t>tous les documents de travail et tous les documents finals n</w:t>
      </w:r>
      <w:r w:rsidR="0025212F">
        <w:rPr>
          <w:color w:val="000000"/>
        </w:rPr>
        <w:t>'</w:t>
      </w:r>
      <w:r w:rsidR="00E45ADF">
        <w:rPr>
          <w:color w:val="000000"/>
        </w:rPr>
        <w:t>englobe pas les documents des C</w:t>
      </w:r>
      <w:r>
        <w:rPr>
          <w:color w:val="000000"/>
        </w:rPr>
        <w:t>ommissions d</w:t>
      </w:r>
      <w:r w:rsidR="0025212F">
        <w:rPr>
          <w:color w:val="000000"/>
        </w:rPr>
        <w:t>'</w:t>
      </w:r>
      <w:r>
        <w:rPr>
          <w:color w:val="000000"/>
        </w:rPr>
        <w:t>études, qui feront l</w:t>
      </w:r>
      <w:r w:rsidR="0025212F">
        <w:rPr>
          <w:color w:val="000000"/>
        </w:rPr>
        <w:t>'</w:t>
      </w:r>
      <w:r>
        <w:rPr>
          <w:color w:val="000000"/>
        </w:rPr>
        <w:t>objet d</w:t>
      </w:r>
      <w:r w:rsidR="0025212F">
        <w:rPr>
          <w:color w:val="000000"/>
        </w:rPr>
        <w:t>'</w:t>
      </w:r>
      <w:r>
        <w:rPr>
          <w:color w:val="000000"/>
        </w:rPr>
        <w:t>une politique en la matière devant être approuvée par le Conseil</w:t>
      </w:r>
      <w:r w:rsidRPr="0083005F">
        <w:rPr>
          <w:lang w:val="fr-CH"/>
        </w:rPr>
        <w:t>.</w:t>
      </w:r>
    </w:p>
    <w:p w:rsidR="00D16DB5" w:rsidRDefault="00D16DB5" w:rsidP="002D5B0A">
      <w:pPr>
        <w:rPr>
          <w:lang w:val="fr-CH"/>
        </w:rPr>
      </w:pPr>
      <w:r w:rsidRPr="00C504AB">
        <w:rPr>
          <w:b/>
          <w:bCs/>
          <w:lang w:val="fr-CH"/>
        </w:rPr>
        <w:t>Planification des conférences et réunions de l</w:t>
      </w:r>
      <w:r w:rsidR="0025212F">
        <w:rPr>
          <w:b/>
          <w:bCs/>
          <w:lang w:val="fr-CH"/>
        </w:rPr>
        <w:t>'</w:t>
      </w:r>
      <w:r w:rsidRPr="00C504AB">
        <w:rPr>
          <w:b/>
          <w:bCs/>
          <w:lang w:val="fr-CH"/>
        </w:rPr>
        <w:t>Union</w:t>
      </w:r>
      <w:r w:rsidR="00731752">
        <w:t> – </w:t>
      </w:r>
      <w:r>
        <w:rPr>
          <w:lang w:val="fr-CH"/>
        </w:rPr>
        <w:t>La Conférence a décidé qu</w:t>
      </w:r>
      <w:r w:rsidR="0025212F">
        <w:rPr>
          <w:lang w:val="fr-CH"/>
        </w:rPr>
        <w:t>'</w:t>
      </w:r>
      <w:r>
        <w:rPr>
          <w:lang w:val="fr-CH"/>
        </w:rPr>
        <w:t>il ne devrait y avoir qu</w:t>
      </w:r>
      <w:r w:rsidR="0025212F">
        <w:rPr>
          <w:lang w:val="fr-CH"/>
        </w:rPr>
        <w:t>'</w:t>
      </w:r>
      <w:r>
        <w:rPr>
          <w:lang w:val="fr-CH"/>
        </w:rPr>
        <w:t>une grande conférence de l</w:t>
      </w:r>
      <w:r w:rsidR="0025212F">
        <w:rPr>
          <w:lang w:val="fr-CH"/>
        </w:rPr>
        <w:t>'</w:t>
      </w:r>
      <w:r>
        <w:rPr>
          <w:lang w:val="fr-CH"/>
        </w:rPr>
        <w:t>UIT par an. La</w:t>
      </w:r>
      <w:r w:rsidR="002232A2">
        <w:rPr>
          <w:lang w:val="fr-CH"/>
        </w:rPr>
        <w:t xml:space="preserve"> prochaine AR/CMR se tiendra en </w:t>
      </w:r>
      <w:r>
        <w:rPr>
          <w:lang w:val="fr-CH"/>
        </w:rPr>
        <w:t>2019.</w:t>
      </w:r>
    </w:p>
    <w:p w:rsidR="00D16DB5" w:rsidRPr="00C016A5" w:rsidRDefault="00D16DB5" w:rsidP="002D5B0A">
      <w:pPr>
        <w:rPr>
          <w:lang w:val="fr-CH"/>
        </w:rPr>
      </w:pPr>
      <w:bookmarkStart w:id="11" w:name="_Toc407016265"/>
      <w:r w:rsidRPr="004A7491">
        <w:rPr>
          <w:b/>
          <w:bCs/>
        </w:rPr>
        <w:t>Admission d</w:t>
      </w:r>
      <w:r w:rsidR="0025212F">
        <w:rPr>
          <w:b/>
          <w:bCs/>
        </w:rPr>
        <w:t>'</w:t>
      </w:r>
      <w:r w:rsidRPr="004A7491">
        <w:rPr>
          <w:b/>
          <w:bCs/>
        </w:rPr>
        <w:t>établissements universitaires à participer aux travaux de l</w:t>
      </w:r>
      <w:r w:rsidR="0025212F">
        <w:rPr>
          <w:b/>
          <w:bCs/>
        </w:rPr>
        <w:t>'</w:t>
      </w:r>
      <w:r w:rsidRPr="004A7491">
        <w:rPr>
          <w:b/>
          <w:bCs/>
        </w:rPr>
        <w:t>Union</w:t>
      </w:r>
      <w:bookmarkEnd w:id="11"/>
      <w:r w:rsidR="00731752">
        <w:t> – </w:t>
      </w:r>
      <w:r>
        <w:t xml:space="preserve">La </w:t>
      </w:r>
      <w:r w:rsidRPr="00621EC7">
        <w:t xml:space="preserve">PP-14 </w:t>
      </w:r>
      <w:r>
        <w:t xml:space="preserve">a modifié la </w:t>
      </w:r>
      <w:r w:rsidRPr="00621EC7">
        <w:t>R</w:t>
      </w:r>
      <w:r>
        <w:t>é</w:t>
      </w:r>
      <w:r w:rsidRPr="00621EC7">
        <w:t>solution</w:t>
      </w:r>
      <w:r>
        <w:t> </w:t>
      </w:r>
      <w:r w:rsidRPr="00621EC7">
        <w:t>169</w:t>
      </w:r>
      <w:r>
        <w:t>,</w:t>
      </w:r>
      <w:r w:rsidRPr="00621EC7">
        <w:t xml:space="preserve"> </w:t>
      </w:r>
      <w:r>
        <w:t>afin de permettre aux établissements universitaires de participer aux travau</w:t>
      </w:r>
      <w:r w:rsidR="005D7205">
        <w:t>x des trois Secteurs de l</w:t>
      </w:r>
      <w:r w:rsidR="0025212F">
        <w:t>'</w:t>
      </w:r>
      <w:r w:rsidR="00A424CA">
        <w:t>UIT. A</w:t>
      </w:r>
      <w:r>
        <w:t xml:space="preserve"> cet égard, une catégorie de membre </w:t>
      </w:r>
      <w:r w:rsidR="003F4F22">
        <w:t>concernant uniquement</w:t>
      </w:r>
      <w:r>
        <w:t xml:space="preserve"> les établissements universitaires remplace les anciennes catégories de membres</w:t>
      </w:r>
      <w:r w:rsidRPr="00C016A5">
        <w:rPr>
          <w:color w:val="000000"/>
        </w:rPr>
        <w:t xml:space="preserve"> </w:t>
      </w:r>
      <w:r>
        <w:rPr>
          <w:color w:val="000000"/>
        </w:rPr>
        <w:t>propres à chaque Secteur</w:t>
      </w:r>
      <w:r w:rsidRPr="00C016A5">
        <w:t xml:space="preserve"> (R</w:t>
      </w:r>
      <w:r>
        <w:t>é</w:t>
      </w:r>
      <w:r w:rsidRPr="00C016A5">
        <w:t>solution</w:t>
      </w:r>
      <w:r>
        <w:t> </w:t>
      </w:r>
      <w:r w:rsidRPr="00C016A5">
        <w:t xml:space="preserve">169 </w:t>
      </w:r>
      <w:r w:rsidR="00FA42D8" w:rsidRPr="00C016A5">
        <w:t>révis</w:t>
      </w:r>
      <w:r w:rsidR="00FA42D8">
        <w:t>ée</w:t>
      </w:r>
      <w:r w:rsidRPr="00C016A5">
        <w:t xml:space="preserve">). </w:t>
      </w:r>
      <w:r w:rsidRPr="00C016A5">
        <w:rPr>
          <w:lang w:val="fr-CH"/>
        </w:rPr>
        <w:t>Une c</w:t>
      </w:r>
      <w:r w:rsidR="005D7205">
        <w:rPr>
          <w:lang w:val="fr-CH"/>
        </w:rPr>
        <w:t>ontribution financière de 3 975 </w:t>
      </w:r>
      <w:r>
        <w:rPr>
          <w:lang w:val="fr-CH"/>
        </w:rPr>
        <w:t xml:space="preserve">CHF </w:t>
      </w:r>
      <w:r w:rsidRPr="00C016A5">
        <w:rPr>
          <w:lang w:val="fr-CH"/>
        </w:rPr>
        <w:t>pour les établissements universitaires issus des pays développés et de 1 987</w:t>
      </w:r>
      <w:r>
        <w:rPr>
          <w:lang w:val="fr-CH"/>
        </w:rPr>
        <w:t>,</w:t>
      </w:r>
      <w:r w:rsidR="005D7205">
        <w:rPr>
          <w:lang w:val="fr-CH"/>
        </w:rPr>
        <w:t>50 </w:t>
      </w:r>
      <w:r>
        <w:rPr>
          <w:lang w:val="fr-CH"/>
        </w:rPr>
        <w:t xml:space="preserve">CHF </w:t>
      </w:r>
      <w:r w:rsidRPr="00C016A5">
        <w:rPr>
          <w:lang w:val="fr-CH"/>
        </w:rPr>
        <w:t>pour les établissements universitaires issus</w:t>
      </w:r>
      <w:r>
        <w:rPr>
          <w:lang w:val="fr-CH"/>
        </w:rPr>
        <w:t xml:space="preserve"> des pays en développement donne accès à la participation aux travaux des trois Secteurs.</w:t>
      </w:r>
    </w:p>
    <w:p w:rsidR="00D16DB5" w:rsidRPr="00EB1537" w:rsidRDefault="00D16DB5" w:rsidP="002D5B0A">
      <w:pPr>
        <w:rPr>
          <w:lang w:val="fr-CH"/>
        </w:rPr>
      </w:pPr>
      <w:r>
        <w:t>En outre,</w:t>
      </w:r>
      <w:r w:rsidRPr="00621EC7">
        <w:t xml:space="preserve"> </w:t>
      </w:r>
      <w:r w:rsidRPr="002F5CED">
        <w:t>les établissements universitaires doivent également être invités à participer à d</w:t>
      </w:r>
      <w:r w:rsidR="0025212F">
        <w:t>'</w:t>
      </w:r>
      <w:r w:rsidRPr="002F5CED">
        <w:t>autres conférences, ateliers et activités de l</w:t>
      </w:r>
      <w:r w:rsidR="0025212F">
        <w:t>'</w:t>
      </w:r>
      <w:r w:rsidRPr="002F5CED">
        <w:t>Union</w:t>
      </w:r>
      <w:r>
        <w:t xml:space="preserve"> à l</w:t>
      </w:r>
      <w:r w:rsidR="0025212F">
        <w:t>'</w:t>
      </w:r>
      <w:r>
        <w:t>échelle mondiale et régionale</w:t>
      </w:r>
      <w:r w:rsidRPr="002F5CED">
        <w:t>, à l</w:t>
      </w:r>
      <w:r w:rsidR="0025212F">
        <w:t>'</w:t>
      </w:r>
      <w:r w:rsidRPr="002F5CED">
        <w:t xml:space="preserve">exception des </w:t>
      </w:r>
      <w:r>
        <w:t>C</w:t>
      </w:r>
      <w:r w:rsidRPr="002F5CED">
        <w:t>onférences de plénipotentiaires, des conférences mondiales des radiocommunications, des conférences mondiales des télécommunications internationales et du Conseil de l</w:t>
      </w:r>
      <w:r w:rsidR="0025212F">
        <w:t>'</w:t>
      </w:r>
      <w:r w:rsidR="00FA42D8">
        <w:t xml:space="preserve">UIT, </w:t>
      </w:r>
      <w:r w:rsidRPr="002F5CED">
        <w:t>conformément au règlement intérieur des différents Secteurs et compte tenu des résultats de l</w:t>
      </w:r>
      <w:r w:rsidR="0025212F">
        <w:t>'</w:t>
      </w:r>
      <w:r w:rsidRPr="002F5CED">
        <w:t>examen effectué conformément à la Résolution 187 (</w:t>
      </w:r>
      <w:r w:rsidRPr="002F5CED">
        <w:rPr>
          <w:rFonts w:cs="Calibri"/>
          <w:szCs w:val="24"/>
        </w:rPr>
        <w:t>Busan,</w:t>
      </w:r>
      <w:r>
        <w:rPr>
          <w:rFonts w:cs="Calibri"/>
          <w:szCs w:val="24"/>
        </w:rPr>
        <w:t> </w:t>
      </w:r>
      <w:r w:rsidRPr="002F5CED">
        <w:rPr>
          <w:rFonts w:cs="Calibri"/>
          <w:szCs w:val="24"/>
        </w:rPr>
        <w:t>2014</w:t>
      </w:r>
      <w:r>
        <w:t>). En conséquence, il est proposé que les établissements universitaires membres soient invités à participer à la prochaine Assemblée des radiocommunications.</w:t>
      </w:r>
    </w:p>
    <w:p w:rsidR="00D16DB5" w:rsidRDefault="00D16DB5" w:rsidP="002D5B0A">
      <w:pPr>
        <w:rPr>
          <w:lang w:val="fr-CH"/>
        </w:rPr>
      </w:pPr>
      <w:r w:rsidRPr="00EB1537">
        <w:rPr>
          <w:lang w:val="fr-CH"/>
        </w:rPr>
        <w:t>Enfin, en vertu de la R</w:t>
      </w:r>
      <w:r>
        <w:rPr>
          <w:lang w:val="fr-CH"/>
        </w:rPr>
        <w:t>é</w:t>
      </w:r>
      <w:r w:rsidRPr="00EB1537">
        <w:rPr>
          <w:lang w:val="fr-CH"/>
        </w:rPr>
        <w:t>solution</w:t>
      </w:r>
      <w:r>
        <w:rPr>
          <w:lang w:val="fr-CH"/>
        </w:rPr>
        <w:t> </w:t>
      </w:r>
      <w:r w:rsidRPr="00EB1537">
        <w:rPr>
          <w:lang w:val="fr-CH"/>
        </w:rPr>
        <w:t>169 (R</w:t>
      </w:r>
      <w:r>
        <w:rPr>
          <w:lang w:val="fr-CH"/>
        </w:rPr>
        <w:t>é</w:t>
      </w:r>
      <w:r w:rsidRPr="00EB1537">
        <w:rPr>
          <w:lang w:val="fr-CH"/>
        </w:rPr>
        <w:t>v.</w:t>
      </w:r>
      <w:r>
        <w:rPr>
          <w:lang w:val="fr-CH"/>
        </w:rPr>
        <w:t> </w:t>
      </w:r>
      <w:r w:rsidR="00251A63">
        <w:rPr>
          <w:lang w:val="fr-CH"/>
        </w:rPr>
        <w:t>Busan, </w:t>
      </w:r>
      <w:r w:rsidRPr="00EB1537">
        <w:rPr>
          <w:lang w:val="fr-CH"/>
        </w:rPr>
        <w:t>2014), l</w:t>
      </w:r>
      <w:r w:rsidR="0025212F">
        <w:rPr>
          <w:lang w:val="fr-CH"/>
        </w:rPr>
        <w:t>'</w:t>
      </w:r>
      <w:r>
        <w:rPr>
          <w:lang w:val="fr-CH"/>
        </w:rPr>
        <w:t>A</w:t>
      </w:r>
      <w:r w:rsidRPr="00EB1537">
        <w:rPr>
          <w:lang w:val="fr-CH"/>
        </w:rPr>
        <w:t>ssemblée des radiocommunications, l</w:t>
      </w:r>
      <w:r w:rsidR="0025212F">
        <w:rPr>
          <w:lang w:val="fr-CH"/>
        </w:rPr>
        <w:t>'</w:t>
      </w:r>
      <w:r>
        <w:rPr>
          <w:lang w:val="fr-CH"/>
        </w:rPr>
        <w:t>A</w:t>
      </w:r>
      <w:r w:rsidRPr="00EB1537">
        <w:rPr>
          <w:lang w:val="fr-CH"/>
        </w:rPr>
        <w:t>ssemblée mondiale de normalisatio</w:t>
      </w:r>
      <w:r>
        <w:rPr>
          <w:lang w:val="fr-CH"/>
        </w:rPr>
        <w:t>n des télécommunications et la C</w:t>
      </w:r>
      <w:r w:rsidRPr="00EB1537">
        <w:rPr>
          <w:lang w:val="fr-CH"/>
        </w:rPr>
        <w:t>onférence mondiale de développement des télécommunications</w:t>
      </w:r>
      <w:r>
        <w:rPr>
          <w:lang w:val="fr-CH"/>
        </w:rPr>
        <w:t xml:space="preserve"> </w:t>
      </w:r>
      <w:r w:rsidR="00DD2014">
        <w:rPr>
          <w:lang w:val="fr-CH"/>
        </w:rPr>
        <w:t>doivent confier</w:t>
      </w:r>
      <w:r w:rsidRPr="002F5CED">
        <w:t xml:space="preserve"> à leurs groupes consultatifs respectifs </w:t>
      </w:r>
      <w:r w:rsidR="00DD2014">
        <w:t xml:space="preserve">la tâche de continuer à </w:t>
      </w:r>
      <w:r w:rsidRPr="002F5CED">
        <w:t xml:space="preserve">étudier </w:t>
      </w:r>
      <w:r w:rsidR="00F17C45">
        <w:t xml:space="preserve">si </w:t>
      </w:r>
      <w:r w:rsidRPr="002F5CED">
        <w:t>d</w:t>
      </w:r>
      <w:r w:rsidR="0025212F">
        <w:t>'</w:t>
      </w:r>
      <w:r w:rsidRPr="002F5CED">
        <w:t>éventuelles mesures ou dispositions additionnelles autres que celles visées dans les résolutions et recommandations pertinentes des assemblées et de la conférence précitées</w:t>
      </w:r>
      <w:r w:rsidR="00F17C45">
        <w:t xml:space="preserve"> doivent être prévues</w:t>
      </w:r>
      <w:r>
        <w:t>,</w:t>
      </w:r>
      <w:r w:rsidRPr="002F5CED">
        <w:t xml:space="preserve"> afin de faciliter cette participation, et d</w:t>
      </w:r>
      <w:r w:rsidR="0025212F">
        <w:t>'</w:t>
      </w:r>
      <w:r w:rsidRPr="002F5CED">
        <w:t>adopter ces modalités, si elles le jugent nécessaire, et de présenter au Conseil un rapport sur les résultats par l</w:t>
      </w:r>
      <w:r w:rsidR="0025212F">
        <w:t>'</w:t>
      </w:r>
      <w:r w:rsidRPr="002F5CED">
        <w:t xml:space="preserve">intermédiaire des </w:t>
      </w:r>
      <w:r>
        <w:t>Directeurs des Bureaux.</w:t>
      </w:r>
    </w:p>
    <w:p w:rsidR="0052539A" w:rsidRDefault="00D16DB5" w:rsidP="002D5B0A">
      <w:bookmarkStart w:id="12" w:name="_Toc407016285"/>
      <w:r w:rsidRPr="001C03DA">
        <w:rPr>
          <w:b/>
          <w:bCs/>
        </w:rPr>
        <w:t>Suivi des vols à l</w:t>
      </w:r>
      <w:r w:rsidR="0025212F">
        <w:rPr>
          <w:b/>
          <w:bCs/>
        </w:rPr>
        <w:t>'</w:t>
      </w:r>
      <w:r w:rsidRPr="001C03DA">
        <w:rPr>
          <w:b/>
          <w:bCs/>
        </w:rPr>
        <w:t>échelle mondiale pour l</w:t>
      </w:r>
      <w:r w:rsidR="0025212F">
        <w:rPr>
          <w:b/>
          <w:bCs/>
        </w:rPr>
        <w:t>'</w:t>
      </w:r>
      <w:r w:rsidRPr="001C03DA">
        <w:rPr>
          <w:b/>
          <w:bCs/>
        </w:rPr>
        <w:t>aviation civile</w:t>
      </w:r>
      <w:bookmarkEnd w:id="12"/>
      <w:r w:rsidR="00731752">
        <w:t> – </w:t>
      </w:r>
      <w:r w:rsidRPr="00206EC8">
        <w:t>Par sa</w:t>
      </w:r>
      <w:r w:rsidRPr="00172D67">
        <w:t xml:space="preserve"> Résolution </w:t>
      </w:r>
      <w:r w:rsidRPr="00555C09">
        <w:t>1</w:t>
      </w:r>
      <w:r w:rsidRPr="00555C09">
        <w:rPr>
          <w:rStyle w:val="href"/>
        </w:rPr>
        <w:t>85</w:t>
      </w:r>
      <w:r w:rsidRPr="00172D67">
        <w:t xml:space="preserve"> (Busan,</w:t>
      </w:r>
      <w:r>
        <w:t> </w:t>
      </w:r>
      <w:r w:rsidRPr="00172D67">
        <w:t>2014)</w:t>
      </w:r>
      <w:r>
        <w:t xml:space="preserve"> la Conférence a </w:t>
      </w:r>
      <w:r w:rsidRPr="00172D67">
        <w:t>décid</w:t>
      </w:r>
      <w:r>
        <w:t xml:space="preserve">é </w:t>
      </w:r>
      <w:r w:rsidRPr="00172D67">
        <w:t>de charger la CMR-15, conformément au numéro</w:t>
      </w:r>
      <w:r>
        <w:t> </w:t>
      </w:r>
      <w:r w:rsidRPr="00172D67">
        <w:t>119 de la Convention de l</w:t>
      </w:r>
      <w:r w:rsidR="0025212F">
        <w:t>'</w:t>
      </w:r>
      <w:r w:rsidRPr="00172D67">
        <w:t>UIT, d</w:t>
      </w:r>
      <w:r w:rsidR="0025212F">
        <w:t>'</w:t>
      </w:r>
      <w:r w:rsidRPr="00172D67">
        <w:t>inscrire d</w:t>
      </w:r>
      <w:r w:rsidR="0025212F">
        <w:t>'</w:t>
      </w:r>
      <w:r w:rsidRPr="00172D67">
        <w:t>urgence à son ordre du jour la question du suivi des vols à l</w:t>
      </w:r>
      <w:r w:rsidR="0025212F">
        <w:t>'</w:t>
      </w:r>
      <w:r w:rsidRPr="00172D67">
        <w:t>échelle mondiale, y</w:t>
      </w:r>
      <w:r>
        <w:t> </w:t>
      </w:r>
      <w:r w:rsidRPr="00172D67">
        <w:t>compris, s</w:t>
      </w:r>
      <w:r w:rsidR="0025212F">
        <w:t>'</w:t>
      </w:r>
      <w:r w:rsidRPr="00172D67">
        <w:t>il y a lieu et conformément aux pratiques suivies par l</w:t>
      </w:r>
      <w:r w:rsidR="0025212F">
        <w:t>'</w:t>
      </w:r>
      <w:r w:rsidRPr="00172D67">
        <w:t>UIT, divers aspects de cette question, compte tenu des études de l</w:t>
      </w:r>
      <w:r w:rsidR="0025212F">
        <w:t>'</w:t>
      </w:r>
      <w:r w:rsidRPr="00172D67">
        <w:t>UIT-R,</w:t>
      </w:r>
      <w:r>
        <w:t xml:space="preserve"> et de charger le Directeur du Bureau des </w:t>
      </w:r>
      <w:r w:rsidRPr="00172D67">
        <w:t>radiocommunications d</w:t>
      </w:r>
      <w:r w:rsidR="0025212F">
        <w:t>'</w:t>
      </w:r>
      <w:r w:rsidRPr="00172D67">
        <w:t xml:space="preserve">élaborer un rapport spécial sur la question, comme indiqué dans le </w:t>
      </w:r>
      <w:r w:rsidRPr="005D7205">
        <w:rPr>
          <w:i/>
          <w:iCs/>
        </w:rPr>
        <w:t>décide</w:t>
      </w:r>
      <w:r w:rsidRPr="00172D67">
        <w:t xml:space="preserve"> </w:t>
      </w:r>
      <w:r>
        <w:t>de cette Résolution</w:t>
      </w:r>
      <w:r w:rsidRPr="00172D67">
        <w:t>, pour examen par la CMR-15.</w:t>
      </w:r>
      <w:r w:rsidR="0052539A">
        <w:t xml:space="preserve"> </w:t>
      </w:r>
      <w:r w:rsidR="005D7205">
        <w:t xml:space="preserve">Ce rapport a été soumis à la CMR-15 </w:t>
      </w:r>
      <w:r w:rsidR="00B06A78">
        <w:t>en tant que</w:t>
      </w:r>
      <w:r w:rsidR="005D7205">
        <w:t xml:space="preserve"> Document 5.</w:t>
      </w:r>
    </w:p>
    <w:p w:rsidR="0052539A" w:rsidRDefault="0052539A" w:rsidP="002D5B0A">
      <w:bookmarkStart w:id="13" w:name="_Toc407016287"/>
      <w:r w:rsidRPr="00F4634A">
        <w:rPr>
          <w:b/>
          <w:bCs/>
        </w:rPr>
        <w:t>Renforcement du rôle de l</w:t>
      </w:r>
      <w:r w:rsidR="0025212F">
        <w:rPr>
          <w:b/>
          <w:bCs/>
        </w:rPr>
        <w:t>'</w:t>
      </w:r>
      <w:r w:rsidRPr="00F4634A">
        <w:rPr>
          <w:b/>
          <w:bCs/>
        </w:rPr>
        <w:t>UIT en ce qui concerne les mesures de transparence et de confiance relatives aux activités spatiales</w:t>
      </w:r>
      <w:bookmarkEnd w:id="13"/>
      <w:r w:rsidR="00731752">
        <w:t> – </w:t>
      </w:r>
      <w:r w:rsidRPr="00F4634A">
        <w:t>Par sa Résolution 186 (Busan, 2014),</w:t>
      </w:r>
      <w:r>
        <w:t xml:space="preserve"> </w:t>
      </w:r>
      <w:r w:rsidRPr="00F4634A">
        <w:t>la PP-14 a décidé d</w:t>
      </w:r>
      <w:r w:rsidR="0025212F">
        <w:t>'</w:t>
      </w:r>
      <w:r w:rsidRPr="00F4634A">
        <w:t>encourager la diffusion des informations, le renforcement des capacités et l</w:t>
      </w:r>
      <w:r w:rsidR="0025212F">
        <w:t>'</w:t>
      </w:r>
      <w:r w:rsidRPr="00F4634A">
        <w:t>échange de bonnes pratiques en ce qui concerne l</w:t>
      </w:r>
      <w:r w:rsidR="0025212F">
        <w:t>'</w:t>
      </w:r>
      <w:r w:rsidRPr="00F4634A">
        <w:t>utilisation et le développement des systèmes/réseaux de radiocommunication par satellite, en vue, notamment, de réduire la fracture numérique et d</w:t>
      </w:r>
      <w:r w:rsidR="0025212F">
        <w:t>'</w:t>
      </w:r>
      <w:r w:rsidRPr="00F4634A">
        <w:t>améliorer la fiabilité et la disponibilité des systèmes/réseaux à satellite susmentionnés. Elle a également chargé le Directeur du BR d</w:t>
      </w:r>
      <w:r w:rsidR="0025212F">
        <w:t>'</w:t>
      </w:r>
      <w:r w:rsidRPr="00F4634A">
        <w:t>encourager l</w:t>
      </w:r>
      <w:r w:rsidR="0025212F">
        <w:t>'</w:t>
      </w:r>
      <w:r w:rsidRPr="00F4634A">
        <w:t>accès aux informations relatives aux installations de contrôle des systèmes à satellites, à la demande des administrations concernées, pour résoudre les cas de brouillages préjudiciables conformément à l</w:t>
      </w:r>
      <w:r w:rsidR="0025212F">
        <w:t>'</w:t>
      </w:r>
      <w:r w:rsidRPr="00F4634A">
        <w:t xml:space="preserve">Article 15 du Règlement des radiocommunications, et de continuer de prendre des mesures pour tenir à jour une base de données sur les cas de brouillages préjudiciables signalés conformément aux dispositions pertinentes du Règlement des radiocommunications, après consultation des </w:t>
      </w:r>
      <w:r w:rsidR="00124AC1">
        <w:t>E</w:t>
      </w:r>
      <w:r w:rsidR="00293F92">
        <w:t>tat</w:t>
      </w:r>
      <w:r w:rsidRPr="00F4634A">
        <w:t>s Membres concernés.</w:t>
      </w:r>
    </w:p>
    <w:p w:rsidR="0052539A" w:rsidRDefault="0052539A" w:rsidP="002D5B0A">
      <w:bookmarkStart w:id="14" w:name="_Toc407016296"/>
      <w:r w:rsidRPr="00F4634A">
        <w:rPr>
          <w:b/>
          <w:bCs/>
        </w:rPr>
        <w:t>Stratégie de coordination des efforts entre les trois Secteurs de l</w:t>
      </w:r>
      <w:r w:rsidR="0025212F">
        <w:rPr>
          <w:b/>
          <w:bCs/>
        </w:rPr>
        <w:t>'</w:t>
      </w:r>
      <w:r w:rsidRPr="00F4634A">
        <w:rPr>
          <w:b/>
          <w:bCs/>
        </w:rPr>
        <w:t>Union</w:t>
      </w:r>
      <w:bookmarkEnd w:id="14"/>
      <w:r w:rsidR="00731752">
        <w:t> – </w:t>
      </w:r>
      <w:r>
        <w:t>La PP-14 a approuvé une nouvelle Résolution, à s</w:t>
      </w:r>
      <w:r w:rsidR="0035199D">
        <w:t>avoir la Résolution 191 (Busan, </w:t>
      </w:r>
      <w:r>
        <w:t xml:space="preserve">2014), qui a pour objet </w:t>
      </w:r>
      <w:r w:rsidRPr="00AE7674">
        <w:t>de veiller à ce qu</w:t>
      </w:r>
      <w:r w:rsidR="0025212F">
        <w:t>'</w:t>
      </w:r>
      <w:r w:rsidRPr="00AE7674">
        <w:t>une stratégie de coordination et de coopération soit élaborée, afin de garantir l</w:t>
      </w:r>
      <w:r w:rsidR="0025212F">
        <w:t>'</w:t>
      </w:r>
      <w:r w:rsidRPr="00AE7674">
        <w:t>efficacité et l</w:t>
      </w:r>
      <w:r w:rsidR="0025212F">
        <w:t>'</w:t>
      </w:r>
      <w:r w:rsidRPr="00AE7674">
        <w:t>efficience des efforts dans les domaines intéressant les trois Secteurs de l</w:t>
      </w:r>
      <w:r w:rsidR="0025212F">
        <w:t>'</w:t>
      </w:r>
      <w:r w:rsidRPr="00AE7674">
        <w:t>UIT, de manière à éviter tout chevauchement d</w:t>
      </w:r>
      <w:r w:rsidR="0025212F">
        <w:t>'</w:t>
      </w:r>
      <w:r w:rsidRPr="00AE7674">
        <w:t>activité et à optimiser l</w:t>
      </w:r>
      <w:r w:rsidR="0025212F">
        <w:t>'</w:t>
      </w:r>
      <w:r w:rsidRPr="00AE7674">
        <w:t>utilisation des ressources</w:t>
      </w:r>
      <w:r>
        <w:t>.</w:t>
      </w:r>
    </w:p>
    <w:p w:rsidR="00847C22" w:rsidRPr="00993525" w:rsidRDefault="00847C22" w:rsidP="002D5B0A">
      <w:pPr>
        <w:pStyle w:val="Heading1"/>
        <w:rPr>
          <w:lang w:val="fr-CH"/>
        </w:rPr>
      </w:pPr>
      <w:bookmarkStart w:id="15" w:name="_Toc426463268"/>
      <w:r>
        <w:rPr>
          <w:lang w:val="fr-CH"/>
        </w:rPr>
        <w:t>7</w:t>
      </w:r>
      <w:r w:rsidRPr="00993525">
        <w:rPr>
          <w:lang w:val="fr-CH"/>
        </w:rPr>
        <w:tab/>
        <w:t xml:space="preserve">Assistance fournie aux </w:t>
      </w:r>
      <w:r w:rsidR="003563D9">
        <w:rPr>
          <w:lang w:val="fr-CH"/>
        </w:rPr>
        <w:t>E</w:t>
      </w:r>
      <w:r w:rsidR="00293F92">
        <w:rPr>
          <w:lang w:val="fr-CH"/>
        </w:rPr>
        <w:t>tat</w:t>
      </w:r>
      <w:r w:rsidRPr="00993525">
        <w:rPr>
          <w:lang w:val="fr-CH"/>
        </w:rPr>
        <w:t>s Membres</w:t>
      </w:r>
      <w:bookmarkEnd w:id="15"/>
    </w:p>
    <w:p w:rsidR="00847C22" w:rsidRPr="00993525" w:rsidRDefault="00847C22" w:rsidP="002D5B0A">
      <w:pPr>
        <w:pStyle w:val="Heading2"/>
        <w:rPr>
          <w:lang w:val="fr-CH"/>
        </w:rPr>
      </w:pPr>
      <w:bookmarkStart w:id="16" w:name="_Toc426463269"/>
      <w:r>
        <w:rPr>
          <w:lang w:val="fr-CH"/>
        </w:rPr>
        <w:t>7</w:t>
      </w:r>
      <w:r w:rsidRPr="00993525">
        <w:rPr>
          <w:lang w:val="fr-CH"/>
        </w:rPr>
        <w:t>.1</w:t>
      </w:r>
      <w:r w:rsidRPr="00993525">
        <w:rPr>
          <w:lang w:val="fr-CH"/>
        </w:rPr>
        <w:tab/>
        <w:t>Assistance fournie aux administrations des pays en développement</w:t>
      </w:r>
      <w:bookmarkEnd w:id="16"/>
    </w:p>
    <w:p w:rsidR="00847C22" w:rsidRPr="00F27E1C" w:rsidRDefault="00847C22" w:rsidP="002D5B0A">
      <w:pPr>
        <w:rPr>
          <w:lang w:val="fr-CH"/>
        </w:rPr>
      </w:pPr>
      <w:r w:rsidRPr="00F27E1C">
        <w:rPr>
          <w:lang w:val="fr-CH"/>
        </w:rPr>
        <w:t>Entre la CMR-</w:t>
      </w:r>
      <w:r>
        <w:rPr>
          <w:lang w:val="fr-CH"/>
        </w:rPr>
        <w:t>12</w:t>
      </w:r>
      <w:r w:rsidRPr="00F27E1C">
        <w:rPr>
          <w:lang w:val="fr-CH"/>
        </w:rPr>
        <w:t xml:space="preserve"> et la CMR-1</w:t>
      </w:r>
      <w:r>
        <w:rPr>
          <w:lang w:val="fr-CH"/>
        </w:rPr>
        <w:t>5</w:t>
      </w:r>
      <w:r w:rsidRPr="00F27E1C">
        <w:rPr>
          <w:lang w:val="fr-CH"/>
        </w:rPr>
        <w:t>, le Bureau a fourni</w:t>
      </w:r>
      <w:r>
        <w:rPr>
          <w:lang w:val="fr-CH"/>
        </w:rPr>
        <w:t xml:space="preserve"> une assistance aux administrations des pay</w:t>
      </w:r>
      <w:r w:rsidR="0035199D">
        <w:rPr>
          <w:lang w:val="fr-CH"/>
        </w:rPr>
        <w:t>s en développement à plus de 40 </w:t>
      </w:r>
      <w:r>
        <w:rPr>
          <w:lang w:val="fr-CH"/>
        </w:rPr>
        <w:t>occasions, dans les domaines suivants:</w:t>
      </w:r>
    </w:p>
    <w:p w:rsidR="00847C22" w:rsidRPr="00630B34" w:rsidRDefault="00847C22" w:rsidP="002D5B0A">
      <w:pPr>
        <w:pStyle w:val="enumlev1"/>
        <w:rPr>
          <w:lang w:val="fr-CH"/>
        </w:rPr>
      </w:pPr>
      <w:r w:rsidRPr="00630B34">
        <w:rPr>
          <w:lang w:val="fr-CH"/>
        </w:rPr>
        <w:t>–</w:t>
      </w:r>
      <w:r w:rsidRPr="00630B34">
        <w:rPr>
          <w:lang w:val="fr-CH"/>
        </w:rPr>
        <w:tab/>
        <w:t>soutien des activités de gestion du spectre</w:t>
      </w:r>
      <w:r>
        <w:rPr>
          <w:lang w:val="fr-CH"/>
        </w:rPr>
        <w:t xml:space="preserve"> au niveau national</w:t>
      </w:r>
      <w:r w:rsidRPr="00630B34">
        <w:rPr>
          <w:lang w:val="fr-CH"/>
        </w:rPr>
        <w:t xml:space="preserve">, compte tenu </w:t>
      </w:r>
      <w:r>
        <w:rPr>
          <w:lang w:val="fr-CH"/>
        </w:rPr>
        <w:t>de l</w:t>
      </w:r>
      <w:r w:rsidR="0025212F">
        <w:rPr>
          <w:lang w:val="fr-CH"/>
        </w:rPr>
        <w:t>'</w:t>
      </w:r>
      <w:r>
        <w:rPr>
          <w:lang w:val="fr-CH"/>
        </w:rPr>
        <w:t xml:space="preserve">évolution rapide </w:t>
      </w:r>
      <w:r>
        <w:rPr>
          <w:color w:val="000000"/>
        </w:rPr>
        <w:t>de l</w:t>
      </w:r>
      <w:r w:rsidR="0025212F">
        <w:rPr>
          <w:color w:val="000000"/>
        </w:rPr>
        <w:t>'</w:t>
      </w:r>
      <w:r>
        <w:rPr>
          <w:color w:val="000000"/>
        </w:rPr>
        <w:t>environnement réglementaire</w:t>
      </w:r>
      <w:r>
        <w:rPr>
          <w:lang w:val="fr-CH"/>
        </w:rPr>
        <w:t xml:space="preserve"> </w:t>
      </w:r>
      <w:r w:rsidR="0035199D">
        <w:rPr>
          <w:lang w:val="fr-CH"/>
        </w:rPr>
        <w:t>(voir la Résolution </w:t>
      </w:r>
      <w:r w:rsidRPr="00630B34">
        <w:rPr>
          <w:lang w:val="fr-CH"/>
        </w:rPr>
        <w:t xml:space="preserve">7 </w:t>
      </w:r>
      <w:r w:rsidRPr="005B27E3">
        <w:rPr>
          <w:lang w:val="fr-CH"/>
        </w:rPr>
        <w:t>(Rév.CMR-03))</w:t>
      </w:r>
      <w:r>
        <w:rPr>
          <w:lang w:val="fr-CH"/>
        </w:rPr>
        <w:t xml:space="preserve"> et fourniture d</w:t>
      </w:r>
      <w:r w:rsidR="0025212F">
        <w:rPr>
          <w:lang w:val="fr-CH"/>
        </w:rPr>
        <w:t>'</w:t>
      </w:r>
      <w:r>
        <w:rPr>
          <w:lang w:val="fr-CH"/>
        </w:rPr>
        <w:t>une assistance technique dans le domaine des radiocommu</w:t>
      </w:r>
      <w:r w:rsidR="0035199D">
        <w:rPr>
          <w:lang w:val="fr-CH"/>
        </w:rPr>
        <w:t>nications spatiales (Résolution </w:t>
      </w:r>
      <w:r>
        <w:rPr>
          <w:lang w:val="fr-CH"/>
        </w:rPr>
        <w:t xml:space="preserve">15 </w:t>
      </w:r>
      <w:r w:rsidRPr="005B27E3">
        <w:rPr>
          <w:lang w:val="fr-CH"/>
        </w:rPr>
        <w:t>(Rév.CMR-03));</w:t>
      </w:r>
      <w:r>
        <w:rPr>
          <w:lang w:val="fr-CH"/>
        </w:rPr>
        <w:t xml:space="preserve"> à cette fin, des missions ont été effectuées, à la demande des administrations, ou dans le cadre de missions spéciales organisées conjointement avec le BDT, et des experts du BR ont participé à des séminaires régionaux organisés par le BDT ou des organisations régionales pour fournir des moyens de renforcement des capacités. En outre, des bourses ont été </w:t>
      </w:r>
      <w:r w:rsidRPr="00DB1F15">
        <w:rPr>
          <w:lang w:val="fr-CH"/>
        </w:rPr>
        <w:t>octroyées à des experts d</w:t>
      </w:r>
      <w:r w:rsidR="0025212F">
        <w:rPr>
          <w:lang w:val="fr-CH"/>
        </w:rPr>
        <w:t>'</w:t>
      </w:r>
      <w:r w:rsidRPr="00DB1F15">
        <w:rPr>
          <w:lang w:val="fr-CH"/>
        </w:rPr>
        <w:t>administrations des pays les moins avancés</w:t>
      </w:r>
      <w:r>
        <w:rPr>
          <w:lang w:val="fr-CH"/>
        </w:rPr>
        <w:t>,</w:t>
      </w:r>
      <w:r w:rsidRPr="00DB1F15">
        <w:rPr>
          <w:lang w:val="fr-CH"/>
        </w:rPr>
        <w:t xml:space="preserve"> pour </w:t>
      </w:r>
      <w:r>
        <w:rPr>
          <w:lang w:val="fr-CH"/>
        </w:rPr>
        <w:t>leur permettre d</w:t>
      </w:r>
      <w:r w:rsidR="0025212F">
        <w:rPr>
          <w:lang w:val="fr-CH"/>
        </w:rPr>
        <w:t>'</w:t>
      </w:r>
      <w:r w:rsidRPr="00DB1F15">
        <w:rPr>
          <w:lang w:val="fr-CH"/>
        </w:rPr>
        <w:t>assister aux séminaires et ateliers du B</w:t>
      </w:r>
      <w:r>
        <w:rPr>
          <w:lang w:val="fr-CH"/>
        </w:rPr>
        <w:t>R consacrés aux radiocommunications. Plusieurs experts d</w:t>
      </w:r>
      <w:r w:rsidR="0025212F">
        <w:rPr>
          <w:lang w:val="fr-CH"/>
        </w:rPr>
        <w:t>'</w:t>
      </w:r>
      <w:r>
        <w:rPr>
          <w:lang w:val="fr-CH"/>
        </w:rPr>
        <w:t>administrations ont par ailleurs bénéficié, à titre individuel ou collectif, d</w:t>
      </w:r>
      <w:r w:rsidR="0025212F">
        <w:rPr>
          <w:lang w:val="fr-CH"/>
        </w:rPr>
        <w:t>'</w:t>
      </w:r>
      <w:r>
        <w:rPr>
          <w:lang w:val="fr-CH"/>
        </w:rPr>
        <w:t>une formation en cours d</w:t>
      </w:r>
      <w:r w:rsidR="0025212F">
        <w:rPr>
          <w:lang w:val="fr-CH"/>
        </w:rPr>
        <w:t>'</w:t>
      </w:r>
      <w:r>
        <w:rPr>
          <w:lang w:val="fr-CH"/>
        </w:rPr>
        <w:t>emploi sur les procédures réglementaires en matière de radiocommunications au siège de l</w:t>
      </w:r>
      <w:r w:rsidR="0025212F">
        <w:rPr>
          <w:lang w:val="fr-CH"/>
        </w:rPr>
        <w:t>'</w:t>
      </w:r>
      <w:r>
        <w:rPr>
          <w:lang w:val="fr-CH"/>
        </w:rPr>
        <w:t>UIT;</w:t>
      </w:r>
    </w:p>
    <w:p w:rsidR="00847C22" w:rsidRDefault="00847C22" w:rsidP="002D5B0A">
      <w:pPr>
        <w:pStyle w:val="enumlev1"/>
        <w:rPr>
          <w:lang w:val="fr-CH"/>
        </w:rPr>
      </w:pPr>
      <w:r w:rsidRPr="006C015B">
        <w:rPr>
          <w:lang w:val="fr-CH"/>
        </w:rPr>
        <w:t>–</w:t>
      </w:r>
      <w:r w:rsidRPr="006C015B">
        <w:rPr>
          <w:lang w:val="fr-CH"/>
        </w:rPr>
        <w:tab/>
        <w:t>participation aux r</w:t>
      </w:r>
      <w:r>
        <w:rPr>
          <w:lang w:val="fr-CH"/>
        </w:rPr>
        <w:t>é</w:t>
      </w:r>
      <w:r w:rsidRPr="006C015B">
        <w:rPr>
          <w:lang w:val="fr-CH"/>
        </w:rPr>
        <w:t>unions des groupes de coordination régi</w:t>
      </w:r>
      <w:r w:rsidR="0035199D">
        <w:rPr>
          <w:lang w:val="fr-CH"/>
        </w:rPr>
        <w:t>onaux, conformément à l</w:t>
      </w:r>
      <w:r w:rsidR="0025212F">
        <w:rPr>
          <w:lang w:val="fr-CH"/>
        </w:rPr>
        <w:t>'</w:t>
      </w:r>
      <w:r w:rsidR="0035199D">
        <w:rPr>
          <w:lang w:val="fr-CH"/>
        </w:rPr>
        <w:t>Article </w:t>
      </w:r>
      <w:r w:rsidRPr="006C015B">
        <w:rPr>
          <w:lang w:val="fr-CH"/>
        </w:rPr>
        <w:t>12</w:t>
      </w:r>
      <w:r>
        <w:rPr>
          <w:lang w:val="fr-CH"/>
        </w:rPr>
        <w:t xml:space="preserve"> du Règlement des radiocommunications;</w:t>
      </w:r>
    </w:p>
    <w:p w:rsidR="00847C22" w:rsidRPr="006C015B" w:rsidRDefault="00847C22" w:rsidP="002D5B0A">
      <w:pPr>
        <w:pStyle w:val="enumlev1"/>
        <w:rPr>
          <w:lang w:val="fr-CH"/>
        </w:rPr>
      </w:pPr>
      <w:r w:rsidRPr="006C015B">
        <w:rPr>
          <w:lang w:val="fr-CH"/>
        </w:rPr>
        <w:t>–</w:t>
      </w:r>
      <w:r w:rsidRPr="006C015B">
        <w:rPr>
          <w:lang w:val="fr-CH"/>
        </w:rPr>
        <w:tab/>
      </w:r>
      <w:r w:rsidRPr="00456515">
        <w:rPr>
          <w:lang w:val="fr-CH"/>
        </w:rPr>
        <w:t>fourniture d</w:t>
      </w:r>
      <w:r w:rsidR="0025212F">
        <w:rPr>
          <w:lang w:val="fr-CH"/>
        </w:rPr>
        <w:t>'</w:t>
      </w:r>
      <w:r w:rsidRPr="00456515">
        <w:rPr>
          <w:lang w:val="fr-CH"/>
        </w:rPr>
        <w:t>une assistance</w:t>
      </w:r>
      <w:r>
        <w:rPr>
          <w:lang w:val="fr-CH"/>
        </w:rPr>
        <w:t xml:space="preserve"> concernant la gestion des fréquences à long terme et les attributions au large bande mobile (IMT);</w:t>
      </w:r>
    </w:p>
    <w:p w:rsidR="00847C22" w:rsidRPr="00456515" w:rsidRDefault="00847C22" w:rsidP="002D5B0A">
      <w:pPr>
        <w:pStyle w:val="enumlev1"/>
        <w:rPr>
          <w:lang w:val="fr-CH"/>
        </w:rPr>
      </w:pPr>
      <w:r w:rsidRPr="00456515">
        <w:rPr>
          <w:lang w:val="fr-CH"/>
        </w:rPr>
        <w:t>–</w:t>
      </w:r>
      <w:r w:rsidRPr="00456515">
        <w:rPr>
          <w:lang w:val="fr-CH"/>
        </w:rPr>
        <w:tab/>
        <w:t xml:space="preserve">fourniture </w:t>
      </w:r>
      <w:r>
        <w:rPr>
          <w:lang w:val="fr-CH"/>
        </w:rPr>
        <w:t>d</w:t>
      </w:r>
      <w:r w:rsidR="0025212F">
        <w:rPr>
          <w:lang w:val="fr-CH"/>
        </w:rPr>
        <w:t>'</w:t>
      </w:r>
      <w:r>
        <w:rPr>
          <w:lang w:val="fr-CH"/>
        </w:rPr>
        <w:t>avis et d</w:t>
      </w:r>
      <w:r w:rsidR="0025212F">
        <w:rPr>
          <w:lang w:val="fr-CH"/>
        </w:rPr>
        <w:t>'</w:t>
      </w:r>
      <w:r>
        <w:rPr>
          <w:lang w:val="fr-CH"/>
        </w:rPr>
        <w:t>une assistance technique pour le passage à la radiodiffusion télévisuelle numérique et la répartition du dividende numérique.</w:t>
      </w:r>
    </w:p>
    <w:p w:rsidR="00847C22" w:rsidRPr="00090142" w:rsidRDefault="00847C22" w:rsidP="002D5B0A">
      <w:pPr>
        <w:pStyle w:val="Heading2"/>
      </w:pPr>
      <w:bookmarkStart w:id="17" w:name="_Toc424047612"/>
      <w:bookmarkStart w:id="18" w:name="_Toc426463270"/>
      <w:r>
        <w:rPr>
          <w:bCs/>
        </w:rPr>
        <w:t>7</w:t>
      </w:r>
      <w:r w:rsidRPr="00090142">
        <w:rPr>
          <w:bCs/>
        </w:rPr>
        <w:t>.2</w:t>
      </w:r>
      <w:r w:rsidRPr="00090142">
        <w:tab/>
        <w:t xml:space="preserve">Assistance </w:t>
      </w:r>
      <w:r>
        <w:t>aux groupes régionaux</w:t>
      </w:r>
      <w:bookmarkEnd w:id="17"/>
      <w:bookmarkEnd w:id="18"/>
    </w:p>
    <w:p w:rsidR="00847C22" w:rsidRDefault="00847C22" w:rsidP="002D5B0A">
      <w:r w:rsidRPr="00F27E1C">
        <w:rPr>
          <w:lang w:val="fr-CH"/>
        </w:rPr>
        <w:t>Entre la CMR-</w:t>
      </w:r>
      <w:r>
        <w:rPr>
          <w:lang w:val="fr-CH"/>
        </w:rPr>
        <w:t>12</w:t>
      </w:r>
      <w:r w:rsidRPr="00F27E1C">
        <w:rPr>
          <w:lang w:val="fr-CH"/>
        </w:rPr>
        <w:t xml:space="preserve"> et la CMR-1</w:t>
      </w:r>
      <w:r>
        <w:rPr>
          <w:lang w:val="fr-CH"/>
        </w:rPr>
        <w:t>5</w:t>
      </w:r>
      <w:r w:rsidRPr="00F27E1C">
        <w:rPr>
          <w:lang w:val="fr-CH"/>
        </w:rPr>
        <w:t>,</w:t>
      </w:r>
      <w:r>
        <w:rPr>
          <w:lang w:val="fr-CH"/>
        </w:rPr>
        <w:t xml:space="preserve"> </w:t>
      </w:r>
      <w:r>
        <w:t>suite à des demandes d</w:t>
      </w:r>
      <w:r w:rsidR="0025212F">
        <w:t>'</w:t>
      </w:r>
      <w:r>
        <w:t xml:space="preserve">assistance des Groupes régionaux UAT et </w:t>
      </w:r>
      <w:r w:rsidRPr="00090142">
        <w:t xml:space="preserve">ASMG </w:t>
      </w:r>
      <w:r>
        <w:t>concernant l</w:t>
      </w:r>
      <w:r w:rsidR="0025212F">
        <w:t>'</w:t>
      </w:r>
      <w:r>
        <w:t>application des décisions de la CMR</w:t>
      </w:r>
      <w:r>
        <w:noBreakHyphen/>
        <w:t>07 et de la CMR-12 relatives à l</w:t>
      </w:r>
      <w:r w:rsidR="0025212F">
        <w:t>'</w:t>
      </w:r>
      <w:r>
        <w:t xml:space="preserve">attribution des bandes des </w:t>
      </w:r>
      <w:r w:rsidRPr="00090142">
        <w:t>700</w:t>
      </w:r>
      <w:r w:rsidR="00007193">
        <w:t> </w:t>
      </w:r>
      <w:r>
        <w:t>et des 800</w:t>
      </w:r>
      <w:r w:rsidR="00007193">
        <w:t> </w:t>
      </w:r>
      <w:r w:rsidRPr="00090142">
        <w:t>MHz</w:t>
      </w:r>
      <w:r>
        <w:t xml:space="preserve">, le Bureau a fourni </w:t>
      </w:r>
      <w:r>
        <w:rPr>
          <w:color w:val="000000"/>
        </w:rPr>
        <w:t xml:space="preserve">des avis techniques spécialisés ainsi que le logiciel correspondant, pour permettre aux administrations membres de </w:t>
      </w:r>
      <w:r>
        <w:t>l</w:t>
      </w:r>
      <w:r w:rsidR="0025212F">
        <w:t>'</w:t>
      </w:r>
      <w:r>
        <w:t>UAT et de l</w:t>
      </w:r>
      <w:r w:rsidR="0025212F">
        <w:t>'</w:t>
      </w:r>
      <w:r w:rsidRPr="00090142">
        <w:t>ASMG</w:t>
      </w:r>
      <w:r>
        <w:t xml:space="preserve"> de planifier des canaux additionnels dans la bande de fréquences </w:t>
      </w:r>
      <w:r w:rsidRPr="00090142">
        <w:t>470</w:t>
      </w:r>
      <w:r>
        <w:noBreakHyphen/>
      </w:r>
      <w:r w:rsidRPr="00090142">
        <w:t>694</w:t>
      </w:r>
      <w:r>
        <w:t> </w:t>
      </w:r>
      <w:r w:rsidRPr="00090142">
        <w:t>MHz</w:t>
      </w:r>
      <w:r>
        <w:t>,</w:t>
      </w:r>
      <w:r w:rsidRPr="00090142">
        <w:t xml:space="preserve"> </w:t>
      </w:r>
      <w:r>
        <w:t>en vue du passage à la radiodiffusion télévisuelle numérique et de l</w:t>
      </w:r>
      <w:r w:rsidR="0025212F">
        <w:t>'</w:t>
      </w:r>
      <w:r>
        <w:t>attribution de ces bandes au service mobile.</w:t>
      </w:r>
    </w:p>
    <w:p w:rsidR="00847C22" w:rsidRPr="00090142" w:rsidRDefault="00847C22" w:rsidP="002D5B0A">
      <w:pPr>
        <w:rPr>
          <w:rFonts w:eastAsiaTheme="minorEastAsia"/>
        </w:rPr>
      </w:pPr>
      <w:r>
        <w:t xml:space="preserve">En outre, le Bureau a </w:t>
      </w:r>
      <w:r w:rsidR="00317700">
        <w:t>offert</w:t>
      </w:r>
      <w:r>
        <w:t xml:space="preserve"> son assistance pour la coordination des fréquences entre les administrations de petits groupes de pays.</w:t>
      </w:r>
    </w:p>
    <w:p w:rsidR="00847C22" w:rsidRPr="00090142" w:rsidRDefault="00847C22" w:rsidP="002D5B0A">
      <w:pPr>
        <w:pStyle w:val="Heading3"/>
      </w:pPr>
      <w:bookmarkStart w:id="19" w:name="_Toc424047613"/>
      <w:bookmarkStart w:id="20" w:name="_Toc426463271"/>
      <w:r>
        <w:t>7</w:t>
      </w:r>
      <w:r w:rsidRPr="00090142">
        <w:t>.2.1</w:t>
      </w:r>
      <w:r w:rsidRPr="00090142">
        <w:tab/>
        <w:t>Assistance</w:t>
      </w:r>
      <w:r>
        <w:t xml:space="preserve"> à l</w:t>
      </w:r>
      <w:r w:rsidR="0025212F">
        <w:t>'</w:t>
      </w:r>
      <w:r>
        <w:t>UAT</w:t>
      </w:r>
      <w:bookmarkEnd w:id="19"/>
      <w:bookmarkEnd w:id="20"/>
    </w:p>
    <w:p w:rsidR="00847C22" w:rsidRDefault="00847C22" w:rsidP="002D5B0A">
      <w:pPr>
        <w:rPr>
          <w:rFonts w:asciiTheme="majorBidi" w:hAnsiTheme="majorBidi" w:cstheme="majorBidi"/>
        </w:rPr>
      </w:pPr>
      <w:r>
        <w:rPr>
          <w:rFonts w:asciiTheme="majorBidi" w:hAnsiTheme="majorBidi" w:cstheme="majorBidi"/>
        </w:rPr>
        <w:t>Le processus de coordination a été engagé à la suite de deux Sommets des ministres africains organisés par l</w:t>
      </w:r>
      <w:r w:rsidR="0025212F">
        <w:rPr>
          <w:rFonts w:asciiTheme="majorBidi" w:hAnsiTheme="majorBidi" w:cstheme="majorBidi"/>
        </w:rPr>
        <w:t>'</w:t>
      </w:r>
      <w:r>
        <w:rPr>
          <w:rFonts w:asciiTheme="majorBidi" w:hAnsiTheme="majorBidi" w:cstheme="majorBidi"/>
        </w:rPr>
        <w:t xml:space="preserve">UAT à </w:t>
      </w:r>
      <w:r w:rsidRPr="00090142">
        <w:rPr>
          <w:rFonts w:asciiTheme="majorBidi" w:hAnsiTheme="majorBidi" w:cstheme="majorBidi"/>
        </w:rPr>
        <w:t xml:space="preserve">Nairobi </w:t>
      </w:r>
      <w:r w:rsidR="00EE5848">
        <w:rPr>
          <w:rFonts w:asciiTheme="majorBidi" w:hAnsiTheme="majorBidi" w:cstheme="majorBidi"/>
        </w:rPr>
        <w:t>(décembre </w:t>
      </w:r>
      <w:r w:rsidRPr="00090142">
        <w:rPr>
          <w:rFonts w:asciiTheme="majorBidi" w:hAnsiTheme="majorBidi" w:cstheme="majorBidi"/>
        </w:rPr>
        <w:t>2011</w:t>
      </w:r>
      <w:r>
        <w:rPr>
          <w:rFonts w:asciiTheme="majorBidi" w:hAnsiTheme="majorBidi" w:cstheme="majorBidi"/>
        </w:rPr>
        <w:t xml:space="preserve">) et à </w:t>
      </w:r>
      <w:r w:rsidRPr="00090142">
        <w:rPr>
          <w:rFonts w:asciiTheme="majorBidi" w:hAnsiTheme="majorBidi" w:cstheme="majorBidi"/>
        </w:rPr>
        <w:t xml:space="preserve">Accra </w:t>
      </w:r>
      <w:r w:rsidR="00007193">
        <w:rPr>
          <w:rFonts w:asciiTheme="majorBidi" w:hAnsiTheme="majorBidi" w:cstheme="majorBidi"/>
        </w:rPr>
        <w:t>(septembre </w:t>
      </w:r>
      <w:r w:rsidRPr="00090142">
        <w:rPr>
          <w:rFonts w:asciiTheme="majorBidi" w:hAnsiTheme="majorBidi" w:cstheme="majorBidi"/>
        </w:rPr>
        <w:t>2012</w:t>
      </w:r>
      <w:r>
        <w:rPr>
          <w:rFonts w:asciiTheme="majorBidi" w:hAnsiTheme="majorBidi" w:cstheme="majorBidi"/>
        </w:rPr>
        <w:t>)</w:t>
      </w:r>
      <w:r w:rsidRPr="00090142">
        <w:rPr>
          <w:rFonts w:asciiTheme="majorBidi" w:hAnsiTheme="majorBidi" w:cstheme="majorBidi"/>
        </w:rPr>
        <w:t xml:space="preserve">, </w:t>
      </w:r>
      <w:r>
        <w:rPr>
          <w:rFonts w:asciiTheme="majorBidi" w:hAnsiTheme="majorBidi" w:cstheme="majorBidi"/>
        </w:rPr>
        <w:t>en présence de 47 pays d</w:t>
      </w:r>
      <w:r w:rsidR="0025212F">
        <w:rPr>
          <w:rFonts w:asciiTheme="majorBidi" w:hAnsiTheme="majorBidi" w:cstheme="majorBidi"/>
        </w:rPr>
        <w:t>'</w:t>
      </w:r>
      <w:r>
        <w:rPr>
          <w:rFonts w:asciiTheme="majorBidi" w:hAnsiTheme="majorBidi" w:cstheme="majorBidi"/>
        </w:rPr>
        <w:t>Afrique subsaharienne. Ce processus, qui s</w:t>
      </w:r>
      <w:r w:rsidR="0025212F">
        <w:rPr>
          <w:rFonts w:asciiTheme="majorBidi" w:hAnsiTheme="majorBidi" w:cstheme="majorBidi"/>
        </w:rPr>
        <w:t>'</w:t>
      </w:r>
      <w:r>
        <w:rPr>
          <w:rFonts w:asciiTheme="majorBidi" w:hAnsiTheme="majorBidi" w:cstheme="majorBidi"/>
        </w:rPr>
        <w:t xml:space="preserve">est </w:t>
      </w:r>
      <w:r w:rsidR="00007193">
        <w:rPr>
          <w:rFonts w:asciiTheme="majorBidi" w:hAnsiTheme="majorBidi" w:cstheme="majorBidi"/>
        </w:rPr>
        <w:t>échelonné sur une période de 18 </w:t>
      </w:r>
      <w:r>
        <w:rPr>
          <w:rFonts w:asciiTheme="majorBidi" w:hAnsiTheme="majorBidi" w:cstheme="majorBidi"/>
        </w:rPr>
        <w:t>mois, a donné lieu à des débats prolongés et a comporté une analyse de compatibilité technique des fréquences, sur la base des recommandations de l</w:t>
      </w:r>
      <w:r w:rsidR="0025212F">
        <w:rPr>
          <w:rFonts w:asciiTheme="majorBidi" w:hAnsiTheme="majorBidi" w:cstheme="majorBidi"/>
        </w:rPr>
        <w:t>'</w:t>
      </w:r>
      <w:r>
        <w:rPr>
          <w:rFonts w:asciiTheme="majorBidi" w:hAnsiTheme="majorBidi" w:cstheme="majorBidi"/>
        </w:rPr>
        <w:t xml:space="preserve">UAT adoptées à Bamako en </w:t>
      </w:r>
      <w:r w:rsidR="00A424CA">
        <w:rPr>
          <w:rFonts w:asciiTheme="majorBidi" w:hAnsiTheme="majorBidi" w:cstheme="majorBidi"/>
        </w:rPr>
        <w:t>mars 2012. A</w:t>
      </w:r>
      <w:r w:rsidR="00007193">
        <w:rPr>
          <w:rFonts w:asciiTheme="majorBidi" w:hAnsiTheme="majorBidi" w:cstheme="majorBidi"/>
        </w:rPr>
        <w:t xml:space="preserve"> cette occasion, 33 </w:t>
      </w:r>
      <w:r>
        <w:rPr>
          <w:rFonts w:asciiTheme="majorBidi" w:hAnsiTheme="majorBidi" w:cstheme="majorBidi"/>
        </w:rPr>
        <w:t>itérations de compatibilité ont été effectuées, à partir des besoins soumis par les administrations.</w:t>
      </w:r>
    </w:p>
    <w:p w:rsidR="00847C22" w:rsidRPr="00090142" w:rsidRDefault="00847C22" w:rsidP="002D5B0A">
      <w:r>
        <w:t>Pour permettre aux administrations participantes de procéder à une coordination aux niveaux bilatéral et multilatéral, l</w:t>
      </w:r>
      <w:r w:rsidR="0025212F">
        <w:t>'</w:t>
      </w:r>
      <w:r>
        <w:t>UAT, avec le concours de l</w:t>
      </w:r>
      <w:r w:rsidR="0025212F">
        <w:t>'</w:t>
      </w:r>
      <w:r>
        <w:t xml:space="preserve">UIT, a organisé trois réunions de planification et de coordination, qui se sont tenues respectivement à Bamako, Kampala et </w:t>
      </w:r>
      <w:r w:rsidRPr="00090142">
        <w:t>Nairobi.</w:t>
      </w:r>
    </w:p>
    <w:p w:rsidR="00847C22" w:rsidRDefault="00847C22" w:rsidP="002D5B0A">
      <w:r>
        <w:t>En moyenne, 97,37% d</w:t>
      </w:r>
      <w:r w:rsidR="00007193">
        <w:t>es besoins ont été satis</w:t>
      </w:r>
      <w:r w:rsidR="00A424CA">
        <w:t>faits. A</w:t>
      </w:r>
      <w:r>
        <w:t xml:space="preserve"> la date d</w:t>
      </w:r>
      <w:r w:rsidR="0025212F">
        <w:t>'</w:t>
      </w:r>
      <w:r>
        <w:t xml:space="preserve">élaboration du présent rapport, </w:t>
      </w:r>
      <w:r w:rsidRPr="00090142">
        <w:t>89%</w:t>
      </w:r>
      <w:r w:rsidR="00C20609">
        <w:t> </w:t>
      </w:r>
      <w:r>
        <w:t>des administrations membres de l</w:t>
      </w:r>
      <w:r w:rsidR="0025212F">
        <w:t>'</w:t>
      </w:r>
      <w:r>
        <w:t>UAT avai</w:t>
      </w:r>
      <w:r w:rsidR="00007193">
        <w:t>ent modifié avec succès le Plan </w:t>
      </w:r>
      <w:r w:rsidRPr="00090142">
        <w:t xml:space="preserve">GE06 </w:t>
      </w:r>
      <w:r>
        <w:t>conformément aux accords conclus.</w:t>
      </w:r>
    </w:p>
    <w:p w:rsidR="00847C22" w:rsidRPr="00090142" w:rsidRDefault="00847C22" w:rsidP="002D5B0A">
      <w:pPr>
        <w:pStyle w:val="Heading3"/>
      </w:pPr>
      <w:bookmarkStart w:id="21" w:name="_Toc424047614"/>
      <w:bookmarkStart w:id="22" w:name="_Toc426463272"/>
      <w:r>
        <w:t>7</w:t>
      </w:r>
      <w:r w:rsidRPr="00090142">
        <w:t>.2</w:t>
      </w:r>
      <w:r>
        <w:t>.2</w:t>
      </w:r>
      <w:r>
        <w:tab/>
        <w:t>Assistance à l</w:t>
      </w:r>
      <w:r w:rsidR="0025212F">
        <w:t>'</w:t>
      </w:r>
      <w:r>
        <w:t>ASMG</w:t>
      </w:r>
      <w:bookmarkEnd w:id="21"/>
      <w:bookmarkEnd w:id="22"/>
    </w:p>
    <w:p w:rsidR="00847C22" w:rsidRPr="00090142" w:rsidRDefault="00847C22" w:rsidP="003F0E30">
      <w:pPr>
        <w:rPr>
          <w:rFonts w:asciiTheme="majorBidi" w:hAnsiTheme="majorBidi" w:cstheme="majorBidi"/>
        </w:rPr>
      </w:pPr>
      <w:r>
        <w:rPr>
          <w:rFonts w:asciiTheme="majorBidi" w:hAnsiTheme="majorBidi" w:cstheme="majorBidi"/>
        </w:rPr>
        <w:t xml:space="preserve">Le processus de coordination entre </w:t>
      </w:r>
      <w:r>
        <w:t>les pays membres de l</w:t>
      </w:r>
      <w:r w:rsidR="0025212F">
        <w:t>'</w:t>
      </w:r>
      <w:r>
        <w:t>ASMG a été engagé en application d</w:t>
      </w:r>
      <w:r w:rsidR="0025212F">
        <w:t>'</w:t>
      </w:r>
      <w:r>
        <w:t>une recommandation</w:t>
      </w:r>
      <w:r>
        <w:rPr>
          <w:rFonts w:asciiTheme="majorBidi" w:hAnsiTheme="majorBidi" w:cstheme="majorBidi"/>
        </w:rPr>
        <w:t xml:space="preserve"> adoptée suite à la 35</w:t>
      </w:r>
      <w:r w:rsidR="003F0E30">
        <w:rPr>
          <w:rFonts w:asciiTheme="majorBidi" w:hAnsiTheme="majorBidi" w:cstheme="majorBidi"/>
        </w:rPr>
        <w:t>è</w:t>
      </w:r>
      <w:r w:rsidR="003F0E30" w:rsidRPr="003F0E30">
        <w:rPr>
          <w:rFonts w:asciiTheme="majorBidi" w:hAnsiTheme="majorBidi" w:cstheme="majorBidi"/>
        </w:rPr>
        <w:t>me</w:t>
      </w:r>
      <w:r w:rsidR="00EE5848">
        <w:rPr>
          <w:rFonts w:asciiTheme="majorBidi" w:hAnsiTheme="majorBidi" w:cstheme="majorBidi"/>
        </w:rPr>
        <w:t> </w:t>
      </w:r>
      <w:r>
        <w:rPr>
          <w:rFonts w:asciiTheme="majorBidi" w:hAnsiTheme="majorBidi" w:cstheme="majorBidi"/>
        </w:rPr>
        <w:t xml:space="preserve">réunion </w:t>
      </w:r>
      <w:r>
        <w:t>de la Commission permanente de la Ligue arabe</w:t>
      </w:r>
      <w:r>
        <w:rPr>
          <w:rFonts w:asciiTheme="majorBidi" w:hAnsiTheme="majorBidi" w:cstheme="majorBidi"/>
        </w:rPr>
        <w:t xml:space="preserve"> pour les télécommunications et l</w:t>
      </w:r>
      <w:r w:rsidR="0025212F">
        <w:rPr>
          <w:rFonts w:asciiTheme="majorBidi" w:hAnsiTheme="majorBidi" w:cstheme="majorBidi"/>
        </w:rPr>
        <w:t>'</w:t>
      </w:r>
      <w:r>
        <w:rPr>
          <w:rFonts w:asciiTheme="majorBidi" w:hAnsiTheme="majorBidi" w:cstheme="majorBidi"/>
        </w:rPr>
        <w:t xml:space="preserve">information </w:t>
      </w:r>
      <w:r w:rsidRPr="00090142">
        <w:rPr>
          <w:rFonts w:asciiTheme="majorBidi" w:hAnsiTheme="majorBidi" w:cstheme="majorBidi"/>
        </w:rPr>
        <w:t>(</w:t>
      </w:r>
      <w:r w:rsidR="00EE5848">
        <w:rPr>
          <w:rFonts w:asciiTheme="majorBidi" w:hAnsiTheme="majorBidi" w:cstheme="majorBidi"/>
        </w:rPr>
        <w:t>Le Caire, 4 </w:t>
      </w:r>
      <w:r w:rsidR="00007193">
        <w:rPr>
          <w:rFonts w:asciiTheme="majorBidi" w:hAnsiTheme="majorBidi" w:cstheme="majorBidi"/>
        </w:rPr>
        <w:t>et 5 mars </w:t>
      </w:r>
      <w:r>
        <w:rPr>
          <w:rFonts w:asciiTheme="majorBidi" w:hAnsiTheme="majorBidi" w:cstheme="majorBidi"/>
        </w:rPr>
        <w:t>2014</w:t>
      </w:r>
      <w:r w:rsidRPr="00090142">
        <w:rPr>
          <w:rFonts w:asciiTheme="majorBidi" w:hAnsiTheme="majorBidi" w:cstheme="majorBidi"/>
        </w:rPr>
        <w:t>)</w:t>
      </w:r>
      <w:r>
        <w:rPr>
          <w:rFonts w:asciiTheme="majorBidi" w:hAnsiTheme="majorBidi" w:cstheme="majorBidi"/>
        </w:rPr>
        <w:t>, en présence de</w:t>
      </w:r>
      <w:r w:rsidRPr="00090142">
        <w:rPr>
          <w:rFonts w:asciiTheme="majorBidi" w:hAnsiTheme="majorBidi" w:cstheme="majorBidi"/>
        </w:rPr>
        <w:t xml:space="preserve"> 17</w:t>
      </w:r>
      <w:r>
        <w:rPr>
          <w:rFonts w:asciiTheme="majorBidi" w:hAnsiTheme="majorBidi" w:cstheme="majorBidi"/>
        </w:rPr>
        <w:t> </w:t>
      </w:r>
      <w:r>
        <w:t>Administrations d</w:t>
      </w:r>
      <w:r w:rsidR="0025212F">
        <w:t>'</w:t>
      </w:r>
      <w:r w:rsidR="00124AC1">
        <w:t>E</w:t>
      </w:r>
      <w:r w:rsidR="00293F92">
        <w:t>tat</w:t>
      </w:r>
      <w:r>
        <w:t>s arabes</w:t>
      </w:r>
      <w:r w:rsidRPr="00090142">
        <w:rPr>
          <w:rFonts w:asciiTheme="majorBidi" w:hAnsiTheme="majorBidi" w:cstheme="majorBidi"/>
        </w:rPr>
        <w:t xml:space="preserve"> (</w:t>
      </w:r>
      <w:r>
        <w:rPr>
          <w:rFonts w:asciiTheme="majorBidi" w:hAnsiTheme="majorBidi" w:cstheme="majorBidi"/>
        </w:rPr>
        <w:t>exception faite des pays arabes faisant également partie de l</w:t>
      </w:r>
      <w:r w:rsidR="0025212F">
        <w:rPr>
          <w:rFonts w:asciiTheme="majorBidi" w:hAnsiTheme="majorBidi" w:cstheme="majorBidi"/>
        </w:rPr>
        <w:t>'</w:t>
      </w:r>
      <w:r>
        <w:rPr>
          <w:rFonts w:asciiTheme="majorBidi" w:hAnsiTheme="majorBidi" w:cstheme="majorBidi"/>
        </w:rPr>
        <w:t>UAT</w:t>
      </w:r>
      <w:r w:rsidRPr="00090142">
        <w:rPr>
          <w:rFonts w:asciiTheme="majorBidi" w:hAnsiTheme="majorBidi" w:cstheme="majorBidi"/>
        </w:rPr>
        <w:t>).</w:t>
      </w:r>
    </w:p>
    <w:p w:rsidR="00847C22" w:rsidRPr="00090142" w:rsidRDefault="00847C22" w:rsidP="005E3CD4">
      <w:pPr>
        <w:keepNext/>
        <w:keepLines/>
      </w:pPr>
      <w:r w:rsidRPr="00BF5EB7">
        <w:t>Le processus s</w:t>
      </w:r>
      <w:r w:rsidR="0025212F">
        <w:t>'</w:t>
      </w:r>
      <w:r w:rsidRPr="00BF5EB7">
        <w:t xml:space="preserve">est échelonné </w:t>
      </w:r>
      <w:r w:rsidR="00007193">
        <w:t>sur une période de 11 </w:t>
      </w:r>
      <w:r>
        <w:t xml:space="preserve">mois, au cours desquels les critères de coordination et les besoins de fréquences ont été définis dans la bande </w:t>
      </w:r>
      <w:r w:rsidR="00007193">
        <w:t>470-694 </w:t>
      </w:r>
      <w:r w:rsidRPr="00090142">
        <w:t>MHz</w:t>
      </w:r>
      <w:r>
        <w:t>, compte tenu des recommandations formulées par l</w:t>
      </w:r>
      <w:r w:rsidR="0025212F">
        <w:t>'</w:t>
      </w:r>
      <w:r w:rsidRPr="00090142">
        <w:t>ASMG</w:t>
      </w:r>
      <w:r>
        <w:t xml:space="preserve"> </w:t>
      </w:r>
      <w:r w:rsidRPr="00090142">
        <w:t>(Duba</w:t>
      </w:r>
      <w:r>
        <w:t>ï</w:t>
      </w:r>
      <w:r w:rsidR="00007193">
        <w:t>, </w:t>
      </w:r>
      <w:r w:rsidRPr="00090142">
        <w:t xml:space="preserve">2014). </w:t>
      </w:r>
      <w:r>
        <w:t>Vingt</w:t>
      </w:r>
      <w:r>
        <w:noBreakHyphen/>
        <w:t>sept itérations en tout ont été effectuées aux fins de l</w:t>
      </w:r>
      <w:r w:rsidR="0025212F">
        <w:t>'</w:t>
      </w:r>
      <w:r>
        <w:t xml:space="preserve">analyse de compatibilité, à partir des besoins soumis par les administrations. Afin de faciliter la coordination bilatérale et multilatérale, trois réunions ont été organisées successivement à Dubaï, Hammamet et Marrakech. </w:t>
      </w:r>
    </w:p>
    <w:p w:rsidR="00847C22" w:rsidRDefault="00847C22" w:rsidP="002D5B0A">
      <w:r>
        <w:t xml:space="preserve">En moyenne, </w:t>
      </w:r>
      <w:r w:rsidRPr="00090142">
        <w:t>76</w:t>
      </w:r>
      <w:r w:rsidR="00EE5848">
        <w:t>,87% </w:t>
      </w:r>
      <w:r>
        <w:t>d</w:t>
      </w:r>
      <w:r w:rsidR="00A424CA">
        <w:t>es besoins ont été satisfaits. A</w:t>
      </w:r>
      <w:r>
        <w:t xml:space="preserve"> la date d</w:t>
      </w:r>
      <w:r w:rsidR="0025212F">
        <w:t>'</w:t>
      </w:r>
      <w:r>
        <w:t>élaboration du présent rapport, les administrations membres de l</w:t>
      </w:r>
      <w:r w:rsidR="0025212F">
        <w:t>'</w:t>
      </w:r>
      <w:r w:rsidRPr="00090142">
        <w:t>ASMG</w:t>
      </w:r>
      <w:r>
        <w:t xml:space="preserve"> procéd</w:t>
      </w:r>
      <w:r w:rsidR="00007193">
        <w:t>aient à la modification du Plan </w:t>
      </w:r>
      <w:r w:rsidRPr="00090142">
        <w:t xml:space="preserve">GE06 </w:t>
      </w:r>
      <w:r>
        <w:t>conformément aux accords conclus concernant les canaux. La coordination se poursuit actuellement avec plusieurs administrations hors du cadre de</w:t>
      </w:r>
      <w:r w:rsidRPr="00BF5EB7">
        <w:t xml:space="preserve"> </w:t>
      </w:r>
      <w:r>
        <w:t>l</w:t>
      </w:r>
      <w:r w:rsidR="0025212F">
        <w:t>'</w:t>
      </w:r>
      <w:r w:rsidRPr="00090142">
        <w:t>ASMG</w:t>
      </w:r>
      <w:r>
        <w:t>. Il est nécessaire de faire en sorte que les modifications correspondantes puissent être apportées au</w:t>
      </w:r>
      <w:r w:rsidRPr="00937CEB">
        <w:t xml:space="preserve"> </w:t>
      </w:r>
      <w:r w:rsidR="00007193">
        <w:t>Plan </w:t>
      </w:r>
      <w:r w:rsidRPr="00090142">
        <w:t>GE06</w:t>
      </w:r>
      <w:r>
        <w:t>.</w:t>
      </w:r>
    </w:p>
    <w:p w:rsidR="00847C22" w:rsidRPr="00090142" w:rsidRDefault="00847C22" w:rsidP="002D5B0A">
      <w:pPr>
        <w:pStyle w:val="Heading3"/>
      </w:pPr>
      <w:bookmarkStart w:id="23" w:name="_Toc424047615"/>
      <w:bookmarkStart w:id="24" w:name="_Toc426463273"/>
      <w:r>
        <w:t>7</w:t>
      </w:r>
      <w:r w:rsidRPr="00090142">
        <w:t>.2</w:t>
      </w:r>
      <w:r>
        <w:t>.3</w:t>
      </w:r>
      <w:r w:rsidRPr="00090142">
        <w:tab/>
        <w:t>Assistance</w:t>
      </w:r>
      <w:r>
        <w:t xml:space="preserve"> à la CITEL</w:t>
      </w:r>
      <w:bookmarkEnd w:id="23"/>
      <w:bookmarkEnd w:id="24"/>
    </w:p>
    <w:p w:rsidR="00847C22" w:rsidRDefault="00A424CA" w:rsidP="002D5B0A">
      <w:r>
        <w:t>A</w:t>
      </w:r>
      <w:r w:rsidR="00847C22">
        <w:t xml:space="preserve"> la suite de l</w:t>
      </w:r>
      <w:r w:rsidR="0025212F">
        <w:t>'</w:t>
      </w:r>
      <w:r w:rsidR="00847C22">
        <w:t>élaboration par le BR d</w:t>
      </w:r>
      <w:r w:rsidR="0025212F">
        <w:t>'</w:t>
      </w:r>
      <w:r w:rsidR="00847C22">
        <w:t>outils en ligne pour les examens techniques relevant du Plan </w:t>
      </w:r>
      <w:r w:rsidR="00847C22" w:rsidRPr="00C310F3">
        <w:t>RJ81</w:t>
      </w:r>
      <w:r w:rsidR="00847C22">
        <w:t>, le BR a dispensé une formation à distance concernant l</w:t>
      </w:r>
      <w:r w:rsidR="0025212F">
        <w:t>'</w:t>
      </w:r>
      <w:r w:rsidR="00847C22">
        <w:t xml:space="preserve">utilisation de </w:t>
      </w:r>
      <w:r w:rsidR="00EE4FFB">
        <w:t>ces outils</w:t>
      </w:r>
      <w:r w:rsidR="00847C22">
        <w:t xml:space="preserve"> à la demande de la CITEL.</w:t>
      </w:r>
    </w:p>
    <w:p w:rsidR="00847C22" w:rsidRPr="00090142" w:rsidRDefault="00847C22" w:rsidP="002D5B0A">
      <w:pPr>
        <w:pStyle w:val="Heading2"/>
      </w:pPr>
      <w:bookmarkStart w:id="25" w:name="_Toc424047616"/>
      <w:bookmarkStart w:id="26" w:name="_Toc426463274"/>
      <w:r>
        <w:t>7</w:t>
      </w:r>
      <w:r w:rsidRPr="00090142">
        <w:t>.3</w:t>
      </w:r>
      <w:r w:rsidRPr="00090142">
        <w:tab/>
        <w:t xml:space="preserve">Assistance </w:t>
      </w:r>
      <w:r>
        <w:t>à d</w:t>
      </w:r>
      <w:r w:rsidR="0025212F">
        <w:t>'</w:t>
      </w:r>
      <w:r>
        <w:t>autres groupes de pays</w:t>
      </w:r>
      <w:bookmarkEnd w:id="25"/>
      <w:bookmarkEnd w:id="26"/>
      <w:r>
        <w:t xml:space="preserve"> </w:t>
      </w:r>
    </w:p>
    <w:p w:rsidR="00847C22" w:rsidRPr="003563D9" w:rsidRDefault="00A702B3" w:rsidP="002D5B0A">
      <w:pPr>
        <w:rPr>
          <w:spacing w:val="-3"/>
        </w:rPr>
      </w:pPr>
      <w:r w:rsidRPr="003563D9">
        <w:rPr>
          <w:spacing w:val="-3"/>
        </w:rPr>
        <w:t>En mars 2013 et novembre 2014, l</w:t>
      </w:r>
      <w:r w:rsidR="00847C22" w:rsidRPr="003563D9">
        <w:rPr>
          <w:spacing w:val="-3"/>
        </w:rPr>
        <w:t xml:space="preserve">e Bureau a </w:t>
      </w:r>
      <w:r w:rsidRPr="003563D9">
        <w:rPr>
          <w:spacing w:val="-3"/>
        </w:rPr>
        <w:t>accueilli,</w:t>
      </w:r>
      <w:r w:rsidR="00847C22" w:rsidRPr="003563D9">
        <w:rPr>
          <w:spacing w:val="-3"/>
        </w:rPr>
        <w:t xml:space="preserve"> au s</w:t>
      </w:r>
      <w:r w:rsidR="00007193" w:rsidRPr="003563D9">
        <w:rPr>
          <w:spacing w:val="-3"/>
        </w:rPr>
        <w:t>iège de l</w:t>
      </w:r>
      <w:r w:rsidR="0025212F">
        <w:rPr>
          <w:spacing w:val="-3"/>
        </w:rPr>
        <w:t>'</w:t>
      </w:r>
      <w:r w:rsidR="00007193" w:rsidRPr="003563D9">
        <w:rPr>
          <w:spacing w:val="-3"/>
        </w:rPr>
        <w:t xml:space="preserve">UIT à Genève, </w:t>
      </w:r>
      <w:r w:rsidR="00847C22" w:rsidRPr="003563D9">
        <w:rPr>
          <w:spacing w:val="-3"/>
        </w:rPr>
        <w:t>deux réunions de coordination des fréquences au niveau sous</w:t>
      </w:r>
      <w:r w:rsidR="00B12DFD" w:rsidRPr="003563D9">
        <w:rPr>
          <w:spacing w:val="-3"/>
        </w:rPr>
        <w:t>­</w:t>
      </w:r>
      <w:r w:rsidR="00847C22" w:rsidRPr="003563D9">
        <w:rPr>
          <w:spacing w:val="-3"/>
        </w:rPr>
        <w:t>régional, en présence des Administrations de l</w:t>
      </w:r>
      <w:r w:rsidR="0025212F">
        <w:rPr>
          <w:spacing w:val="-3"/>
        </w:rPr>
        <w:t>'</w:t>
      </w:r>
      <w:r w:rsidR="00847C22" w:rsidRPr="003563D9">
        <w:rPr>
          <w:spacing w:val="-3"/>
        </w:rPr>
        <w:t xml:space="preserve">Arabie saoudite, de Bahreïn, des </w:t>
      </w:r>
      <w:r w:rsidR="00124AC1">
        <w:rPr>
          <w:spacing w:val="-3"/>
        </w:rPr>
        <w:t>E</w:t>
      </w:r>
      <w:r w:rsidR="001D5471" w:rsidRPr="003563D9">
        <w:rPr>
          <w:spacing w:val="-3"/>
        </w:rPr>
        <w:t>mirat</w:t>
      </w:r>
      <w:r w:rsidR="00847C22" w:rsidRPr="003563D9">
        <w:rPr>
          <w:spacing w:val="-3"/>
        </w:rPr>
        <w:t>s arabes unis, de l</w:t>
      </w:r>
      <w:r w:rsidR="0025212F">
        <w:rPr>
          <w:spacing w:val="-3"/>
        </w:rPr>
        <w:t>'</w:t>
      </w:r>
      <w:r w:rsidR="00847C22" w:rsidRPr="003563D9">
        <w:rPr>
          <w:spacing w:val="-3"/>
        </w:rPr>
        <w:t>Iran,</w:t>
      </w:r>
      <w:r w:rsidR="00E851D1" w:rsidRPr="003563D9">
        <w:rPr>
          <w:spacing w:val="-3"/>
        </w:rPr>
        <w:t xml:space="preserve"> du Koweït, du Sultanat d</w:t>
      </w:r>
      <w:r w:rsidR="0025212F">
        <w:rPr>
          <w:spacing w:val="-3"/>
        </w:rPr>
        <w:t>'</w:t>
      </w:r>
      <w:r w:rsidR="00847C22" w:rsidRPr="003563D9">
        <w:rPr>
          <w:spacing w:val="-3"/>
        </w:rPr>
        <w:t>Oman et du Qatar. Ces réunions ont permis aux administrations concernées de conclure deux accords, à savoir:</w:t>
      </w:r>
    </w:p>
    <w:p w:rsidR="00847C22" w:rsidRPr="00090142" w:rsidRDefault="00847C22" w:rsidP="002D5B0A">
      <w:pPr>
        <w:pStyle w:val="enumlev1"/>
      </w:pPr>
      <w:r>
        <w:t>–</w:t>
      </w:r>
      <w:r>
        <w:tab/>
        <w:t xml:space="preserve">dispositions visant à limiter </w:t>
      </w:r>
      <w:r w:rsidRPr="00937CEB">
        <w:rPr>
          <w:color w:val="000000"/>
        </w:rPr>
        <w:t xml:space="preserve">les effets de débordement par-delà les frontières </w:t>
      </w:r>
      <w:r>
        <w:rPr>
          <w:color w:val="000000"/>
        </w:rPr>
        <w:t>ainsi que les brouillages préjudiciables causés au service mobile;</w:t>
      </w:r>
    </w:p>
    <w:p w:rsidR="00847C22" w:rsidRPr="00090142" w:rsidRDefault="00847C22" w:rsidP="002D5B0A">
      <w:pPr>
        <w:pStyle w:val="enumlev1"/>
      </w:pPr>
      <w:r>
        <w:t>–</w:t>
      </w:r>
      <w:r>
        <w:tab/>
        <w:t>mécanisme de coordination du service de radiodiffusion sonore en ondes métriques.</w:t>
      </w:r>
    </w:p>
    <w:p w:rsidR="00847C22" w:rsidRDefault="00847C22" w:rsidP="002D5B0A">
      <w:r>
        <w:t>L</w:t>
      </w:r>
      <w:r w:rsidR="0025212F">
        <w:t>'</w:t>
      </w:r>
      <w:r>
        <w:t>application de ces accords a permis une nette amélioration de la coordination des fréquences utilisées par les services mobiles.</w:t>
      </w:r>
    </w:p>
    <w:p w:rsidR="00847C22" w:rsidRPr="008320D8" w:rsidRDefault="005B2C4C" w:rsidP="00A424CA">
      <w:r>
        <w:t xml:space="preserve">Du 29 septembre au </w:t>
      </w:r>
      <w:r w:rsidRPr="00007193">
        <w:t>1</w:t>
      </w:r>
      <w:r w:rsidRPr="00A424CA">
        <w:t>er</w:t>
      </w:r>
      <w:r>
        <w:t> </w:t>
      </w:r>
      <w:r w:rsidRPr="00007193">
        <w:t>octobre</w:t>
      </w:r>
      <w:r>
        <w:t> 2014, l</w:t>
      </w:r>
      <w:r w:rsidR="00847C22">
        <w:t>e Bu</w:t>
      </w:r>
      <w:r w:rsidR="00007193">
        <w:t xml:space="preserve">reau a </w:t>
      </w:r>
      <w:r w:rsidR="00EF3C4E">
        <w:t>accueilli</w:t>
      </w:r>
      <w:r>
        <w:t>,</w:t>
      </w:r>
      <w:r w:rsidR="00EF3C4E">
        <w:t xml:space="preserve"> </w:t>
      </w:r>
      <w:r w:rsidR="00007193">
        <w:t xml:space="preserve">à Genève, </w:t>
      </w:r>
      <w:r w:rsidR="00847C22">
        <w:t xml:space="preserve">une réunion de coordination </w:t>
      </w:r>
      <w:r w:rsidR="008325A2">
        <w:t>entre les Administrations de l</w:t>
      </w:r>
      <w:r w:rsidR="0025212F">
        <w:t>'</w:t>
      </w:r>
      <w:r w:rsidR="003F0E30">
        <w:t>E</w:t>
      </w:r>
      <w:r w:rsidR="00847C22">
        <w:t>gypte, d</w:t>
      </w:r>
      <w:r w:rsidR="0025212F">
        <w:t>'</w:t>
      </w:r>
      <w:r w:rsidR="00847C22">
        <w:t>Israël, du Liban, de la Palestine et de la Syrie sur la planification des fréquences attribuées à la radiodiffusion télévisuelle numériqu</w:t>
      </w:r>
      <w:r w:rsidR="00CF5CB2">
        <w:t>e dans la bande </w:t>
      </w:r>
      <w:r w:rsidR="00847C22" w:rsidRPr="008320D8">
        <w:t>470</w:t>
      </w:r>
      <w:r w:rsidR="00847C22">
        <w:noBreakHyphen/>
      </w:r>
      <w:r w:rsidR="00847C22" w:rsidRPr="008320D8">
        <w:t>694</w:t>
      </w:r>
      <w:r w:rsidR="00847C22">
        <w:t> </w:t>
      </w:r>
      <w:r w:rsidR="00847C22" w:rsidRPr="008320D8">
        <w:t>MHz.</w:t>
      </w:r>
      <w:r w:rsidR="003B2885">
        <w:t xml:space="preserve"> </w:t>
      </w:r>
      <w:r w:rsidR="00A424CA">
        <w:t>A</w:t>
      </w:r>
      <w:r w:rsidR="00847C22">
        <w:t xml:space="preserve"> cette occasion, les participants se sont mis d</w:t>
      </w:r>
      <w:r w:rsidR="0025212F">
        <w:t>'</w:t>
      </w:r>
      <w:r w:rsidR="00847C22">
        <w:t>accord sur l</w:t>
      </w:r>
      <w:r w:rsidR="0025212F">
        <w:t>'</w:t>
      </w:r>
      <w:r w:rsidR="00847C22">
        <w:t>adoption de certains critères techniques régissant la coordination des fréquences, par exemple sur une marge limite de brouillage entre Israël et les pays arabes.</w:t>
      </w:r>
    </w:p>
    <w:p w:rsidR="00847C22" w:rsidRPr="00BF60CF" w:rsidRDefault="00847C22" w:rsidP="002D5B0A">
      <w:pPr>
        <w:pStyle w:val="Heading2"/>
        <w:rPr>
          <w:lang w:val="fr-CH"/>
        </w:rPr>
      </w:pPr>
      <w:bookmarkStart w:id="27" w:name="_Toc426463275"/>
      <w:r>
        <w:rPr>
          <w:lang w:val="fr-CH"/>
        </w:rPr>
        <w:t>7.4</w:t>
      </w:r>
      <w:r w:rsidRPr="00BF60CF">
        <w:rPr>
          <w:lang w:val="fr-CH"/>
        </w:rPr>
        <w:tab/>
        <w:t>Traitement des cas de brouillages préjudiciables</w:t>
      </w:r>
      <w:bookmarkEnd w:id="27"/>
    </w:p>
    <w:p w:rsidR="006E399E" w:rsidRDefault="00847C22" w:rsidP="002D5B0A">
      <w:pPr>
        <w:rPr>
          <w:lang w:val="fr-CH"/>
        </w:rPr>
      </w:pPr>
      <w:r w:rsidRPr="00A0198D">
        <w:rPr>
          <w:b/>
          <w:bCs/>
          <w:lang w:val="fr-CH"/>
        </w:rPr>
        <w:t>7.4</w:t>
      </w:r>
      <w:r w:rsidRPr="005B27E3">
        <w:rPr>
          <w:b/>
          <w:bCs/>
          <w:lang w:val="fr-CH"/>
        </w:rPr>
        <w:t>.1</w:t>
      </w:r>
      <w:r w:rsidRPr="006E399E">
        <w:rPr>
          <w:b/>
          <w:bCs/>
          <w:lang w:val="fr-CH"/>
        </w:rPr>
        <w:tab/>
      </w:r>
      <w:r w:rsidR="006E399E" w:rsidRPr="006E399E">
        <w:rPr>
          <w:b/>
          <w:bCs/>
          <w:lang w:val="fr-CH"/>
        </w:rPr>
        <w:t>Aperçu général</w:t>
      </w:r>
    </w:p>
    <w:p w:rsidR="00847C22" w:rsidRPr="003563D9" w:rsidRDefault="00847C22" w:rsidP="002D5B0A">
      <w:pPr>
        <w:rPr>
          <w:spacing w:val="-3"/>
          <w:lang w:val="fr-CH"/>
        </w:rPr>
      </w:pPr>
      <w:r w:rsidRPr="003563D9">
        <w:rPr>
          <w:spacing w:val="-3"/>
        </w:rPr>
        <w:t>En application des</w:t>
      </w:r>
      <w:r w:rsidR="008325A2" w:rsidRPr="003563D9">
        <w:rPr>
          <w:spacing w:val="-3"/>
        </w:rPr>
        <w:t xml:space="preserve"> procédures prévues à l</w:t>
      </w:r>
      <w:r w:rsidR="0025212F">
        <w:rPr>
          <w:spacing w:val="-3"/>
        </w:rPr>
        <w:t>'</w:t>
      </w:r>
      <w:r w:rsidR="008325A2" w:rsidRPr="003563D9">
        <w:rPr>
          <w:spacing w:val="-3"/>
        </w:rPr>
        <w:t>Article </w:t>
      </w:r>
      <w:r w:rsidRPr="003563D9">
        <w:rPr>
          <w:spacing w:val="-3"/>
        </w:rPr>
        <w:t>15 du Règlement des radiocommunications, le Bureau a traité dans les plus brefs délais tous les cas de brouillage préjudiciable qui lui avaient été signalés, notamment lorsqu</w:t>
      </w:r>
      <w:r w:rsidR="0025212F">
        <w:rPr>
          <w:spacing w:val="-3"/>
        </w:rPr>
        <w:t>'</w:t>
      </w:r>
      <w:r w:rsidRPr="003563D9">
        <w:rPr>
          <w:spacing w:val="-3"/>
        </w:rPr>
        <w:t xml:space="preserve">ils portaient sur des services ayant trait à la sécurité de la vie humaine. </w:t>
      </w:r>
      <w:r w:rsidRPr="003563D9">
        <w:rPr>
          <w:spacing w:val="-3"/>
          <w:lang w:val="fr-CH"/>
        </w:rPr>
        <w:t>Chaque cas signalé est normalement traité par le Bureau dans les 48 he</w:t>
      </w:r>
      <w:r w:rsidR="008325A2" w:rsidRPr="003563D9">
        <w:rPr>
          <w:spacing w:val="-3"/>
          <w:lang w:val="fr-CH"/>
        </w:rPr>
        <w:t>ures qui suivent sa récept</w:t>
      </w:r>
      <w:r w:rsidR="00A424CA">
        <w:rPr>
          <w:spacing w:val="-3"/>
          <w:lang w:val="fr-CH"/>
        </w:rPr>
        <w:t>ion. A</w:t>
      </w:r>
      <w:r w:rsidR="008E2077">
        <w:rPr>
          <w:spacing w:val="-3"/>
          <w:lang w:val="fr-CH"/>
        </w:rPr>
        <w:t> </w:t>
      </w:r>
      <w:r w:rsidRPr="003563D9">
        <w:rPr>
          <w:spacing w:val="-3"/>
          <w:lang w:val="fr-CH"/>
        </w:rPr>
        <w:t xml:space="preserve">plusieurs reprises, il a été demandé au Bureau de fournir une assistance pour déterminer la source du brouillage; cette assistance a été fournie en collaboration avec les stations de contrôle des émissions des </w:t>
      </w:r>
      <w:r w:rsidR="00124AC1">
        <w:rPr>
          <w:spacing w:val="-3"/>
          <w:lang w:val="fr-CH"/>
        </w:rPr>
        <w:t>E</w:t>
      </w:r>
      <w:r w:rsidR="00293F92" w:rsidRPr="003563D9">
        <w:rPr>
          <w:spacing w:val="-3"/>
          <w:lang w:val="fr-CH"/>
        </w:rPr>
        <w:t>tat</w:t>
      </w:r>
      <w:r w:rsidRPr="003563D9">
        <w:rPr>
          <w:spacing w:val="-3"/>
          <w:lang w:val="fr-CH"/>
        </w:rPr>
        <w:t xml:space="preserve">s Membres. Quelques cas ont été soumis au </w:t>
      </w:r>
      <w:r w:rsidR="00170AF2" w:rsidRPr="003563D9">
        <w:rPr>
          <w:spacing w:val="-3"/>
          <w:lang w:val="fr-CH"/>
        </w:rPr>
        <w:t>Comité du Règlement des radiocommunications (RRB)</w:t>
      </w:r>
      <w:r w:rsidRPr="003563D9">
        <w:rPr>
          <w:spacing w:val="-3"/>
          <w:lang w:val="fr-CH"/>
        </w:rPr>
        <w:t>, à la demande d</w:t>
      </w:r>
      <w:r w:rsidR="0025212F">
        <w:rPr>
          <w:spacing w:val="-3"/>
          <w:lang w:val="fr-CH"/>
        </w:rPr>
        <w:t>'</w:t>
      </w:r>
      <w:r w:rsidRPr="003563D9">
        <w:rPr>
          <w:spacing w:val="-3"/>
          <w:lang w:val="fr-CH"/>
        </w:rPr>
        <w:t>administrations dont les services avaient été brouillés. Dans certains cas, le Bureau a reçu une déclaration de la part d</w:t>
      </w:r>
      <w:r w:rsidR="0025212F">
        <w:rPr>
          <w:spacing w:val="-3"/>
          <w:lang w:val="fr-CH"/>
        </w:rPr>
        <w:t>'</w:t>
      </w:r>
      <w:r w:rsidRPr="003563D9">
        <w:rPr>
          <w:spacing w:val="-3"/>
          <w:lang w:val="fr-CH"/>
        </w:rPr>
        <w:t>administrations affectées, indiquant que les cas avaient été résolus. On trouvera</w:t>
      </w:r>
      <w:r w:rsidRPr="003563D9">
        <w:rPr>
          <w:spacing w:val="-3"/>
        </w:rPr>
        <w:t xml:space="preserve"> dans </w:t>
      </w:r>
      <w:r w:rsidR="008325A2" w:rsidRPr="003563D9">
        <w:rPr>
          <w:spacing w:val="-3"/>
          <w:lang w:val="fr-CH"/>
        </w:rPr>
        <w:t>le Tableau </w:t>
      </w:r>
      <w:r w:rsidRPr="003563D9">
        <w:rPr>
          <w:spacing w:val="-3"/>
        </w:rPr>
        <w:t xml:space="preserve">7.4.1-1 </w:t>
      </w:r>
      <w:r w:rsidRPr="003563D9">
        <w:rPr>
          <w:spacing w:val="-3"/>
          <w:lang w:val="fr-CH"/>
        </w:rPr>
        <w:t xml:space="preserve">des données statistiques </w:t>
      </w:r>
      <w:r w:rsidRPr="003563D9">
        <w:rPr>
          <w:spacing w:val="-3"/>
        </w:rPr>
        <w:t xml:space="preserve">sur les systèmes de Terre, et dans </w:t>
      </w:r>
      <w:r w:rsidR="008325A2" w:rsidRPr="003563D9">
        <w:rPr>
          <w:spacing w:val="-3"/>
          <w:lang w:val="fr-CH"/>
        </w:rPr>
        <w:t>le Tableau </w:t>
      </w:r>
      <w:r w:rsidRPr="003563D9">
        <w:rPr>
          <w:spacing w:val="-3"/>
        </w:rPr>
        <w:t>7.4.1-2</w:t>
      </w:r>
      <w:r w:rsidRPr="003563D9">
        <w:rPr>
          <w:spacing w:val="-3"/>
          <w:lang w:val="fr-CH"/>
        </w:rPr>
        <w:t xml:space="preserve"> des données statistiques </w:t>
      </w:r>
      <w:r w:rsidRPr="003563D9">
        <w:rPr>
          <w:spacing w:val="-3"/>
        </w:rPr>
        <w:t>sur les cas concernant les services spatiaux.</w:t>
      </w:r>
    </w:p>
    <w:p w:rsidR="00847C22" w:rsidRPr="00120484" w:rsidRDefault="008737D1" w:rsidP="002D5B0A">
      <w:pPr>
        <w:pStyle w:val="TableNo"/>
        <w:rPr>
          <w:lang w:val="fr-CH"/>
        </w:rPr>
      </w:pPr>
      <w:r>
        <w:rPr>
          <w:lang w:val="fr-CH"/>
        </w:rPr>
        <w:t>TableAU </w:t>
      </w:r>
      <w:r w:rsidR="003563D9">
        <w:t>7.4.1-1</w:t>
      </w:r>
    </w:p>
    <w:p w:rsidR="00847C22" w:rsidRDefault="00847C22" w:rsidP="002D5B0A">
      <w:pPr>
        <w:pStyle w:val="Tabletitle"/>
        <w:rPr>
          <w:lang w:val="fr-CH"/>
        </w:rPr>
      </w:pPr>
      <w:r>
        <w:rPr>
          <w:lang w:val="fr-CH"/>
        </w:rPr>
        <w:t>Données s</w:t>
      </w:r>
      <w:r w:rsidRPr="00120484">
        <w:rPr>
          <w:lang w:val="fr-CH"/>
        </w:rPr>
        <w:t>tatistiques concernant le traitement des cas de brouillages préjudiciables</w:t>
      </w:r>
      <w:r>
        <w:rPr>
          <w:lang w:val="fr-CH"/>
        </w:rPr>
        <w:t xml:space="preserve"> </w:t>
      </w:r>
      <w:r>
        <w:rPr>
          <w:lang w:val="fr-CH"/>
        </w:rPr>
        <w:br/>
        <w:t>ayant des incidences sur les services de Terre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962"/>
        <w:gridCol w:w="1134"/>
        <w:gridCol w:w="1134"/>
        <w:gridCol w:w="1134"/>
        <w:gridCol w:w="992"/>
      </w:tblGrid>
      <w:tr w:rsidR="00847C22" w:rsidRPr="00090142" w:rsidTr="003563D9">
        <w:trPr>
          <w:cantSplit/>
          <w:jc w:val="center"/>
        </w:trPr>
        <w:tc>
          <w:tcPr>
            <w:tcW w:w="4962" w:type="dxa"/>
            <w:tcBorders>
              <w:top w:val="nil"/>
              <w:left w:val="nil"/>
              <w:bottom w:val="single" w:sz="4" w:space="0" w:color="auto"/>
              <w:right w:val="single" w:sz="4" w:space="0" w:color="auto"/>
            </w:tcBorders>
          </w:tcPr>
          <w:p w:rsidR="00847C22" w:rsidRPr="00090142" w:rsidRDefault="00847C22" w:rsidP="002D5B0A"/>
        </w:tc>
        <w:tc>
          <w:tcPr>
            <w:tcW w:w="1134" w:type="dxa"/>
            <w:tcBorders>
              <w:top w:val="single" w:sz="4" w:space="0" w:color="auto"/>
              <w:bottom w:val="single" w:sz="4" w:space="0" w:color="auto"/>
            </w:tcBorders>
          </w:tcPr>
          <w:p w:rsidR="00847C22" w:rsidRPr="00090142" w:rsidRDefault="00847C22" w:rsidP="002D5B0A">
            <w:pPr>
              <w:pStyle w:val="Tablehead"/>
              <w:keepNext w:val="0"/>
            </w:pPr>
            <w:r w:rsidRPr="00090142">
              <w:t>2012</w:t>
            </w:r>
          </w:p>
        </w:tc>
        <w:tc>
          <w:tcPr>
            <w:tcW w:w="1134" w:type="dxa"/>
            <w:tcBorders>
              <w:top w:val="single" w:sz="4" w:space="0" w:color="auto"/>
              <w:bottom w:val="single" w:sz="4" w:space="0" w:color="auto"/>
              <w:right w:val="single" w:sz="4" w:space="0" w:color="auto"/>
            </w:tcBorders>
          </w:tcPr>
          <w:p w:rsidR="00847C22" w:rsidRPr="00090142" w:rsidRDefault="00847C22" w:rsidP="002D5B0A">
            <w:pPr>
              <w:pStyle w:val="Tablehead"/>
              <w:keepNext w:val="0"/>
            </w:pPr>
            <w:r w:rsidRPr="00090142">
              <w:t>2013</w:t>
            </w:r>
          </w:p>
        </w:tc>
        <w:tc>
          <w:tcPr>
            <w:tcW w:w="1134" w:type="dxa"/>
            <w:tcBorders>
              <w:top w:val="single" w:sz="4" w:space="0" w:color="auto"/>
              <w:bottom w:val="single" w:sz="4" w:space="0" w:color="auto"/>
              <w:right w:val="single" w:sz="4" w:space="0" w:color="auto"/>
            </w:tcBorders>
          </w:tcPr>
          <w:p w:rsidR="00847C22" w:rsidRPr="00090142" w:rsidRDefault="00847C22" w:rsidP="002D5B0A">
            <w:pPr>
              <w:pStyle w:val="Tablehead"/>
              <w:keepNext w:val="0"/>
            </w:pPr>
            <w:r w:rsidRPr="00090142">
              <w:t>2014</w:t>
            </w:r>
          </w:p>
        </w:tc>
        <w:tc>
          <w:tcPr>
            <w:tcW w:w="992" w:type="dxa"/>
            <w:tcBorders>
              <w:top w:val="single" w:sz="4" w:space="0" w:color="auto"/>
              <w:bottom w:val="single" w:sz="4" w:space="0" w:color="auto"/>
              <w:right w:val="single" w:sz="4" w:space="0" w:color="auto"/>
            </w:tcBorders>
          </w:tcPr>
          <w:p w:rsidR="00847C22" w:rsidRPr="00090142" w:rsidDel="00BD3B26" w:rsidRDefault="00847C22" w:rsidP="002D5B0A">
            <w:pPr>
              <w:pStyle w:val="Tablehead"/>
              <w:keepNext w:val="0"/>
            </w:pPr>
            <w:r w:rsidRPr="00090142">
              <w:t>2015</w:t>
            </w:r>
            <w:r w:rsidR="00BB4A61" w:rsidRPr="00043D25">
              <w:rPr>
                <w:rStyle w:val="FootnoteReference"/>
                <w:sz w:val="16"/>
                <w:szCs w:val="18"/>
              </w:rPr>
              <w:footnoteReference w:id="1"/>
            </w:r>
          </w:p>
        </w:tc>
      </w:tr>
      <w:tr w:rsidR="00847C22" w:rsidRPr="00090142" w:rsidTr="003563D9">
        <w:trPr>
          <w:cantSplit/>
          <w:jc w:val="center"/>
        </w:trPr>
        <w:tc>
          <w:tcPr>
            <w:tcW w:w="4962" w:type="dxa"/>
            <w:tcBorders>
              <w:top w:val="single" w:sz="4" w:space="0" w:color="auto"/>
              <w:left w:val="single" w:sz="4" w:space="0" w:color="auto"/>
            </w:tcBorders>
          </w:tcPr>
          <w:p w:rsidR="00847C22" w:rsidRPr="00CE1958" w:rsidRDefault="00847C22" w:rsidP="002D5B0A">
            <w:pPr>
              <w:pStyle w:val="Tabletext"/>
              <w:rPr>
                <w:lang w:val="fr-CH"/>
              </w:rPr>
            </w:pPr>
            <w:r>
              <w:t>Nombre de cas soumis au BR pour information</w:t>
            </w:r>
          </w:p>
        </w:tc>
        <w:tc>
          <w:tcPr>
            <w:tcW w:w="1134" w:type="dxa"/>
            <w:tcBorders>
              <w:top w:val="single" w:sz="4" w:space="0" w:color="auto"/>
            </w:tcBorders>
          </w:tcPr>
          <w:p w:rsidR="00847C22" w:rsidRPr="00090142" w:rsidRDefault="00847C22" w:rsidP="002D5B0A">
            <w:pPr>
              <w:pStyle w:val="Tabletext"/>
              <w:jc w:val="center"/>
            </w:pPr>
            <w:r w:rsidRPr="00090142">
              <w:t>23</w:t>
            </w:r>
          </w:p>
        </w:tc>
        <w:tc>
          <w:tcPr>
            <w:tcW w:w="1134" w:type="dxa"/>
            <w:tcBorders>
              <w:top w:val="single" w:sz="4" w:space="0" w:color="auto"/>
              <w:right w:val="single" w:sz="4" w:space="0" w:color="auto"/>
            </w:tcBorders>
          </w:tcPr>
          <w:p w:rsidR="00847C22" w:rsidRPr="00090142" w:rsidRDefault="00847C22" w:rsidP="002D5B0A">
            <w:pPr>
              <w:pStyle w:val="Tabletext"/>
              <w:jc w:val="center"/>
            </w:pPr>
            <w:r w:rsidRPr="00090142">
              <w:t>31</w:t>
            </w:r>
          </w:p>
        </w:tc>
        <w:tc>
          <w:tcPr>
            <w:tcW w:w="1134" w:type="dxa"/>
            <w:tcBorders>
              <w:top w:val="single" w:sz="4" w:space="0" w:color="auto"/>
              <w:right w:val="single" w:sz="4" w:space="0" w:color="auto"/>
            </w:tcBorders>
          </w:tcPr>
          <w:p w:rsidR="00847C22" w:rsidRPr="00090142" w:rsidRDefault="00847C22" w:rsidP="002D5B0A">
            <w:pPr>
              <w:pStyle w:val="Tabletext"/>
              <w:jc w:val="center"/>
            </w:pPr>
            <w:r w:rsidRPr="00090142">
              <w:t>53</w:t>
            </w:r>
          </w:p>
        </w:tc>
        <w:tc>
          <w:tcPr>
            <w:tcW w:w="992" w:type="dxa"/>
            <w:tcBorders>
              <w:top w:val="single" w:sz="4" w:space="0" w:color="auto"/>
              <w:right w:val="single" w:sz="4" w:space="0" w:color="auto"/>
            </w:tcBorders>
          </w:tcPr>
          <w:p w:rsidR="00847C22" w:rsidRPr="00090142" w:rsidRDefault="00847C22" w:rsidP="002D5B0A">
            <w:pPr>
              <w:pStyle w:val="Tabletext"/>
              <w:jc w:val="center"/>
            </w:pPr>
            <w:r w:rsidRPr="00090142">
              <w:t>32</w:t>
            </w:r>
          </w:p>
        </w:tc>
      </w:tr>
      <w:tr w:rsidR="00847C22" w:rsidRPr="00090142" w:rsidTr="003563D9">
        <w:trPr>
          <w:cantSplit/>
          <w:jc w:val="center"/>
        </w:trPr>
        <w:tc>
          <w:tcPr>
            <w:tcW w:w="4962" w:type="dxa"/>
            <w:tcBorders>
              <w:left w:val="single" w:sz="4" w:space="0" w:color="auto"/>
              <w:bottom w:val="single" w:sz="4" w:space="0" w:color="auto"/>
            </w:tcBorders>
          </w:tcPr>
          <w:p w:rsidR="00847C22" w:rsidRPr="00CE1958" w:rsidRDefault="00847C22" w:rsidP="002D5B0A">
            <w:pPr>
              <w:pStyle w:val="Tabletext"/>
              <w:rPr>
                <w:lang w:val="fr-CH"/>
              </w:rPr>
            </w:pPr>
            <w:r w:rsidRPr="002F7773">
              <w:t>Cas d</w:t>
            </w:r>
            <w:r w:rsidR="0025212F">
              <w:t>'</w:t>
            </w:r>
            <w:r w:rsidRPr="002F7773">
              <w:t>assistance fournie aux administrations</w:t>
            </w:r>
          </w:p>
        </w:tc>
        <w:tc>
          <w:tcPr>
            <w:tcW w:w="1134" w:type="dxa"/>
            <w:tcBorders>
              <w:bottom w:val="single" w:sz="4" w:space="0" w:color="auto"/>
            </w:tcBorders>
          </w:tcPr>
          <w:p w:rsidR="00847C22" w:rsidRPr="00090142" w:rsidRDefault="00847C22" w:rsidP="002D5B0A">
            <w:pPr>
              <w:pStyle w:val="Tabletext"/>
              <w:jc w:val="center"/>
            </w:pPr>
            <w:r w:rsidRPr="00090142">
              <w:t>20</w:t>
            </w:r>
          </w:p>
        </w:tc>
        <w:tc>
          <w:tcPr>
            <w:tcW w:w="1134" w:type="dxa"/>
            <w:tcBorders>
              <w:bottom w:val="single" w:sz="4" w:space="0" w:color="auto"/>
              <w:right w:val="single" w:sz="4" w:space="0" w:color="auto"/>
            </w:tcBorders>
          </w:tcPr>
          <w:p w:rsidR="00847C22" w:rsidRPr="00090142" w:rsidRDefault="00847C22" w:rsidP="002D5B0A">
            <w:pPr>
              <w:pStyle w:val="Tabletext"/>
              <w:jc w:val="center"/>
            </w:pPr>
            <w:r w:rsidRPr="00090142">
              <w:t>18</w:t>
            </w:r>
          </w:p>
        </w:tc>
        <w:tc>
          <w:tcPr>
            <w:tcW w:w="1134" w:type="dxa"/>
            <w:tcBorders>
              <w:bottom w:val="single" w:sz="4" w:space="0" w:color="auto"/>
              <w:right w:val="single" w:sz="4" w:space="0" w:color="auto"/>
            </w:tcBorders>
          </w:tcPr>
          <w:p w:rsidR="00847C22" w:rsidRPr="00090142" w:rsidRDefault="00847C22" w:rsidP="002D5B0A">
            <w:pPr>
              <w:pStyle w:val="Tabletext"/>
              <w:jc w:val="center"/>
            </w:pPr>
            <w:r w:rsidRPr="00090142">
              <w:t>26</w:t>
            </w:r>
          </w:p>
        </w:tc>
        <w:tc>
          <w:tcPr>
            <w:tcW w:w="992" w:type="dxa"/>
            <w:tcBorders>
              <w:bottom w:val="single" w:sz="4" w:space="0" w:color="auto"/>
              <w:right w:val="single" w:sz="4" w:space="0" w:color="auto"/>
            </w:tcBorders>
          </w:tcPr>
          <w:p w:rsidR="00847C22" w:rsidRPr="00090142" w:rsidRDefault="00847C22" w:rsidP="002D5B0A">
            <w:pPr>
              <w:pStyle w:val="Tabletext"/>
              <w:jc w:val="center"/>
            </w:pPr>
            <w:r w:rsidRPr="00090142">
              <w:t>13</w:t>
            </w:r>
          </w:p>
        </w:tc>
      </w:tr>
    </w:tbl>
    <w:p w:rsidR="00847C22" w:rsidRPr="00120484" w:rsidRDefault="008737D1" w:rsidP="002D5B0A">
      <w:pPr>
        <w:pStyle w:val="TableNo"/>
        <w:rPr>
          <w:lang w:val="fr-CH"/>
        </w:rPr>
      </w:pPr>
      <w:r>
        <w:rPr>
          <w:lang w:val="fr-CH"/>
        </w:rPr>
        <w:t>TableAU </w:t>
      </w:r>
      <w:r w:rsidR="00847C22">
        <w:t xml:space="preserve">7.4.1-2 </w:t>
      </w:r>
    </w:p>
    <w:p w:rsidR="00847C22" w:rsidRDefault="00847C22" w:rsidP="002D5B0A">
      <w:pPr>
        <w:pStyle w:val="Tabletitle"/>
        <w:rPr>
          <w:lang w:val="fr-CH"/>
        </w:rPr>
      </w:pPr>
      <w:r>
        <w:rPr>
          <w:lang w:val="fr-CH"/>
        </w:rPr>
        <w:t>Données s</w:t>
      </w:r>
      <w:r w:rsidRPr="00120484">
        <w:rPr>
          <w:lang w:val="fr-CH"/>
        </w:rPr>
        <w:t>tatistiques concernant le traitement des cas de brouillages préjudiciables</w:t>
      </w:r>
      <w:r>
        <w:rPr>
          <w:lang w:val="fr-CH"/>
        </w:rPr>
        <w:t xml:space="preserve"> </w:t>
      </w:r>
      <w:r>
        <w:rPr>
          <w:lang w:val="fr-CH"/>
        </w:rPr>
        <w:br/>
        <w:t>ayant des incidences sur les services spatiaux</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8"/>
        <w:gridCol w:w="1134"/>
        <w:gridCol w:w="1134"/>
        <w:gridCol w:w="1134"/>
        <w:gridCol w:w="1134"/>
      </w:tblGrid>
      <w:tr w:rsidR="00847C22" w:rsidRPr="00090142" w:rsidTr="00945370">
        <w:trPr>
          <w:cantSplit/>
          <w:jc w:val="center"/>
        </w:trPr>
        <w:tc>
          <w:tcPr>
            <w:tcW w:w="0" w:type="auto"/>
            <w:tcBorders>
              <w:top w:val="nil"/>
              <w:left w:val="nil"/>
              <w:bottom w:val="single" w:sz="4" w:space="0" w:color="auto"/>
              <w:right w:val="single" w:sz="4" w:space="0" w:color="auto"/>
            </w:tcBorders>
          </w:tcPr>
          <w:p w:rsidR="00847C22" w:rsidRPr="00090142" w:rsidRDefault="00847C22" w:rsidP="002D5B0A"/>
        </w:tc>
        <w:tc>
          <w:tcPr>
            <w:tcW w:w="1134" w:type="dxa"/>
            <w:tcBorders>
              <w:top w:val="single" w:sz="4" w:space="0" w:color="auto"/>
              <w:bottom w:val="single" w:sz="4" w:space="0" w:color="auto"/>
            </w:tcBorders>
            <w:vAlign w:val="center"/>
          </w:tcPr>
          <w:p w:rsidR="00847C22" w:rsidRPr="00090142" w:rsidRDefault="00847C22" w:rsidP="002D5B0A">
            <w:pPr>
              <w:pStyle w:val="Tablehead"/>
              <w:keepNext w:val="0"/>
            </w:pPr>
            <w:r w:rsidRPr="00090142">
              <w:t>2012</w:t>
            </w:r>
          </w:p>
        </w:tc>
        <w:tc>
          <w:tcPr>
            <w:tcW w:w="1134" w:type="dxa"/>
            <w:tcBorders>
              <w:top w:val="single" w:sz="4" w:space="0" w:color="auto"/>
              <w:bottom w:val="single" w:sz="4" w:space="0" w:color="auto"/>
              <w:right w:val="single" w:sz="4" w:space="0" w:color="auto"/>
            </w:tcBorders>
            <w:vAlign w:val="center"/>
          </w:tcPr>
          <w:p w:rsidR="00847C22" w:rsidRPr="00090142" w:rsidRDefault="00847C22" w:rsidP="002D5B0A">
            <w:pPr>
              <w:pStyle w:val="Tablehead"/>
              <w:keepNext w:val="0"/>
            </w:pPr>
            <w:r w:rsidRPr="00090142">
              <w:t>2013</w:t>
            </w:r>
          </w:p>
        </w:tc>
        <w:tc>
          <w:tcPr>
            <w:tcW w:w="1134" w:type="dxa"/>
            <w:tcBorders>
              <w:top w:val="single" w:sz="4" w:space="0" w:color="auto"/>
              <w:bottom w:val="single" w:sz="4" w:space="0" w:color="auto"/>
              <w:right w:val="single" w:sz="4" w:space="0" w:color="auto"/>
            </w:tcBorders>
            <w:vAlign w:val="center"/>
          </w:tcPr>
          <w:p w:rsidR="00847C22" w:rsidRPr="00090142" w:rsidRDefault="00847C22" w:rsidP="002D5B0A">
            <w:pPr>
              <w:pStyle w:val="Tablehead"/>
              <w:keepNext w:val="0"/>
            </w:pPr>
            <w:r w:rsidRPr="00090142">
              <w:t>2014</w:t>
            </w:r>
          </w:p>
        </w:tc>
        <w:tc>
          <w:tcPr>
            <w:tcW w:w="1134" w:type="dxa"/>
            <w:tcBorders>
              <w:top w:val="single" w:sz="4" w:space="0" w:color="auto"/>
              <w:bottom w:val="single" w:sz="4" w:space="0" w:color="auto"/>
              <w:right w:val="single" w:sz="4" w:space="0" w:color="auto"/>
            </w:tcBorders>
            <w:shd w:val="clear" w:color="auto" w:fill="auto"/>
            <w:vAlign w:val="center"/>
          </w:tcPr>
          <w:p w:rsidR="00847C22" w:rsidRPr="00090142" w:rsidRDefault="008325A2" w:rsidP="002D5B0A">
            <w:pPr>
              <w:pStyle w:val="Tablehead"/>
              <w:keepNext w:val="0"/>
            </w:pPr>
            <w:r>
              <w:t>2015</w:t>
            </w:r>
            <w:r>
              <w:br/>
              <w:t>(jusqu</w:t>
            </w:r>
            <w:r w:rsidR="0025212F">
              <w:t>'</w:t>
            </w:r>
            <w:r>
              <w:t>au 30 </w:t>
            </w:r>
            <w:r w:rsidR="00847C22">
              <w:t>juin)</w:t>
            </w:r>
          </w:p>
        </w:tc>
      </w:tr>
      <w:tr w:rsidR="00847C22" w:rsidRPr="00090142" w:rsidTr="003563D9">
        <w:trPr>
          <w:cantSplit/>
          <w:jc w:val="center"/>
        </w:trPr>
        <w:tc>
          <w:tcPr>
            <w:tcW w:w="0" w:type="auto"/>
            <w:tcBorders>
              <w:top w:val="single" w:sz="4" w:space="0" w:color="auto"/>
              <w:left w:val="single" w:sz="4" w:space="0" w:color="auto"/>
            </w:tcBorders>
          </w:tcPr>
          <w:p w:rsidR="00847C22" w:rsidRPr="00CE1958" w:rsidRDefault="00847C22" w:rsidP="002D5B0A">
            <w:pPr>
              <w:pStyle w:val="Tabletext"/>
              <w:rPr>
                <w:lang w:val="fr-CH"/>
              </w:rPr>
            </w:pPr>
            <w:r>
              <w:t>Nombre de cas soumis au BR pour information</w:t>
            </w:r>
            <w:r w:rsidRPr="00CE1958">
              <w:rPr>
                <w:lang w:val="fr-CH"/>
              </w:rPr>
              <w:t xml:space="preserve"> (</w:t>
            </w:r>
            <w:r>
              <w:rPr>
                <w:lang w:val="fr-CH"/>
              </w:rPr>
              <w:t>numéro </w:t>
            </w:r>
            <w:r w:rsidRPr="00CE1958">
              <w:rPr>
                <w:lang w:val="fr-CH"/>
              </w:rPr>
              <w:t>15.41</w:t>
            </w:r>
            <w:r>
              <w:rPr>
                <w:lang w:val="fr-CH"/>
              </w:rPr>
              <w:t xml:space="preserve"> du </w:t>
            </w:r>
            <w:r w:rsidRPr="00CE1958">
              <w:rPr>
                <w:lang w:val="fr-CH"/>
              </w:rPr>
              <w:t>RR)</w:t>
            </w:r>
          </w:p>
        </w:tc>
        <w:tc>
          <w:tcPr>
            <w:tcW w:w="1134" w:type="dxa"/>
            <w:tcBorders>
              <w:top w:val="single" w:sz="4" w:space="0" w:color="auto"/>
            </w:tcBorders>
            <w:vAlign w:val="center"/>
          </w:tcPr>
          <w:p w:rsidR="00847C22" w:rsidRPr="00090142" w:rsidRDefault="00847C22" w:rsidP="002D5B0A">
            <w:pPr>
              <w:pStyle w:val="Tabletext"/>
              <w:jc w:val="center"/>
            </w:pPr>
            <w:r w:rsidRPr="00090142">
              <w:t>25</w:t>
            </w:r>
          </w:p>
        </w:tc>
        <w:tc>
          <w:tcPr>
            <w:tcW w:w="1134" w:type="dxa"/>
            <w:tcBorders>
              <w:top w:val="single" w:sz="4" w:space="0" w:color="auto"/>
              <w:right w:val="single" w:sz="4" w:space="0" w:color="auto"/>
            </w:tcBorders>
            <w:vAlign w:val="center"/>
          </w:tcPr>
          <w:p w:rsidR="00847C22" w:rsidRPr="00090142" w:rsidRDefault="00847C22" w:rsidP="002D5B0A">
            <w:pPr>
              <w:pStyle w:val="Tabletext"/>
              <w:jc w:val="center"/>
            </w:pPr>
            <w:r w:rsidRPr="00090142">
              <w:t>20</w:t>
            </w:r>
          </w:p>
        </w:tc>
        <w:tc>
          <w:tcPr>
            <w:tcW w:w="1134" w:type="dxa"/>
            <w:tcBorders>
              <w:top w:val="single" w:sz="4" w:space="0" w:color="auto"/>
              <w:right w:val="single" w:sz="4" w:space="0" w:color="auto"/>
            </w:tcBorders>
            <w:vAlign w:val="center"/>
          </w:tcPr>
          <w:p w:rsidR="00847C22" w:rsidRPr="00090142" w:rsidRDefault="00847C22" w:rsidP="002D5B0A">
            <w:pPr>
              <w:pStyle w:val="Tabletext"/>
              <w:jc w:val="center"/>
            </w:pPr>
            <w:r w:rsidRPr="00090142">
              <w:t>9</w:t>
            </w:r>
          </w:p>
        </w:tc>
        <w:tc>
          <w:tcPr>
            <w:tcW w:w="1134" w:type="dxa"/>
            <w:tcBorders>
              <w:top w:val="single" w:sz="4" w:space="0" w:color="auto"/>
              <w:right w:val="single" w:sz="4" w:space="0" w:color="auto"/>
            </w:tcBorders>
            <w:shd w:val="clear" w:color="auto" w:fill="auto"/>
            <w:vAlign w:val="center"/>
          </w:tcPr>
          <w:p w:rsidR="00847C22" w:rsidRPr="00090142" w:rsidRDefault="00847C22" w:rsidP="002D5B0A">
            <w:pPr>
              <w:pStyle w:val="Tabletext"/>
              <w:jc w:val="center"/>
            </w:pPr>
            <w:r>
              <w:t>9</w:t>
            </w:r>
          </w:p>
        </w:tc>
      </w:tr>
      <w:tr w:rsidR="00847C22" w:rsidRPr="00090142" w:rsidTr="003563D9">
        <w:trPr>
          <w:cantSplit/>
          <w:jc w:val="center"/>
        </w:trPr>
        <w:tc>
          <w:tcPr>
            <w:tcW w:w="0" w:type="auto"/>
            <w:tcBorders>
              <w:left w:val="single" w:sz="4" w:space="0" w:color="auto"/>
              <w:bottom w:val="single" w:sz="4" w:space="0" w:color="auto"/>
            </w:tcBorders>
          </w:tcPr>
          <w:p w:rsidR="00847C22" w:rsidRPr="00CE1958" w:rsidRDefault="00847C22" w:rsidP="002D5B0A">
            <w:pPr>
              <w:pStyle w:val="Tabletext"/>
              <w:rPr>
                <w:lang w:val="fr-CH"/>
              </w:rPr>
            </w:pPr>
            <w:r w:rsidRPr="00CE1958">
              <w:rPr>
                <w:lang w:val="fr-CH"/>
              </w:rPr>
              <w:t>Cas de demande d</w:t>
            </w:r>
            <w:r w:rsidR="0025212F">
              <w:rPr>
                <w:lang w:val="fr-CH"/>
              </w:rPr>
              <w:t>'</w:t>
            </w:r>
            <w:r w:rsidRPr="00CE1958">
              <w:rPr>
                <w:lang w:val="fr-CH"/>
              </w:rPr>
              <w:t xml:space="preserve">assistance au BR </w:t>
            </w:r>
            <w:r>
              <w:rPr>
                <w:lang w:val="fr-CH"/>
              </w:rPr>
              <w:t>relevant du numéro</w:t>
            </w:r>
            <w:r w:rsidR="008737D1">
              <w:rPr>
                <w:lang w:val="fr-CH"/>
              </w:rPr>
              <w:t> </w:t>
            </w:r>
            <w:r w:rsidRPr="00CE1958">
              <w:rPr>
                <w:lang w:val="fr-CH"/>
              </w:rPr>
              <w:t>13.2</w:t>
            </w:r>
            <w:r>
              <w:rPr>
                <w:lang w:val="fr-CH"/>
              </w:rPr>
              <w:t xml:space="preserve"> du RR</w:t>
            </w:r>
          </w:p>
        </w:tc>
        <w:tc>
          <w:tcPr>
            <w:tcW w:w="1134" w:type="dxa"/>
            <w:tcBorders>
              <w:bottom w:val="single" w:sz="4" w:space="0" w:color="auto"/>
            </w:tcBorders>
            <w:vAlign w:val="center"/>
          </w:tcPr>
          <w:p w:rsidR="00847C22" w:rsidRPr="00090142" w:rsidRDefault="00847C22" w:rsidP="002D5B0A">
            <w:pPr>
              <w:pStyle w:val="Tabletext"/>
              <w:jc w:val="center"/>
            </w:pPr>
            <w:r w:rsidRPr="00090142">
              <w:t>22</w:t>
            </w:r>
          </w:p>
        </w:tc>
        <w:tc>
          <w:tcPr>
            <w:tcW w:w="1134" w:type="dxa"/>
            <w:tcBorders>
              <w:bottom w:val="single" w:sz="4" w:space="0" w:color="auto"/>
              <w:right w:val="single" w:sz="4" w:space="0" w:color="auto"/>
            </w:tcBorders>
            <w:vAlign w:val="center"/>
          </w:tcPr>
          <w:p w:rsidR="00847C22" w:rsidRPr="00090142" w:rsidRDefault="00847C22" w:rsidP="002D5B0A">
            <w:pPr>
              <w:pStyle w:val="Tabletext"/>
              <w:jc w:val="center"/>
            </w:pPr>
            <w:r w:rsidRPr="00090142">
              <w:t>9</w:t>
            </w:r>
          </w:p>
        </w:tc>
        <w:tc>
          <w:tcPr>
            <w:tcW w:w="1134" w:type="dxa"/>
            <w:tcBorders>
              <w:bottom w:val="single" w:sz="4" w:space="0" w:color="auto"/>
              <w:right w:val="single" w:sz="4" w:space="0" w:color="auto"/>
            </w:tcBorders>
            <w:vAlign w:val="center"/>
          </w:tcPr>
          <w:p w:rsidR="00847C22" w:rsidRPr="00090142" w:rsidRDefault="00847C22" w:rsidP="002D5B0A">
            <w:pPr>
              <w:pStyle w:val="Tabletext"/>
              <w:jc w:val="center"/>
            </w:pPr>
            <w:r w:rsidRPr="00090142">
              <w:t>7</w:t>
            </w:r>
          </w:p>
        </w:tc>
        <w:tc>
          <w:tcPr>
            <w:tcW w:w="1134" w:type="dxa"/>
            <w:tcBorders>
              <w:bottom w:val="single" w:sz="4" w:space="0" w:color="auto"/>
              <w:right w:val="single" w:sz="4" w:space="0" w:color="auto"/>
            </w:tcBorders>
            <w:shd w:val="clear" w:color="auto" w:fill="auto"/>
            <w:vAlign w:val="center"/>
          </w:tcPr>
          <w:p w:rsidR="00847C22" w:rsidRPr="00090142" w:rsidRDefault="00847C22" w:rsidP="002D5B0A">
            <w:pPr>
              <w:pStyle w:val="Tabletext"/>
              <w:jc w:val="center"/>
            </w:pPr>
            <w:r>
              <w:t>3</w:t>
            </w:r>
          </w:p>
        </w:tc>
      </w:tr>
    </w:tbl>
    <w:p w:rsidR="00847C22" w:rsidRPr="00CE1958" w:rsidRDefault="00847C22" w:rsidP="005E3CD4">
      <w:pPr>
        <w:pStyle w:val="Note"/>
        <w:rPr>
          <w:lang w:val="fr-CH"/>
        </w:rPr>
      </w:pPr>
      <w:r w:rsidRPr="00CE1958">
        <w:rPr>
          <w:lang w:val="fr-CH"/>
        </w:rPr>
        <w:t>NOTE</w:t>
      </w:r>
      <w:r w:rsidR="005E3CD4">
        <w:rPr>
          <w:lang w:val="fr-CH"/>
        </w:rPr>
        <w:t xml:space="preserve"> </w:t>
      </w:r>
      <w:r w:rsidR="005E3CD4" w:rsidRPr="005E3CD4">
        <w:rPr>
          <w:lang w:val="fr-CH"/>
        </w:rPr>
        <w:t>–</w:t>
      </w:r>
      <w:r w:rsidRPr="00CE1958">
        <w:rPr>
          <w:lang w:val="fr-CH"/>
        </w:rPr>
        <w:t xml:space="preserve"> </w:t>
      </w:r>
      <w:r>
        <w:t>Un cas peut être associé à une ou plusieurs occurrences de brouillages préjudiciables à court terme ou à long terme</w:t>
      </w:r>
      <w:r w:rsidRPr="00CE1958">
        <w:rPr>
          <w:lang w:val="fr-CH"/>
        </w:rPr>
        <w:t>.</w:t>
      </w:r>
    </w:p>
    <w:p w:rsidR="00847C22" w:rsidRPr="00090142" w:rsidRDefault="008737D1" w:rsidP="002D5B0A">
      <w:r>
        <w:t>On trouvera dans l</w:t>
      </w:r>
      <w:r w:rsidR="0025212F">
        <w:t>'</w:t>
      </w:r>
      <w:r>
        <w:t>Annexe </w:t>
      </w:r>
      <w:r w:rsidR="00847C22">
        <w:t>2 du présent rapport une analyse approfondie de la situation actuelle ainsi que des mesures et initiatives prises actuellement par l</w:t>
      </w:r>
      <w:r w:rsidR="0025212F">
        <w:t>'</w:t>
      </w:r>
      <w:r w:rsidR="00847C22">
        <w:t>UIT, ainsi qu</w:t>
      </w:r>
      <w:r w:rsidR="0025212F">
        <w:t>'</w:t>
      </w:r>
      <w:r w:rsidR="00847C22">
        <w:t>un aperçu des faits nouveaux survenus qui contribuent à la prévention et au règlement des cas de brouillages préjudiciables ayant des incidences sur les services spatiaux.</w:t>
      </w:r>
    </w:p>
    <w:p w:rsidR="00847C22" w:rsidRPr="003563D9" w:rsidRDefault="00847C22" w:rsidP="003563D9">
      <w:pPr>
        <w:pStyle w:val="Heading3"/>
        <w:rPr>
          <w:rFonts w:ascii="Times New Roman Bold" w:hAnsi="Times New Roman Bold" w:cs="Times New Roman Bold"/>
          <w:spacing w:val="-3"/>
        </w:rPr>
      </w:pPr>
      <w:bookmarkStart w:id="28" w:name="_Toc426463276"/>
      <w:r w:rsidRPr="003563D9">
        <w:rPr>
          <w:rFonts w:ascii="Times New Roman Bold" w:hAnsi="Times New Roman Bold" w:cs="Times New Roman Bold"/>
          <w:spacing w:val="-3"/>
        </w:rPr>
        <w:t>7.4.2</w:t>
      </w:r>
      <w:r w:rsidRPr="003563D9">
        <w:rPr>
          <w:rFonts w:ascii="Times New Roman Bold" w:hAnsi="Times New Roman Bold" w:cs="Times New Roman Bold"/>
          <w:spacing w:val="-3"/>
        </w:rPr>
        <w:tab/>
      </w:r>
      <w:r w:rsidR="003563D9" w:rsidRPr="003563D9">
        <w:rPr>
          <w:rFonts w:ascii="Times New Roman Bold" w:hAnsi="Times New Roman Bold" w:cs="Times New Roman Bold"/>
          <w:spacing w:val="-3"/>
        </w:rPr>
        <w:t>E</w:t>
      </w:r>
      <w:r w:rsidRPr="003563D9">
        <w:rPr>
          <w:rFonts w:ascii="Times New Roman Bold" w:hAnsi="Times New Roman Bold" w:cs="Times New Roman Bold"/>
          <w:spacing w:val="-3"/>
        </w:rPr>
        <w:t>volution de la situation concernant des cas particuliers de brouillages préjudiciables</w:t>
      </w:r>
      <w:bookmarkEnd w:id="28"/>
    </w:p>
    <w:p w:rsidR="00847C22" w:rsidRPr="002B1F06" w:rsidRDefault="00847C22" w:rsidP="002D5B0A">
      <w:pPr>
        <w:pStyle w:val="Heading4"/>
        <w:rPr>
          <w:lang w:val="fr-CH"/>
        </w:rPr>
      </w:pPr>
      <w:r w:rsidRPr="00BD0E2F">
        <w:rPr>
          <w:rFonts w:asciiTheme="majorBidi" w:hAnsiTheme="majorBidi" w:cstheme="majorBidi"/>
          <w:szCs w:val="24"/>
        </w:rPr>
        <w:t>7.4.2.1</w:t>
      </w:r>
      <w:r w:rsidRPr="00BD0E2F">
        <w:rPr>
          <w:lang w:val="fr-CH"/>
        </w:rPr>
        <w:tab/>
        <w:t>Brouillages préjudiciables causés au service de radiodiffusion cubain dans les bandes d</w:t>
      </w:r>
      <w:r w:rsidR="0025212F">
        <w:rPr>
          <w:lang w:val="fr-CH"/>
        </w:rPr>
        <w:t>'</w:t>
      </w:r>
      <w:r w:rsidRPr="00BD0E2F">
        <w:rPr>
          <w:lang w:val="fr-CH"/>
        </w:rPr>
        <w:t>ondes métriques et décimétriques</w:t>
      </w:r>
    </w:p>
    <w:p w:rsidR="00847C22" w:rsidRDefault="008325A2" w:rsidP="002D5B0A">
      <w:pPr>
        <w:rPr>
          <w:lang w:val="fr-CH"/>
        </w:rPr>
      </w:pPr>
      <w:r>
        <w:rPr>
          <w:lang w:val="fr-CH"/>
        </w:rPr>
        <w:t>Entre la CMR-12 et mai </w:t>
      </w:r>
      <w:r w:rsidR="00847C22">
        <w:rPr>
          <w:lang w:val="fr-CH"/>
        </w:rPr>
        <w:t>2013, l</w:t>
      </w:r>
      <w:r w:rsidR="0025212F">
        <w:rPr>
          <w:lang w:val="fr-CH"/>
        </w:rPr>
        <w:t>'</w:t>
      </w:r>
      <w:r w:rsidR="00847C22">
        <w:rPr>
          <w:lang w:val="fr-CH"/>
        </w:rPr>
        <w:t xml:space="preserve">Administration cubaine a continué de soumettre des rapports sur plusieurs </w:t>
      </w:r>
      <w:r w:rsidR="00847C22" w:rsidRPr="00B1589B">
        <w:rPr>
          <w:lang w:val="fr-CH"/>
        </w:rPr>
        <w:t>cas</w:t>
      </w:r>
      <w:r w:rsidR="00847C22">
        <w:rPr>
          <w:lang w:val="fr-CH"/>
        </w:rPr>
        <w:t xml:space="preserve"> de brouillages préjudiciables </w:t>
      </w:r>
      <w:r w:rsidR="00847C22">
        <w:rPr>
          <w:color w:val="000000"/>
        </w:rPr>
        <w:t>de longue date</w:t>
      </w:r>
      <w:r w:rsidR="00847C22">
        <w:rPr>
          <w:lang w:val="fr-CH"/>
        </w:rPr>
        <w:t xml:space="preserve"> causé</w:t>
      </w:r>
      <w:r w:rsidR="00A62B06">
        <w:rPr>
          <w:lang w:val="fr-CH"/>
        </w:rPr>
        <w:t>s au service de radiodiffusion sonore et télévisuel</w:t>
      </w:r>
      <w:r w:rsidR="002770B3">
        <w:rPr>
          <w:lang w:val="fr-CH"/>
        </w:rPr>
        <w:t>le</w:t>
      </w:r>
      <w:r w:rsidR="00847C22">
        <w:rPr>
          <w:lang w:val="fr-CH"/>
        </w:rPr>
        <w:t xml:space="preserve"> cubain par des émissions provenant de stations à bord d</w:t>
      </w:r>
      <w:r w:rsidR="0025212F">
        <w:rPr>
          <w:lang w:val="fr-CH"/>
        </w:rPr>
        <w:t>'</w:t>
      </w:r>
      <w:r w:rsidR="00847C22">
        <w:rPr>
          <w:lang w:val="fr-CH"/>
        </w:rPr>
        <w:t>un aéronef relevant de la responsabilité de l</w:t>
      </w:r>
      <w:r w:rsidR="0025212F">
        <w:rPr>
          <w:lang w:val="fr-CH"/>
        </w:rPr>
        <w:t>'</w:t>
      </w:r>
      <w:r w:rsidR="00847C22">
        <w:rPr>
          <w:lang w:val="fr-CH"/>
        </w:rPr>
        <w:t xml:space="preserve">Administration des </w:t>
      </w:r>
      <w:r w:rsidR="00124AC1">
        <w:rPr>
          <w:lang w:val="fr-CH"/>
        </w:rPr>
        <w:t>E</w:t>
      </w:r>
      <w:r w:rsidR="000663C9">
        <w:rPr>
          <w:lang w:val="fr-CH"/>
        </w:rPr>
        <w:t>tats-Unis</w:t>
      </w:r>
      <w:r w:rsidR="00124AC1">
        <w:rPr>
          <w:lang w:val="fr-CH"/>
        </w:rPr>
        <w:t>.</w:t>
      </w:r>
    </w:p>
    <w:p w:rsidR="00847C22" w:rsidRPr="00B1589B" w:rsidRDefault="00847C22" w:rsidP="002D5B0A">
      <w:pPr>
        <w:rPr>
          <w:lang w:val="fr-CH"/>
        </w:rPr>
      </w:pPr>
      <w:r>
        <w:rPr>
          <w:lang w:val="fr-CH"/>
        </w:rPr>
        <w:t>Ces cas ont été inscrits à l</w:t>
      </w:r>
      <w:r w:rsidR="0025212F">
        <w:rPr>
          <w:lang w:val="fr-CH"/>
        </w:rPr>
        <w:t>'</w:t>
      </w:r>
      <w:r>
        <w:rPr>
          <w:lang w:val="fr-CH"/>
        </w:rPr>
        <w:t>ordre du jour des réunions du RRB et traités par le Comité jusqu</w:t>
      </w:r>
      <w:r w:rsidR="0025212F">
        <w:rPr>
          <w:lang w:val="fr-CH"/>
        </w:rPr>
        <w:t>'</w:t>
      </w:r>
      <w:r>
        <w:rPr>
          <w:lang w:val="fr-CH"/>
        </w:rPr>
        <w:t>à la 63</w:t>
      </w:r>
      <w:r w:rsidR="003F0E30" w:rsidRPr="003F0E30">
        <w:rPr>
          <w:lang w:val="fr-CH"/>
        </w:rPr>
        <w:t>ème</w:t>
      </w:r>
      <w:r w:rsidR="007225D3">
        <w:t> </w:t>
      </w:r>
      <w:r>
        <w:rPr>
          <w:lang w:val="fr-CH"/>
        </w:rPr>
        <w:t>réunion du R</w:t>
      </w:r>
      <w:r w:rsidR="008325A2">
        <w:rPr>
          <w:lang w:val="fr-CH"/>
        </w:rPr>
        <w:t>RB (juin </w:t>
      </w:r>
      <w:r>
        <w:rPr>
          <w:lang w:val="fr-CH"/>
        </w:rPr>
        <w:t>2013).</w:t>
      </w:r>
    </w:p>
    <w:p w:rsidR="00847C22" w:rsidRPr="00621C99" w:rsidRDefault="00847C22" w:rsidP="002D5B0A">
      <w:pPr>
        <w:rPr>
          <w:lang w:val="fr-CH"/>
        </w:rPr>
      </w:pPr>
      <w:r>
        <w:rPr>
          <w:lang w:val="fr-CH"/>
        </w:rPr>
        <w:t>Le</w:t>
      </w:r>
      <w:r w:rsidRPr="00621C99">
        <w:rPr>
          <w:lang w:val="fr-CH"/>
        </w:rPr>
        <w:t xml:space="preserve"> Bureau</w:t>
      </w:r>
      <w:r>
        <w:rPr>
          <w:lang w:val="fr-CH"/>
        </w:rPr>
        <w:t xml:space="preserve"> précise qu</w:t>
      </w:r>
      <w:r w:rsidR="0025212F">
        <w:rPr>
          <w:lang w:val="fr-CH"/>
        </w:rPr>
        <w:t>'</w:t>
      </w:r>
      <w:r>
        <w:rPr>
          <w:lang w:val="fr-CH"/>
        </w:rPr>
        <w:t>il n</w:t>
      </w:r>
      <w:r w:rsidR="0025212F">
        <w:rPr>
          <w:lang w:val="fr-CH"/>
        </w:rPr>
        <w:t>'</w:t>
      </w:r>
      <w:r>
        <w:rPr>
          <w:lang w:val="fr-CH"/>
        </w:rPr>
        <w:t xml:space="preserve">a reçu aucune plainte </w:t>
      </w:r>
      <w:r w:rsidR="004661E8">
        <w:rPr>
          <w:lang w:val="fr-CH"/>
        </w:rPr>
        <w:t>de la part de l</w:t>
      </w:r>
      <w:r w:rsidR="0025212F">
        <w:rPr>
          <w:lang w:val="fr-CH"/>
        </w:rPr>
        <w:t>'</w:t>
      </w:r>
      <w:r w:rsidR="004661E8">
        <w:rPr>
          <w:lang w:val="fr-CH"/>
        </w:rPr>
        <w:t xml:space="preserve">Administration cubaine </w:t>
      </w:r>
      <w:r w:rsidR="008325A2">
        <w:rPr>
          <w:lang w:val="fr-CH"/>
        </w:rPr>
        <w:t>concernant des</w:t>
      </w:r>
      <w:r>
        <w:rPr>
          <w:lang w:val="fr-CH"/>
        </w:rPr>
        <w:t xml:space="preserve"> brouillages préjudiciables </w:t>
      </w:r>
      <w:r w:rsidR="008325A2">
        <w:rPr>
          <w:lang w:val="fr-CH"/>
        </w:rPr>
        <w:t>depuis mai </w:t>
      </w:r>
      <w:r>
        <w:rPr>
          <w:lang w:val="fr-CH"/>
        </w:rPr>
        <w:t>2013.</w:t>
      </w:r>
    </w:p>
    <w:p w:rsidR="00847C22" w:rsidRPr="00D97A36" w:rsidRDefault="00847C22" w:rsidP="002D5B0A">
      <w:pPr>
        <w:pStyle w:val="Heading4"/>
        <w:rPr>
          <w:lang w:val="fr-CH"/>
        </w:rPr>
      </w:pPr>
      <w:r>
        <w:rPr>
          <w:rFonts w:asciiTheme="majorBidi" w:hAnsiTheme="majorBidi" w:cstheme="majorBidi"/>
          <w:szCs w:val="24"/>
        </w:rPr>
        <w:t>7</w:t>
      </w:r>
      <w:r w:rsidRPr="00090142">
        <w:rPr>
          <w:rFonts w:asciiTheme="majorBidi" w:hAnsiTheme="majorBidi" w:cstheme="majorBidi"/>
          <w:szCs w:val="24"/>
        </w:rPr>
        <w:t>.4.2.2</w:t>
      </w:r>
      <w:r w:rsidRPr="00D97A36">
        <w:rPr>
          <w:lang w:val="fr-CH"/>
        </w:rPr>
        <w:tab/>
        <w:t>Brouillages préjudiciables causés par l</w:t>
      </w:r>
      <w:r w:rsidR="0025212F">
        <w:rPr>
          <w:lang w:val="fr-CH"/>
        </w:rPr>
        <w:t>'</w:t>
      </w:r>
      <w:r w:rsidRPr="00D97A36">
        <w:rPr>
          <w:lang w:val="fr-CH"/>
        </w:rPr>
        <w:t>Itali</w:t>
      </w:r>
      <w:r w:rsidR="002770B3">
        <w:rPr>
          <w:lang w:val="fr-CH"/>
        </w:rPr>
        <w:t xml:space="preserve">e au service de radiodiffusion </w:t>
      </w:r>
      <w:r w:rsidRPr="00D97A36">
        <w:rPr>
          <w:lang w:val="fr-CH"/>
        </w:rPr>
        <w:t>sonore et</w:t>
      </w:r>
      <w:r w:rsidR="002770B3">
        <w:rPr>
          <w:lang w:val="fr-CH"/>
        </w:rPr>
        <w:t xml:space="preserve"> télévisuelle</w:t>
      </w:r>
      <w:r>
        <w:rPr>
          <w:lang w:val="fr-CH"/>
        </w:rPr>
        <w:t xml:space="preserve"> des pays voisins</w:t>
      </w:r>
    </w:p>
    <w:p w:rsidR="00847C22" w:rsidRPr="006B6E5C" w:rsidRDefault="002770B3" w:rsidP="002D5B0A">
      <w:pPr>
        <w:rPr>
          <w:rFonts w:asciiTheme="majorBidi" w:hAnsiTheme="majorBidi" w:cstheme="majorBidi"/>
          <w:szCs w:val="24"/>
          <w:lang w:val="fr-CH"/>
        </w:rPr>
      </w:pPr>
      <w:r>
        <w:rPr>
          <w:rFonts w:asciiTheme="majorBidi" w:hAnsiTheme="majorBidi" w:cstheme="majorBidi"/>
          <w:szCs w:val="24"/>
          <w:lang w:val="fr-CH"/>
        </w:rPr>
        <w:t>Lors de</w:t>
      </w:r>
      <w:r w:rsidR="00847C22" w:rsidRPr="006B6E5C">
        <w:rPr>
          <w:rFonts w:asciiTheme="majorBidi" w:hAnsiTheme="majorBidi" w:cstheme="majorBidi"/>
          <w:szCs w:val="24"/>
          <w:lang w:val="fr-CH"/>
        </w:rPr>
        <w:t xml:space="preserve"> sa 13</w:t>
      </w:r>
      <w:r w:rsidR="008E2077">
        <w:rPr>
          <w:rFonts w:asciiTheme="majorBidi" w:hAnsiTheme="majorBidi" w:cstheme="majorBidi"/>
          <w:szCs w:val="24"/>
          <w:lang w:val="fr-CH"/>
        </w:rPr>
        <w:t>è</w:t>
      </w:r>
      <w:r w:rsidR="003F0E30" w:rsidRPr="003F0E30">
        <w:rPr>
          <w:rFonts w:asciiTheme="majorBidi" w:hAnsiTheme="majorBidi" w:cstheme="majorBidi"/>
          <w:szCs w:val="24"/>
          <w:lang w:val="fr-CH"/>
        </w:rPr>
        <w:t>me</w:t>
      </w:r>
      <w:r w:rsidR="000F4E34">
        <w:rPr>
          <w:rFonts w:asciiTheme="majorBidi" w:hAnsiTheme="majorBidi" w:cstheme="majorBidi"/>
          <w:szCs w:val="24"/>
          <w:lang w:val="fr-CH"/>
        </w:rPr>
        <w:t> </w:t>
      </w:r>
      <w:r w:rsidR="00847C22" w:rsidRPr="006B6E5C">
        <w:rPr>
          <w:rFonts w:asciiTheme="majorBidi" w:hAnsiTheme="majorBidi" w:cstheme="majorBidi"/>
          <w:szCs w:val="24"/>
          <w:lang w:val="fr-CH"/>
        </w:rPr>
        <w:t xml:space="preserve">séance plénière, la </w:t>
      </w:r>
      <w:r w:rsidR="00847C22">
        <w:rPr>
          <w:rFonts w:asciiTheme="majorBidi" w:hAnsiTheme="majorBidi" w:cstheme="majorBidi"/>
          <w:szCs w:val="24"/>
          <w:lang w:val="fr-CH"/>
        </w:rPr>
        <w:t>CMR-12</w:t>
      </w:r>
      <w:r w:rsidR="00847C22" w:rsidRPr="006B6E5C">
        <w:rPr>
          <w:rFonts w:asciiTheme="majorBidi" w:hAnsiTheme="majorBidi" w:cstheme="majorBidi"/>
          <w:szCs w:val="24"/>
          <w:lang w:val="fr-CH"/>
        </w:rPr>
        <w:t xml:space="preserve"> a décidé d</w:t>
      </w:r>
      <w:r w:rsidR="0025212F">
        <w:rPr>
          <w:rFonts w:asciiTheme="majorBidi" w:hAnsiTheme="majorBidi" w:cstheme="majorBidi"/>
          <w:szCs w:val="24"/>
          <w:lang w:val="fr-CH"/>
        </w:rPr>
        <w:t>'</w:t>
      </w:r>
      <w:r w:rsidR="00847C22" w:rsidRPr="006B6E5C">
        <w:rPr>
          <w:rFonts w:asciiTheme="majorBidi" w:hAnsiTheme="majorBidi" w:cstheme="majorBidi"/>
          <w:szCs w:val="24"/>
          <w:lang w:val="fr-CH"/>
        </w:rPr>
        <w:t xml:space="preserve">inviter le Directeur du BR </w:t>
      </w:r>
      <w:r w:rsidR="00847C22">
        <w:rPr>
          <w:rFonts w:asciiTheme="majorBidi" w:hAnsiTheme="majorBidi" w:cstheme="majorBidi"/>
          <w:szCs w:val="24"/>
          <w:lang w:val="fr-CH"/>
        </w:rPr>
        <w:t>à</w:t>
      </w:r>
      <w:r w:rsidR="00847C22" w:rsidRPr="006B6E5C">
        <w:rPr>
          <w:rFonts w:asciiTheme="majorBidi" w:hAnsiTheme="majorBidi" w:cstheme="majorBidi"/>
          <w:szCs w:val="24"/>
          <w:lang w:val="fr-CH"/>
        </w:rPr>
        <w:t xml:space="preserve"> continuer de suivre de près la situation des nombreux cas de brouillages préjudiciables de longue date causés par l</w:t>
      </w:r>
      <w:r w:rsidR="0025212F">
        <w:rPr>
          <w:rFonts w:asciiTheme="majorBidi" w:hAnsiTheme="majorBidi" w:cstheme="majorBidi"/>
          <w:szCs w:val="24"/>
          <w:lang w:val="fr-CH"/>
        </w:rPr>
        <w:t>'</w:t>
      </w:r>
      <w:r w:rsidR="00847C22" w:rsidRPr="006B6E5C">
        <w:rPr>
          <w:rFonts w:asciiTheme="majorBidi" w:hAnsiTheme="majorBidi" w:cstheme="majorBidi"/>
          <w:szCs w:val="24"/>
          <w:lang w:val="fr-CH"/>
        </w:rPr>
        <w:t>Italie aux services de radiodiffusion (sonore et télévisuelle) des pays voisins et de soumettre des</w:t>
      </w:r>
      <w:r w:rsidR="00847C22">
        <w:rPr>
          <w:rFonts w:asciiTheme="majorBidi" w:hAnsiTheme="majorBidi" w:cstheme="majorBidi"/>
          <w:szCs w:val="24"/>
          <w:lang w:val="fr-CH"/>
        </w:rPr>
        <w:t xml:space="preserve"> </w:t>
      </w:r>
      <w:r w:rsidR="00847C22">
        <w:rPr>
          <w:color w:val="000000"/>
        </w:rPr>
        <w:t>rapports sur l</w:t>
      </w:r>
      <w:r w:rsidR="0025212F">
        <w:rPr>
          <w:color w:val="000000"/>
        </w:rPr>
        <w:t>'</w:t>
      </w:r>
      <w:r w:rsidR="00847C22">
        <w:rPr>
          <w:color w:val="000000"/>
        </w:rPr>
        <w:t>évolution de la situation</w:t>
      </w:r>
      <w:r w:rsidR="00847C22" w:rsidRPr="009F0D3E">
        <w:rPr>
          <w:color w:val="000000"/>
        </w:rPr>
        <w:t xml:space="preserve"> </w:t>
      </w:r>
      <w:r w:rsidR="00847C22">
        <w:rPr>
          <w:color w:val="000000"/>
        </w:rPr>
        <w:t xml:space="preserve">au RRB </w:t>
      </w:r>
      <w:r w:rsidR="00847C22" w:rsidRPr="006B6E5C">
        <w:rPr>
          <w:rFonts w:asciiTheme="majorBidi" w:hAnsiTheme="majorBidi" w:cstheme="majorBidi"/>
          <w:szCs w:val="24"/>
          <w:lang w:val="fr-CH"/>
        </w:rPr>
        <w:t>ainsi qu</w:t>
      </w:r>
      <w:r w:rsidR="0025212F">
        <w:rPr>
          <w:rFonts w:asciiTheme="majorBidi" w:hAnsiTheme="majorBidi" w:cstheme="majorBidi"/>
          <w:szCs w:val="24"/>
          <w:lang w:val="fr-CH"/>
        </w:rPr>
        <w:t>'</w:t>
      </w:r>
      <w:r w:rsidR="00847C22" w:rsidRPr="006B6E5C">
        <w:rPr>
          <w:rFonts w:asciiTheme="majorBidi" w:hAnsiTheme="majorBidi" w:cstheme="majorBidi"/>
          <w:szCs w:val="24"/>
          <w:lang w:val="fr-CH"/>
        </w:rPr>
        <w:t xml:space="preserve">à la </w:t>
      </w:r>
      <w:r w:rsidR="00847C22">
        <w:rPr>
          <w:rFonts w:asciiTheme="majorBidi" w:hAnsiTheme="majorBidi" w:cstheme="majorBidi"/>
          <w:szCs w:val="24"/>
          <w:lang w:val="fr-CH"/>
        </w:rPr>
        <w:t>CMR-15</w:t>
      </w:r>
      <w:r w:rsidR="00847C22" w:rsidRPr="006B6E5C">
        <w:rPr>
          <w:rFonts w:asciiTheme="majorBidi" w:hAnsiTheme="majorBidi" w:cstheme="majorBidi"/>
          <w:szCs w:val="24"/>
          <w:lang w:val="fr-CH"/>
        </w:rPr>
        <w:t>.</w:t>
      </w:r>
    </w:p>
    <w:p w:rsidR="00847C22" w:rsidRPr="006B6E5C" w:rsidRDefault="000A2C67" w:rsidP="002D5B0A">
      <w:pPr>
        <w:rPr>
          <w:rFonts w:asciiTheme="majorBidi" w:hAnsiTheme="majorBidi" w:cstheme="majorBidi"/>
          <w:szCs w:val="24"/>
          <w:lang w:val="fr-CH"/>
        </w:rPr>
      </w:pPr>
      <w:r>
        <w:rPr>
          <w:rFonts w:asciiTheme="majorBidi" w:hAnsiTheme="majorBidi" w:cstheme="majorBidi"/>
          <w:szCs w:val="24"/>
          <w:lang w:val="fr-CH"/>
        </w:rPr>
        <w:t>A</w:t>
      </w:r>
      <w:r w:rsidR="00847C22" w:rsidRPr="006B6E5C">
        <w:rPr>
          <w:rFonts w:asciiTheme="majorBidi" w:hAnsiTheme="majorBidi" w:cstheme="majorBidi"/>
          <w:szCs w:val="24"/>
          <w:lang w:val="fr-CH"/>
        </w:rPr>
        <w:t xml:space="preserve"> la demande du RRB, le Directeur du Bureau et le Chef du Département des services de Terre</w:t>
      </w:r>
      <w:r w:rsidR="00847C22">
        <w:rPr>
          <w:rFonts w:asciiTheme="majorBidi" w:hAnsiTheme="majorBidi" w:cstheme="majorBidi"/>
          <w:szCs w:val="24"/>
          <w:lang w:val="fr-CH"/>
        </w:rPr>
        <w:t xml:space="preserve"> </w:t>
      </w:r>
      <w:r w:rsidR="00847C22" w:rsidRPr="006B6E5C">
        <w:rPr>
          <w:rFonts w:asciiTheme="majorBidi" w:hAnsiTheme="majorBidi" w:cstheme="majorBidi"/>
          <w:szCs w:val="24"/>
          <w:lang w:val="fr-CH"/>
        </w:rPr>
        <w:t>ont rencontré à deux reprises</w:t>
      </w:r>
      <w:r w:rsidR="00847C22" w:rsidRPr="00E80939">
        <w:rPr>
          <w:color w:val="000000"/>
        </w:rPr>
        <w:t xml:space="preserve"> </w:t>
      </w:r>
      <w:r w:rsidR="00847C22">
        <w:rPr>
          <w:color w:val="000000"/>
        </w:rPr>
        <w:t>les autorités italiennes et les opérateurs de radiodiffusion de l</w:t>
      </w:r>
      <w:r w:rsidR="0025212F">
        <w:rPr>
          <w:color w:val="000000"/>
        </w:rPr>
        <w:t>'</w:t>
      </w:r>
      <w:r w:rsidR="00847C22">
        <w:rPr>
          <w:color w:val="000000"/>
        </w:rPr>
        <w:t>Italie</w:t>
      </w:r>
      <w:r w:rsidR="00F243CE">
        <w:rPr>
          <w:rFonts w:asciiTheme="majorBidi" w:hAnsiTheme="majorBidi" w:cstheme="majorBidi"/>
          <w:szCs w:val="24"/>
          <w:lang w:val="fr-CH"/>
        </w:rPr>
        <w:t xml:space="preserve"> en </w:t>
      </w:r>
      <w:r w:rsidR="00847C22" w:rsidRPr="006B6E5C">
        <w:rPr>
          <w:rFonts w:asciiTheme="majorBidi" w:hAnsiTheme="majorBidi" w:cstheme="majorBidi"/>
          <w:szCs w:val="24"/>
          <w:lang w:val="fr-CH"/>
        </w:rPr>
        <w:t>2014, afin d</w:t>
      </w:r>
      <w:r w:rsidR="0025212F">
        <w:rPr>
          <w:rFonts w:asciiTheme="majorBidi" w:hAnsiTheme="majorBidi" w:cstheme="majorBidi"/>
          <w:szCs w:val="24"/>
          <w:lang w:val="fr-CH"/>
        </w:rPr>
        <w:t>'</w:t>
      </w:r>
      <w:r w:rsidR="00847C22" w:rsidRPr="006B6E5C">
        <w:rPr>
          <w:rFonts w:asciiTheme="majorBidi" w:hAnsiTheme="majorBidi" w:cstheme="majorBidi"/>
          <w:szCs w:val="24"/>
          <w:lang w:val="fr-CH"/>
        </w:rPr>
        <w:t>évaluer la situation et d</w:t>
      </w:r>
      <w:r w:rsidR="0025212F">
        <w:rPr>
          <w:rFonts w:asciiTheme="majorBidi" w:hAnsiTheme="majorBidi" w:cstheme="majorBidi"/>
          <w:szCs w:val="24"/>
          <w:lang w:val="fr-CH"/>
        </w:rPr>
        <w:t>'</w:t>
      </w:r>
      <w:r w:rsidR="00847C22" w:rsidRPr="006B6E5C">
        <w:rPr>
          <w:rFonts w:asciiTheme="majorBidi" w:hAnsiTheme="majorBidi" w:cstheme="majorBidi"/>
          <w:szCs w:val="24"/>
          <w:lang w:val="fr-CH"/>
        </w:rPr>
        <w:t xml:space="preserve">étudier les </w:t>
      </w:r>
      <w:r w:rsidR="00BE304F">
        <w:rPr>
          <w:rFonts w:asciiTheme="majorBidi" w:hAnsiTheme="majorBidi" w:cstheme="majorBidi"/>
          <w:szCs w:val="24"/>
          <w:lang w:val="fr-CH"/>
        </w:rPr>
        <w:t>solutions envisageables</w:t>
      </w:r>
      <w:r w:rsidR="0025212F">
        <w:rPr>
          <w:rFonts w:asciiTheme="majorBidi" w:hAnsiTheme="majorBidi" w:cstheme="majorBidi"/>
          <w:szCs w:val="24"/>
          <w:lang w:val="fr-CH"/>
        </w:rPr>
        <w:t>.</w:t>
      </w:r>
    </w:p>
    <w:p w:rsidR="00847C22" w:rsidRDefault="00847C22" w:rsidP="002D5B0A">
      <w:r>
        <w:t>L</w:t>
      </w:r>
      <w:r w:rsidR="0025212F">
        <w:t>'</w:t>
      </w:r>
      <w:r>
        <w:t>Administration italienne s</w:t>
      </w:r>
      <w:r w:rsidR="0025212F">
        <w:t>'</w:t>
      </w:r>
      <w:r>
        <w:t>est engagée à résoudre les problèmes de brouillage, tant du point de vue juridique et réglementaire que du point de vue technique et opérationnel.</w:t>
      </w:r>
    </w:p>
    <w:p w:rsidR="00847C22" w:rsidRPr="006B6E5C" w:rsidRDefault="00847C22" w:rsidP="002D5B0A">
      <w:pPr>
        <w:rPr>
          <w:rFonts w:asciiTheme="majorBidi" w:hAnsiTheme="majorBidi" w:cstheme="majorBidi"/>
          <w:szCs w:val="24"/>
          <w:lang w:val="fr-CH"/>
        </w:rPr>
      </w:pPr>
      <w:r w:rsidRPr="006B6E5C">
        <w:rPr>
          <w:rFonts w:asciiTheme="majorBidi" w:hAnsiTheme="majorBidi" w:cstheme="majorBidi"/>
          <w:szCs w:val="24"/>
          <w:lang w:val="fr-CH"/>
        </w:rPr>
        <w:t>Une loi a été adoptée en vue de</w:t>
      </w:r>
      <w:r>
        <w:rPr>
          <w:rFonts w:asciiTheme="majorBidi" w:hAnsiTheme="majorBidi" w:cstheme="majorBidi"/>
          <w:szCs w:val="24"/>
          <w:lang w:val="fr-CH"/>
        </w:rPr>
        <w:t xml:space="preserve"> </w:t>
      </w:r>
      <w:r>
        <w:rPr>
          <w:color w:val="000000"/>
        </w:rPr>
        <w:t>mettre fin à l</w:t>
      </w:r>
      <w:r w:rsidR="0025212F">
        <w:rPr>
          <w:color w:val="000000"/>
        </w:rPr>
        <w:t>'</w:t>
      </w:r>
      <w:r>
        <w:rPr>
          <w:color w:val="000000"/>
        </w:rPr>
        <w:t>utilisation, par les réseaux de télévision, des fréquences</w:t>
      </w:r>
      <w:r w:rsidRPr="00E80939">
        <w:rPr>
          <w:color w:val="000000"/>
        </w:rPr>
        <w:t xml:space="preserve"> </w:t>
      </w:r>
      <w:r>
        <w:rPr>
          <w:color w:val="000000"/>
        </w:rPr>
        <w:t>particulières sur lesquelles sont observés les cas de brouillages préjudiciables les plus critiques pour la radiodiffusion télévisuelle dans les pays voisins, et un nouveau plan de fréquences a été élaboré par l</w:t>
      </w:r>
      <w:r w:rsidR="0025212F">
        <w:rPr>
          <w:color w:val="000000"/>
        </w:rPr>
        <w:t>'</w:t>
      </w:r>
      <w:r>
        <w:rPr>
          <w:color w:val="000000"/>
        </w:rPr>
        <w:t>Italie afin de trouver des canaux appropriés</w:t>
      </w:r>
      <w:r>
        <w:rPr>
          <w:rFonts w:asciiTheme="majorBidi" w:hAnsiTheme="majorBidi" w:cstheme="majorBidi"/>
          <w:szCs w:val="24"/>
          <w:lang w:val="fr-CH"/>
        </w:rPr>
        <w:t>.</w:t>
      </w:r>
    </w:p>
    <w:p w:rsidR="00847C22" w:rsidRPr="006B6E5C" w:rsidRDefault="00847C22" w:rsidP="002D5B0A">
      <w:pPr>
        <w:rPr>
          <w:rFonts w:asciiTheme="majorBidi" w:hAnsiTheme="majorBidi" w:cstheme="majorBidi"/>
          <w:szCs w:val="24"/>
          <w:lang w:val="fr-CH"/>
        </w:rPr>
      </w:pPr>
      <w:r w:rsidRPr="006B6E5C">
        <w:rPr>
          <w:rFonts w:asciiTheme="majorBidi" w:hAnsiTheme="majorBidi" w:cstheme="majorBidi"/>
          <w:szCs w:val="24"/>
          <w:lang w:val="fr-CH"/>
        </w:rPr>
        <w:t>En vertu d</w:t>
      </w:r>
      <w:r w:rsidR="0025212F">
        <w:rPr>
          <w:rFonts w:asciiTheme="majorBidi" w:hAnsiTheme="majorBidi" w:cstheme="majorBidi"/>
          <w:szCs w:val="24"/>
          <w:lang w:val="fr-CH"/>
        </w:rPr>
        <w:t>'</w:t>
      </w:r>
      <w:r w:rsidR="0030196D">
        <w:rPr>
          <w:rFonts w:asciiTheme="majorBidi" w:hAnsiTheme="majorBidi" w:cstheme="majorBidi"/>
          <w:szCs w:val="24"/>
          <w:lang w:val="fr-CH"/>
        </w:rPr>
        <w:t>un d</w:t>
      </w:r>
      <w:r w:rsidRPr="006B6E5C">
        <w:rPr>
          <w:rFonts w:asciiTheme="majorBidi" w:hAnsiTheme="majorBidi" w:cstheme="majorBidi"/>
          <w:szCs w:val="24"/>
          <w:lang w:val="fr-CH"/>
        </w:rPr>
        <w:t>écret a</w:t>
      </w:r>
      <w:r w:rsidR="00F243CE">
        <w:rPr>
          <w:rFonts w:asciiTheme="majorBidi" w:hAnsiTheme="majorBidi" w:cstheme="majorBidi"/>
          <w:szCs w:val="24"/>
          <w:lang w:val="fr-CH"/>
        </w:rPr>
        <w:t>ssocié à cette loi, publié le 6 juin </w:t>
      </w:r>
      <w:r w:rsidRPr="006B6E5C">
        <w:rPr>
          <w:rFonts w:asciiTheme="majorBidi" w:hAnsiTheme="majorBidi" w:cstheme="majorBidi"/>
          <w:szCs w:val="24"/>
          <w:lang w:val="fr-CH"/>
        </w:rPr>
        <w:t>2015, des enchères inversées ont été organisées et</w:t>
      </w:r>
      <w:r>
        <w:rPr>
          <w:rFonts w:asciiTheme="majorBidi" w:hAnsiTheme="majorBidi" w:cstheme="majorBidi"/>
          <w:szCs w:val="24"/>
          <w:lang w:val="fr-CH"/>
        </w:rPr>
        <w:t xml:space="preserve"> </w:t>
      </w:r>
      <w:r>
        <w:t>les radiodiffuseurs concernés de l</w:t>
      </w:r>
      <w:r w:rsidR="0025212F">
        <w:t>'</w:t>
      </w:r>
      <w:r>
        <w:t>Italie ont pu demander une indemnisation et/ou ont fait cesser les émissions des stations de radiodiffusion télévisuelle concernées à l</w:t>
      </w:r>
      <w:r w:rsidR="0025212F">
        <w:t>'</w:t>
      </w:r>
      <w:r>
        <w:t>origine des brouillages préjudiciables.</w:t>
      </w:r>
    </w:p>
    <w:p w:rsidR="00847C22" w:rsidRPr="000A2C67" w:rsidRDefault="00847C22" w:rsidP="00CE6AAE">
      <w:pPr>
        <w:rPr>
          <w:rFonts w:asciiTheme="majorBidi" w:hAnsiTheme="majorBidi" w:cstheme="majorBidi"/>
          <w:spacing w:val="-3"/>
          <w:szCs w:val="24"/>
          <w:lang w:val="fr-CH"/>
        </w:rPr>
      </w:pPr>
      <w:r w:rsidRPr="000A2C67">
        <w:rPr>
          <w:rFonts w:asciiTheme="majorBidi" w:hAnsiTheme="majorBidi" w:cstheme="majorBidi"/>
          <w:spacing w:val="-3"/>
          <w:szCs w:val="24"/>
          <w:lang w:val="fr-CH"/>
        </w:rPr>
        <w:t xml:space="preserve">La situation </w:t>
      </w:r>
      <w:r w:rsidR="000F4E34" w:rsidRPr="000A2C67">
        <w:rPr>
          <w:rFonts w:asciiTheme="majorBidi" w:hAnsiTheme="majorBidi" w:cstheme="majorBidi"/>
          <w:spacing w:val="-3"/>
          <w:szCs w:val="24"/>
          <w:lang w:val="fr-CH"/>
        </w:rPr>
        <w:t xml:space="preserve">en matière de </w:t>
      </w:r>
      <w:r w:rsidRPr="000A2C67">
        <w:rPr>
          <w:rFonts w:asciiTheme="majorBidi" w:hAnsiTheme="majorBidi" w:cstheme="majorBidi"/>
          <w:spacing w:val="-3"/>
          <w:szCs w:val="24"/>
          <w:lang w:val="fr-CH"/>
        </w:rPr>
        <w:t>brouillages devrait progressivement s</w:t>
      </w:r>
      <w:r w:rsidR="0025212F">
        <w:rPr>
          <w:rFonts w:asciiTheme="majorBidi" w:hAnsiTheme="majorBidi" w:cstheme="majorBidi"/>
          <w:spacing w:val="-3"/>
          <w:szCs w:val="24"/>
          <w:lang w:val="fr-CH"/>
        </w:rPr>
        <w:t>'</w:t>
      </w:r>
      <w:r w:rsidRPr="000A2C67">
        <w:rPr>
          <w:rFonts w:asciiTheme="majorBidi" w:hAnsiTheme="majorBidi" w:cstheme="majorBidi"/>
          <w:spacing w:val="-3"/>
          <w:szCs w:val="24"/>
          <w:lang w:val="fr-CH"/>
        </w:rPr>
        <w:t xml:space="preserve">améliorer après la fin de </w:t>
      </w:r>
      <w:r w:rsidR="000F4E34" w:rsidRPr="000A2C67">
        <w:rPr>
          <w:rFonts w:asciiTheme="majorBidi" w:hAnsiTheme="majorBidi" w:cstheme="majorBidi"/>
          <w:spacing w:val="-3"/>
          <w:szCs w:val="24"/>
          <w:lang w:val="fr-CH"/>
        </w:rPr>
        <w:t>l</w:t>
      </w:r>
      <w:r w:rsidR="0025212F">
        <w:rPr>
          <w:rFonts w:asciiTheme="majorBidi" w:hAnsiTheme="majorBidi" w:cstheme="majorBidi"/>
          <w:spacing w:val="-3"/>
          <w:szCs w:val="24"/>
          <w:lang w:val="fr-CH"/>
        </w:rPr>
        <w:t>'</w:t>
      </w:r>
      <w:r w:rsidR="000F4E34" w:rsidRPr="000A2C67">
        <w:rPr>
          <w:rFonts w:asciiTheme="majorBidi" w:hAnsiTheme="majorBidi" w:cstheme="majorBidi"/>
          <w:spacing w:val="-3"/>
          <w:szCs w:val="24"/>
          <w:lang w:val="fr-CH"/>
        </w:rPr>
        <w:t>année </w:t>
      </w:r>
      <w:r w:rsidRPr="000A2C67">
        <w:rPr>
          <w:rFonts w:asciiTheme="majorBidi" w:hAnsiTheme="majorBidi" w:cstheme="majorBidi"/>
          <w:spacing w:val="-3"/>
          <w:szCs w:val="24"/>
          <w:lang w:val="fr-CH"/>
        </w:rPr>
        <w:t xml:space="preserve">2015, </w:t>
      </w:r>
      <w:r w:rsidR="001061DE" w:rsidRPr="000A2C67">
        <w:rPr>
          <w:rFonts w:asciiTheme="majorBidi" w:hAnsiTheme="majorBidi" w:cstheme="majorBidi"/>
          <w:spacing w:val="-3"/>
          <w:szCs w:val="24"/>
          <w:lang w:val="fr-CH"/>
        </w:rPr>
        <w:t>une fois terminé</w:t>
      </w:r>
      <w:r w:rsidRPr="000A2C67">
        <w:rPr>
          <w:rFonts w:asciiTheme="majorBidi" w:hAnsiTheme="majorBidi" w:cstheme="majorBidi"/>
          <w:spacing w:val="-3"/>
          <w:szCs w:val="24"/>
          <w:lang w:val="fr-CH"/>
        </w:rPr>
        <w:t xml:space="preserve"> le </w:t>
      </w:r>
      <w:r w:rsidRPr="000A2C67">
        <w:rPr>
          <w:color w:val="000000"/>
          <w:spacing w:val="-3"/>
        </w:rPr>
        <w:t>processus</w:t>
      </w:r>
      <w:r w:rsidRPr="000A2C67">
        <w:rPr>
          <w:rFonts w:asciiTheme="majorBidi" w:hAnsiTheme="majorBidi" w:cstheme="majorBidi"/>
          <w:spacing w:val="-3"/>
          <w:szCs w:val="24"/>
          <w:lang w:val="fr-CH"/>
        </w:rPr>
        <w:t xml:space="preserve"> d</w:t>
      </w:r>
      <w:r w:rsidR="0025212F">
        <w:rPr>
          <w:rFonts w:asciiTheme="majorBidi" w:hAnsiTheme="majorBidi" w:cstheme="majorBidi"/>
          <w:spacing w:val="-3"/>
          <w:szCs w:val="24"/>
          <w:lang w:val="fr-CH"/>
        </w:rPr>
        <w:t>'</w:t>
      </w:r>
      <w:r w:rsidR="001061DE" w:rsidRPr="000A2C67">
        <w:rPr>
          <w:rFonts w:asciiTheme="majorBidi" w:hAnsiTheme="majorBidi" w:cstheme="majorBidi"/>
          <w:spacing w:val="-3"/>
          <w:szCs w:val="24"/>
          <w:lang w:val="fr-CH"/>
        </w:rPr>
        <w:t xml:space="preserve">enchères inversées, pour lequel </w:t>
      </w:r>
      <w:r w:rsidRPr="000A2C67">
        <w:rPr>
          <w:rFonts w:asciiTheme="majorBidi" w:hAnsiTheme="majorBidi" w:cstheme="majorBidi"/>
          <w:spacing w:val="-3"/>
          <w:szCs w:val="24"/>
          <w:lang w:val="fr-CH"/>
        </w:rPr>
        <w:t>un budget de 50,</w:t>
      </w:r>
      <w:r w:rsidR="00F243CE" w:rsidRPr="000A2C67">
        <w:rPr>
          <w:rFonts w:asciiTheme="majorBidi" w:hAnsiTheme="majorBidi" w:cstheme="majorBidi"/>
          <w:spacing w:val="-3"/>
          <w:szCs w:val="24"/>
          <w:lang w:val="fr-CH"/>
        </w:rPr>
        <w:t>8 </w:t>
      </w:r>
      <w:r w:rsidR="00CE6AAE">
        <w:rPr>
          <w:rFonts w:asciiTheme="majorBidi" w:hAnsiTheme="majorBidi" w:cstheme="majorBidi"/>
          <w:spacing w:val="-3"/>
          <w:szCs w:val="24"/>
          <w:lang w:val="fr-CH"/>
        </w:rPr>
        <w:t>millions d</w:t>
      </w:r>
      <w:r w:rsidR="0025212F">
        <w:rPr>
          <w:rFonts w:asciiTheme="majorBidi" w:hAnsiTheme="majorBidi" w:cstheme="majorBidi"/>
          <w:spacing w:val="-3"/>
          <w:szCs w:val="24"/>
          <w:lang w:val="fr-CH"/>
        </w:rPr>
        <w:t>'</w:t>
      </w:r>
      <w:r w:rsidR="00CE6AAE">
        <w:rPr>
          <w:rFonts w:asciiTheme="majorBidi" w:hAnsiTheme="majorBidi" w:cstheme="majorBidi"/>
          <w:spacing w:val="-3"/>
          <w:szCs w:val="24"/>
          <w:lang w:val="fr-CH"/>
        </w:rPr>
        <w:t>euros</w:t>
      </w:r>
      <w:r w:rsidR="008E2077">
        <w:rPr>
          <w:rFonts w:asciiTheme="majorBidi" w:hAnsiTheme="majorBidi" w:cstheme="majorBidi"/>
          <w:spacing w:val="-3"/>
          <w:szCs w:val="24"/>
          <w:lang w:val="fr-CH"/>
        </w:rPr>
        <w:t xml:space="preserve"> a été adopté pour </w:t>
      </w:r>
      <w:r w:rsidRPr="000A2C67">
        <w:rPr>
          <w:rFonts w:asciiTheme="majorBidi" w:hAnsiTheme="majorBidi" w:cstheme="majorBidi"/>
          <w:spacing w:val="-3"/>
          <w:szCs w:val="24"/>
          <w:lang w:val="fr-CH"/>
        </w:rPr>
        <w:t>2015</w:t>
      </w:r>
      <w:r w:rsidR="001061DE" w:rsidRPr="000A2C67">
        <w:rPr>
          <w:rFonts w:asciiTheme="majorBidi" w:hAnsiTheme="majorBidi" w:cstheme="majorBidi"/>
          <w:spacing w:val="-3"/>
          <w:szCs w:val="24"/>
          <w:lang w:val="fr-CH"/>
        </w:rPr>
        <w:t>, conformément à la loi</w:t>
      </w:r>
      <w:r w:rsidRPr="000A2C67">
        <w:rPr>
          <w:rFonts w:asciiTheme="majorBidi" w:hAnsiTheme="majorBidi" w:cstheme="majorBidi"/>
          <w:spacing w:val="-3"/>
          <w:szCs w:val="24"/>
          <w:lang w:val="fr-CH"/>
        </w:rPr>
        <w:t>.</w:t>
      </w:r>
    </w:p>
    <w:p w:rsidR="00847C22" w:rsidRPr="006B6E5C" w:rsidRDefault="00847C22" w:rsidP="002D5B0A">
      <w:pPr>
        <w:rPr>
          <w:rFonts w:asciiTheme="majorBidi" w:hAnsiTheme="majorBidi" w:cstheme="majorBidi"/>
          <w:szCs w:val="24"/>
          <w:lang w:val="fr-CH"/>
        </w:rPr>
      </w:pPr>
      <w:r w:rsidRPr="006B6E5C">
        <w:rPr>
          <w:rFonts w:asciiTheme="majorBidi" w:hAnsiTheme="majorBidi" w:cstheme="majorBidi"/>
          <w:szCs w:val="24"/>
          <w:lang w:val="fr-CH"/>
        </w:rPr>
        <w:t>L</w:t>
      </w:r>
      <w:r w:rsidR="0025212F">
        <w:rPr>
          <w:rFonts w:asciiTheme="majorBidi" w:hAnsiTheme="majorBidi" w:cstheme="majorBidi"/>
          <w:szCs w:val="24"/>
          <w:lang w:val="fr-CH"/>
        </w:rPr>
        <w:t>'</w:t>
      </w:r>
      <w:r w:rsidRPr="006B6E5C">
        <w:rPr>
          <w:rFonts w:asciiTheme="majorBidi" w:hAnsiTheme="majorBidi" w:cstheme="majorBidi"/>
          <w:szCs w:val="24"/>
          <w:lang w:val="fr-CH"/>
        </w:rPr>
        <w:t>Italie n</w:t>
      </w:r>
      <w:r w:rsidR="0025212F">
        <w:rPr>
          <w:rFonts w:asciiTheme="majorBidi" w:hAnsiTheme="majorBidi" w:cstheme="majorBidi"/>
          <w:szCs w:val="24"/>
          <w:lang w:val="fr-CH"/>
        </w:rPr>
        <w:t>'</w:t>
      </w:r>
      <w:r w:rsidRPr="006B6E5C">
        <w:rPr>
          <w:rFonts w:asciiTheme="majorBidi" w:hAnsiTheme="majorBidi" w:cstheme="majorBidi"/>
          <w:szCs w:val="24"/>
          <w:lang w:val="fr-CH"/>
        </w:rPr>
        <w:t>a signalé aucune mesure concrète concernant le règlement</w:t>
      </w:r>
      <w:r>
        <w:rPr>
          <w:rFonts w:asciiTheme="majorBidi" w:hAnsiTheme="majorBidi" w:cstheme="majorBidi"/>
          <w:szCs w:val="24"/>
          <w:lang w:val="fr-CH"/>
        </w:rPr>
        <w:t xml:space="preserve"> </w:t>
      </w:r>
      <w:r w:rsidRPr="006B6E5C">
        <w:rPr>
          <w:rFonts w:asciiTheme="majorBidi" w:hAnsiTheme="majorBidi" w:cstheme="majorBidi"/>
          <w:szCs w:val="24"/>
          <w:lang w:val="fr-CH"/>
        </w:rPr>
        <w:t>des cas de brouillages préjudiciables causés aux services de radiodiffusion sonore.</w:t>
      </w:r>
      <w:r>
        <w:rPr>
          <w:rFonts w:asciiTheme="majorBidi" w:hAnsiTheme="majorBidi" w:cstheme="majorBidi"/>
          <w:szCs w:val="24"/>
          <w:lang w:val="fr-CH"/>
        </w:rPr>
        <w:t xml:space="preserve"> </w:t>
      </w:r>
      <w:r w:rsidRPr="006B6E5C">
        <w:rPr>
          <w:rFonts w:asciiTheme="majorBidi" w:hAnsiTheme="majorBidi" w:cstheme="majorBidi"/>
          <w:szCs w:val="24"/>
          <w:lang w:val="fr-CH"/>
        </w:rPr>
        <w:t xml:space="preserve">Le règlement définitif de cette question </w:t>
      </w:r>
      <w:r>
        <w:rPr>
          <w:color w:val="000000"/>
        </w:rPr>
        <w:t xml:space="preserve">prendra encore un certain temps. </w:t>
      </w:r>
    </w:p>
    <w:p w:rsidR="00847C22" w:rsidRPr="006B6E5C" w:rsidRDefault="00847C22" w:rsidP="002D5B0A">
      <w:pPr>
        <w:rPr>
          <w:rFonts w:asciiTheme="majorBidi" w:hAnsiTheme="majorBidi" w:cstheme="majorBidi"/>
          <w:szCs w:val="24"/>
          <w:lang w:val="fr-CH"/>
        </w:rPr>
      </w:pPr>
      <w:r>
        <w:rPr>
          <w:color w:val="000000"/>
        </w:rPr>
        <w:t>Le Bureau publie sur le site web de l</w:t>
      </w:r>
      <w:r w:rsidR="0025212F">
        <w:rPr>
          <w:color w:val="000000"/>
        </w:rPr>
        <w:t>'</w:t>
      </w:r>
      <w:r>
        <w:rPr>
          <w:color w:val="000000"/>
        </w:rPr>
        <w:t>UIT, à l</w:t>
      </w:r>
      <w:r w:rsidR="0025212F">
        <w:rPr>
          <w:color w:val="000000"/>
        </w:rPr>
        <w:t>'</w:t>
      </w:r>
      <w:r>
        <w:rPr>
          <w:color w:val="000000"/>
        </w:rPr>
        <w:t xml:space="preserve">adresse: </w:t>
      </w:r>
      <w:hyperlink r:id="rId13" w:history="1">
        <w:r w:rsidRPr="004011B9">
          <w:rPr>
            <w:rStyle w:val="Hyperlink"/>
            <w:rFonts w:asciiTheme="majorBidi" w:hAnsiTheme="majorBidi" w:cstheme="majorBidi"/>
            <w:szCs w:val="24"/>
            <w:lang w:val="fr-CH"/>
          </w:rPr>
          <w:t>http://www.itu.int/md/R11-MMHI-SP/en</w:t>
        </w:r>
      </w:hyperlink>
      <w:r>
        <w:rPr>
          <w:color w:val="000000"/>
        </w:rPr>
        <w:t>, tous les rapports connexes sur le contrôle des émissions et les rapports de brouillage qu</w:t>
      </w:r>
      <w:r w:rsidR="0025212F">
        <w:rPr>
          <w:color w:val="000000"/>
        </w:rPr>
        <w:t>'</w:t>
      </w:r>
      <w:r>
        <w:rPr>
          <w:color w:val="000000"/>
        </w:rPr>
        <w:t>il reçoit périodiquement.</w:t>
      </w:r>
    </w:p>
    <w:p w:rsidR="00847C22" w:rsidRDefault="00847C22" w:rsidP="002D5B0A">
      <w:pPr>
        <w:pStyle w:val="Heading4"/>
        <w:rPr>
          <w:bCs/>
        </w:rPr>
      </w:pPr>
      <w:r>
        <w:t>7</w:t>
      </w:r>
      <w:r w:rsidRPr="00090142">
        <w:t>.4.2.</w:t>
      </w:r>
      <w:r>
        <w:t>3</w:t>
      </w:r>
      <w:r w:rsidRPr="00090142">
        <w:tab/>
      </w:r>
      <w:r>
        <w:t xml:space="preserve">Brouillages préjudiciables entre le service mobile par satellite et le service de radioastronomie dans la bande </w:t>
      </w:r>
      <w:r w:rsidRPr="00DC3713">
        <w:rPr>
          <w:bCs/>
        </w:rPr>
        <w:t>1</w:t>
      </w:r>
      <w:r w:rsidR="001F07C0">
        <w:rPr>
          <w:bCs/>
        </w:rPr>
        <w:t> </w:t>
      </w:r>
      <w:r w:rsidRPr="00DC3713">
        <w:rPr>
          <w:bCs/>
        </w:rPr>
        <w:t>610</w:t>
      </w:r>
      <w:r>
        <w:rPr>
          <w:bCs/>
        </w:rPr>
        <w:t>,</w:t>
      </w:r>
      <w:r w:rsidRPr="00DC3713">
        <w:rPr>
          <w:bCs/>
        </w:rPr>
        <w:t>6-1</w:t>
      </w:r>
      <w:r w:rsidR="001F07C0">
        <w:rPr>
          <w:bCs/>
        </w:rPr>
        <w:t> </w:t>
      </w:r>
      <w:r w:rsidRPr="00DC3713">
        <w:rPr>
          <w:bCs/>
        </w:rPr>
        <w:t>613</w:t>
      </w:r>
      <w:r>
        <w:rPr>
          <w:bCs/>
        </w:rPr>
        <w:t>,</w:t>
      </w:r>
      <w:r w:rsidR="001F07C0">
        <w:rPr>
          <w:bCs/>
        </w:rPr>
        <w:t>8 </w:t>
      </w:r>
      <w:r w:rsidRPr="00DC3713">
        <w:rPr>
          <w:bCs/>
        </w:rPr>
        <w:t>MHz</w:t>
      </w:r>
    </w:p>
    <w:p w:rsidR="00847C22" w:rsidRPr="000A2C67" w:rsidRDefault="00847C22" w:rsidP="002D5B0A">
      <w:pPr>
        <w:rPr>
          <w:spacing w:val="-4"/>
          <w:lang w:val="fr-CH" w:eastAsia="zh-CN"/>
        </w:rPr>
      </w:pPr>
      <w:r w:rsidRPr="000A2C67">
        <w:rPr>
          <w:spacing w:val="-4"/>
          <w:lang w:val="fr-CH" w:eastAsia="zh-CN"/>
        </w:rPr>
        <w:t>Le Bureau a été informé que des brouillages préjudiciables étaient causés à des stations de radioastronomie fonctionnant à titre primaire dans la bande 1 610,6-1 613,</w:t>
      </w:r>
      <w:r w:rsidR="00F243CE" w:rsidRPr="000A2C67">
        <w:rPr>
          <w:spacing w:val="-4"/>
          <w:lang w:val="fr-CH" w:eastAsia="zh-CN"/>
        </w:rPr>
        <w:t>8 </w:t>
      </w:r>
      <w:r w:rsidRPr="000A2C67">
        <w:rPr>
          <w:spacing w:val="-4"/>
          <w:lang w:val="fr-CH" w:eastAsia="zh-CN"/>
        </w:rPr>
        <w:t>MHz</w:t>
      </w:r>
      <w:r w:rsidRPr="000A2C67">
        <w:rPr>
          <w:color w:val="000000"/>
          <w:spacing w:val="-4"/>
        </w:rPr>
        <w:t xml:space="preserve"> par des rayonnements non</w:t>
      </w:r>
      <w:r w:rsidRPr="000A2C67">
        <w:rPr>
          <w:spacing w:val="-4"/>
          <w:lang w:val="fr-CH" w:eastAsia="zh-CN"/>
        </w:rPr>
        <w:t xml:space="preserve"> </w:t>
      </w:r>
      <w:r w:rsidRPr="000A2C67">
        <w:rPr>
          <w:color w:val="000000"/>
          <w:spacing w:val="-4"/>
        </w:rPr>
        <w:t xml:space="preserve">désirés </w:t>
      </w:r>
      <w:r w:rsidRPr="000A2C67">
        <w:rPr>
          <w:spacing w:val="-4"/>
          <w:lang w:val="fr-CH" w:eastAsia="zh-CN"/>
        </w:rPr>
        <w:t>provenant d</w:t>
      </w:r>
      <w:r w:rsidR="0025212F">
        <w:rPr>
          <w:spacing w:val="-4"/>
          <w:lang w:val="fr-CH" w:eastAsia="zh-CN"/>
        </w:rPr>
        <w:t>'</w:t>
      </w:r>
      <w:r w:rsidRPr="000A2C67">
        <w:rPr>
          <w:spacing w:val="-4"/>
          <w:lang w:val="fr-CH" w:eastAsia="zh-CN"/>
        </w:rPr>
        <w:t>un réseau à satellite non OSG du service mobile par satellite fonctionnant dans la bande 1 618,25-1 626,</w:t>
      </w:r>
      <w:r w:rsidR="00F243CE" w:rsidRPr="000A2C67">
        <w:rPr>
          <w:spacing w:val="-4"/>
          <w:lang w:val="fr-CH" w:eastAsia="zh-CN"/>
        </w:rPr>
        <w:t>5 </w:t>
      </w:r>
      <w:r w:rsidRPr="000A2C67">
        <w:rPr>
          <w:spacing w:val="-4"/>
          <w:lang w:val="fr-CH" w:eastAsia="zh-CN"/>
        </w:rPr>
        <w:t>MHz (espace vers Terre) à titre secondaire. Toutefois, le Bureau n</w:t>
      </w:r>
      <w:r w:rsidR="0025212F">
        <w:rPr>
          <w:spacing w:val="-4"/>
          <w:lang w:val="fr-CH" w:eastAsia="zh-CN"/>
        </w:rPr>
        <w:t>'</w:t>
      </w:r>
      <w:r w:rsidRPr="000A2C67">
        <w:rPr>
          <w:spacing w:val="-4"/>
          <w:lang w:val="fr-CH" w:eastAsia="zh-CN"/>
        </w:rPr>
        <w:t>a reçu à ce jour aucune demande d</w:t>
      </w:r>
      <w:r w:rsidR="0025212F">
        <w:rPr>
          <w:spacing w:val="-4"/>
          <w:lang w:val="fr-CH" w:eastAsia="zh-CN"/>
        </w:rPr>
        <w:t>'</w:t>
      </w:r>
      <w:r w:rsidRPr="000A2C67">
        <w:rPr>
          <w:spacing w:val="-4"/>
          <w:lang w:val="fr-CH" w:eastAsia="zh-CN"/>
        </w:rPr>
        <w:t>assistance conformément</w:t>
      </w:r>
      <w:r w:rsidR="001F07C0" w:rsidRPr="000A2C67">
        <w:rPr>
          <w:spacing w:val="-4"/>
          <w:lang w:val="fr-CH" w:eastAsia="zh-CN"/>
        </w:rPr>
        <w:t xml:space="preserve"> aux dispositions de la Section </w:t>
      </w:r>
      <w:r w:rsidRPr="000A2C67">
        <w:rPr>
          <w:spacing w:val="-4"/>
          <w:lang w:val="fr-CH" w:eastAsia="zh-CN"/>
        </w:rPr>
        <w:t>I de l</w:t>
      </w:r>
      <w:r w:rsidR="0025212F">
        <w:rPr>
          <w:spacing w:val="-4"/>
          <w:lang w:val="fr-CH" w:eastAsia="zh-CN"/>
        </w:rPr>
        <w:t>'</w:t>
      </w:r>
      <w:r w:rsidR="001F07C0" w:rsidRPr="000A2C67">
        <w:rPr>
          <w:spacing w:val="-4"/>
          <w:lang w:val="fr-CH" w:eastAsia="zh-CN"/>
        </w:rPr>
        <w:t>Article </w:t>
      </w:r>
      <w:r w:rsidRPr="000A2C67">
        <w:rPr>
          <w:spacing w:val="-4"/>
          <w:lang w:val="fr-CH" w:eastAsia="zh-CN"/>
        </w:rPr>
        <w:t>13.</w:t>
      </w:r>
    </w:p>
    <w:p w:rsidR="00847C22" w:rsidRPr="006B6E5C" w:rsidRDefault="001F07C0" w:rsidP="002D5B0A">
      <w:pPr>
        <w:rPr>
          <w:rFonts w:asciiTheme="majorBidi" w:hAnsiTheme="majorBidi" w:cstheme="majorBidi"/>
          <w:szCs w:val="24"/>
          <w:lang w:val="fr-CH" w:eastAsia="zh-CN"/>
        </w:rPr>
      </w:pPr>
      <w:r>
        <w:rPr>
          <w:rFonts w:asciiTheme="majorBidi" w:hAnsiTheme="majorBidi" w:cstheme="majorBidi"/>
          <w:szCs w:val="24"/>
          <w:lang w:val="fr-CH" w:eastAsia="zh-CN"/>
        </w:rPr>
        <w:t>Les numéros </w:t>
      </w:r>
      <w:r w:rsidR="00847C22" w:rsidRPr="006B6E5C">
        <w:rPr>
          <w:rFonts w:asciiTheme="majorBidi" w:hAnsiTheme="majorBidi" w:cstheme="majorBidi"/>
          <w:szCs w:val="24"/>
          <w:lang w:val="fr-CH" w:eastAsia="zh-CN"/>
        </w:rPr>
        <w:t>5.149</w:t>
      </w:r>
      <w:r w:rsidR="00847C22">
        <w:rPr>
          <w:rFonts w:asciiTheme="majorBidi" w:hAnsiTheme="majorBidi" w:cstheme="majorBidi"/>
          <w:szCs w:val="24"/>
          <w:lang w:val="fr-CH" w:eastAsia="zh-CN"/>
        </w:rPr>
        <w:t xml:space="preserve"> </w:t>
      </w:r>
      <w:r w:rsidR="00847C22" w:rsidRPr="006B6E5C">
        <w:rPr>
          <w:rFonts w:asciiTheme="majorBidi" w:hAnsiTheme="majorBidi" w:cstheme="majorBidi"/>
          <w:szCs w:val="24"/>
          <w:lang w:val="fr-CH" w:eastAsia="zh-CN"/>
        </w:rPr>
        <w:t>et</w:t>
      </w:r>
      <w:r>
        <w:rPr>
          <w:rFonts w:asciiTheme="majorBidi" w:hAnsiTheme="majorBidi" w:cstheme="majorBidi"/>
          <w:szCs w:val="24"/>
          <w:lang w:val="fr-CH" w:eastAsia="zh-CN"/>
        </w:rPr>
        <w:t> </w:t>
      </w:r>
      <w:r w:rsidR="00847C22" w:rsidRPr="006B6E5C">
        <w:rPr>
          <w:rFonts w:asciiTheme="majorBidi" w:hAnsiTheme="majorBidi" w:cstheme="majorBidi"/>
          <w:szCs w:val="24"/>
          <w:lang w:val="fr-CH" w:eastAsia="zh-CN"/>
        </w:rPr>
        <w:t>5.372 disposent respectivement ce qui suit:</w:t>
      </w:r>
      <w:r w:rsidR="00847C22">
        <w:rPr>
          <w:rFonts w:asciiTheme="majorBidi" w:hAnsiTheme="majorBidi" w:cstheme="majorBidi"/>
          <w:szCs w:val="24"/>
          <w:lang w:val="fr-CH" w:eastAsia="zh-CN"/>
        </w:rPr>
        <w:t xml:space="preserve"> «</w:t>
      </w:r>
      <w:r w:rsidR="00847C22">
        <w:rPr>
          <w:color w:val="000000"/>
        </w:rPr>
        <w:t>En assignant des fréquences aux stations des autres services auxquels les bandes</w:t>
      </w:r>
      <w:r w:rsidR="00F243CE">
        <w:rPr>
          <w:rFonts w:asciiTheme="majorBidi" w:hAnsiTheme="majorBidi" w:cstheme="majorBidi"/>
          <w:szCs w:val="24"/>
          <w:lang w:val="fr-CH" w:eastAsia="zh-CN"/>
        </w:rPr>
        <w:t>: …, 1 </w:t>
      </w:r>
      <w:r w:rsidR="00847C22" w:rsidRPr="006B6E5C">
        <w:rPr>
          <w:rFonts w:asciiTheme="majorBidi" w:hAnsiTheme="majorBidi" w:cstheme="majorBidi"/>
          <w:szCs w:val="24"/>
          <w:lang w:val="fr-CH" w:eastAsia="zh-CN"/>
        </w:rPr>
        <w:t>610</w:t>
      </w:r>
      <w:r w:rsidR="00847C22">
        <w:rPr>
          <w:rFonts w:asciiTheme="majorBidi" w:hAnsiTheme="majorBidi" w:cstheme="majorBidi"/>
          <w:szCs w:val="24"/>
          <w:lang w:val="fr-CH" w:eastAsia="zh-CN"/>
        </w:rPr>
        <w:t>,</w:t>
      </w:r>
      <w:r w:rsidR="00F243CE">
        <w:rPr>
          <w:rFonts w:asciiTheme="majorBidi" w:hAnsiTheme="majorBidi" w:cstheme="majorBidi"/>
          <w:szCs w:val="24"/>
          <w:lang w:val="fr-CH" w:eastAsia="zh-CN"/>
        </w:rPr>
        <w:t>6-1 </w:t>
      </w:r>
      <w:r w:rsidR="00847C22" w:rsidRPr="006B6E5C">
        <w:rPr>
          <w:rFonts w:asciiTheme="majorBidi" w:hAnsiTheme="majorBidi" w:cstheme="majorBidi"/>
          <w:szCs w:val="24"/>
          <w:lang w:val="fr-CH" w:eastAsia="zh-CN"/>
        </w:rPr>
        <w:t>613</w:t>
      </w:r>
      <w:r w:rsidR="00847C22">
        <w:rPr>
          <w:rFonts w:asciiTheme="majorBidi" w:hAnsiTheme="majorBidi" w:cstheme="majorBidi"/>
          <w:szCs w:val="24"/>
          <w:lang w:val="fr-CH" w:eastAsia="zh-CN"/>
        </w:rPr>
        <w:t>,</w:t>
      </w:r>
      <w:r>
        <w:rPr>
          <w:rFonts w:asciiTheme="majorBidi" w:hAnsiTheme="majorBidi" w:cstheme="majorBidi"/>
          <w:szCs w:val="24"/>
          <w:lang w:val="fr-CH" w:eastAsia="zh-CN"/>
        </w:rPr>
        <w:t>8 </w:t>
      </w:r>
      <w:r w:rsidR="00847C22" w:rsidRPr="006B6E5C">
        <w:rPr>
          <w:rFonts w:asciiTheme="majorBidi" w:hAnsiTheme="majorBidi" w:cstheme="majorBidi"/>
          <w:szCs w:val="24"/>
          <w:lang w:val="fr-CH" w:eastAsia="zh-CN"/>
        </w:rPr>
        <w:t>MHz, … sont attribuées</w:t>
      </w:r>
      <w:r w:rsidR="00847C22">
        <w:rPr>
          <w:rFonts w:asciiTheme="majorBidi" w:hAnsiTheme="majorBidi" w:cstheme="majorBidi"/>
          <w:szCs w:val="24"/>
          <w:lang w:val="fr-CH" w:eastAsia="zh-CN"/>
        </w:rPr>
        <w:t>,</w:t>
      </w:r>
      <w:r w:rsidR="00847C22" w:rsidRPr="006B6E5C">
        <w:rPr>
          <w:rFonts w:asciiTheme="majorBidi" w:hAnsiTheme="majorBidi" w:cstheme="majorBidi"/>
          <w:szCs w:val="24"/>
          <w:lang w:val="fr-CH" w:eastAsia="zh-CN"/>
        </w:rPr>
        <w:t xml:space="preserve"> </w:t>
      </w:r>
      <w:r w:rsidR="00847C22">
        <w:rPr>
          <w:color w:val="000000"/>
        </w:rPr>
        <w:t xml:space="preserve">les administrations sont instamment priées de prendre toutes les mesures pratiquement réalisables pour protéger le service de radioastronomie contre les brouillages préjudiciables.» </w:t>
      </w:r>
      <w:r w:rsidR="00847C22" w:rsidRPr="006B6E5C">
        <w:rPr>
          <w:rFonts w:asciiTheme="majorBidi" w:hAnsiTheme="majorBidi" w:cstheme="majorBidi"/>
          <w:szCs w:val="24"/>
          <w:lang w:val="fr-CH" w:eastAsia="zh-CN"/>
        </w:rPr>
        <w:t>et</w:t>
      </w:r>
      <w:r w:rsidR="00847C22">
        <w:rPr>
          <w:rFonts w:asciiTheme="majorBidi" w:hAnsiTheme="majorBidi" w:cstheme="majorBidi"/>
          <w:szCs w:val="24"/>
          <w:lang w:val="fr-CH" w:eastAsia="zh-CN"/>
        </w:rPr>
        <w:t xml:space="preserve"> «</w:t>
      </w:r>
      <w:r w:rsidR="00847C22">
        <w:rPr>
          <w:color w:val="000000"/>
        </w:rPr>
        <w:t>Les stations du service de radiorepérage par satellite et du service mobile par satellite ne doivent pas causer de brouillage préjudiciable aux stations du service de radioastronomie qui uti</w:t>
      </w:r>
      <w:r w:rsidR="008E2077">
        <w:rPr>
          <w:color w:val="000000"/>
        </w:rPr>
        <w:t>lisent la bande 1 610,6</w:t>
      </w:r>
      <w:r w:rsidR="008E2077">
        <w:rPr>
          <w:color w:val="000000"/>
        </w:rPr>
        <w:noBreakHyphen/>
      </w:r>
      <w:r w:rsidR="00F243CE">
        <w:rPr>
          <w:color w:val="000000"/>
        </w:rPr>
        <w:t>1 613,8 MHz (le numéro </w:t>
      </w:r>
      <w:r w:rsidR="00847C22">
        <w:rPr>
          <w:color w:val="000000"/>
        </w:rPr>
        <w:t>29.13 s</w:t>
      </w:r>
      <w:r w:rsidR="0025212F">
        <w:rPr>
          <w:color w:val="000000"/>
        </w:rPr>
        <w:t>'</w:t>
      </w:r>
      <w:r w:rsidR="00847C22">
        <w:rPr>
          <w:color w:val="000000"/>
        </w:rPr>
        <w:t>app</w:t>
      </w:r>
      <w:r w:rsidR="00F243CE">
        <w:rPr>
          <w:color w:val="000000"/>
        </w:rPr>
        <w:t>lique)</w:t>
      </w:r>
      <w:r w:rsidR="00847C22">
        <w:rPr>
          <w:color w:val="000000"/>
        </w:rPr>
        <w:t>».</w:t>
      </w:r>
    </w:p>
    <w:p w:rsidR="00847C22" w:rsidRPr="000A2C67" w:rsidRDefault="00F243CE" w:rsidP="002D5B0A">
      <w:pPr>
        <w:rPr>
          <w:spacing w:val="-3"/>
          <w:lang w:val="fr-CH" w:eastAsia="zh-CN"/>
        </w:rPr>
      </w:pPr>
      <w:r w:rsidRPr="000A2C67">
        <w:rPr>
          <w:spacing w:val="-3"/>
          <w:lang w:val="fr-CH" w:eastAsia="zh-CN"/>
        </w:rPr>
        <w:t>En outre, le numéro </w:t>
      </w:r>
      <w:r w:rsidR="00847C22" w:rsidRPr="000A2C67">
        <w:rPr>
          <w:spacing w:val="-3"/>
          <w:lang w:val="fr-CH" w:eastAsia="zh-CN"/>
        </w:rPr>
        <w:t>29.11 stipule ce qui suit: «</w:t>
      </w:r>
      <w:r w:rsidR="00847C22" w:rsidRPr="000A2C67">
        <w:rPr>
          <w:color w:val="000000"/>
          <w:spacing w:val="-3"/>
        </w:rPr>
        <w:t>En assignant des fréquences à des stations dans d</w:t>
      </w:r>
      <w:r w:rsidR="0025212F">
        <w:rPr>
          <w:color w:val="000000"/>
          <w:spacing w:val="-3"/>
        </w:rPr>
        <w:t>'</w:t>
      </w:r>
      <w:r w:rsidR="00847C22" w:rsidRPr="000A2C67">
        <w:rPr>
          <w:color w:val="000000"/>
          <w:spacing w:val="-3"/>
        </w:rPr>
        <w:t>autres bandes, les administrations sont instamment priées, dans la mesure pratiquement possible, de tenir compte de la nécessité d</w:t>
      </w:r>
      <w:r w:rsidR="0025212F">
        <w:rPr>
          <w:color w:val="000000"/>
          <w:spacing w:val="-3"/>
        </w:rPr>
        <w:t>'</w:t>
      </w:r>
      <w:r w:rsidR="00847C22" w:rsidRPr="000A2C67">
        <w:rPr>
          <w:color w:val="000000"/>
          <w:spacing w:val="-3"/>
        </w:rPr>
        <w:t>éviter les rayonnements non essentiels susceptibles de causer des brouillages préjudiciables au service de radioastronomie exploité conformément au présent Règlement»</w:t>
      </w:r>
      <w:r w:rsidR="00847C22" w:rsidRPr="000A2C67">
        <w:rPr>
          <w:spacing w:val="-3"/>
          <w:lang w:val="fr-CH" w:eastAsia="zh-CN"/>
        </w:rPr>
        <w:t>; les règles régissant le règlement des brouillages préjudiciables en pareil cas sont énoncées dans les di</w:t>
      </w:r>
      <w:r w:rsidRPr="000A2C67">
        <w:rPr>
          <w:spacing w:val="-3"/>
          <w:lang w:val="fr-CH" w:eastAsia="zh-CN"/>
        </w:rPr>
        <w:t>spositions du numéro </w:t>
      </w:r>
      <w:r w:rsidR="00847C22" w:rsidRPr="000A2C67">
        <w:rPr>
          <w:spacing w:val="-3"/>
          <w:lang w:val="fr-CH" w:eastAsia="zh-CN"/>
        </w:rPr>
        <w:t>4.6 du Règlement des radiocommunications, libellé comme suit: «</w:t>
      </w:r>
      <w:r w:rsidR="00847C22" w:rsidRPr="000A2C67">
        <w:rPr>
          <w:color w:val="000000"/>
          <w:spacing w:val="-3"/>
        </w:rPr>
        <w:t>Pour le règlement des cas de brouillages préjudiciables, le service de radioastronomie est traité comme un service de radiocommunication. Cependant, vis-à-vis des émissions des services fonctionnant dans d</w:t>
      </w:r>
      <w:r w:rsidR="0025212F">
        <w:rPr>
          <w:color w:val="000000"/>
          <w:spacing w:val="-3"/>
        </w:rPr>
        <w:t>'</w:t>
      </w:r>
      <w:r w:rsidR="00847C22" w:rsidRPr="000A2C67">
        <w:rPr>
          <w:color w:val="000000"/>
          <w:spacing w:val="-3"/>
        </w:rPr>
        <w:t>autres bandes, il bénéficie du même degré de protection que celui dont bénéficient ces services les uns vis-à-vis des autres.»</w:t>
      </w:r>
      <w:r w:rsidR="00847C22" w:rsidRPr="000A2C67">
        <w:rPr>
          <w:spacing w:val="-3"/>
          <w:lang w:val="fr-CH" w:eastAsia="zh-CN"/>
        </w:rPr>
        <w:t>.</w:t>
      </w:r>
    </w:p>
    <w:p w:rsidR="00847C22" w:rsidRPr="006B6E5C" w:rsidRDefault="00847C22" w:rsidP="002D5B0A">
      <w:pPr>
        <w:rPr>
          <w:lang w:val="fr-CH" w:eastAsia="zh-CN"/>
        </w:rPr>
      </w:pPr>
      <w:r w:rsidRPr="006B6E5C">
        <w:rPr>
          <w:lang w:val="fr-CH" w:eastAsia="zh-CN"/>
        </w:rPr>
        <w:t>Afin de résoudre ce problème, le Bureau a encouragé les administrations concernées à coopérer,</w:t>
      </w:r>
      <w:r>
        <w:rPr>
          <w:lang w:val="fr-CH" w:eastAsia="zh-CN"/>
        </w:rPr>
        <w:t xml:space="preserve"> </w:t>
      </w:r>
      <w:r w:rsidRPr="006B6E5C">
        <w:rPr>
          <w:lang w:val="fr-CH" w:eastAsia="zh-CN"/>
        </w:rPr>
        <w:t xml:space="preserve">à </w:t>
      </w:r>
      <w:r>
        <w:rPr>
          <w:color w:val="000000"/>
        </w:rPr>
        <w:t>faire preuve du maximum de bonne volonté et à fournir une assistance mutuelle, en prenant note également des Recommandations pertinentes de l</w:t>
      </w:r>
      <w:r w:rsidR="0025212F">
        <w:rPr>
          <w:color w:val="000000"/>
        </w:rPr>
        <w:t>'</w:t>
      </w:r>
      <w:r>
        <w:rPr>
          <w:color w:val="000000"/>
        </w:rPr>
        <w:t>UIT-R, afin de limiter les brouillages causés par d</w:t>
      </w:r>
      <w:r w:rsidR="0025212F">
        <w:rPr>
          <w:color w:val="000000"/>
        </w:rPr>
        <w:t>'</w:t>
      </w:r>
      <w:r>
        <w:rPr>
          <w:color w:val="000000"/>
        </w:rPr>
        <w:t>autres services au service de radioastronomie</w:t>
      </w:r>
      <w:r>
        <w:rPr>
          <w:lang w:val="fr-CH" w:eastAsia="zh-CN"/>
        </w:rPr>
        <w:t xml:space="preserve"> </w:t>
      </w:r>
      <w:r w:rsidR="00F243CE">
        <w:rPr>
          <w:lang w:val="fr-CH" w:eastAsia="zh-CN"/>
        </w:rPr>
        <w:t>(numéro </w:t>
      </w:r>
      <w:r w:rsidRPr="006B6E5C">
        <w:rPr>
          <w:lang w:val="fr-CH" w:eastAsia="zh-CN"/>
        </w:rPr>
        <w:t>29.13)</w:t>
      </w:r>
      <w:r>
        <w:rPr>
          <w:lang w:val="fr-CH" w:eastAsia="zh-CN"/>
        </w:rPr>
        <w:t>.</w:t>
      </w:r>
    </w:p>
    <w:p w:rsidR="00F6435B" w:rsidRPr="006B6E5C" w:rsidRDefault="00F6435B" w:rsidP="002D5B0A">
      <w:pPr>
        <w:pStyle w:val="Heading1"/>
        <w:rPr>
          <w:lang w:val="fr-CH"/>
        </w:rPr>
      </w:pPr>
      <w:bookmarkStart w:id="29" w:name="_Toc418163382"/>
      <w:bookmarkStart w:id="30" w:name="_Toc418232300"/>
      <w:bookmarkStart w:id="31" w:name="_Toc424047620"/>
      <w:bookmarkStart w:id="32" w:name="_Toc426463277"/>
      <w:r w:rsidRPr="006B6E5C">
        <w:rPr>
          <w:lang w:val="fr-CH"/>
        </w:rPr>
        <w:t>8</w:t>
      </w:r>
      <w:r w:rsidRPr="006B6E5C">
        <w:rPr>
          <w:lang w:val="fr-CH"/>
        </w:rPr>
        <w:tab/>
        <w:t>Coop</w:t>
      </w:r>
      <w:r>
        <w:rPr>
          <w:lang w:val="fr-CH"/>
        </w:rPr>
        <w:t>é</w:t>
      </w:r>
      <w:r w:rsidRPr="006B6E5C">
        <w:rPr>
          <w:lang w:val="fr-CH"/>
        </w:rPr>
        <w:t>ration</w:t>
      </w:r>
      <w:bookmarkEnd w:id="29"/>
      <w:bookmarkEnd w:id="30"/>
      <w:bookmarkEnd w:id="31"/>
      <w:bookmarkEnd w:id="32"/>
    </w:p>
    <w:p w:rsidR="00F6435B" w:rsidRPr="006B6E5C" w:rsidRDefault="00F6435B" w:rsidP="002D5B0A">
      <w:pPr>
        <w:pStyle w:val="Heading2"/>
        <w:rPr>
          <w:lang w:val="fr-CH"/>
        </w:rPr>
      </w:pPr>
      <w:bookmarkStart w:id="33" w:name="_Toc424047621"/>
      <w:bookmarkStart w:id="34" w:name="_Toc426463278"/>
      <w:r w:rsidRPr="006B6E5C">
        <w:rPr>
          <w:lang w:val="fr-CH"/>
        </w:rPr>
        <w:t>8.1</w:t>
      </w:r>
      <w:r w:rsidRPr="006B6E5C">
        <w:rPr>
          <w:lang w:val="fr-CH"/>
        </w:rPr>
        <w:tab/>
        <w:t>Coop</w:t>
      </w:r>
      <w:r>
        <w:rPr>
          <w:lang w:val="fr-CH"/>
        </w:rPr>
        <w:t>é</w:t>
      </w:r>
      <w:r w:rsidRPr="006B6E5C">
        <w:rPr>
          <w:lang w:val="fr-CH"/>
        </w:rPr>
        <w:t>ration</w:t>
      </w:r>
      <w:r>
        <w:rPr>
          <w:lang w:val="fr-CH"/>
        </w:rPr>
        <w:t xml:space="preserve"> </w:t>
      </w:r>
      <w:r w:rsidRPr="006B6E5C">
        <w:rPr>
          <w:lang w:val="fr-CH"/>
        </w:rPr>
        <w:t>avec l</w:t>
      </w:r>
      <w:r w:rsidR="0025212F">
        <w:rPr>
          <w:lang w:val="fr-CH"/>
        </w:rPr>
        <w:t>'</w:t>
      </w:r>
      <w:r w:rsidRPr="006B6E5C">
        <w:rPr>
          <w:lang w:val="fr-CH"/>
        </w:rPr>
        <w:t>UIT</w:t>
      </w:r>
      <w:r w:rsidRPr="006B6E5C">
        <w:rPr>
          <w:lang w:val="fr-CH"/>
        </w:rPr>
        <w:noBreakHyphen/>
        <w:t>D</w:t>
      </w:r>
      <w:bookmarkEnd w:id="33"/>
      <w:bookmarkEnd w:id="34"/>
    </w:p>
    <w:p w:rsidR="00F6435B" w:rsidRPr="009E0F10" w:rsidRDefault="00F6435B" w:rsidP="002D5B0A">
      <w:r>
        <w:t xml:space="preserve">Le </w:t>
      </w:r>
      <w:r w:rsidRPr="009E0F10">
        <w:t>BR</w:t>
      </w:r>
      <w:r>
        <w:t xml:space="preserve"> continue de s</w:t>
      </w:r>
      <w:r w:rsidR="0025212F">
        <w:t>'</w:t>
      </w:r>
      <w:r>
        <w:t>employer à informer les membres de l</w:t>
      </w:r>
      <w:r w:rsidR="0025212F">
        <w:t>'</w:t>
      </w:r>
      <w:r>
        <w:t>UIT et à leur prêter une assistance, en particulier dans les pays en développement, pour l</w:t>
      </w:r>
      <w:r w:rsidR="0025212F">
        <w:t>'</w:t>
      </w:r>
      <w:r>
        <w:t>examen des sujets se rapportant à des qu</w:t>
      </w:r>
      <w:r w:rsidR="00515FB7">
        <w:t xml:space="preserve">estions de </w:t>
      </w:r>
      <w:r w:rsidR="00A424CA">
        <w:t>radiocommunication. A</w:t>
      </w:r>
      <w:r>
        <w:t xml:space="preserve"> cette fin, le BR organise un certain nombre d</w:t>
      </w:r>
      <w:r w:rsidR="0025212F">
        <w:t>'</w:t>
      </w:r>
      <w:r>
        <w:t>ateliers, de séminaires et de réunions sur des questions se rapportant au spectre des fréquences ou y participe, et d</w:t>
      </w:r>
      <w:r w:rsidR="0025212F">
        <w:t>'</w:t>
      </w:r>
      <w:r>
        <w:t>activités en matière de renforcement des capacités. Il mène à bien ces activités en collaboration étroite avec le BDT, les bureaux régionaux et les bureaux de zone de l</w:t>
      </w:r>
      <w:r w:rsidR="0025212F">
        <w:t>'</w:t>
      </w:r>
      <w:r>
        <w:t>UIT et les organisations internationales ou les autorités nationales concernées.</w:t>
      </w:r>
    </w:p>
    <w:p w:rsidR="00F6435B" w:rsidRPr="009E0F10" w:rsidRDefault="00F6435B" w:rsidP="002D5B0A">
      <w:pPr>
        <w:pStyle w:val="Heading3"/>
      </w:pPr>
      <w:bookmarkStart w:id="35" w:name="_Toc424047622"/>
      <w:bookmarkStart w:id="36" w:name="_Toc426463279"/>
      <w:r>
        <w:t>8.1.1</w:t>
      </w:r>
      <w:r>
        <w:tab/>
        <w:t>GSR</w:t>
      </w:r>
      <w:bookmarkEnd w:id="35"/>
      <w:bookmarkEnd w:id="36"/>
    </w:p>
    <w:p w:rsidR="00F6435B" w:rsidRDefault="00F6435B" w:rsidP="002D5B0A">
      <w:r>
        <w:rPr>
          <w:color w:val="000000"/>
        </w:rPr>
        <w:t>Conscient de l</w:t>
      </w:r>
      <w:r w:rsidR="0025212F">
        <w:rPr>
          <w:color w:val="000000"/>
        </w:rPr>
        <w:t>'</w:t>
      </w:r>
      <w:r>
        <w:rPr>
          <w:color w:val="000000"/>
        </w:rPr>
        <w:t>importance de la fourniture d</w:t>
      </w:r>
      <w:r w:rsidR="0025212F">
        <w:rPr>
          <w:color w:val="000000"/>
        </w:rPr>
        <w:t>'</w:t>
      </w:r>
      <w:r>
        <w:rPr>
          <w:color w:val="000000"/>
        </w:rPr>
        <w:t xml:space="preserve">une assistance spécialisée aux </w:t>
      </w:r>
      <w:r w:rsidR="00124AC1">
        <w:rPr>
          <w:color w:val="000000"/>
        </w:rPr>
        <w:t>E</w:t>
      </w:r>
      <w:r w:rsidR="00293F92">
        <w:rPr>
          <w:color w:val="000000"/>
        </w:rPr>
        <w:t>tat</w:t>
      </w:r>
      <w:r>
        <w:rPr>
          <w:color w:val="000000"/>
        </w:rPr>
        <w:t xml:space="preserve">s Membres, le BR continue de mettre à la disposition du BDT des compétences techniques sur les aspects relatifs à la gestion du spectre, à la radiodiffusion numérique et au dividende numérique. Le BR a contribué aux éditions de </w:t>
      </w:r>
      <w:r w:rsidRPr="009E0F10">
        <w:t>2012, 2013, 2014</w:t>
      </w:r>
      <w:r>
        <w:t xml:space="preserve"> et </w:t>
      </w:r>
      <w:r w:rsidRPr="009E0F10">
        <w:t>2015</w:t>
      </w:r>
      <w:r>
        <w:t xml:space="preserve"> </w:t>
      </w:r>
      <w:r>
        <w:rPr>
          <w:color w:val="000000"/>
        </w:rPr>
        <w:t xml:space="preserve">du Colloque mondial des régulateurs </w:t>
      </w:r>
      <w:r w:rsidR="00B830A9">
        <w:rPr>
          <w:color w:val="000000"/>
        </w:rPr>
        <w:t xml:space="preserve">(GSR) </w:t>
      </w:r>
      <w:r>
        <w:rPr>
          <w:color w:val="000000"/>
        </w:rPr>
        <w:t>de l</w:t>
      </w:r>
      <w:r w:rsidR="0025212F">
        <w:rPr>
          <w:color w:val="000000"/>
        </w:rPr>
        <w:t>'</w:t>
      </w:r>
      <w:r>
        <w:rPr>
          <w:color w:val="000000"/>
        </w:rPr>
        <w:t>UIT, en organisant des sessions relatives à la gestion du spectre et en y participant.</w:t>
      </w:r>
    </w:p>
    <w:p w:rsidR="00F6435B" w:rsidRPr="009E0F10" w:rsidRDefault="00F6435B" w:rsidP="002D5B0A">
      <w:pPr>
        <w:pStyle w:val="Heading3"/>
      </w:pPr>
      <w:bookmarkStart w:id="37" w:name="_Toc424047623"/>
      <w:bookmarkStart w:id="38" w:name="_Toc426463280"/>
      <w:r>
        <w:t>8.1.2</w:t>
      </w:r>
      <w:r>
        <w:tab/>
        <w:t>Enquête sur les</w:t>
      </w:r>
      <w:r w:rsidRPr="00306001">
        <w:rPr>
          <w:color w:val="000000"/>
        </w:rPr>
        <w:t xml:space="preserve"> </w:t>
      </w:r>
      <w:r>
        <w:rPr>
          <w:color w:val="000000"/>
        </w:rPr>
        <w:t>TIC</w:t>
      </w:r>
      <w:r>
        <w:t xml:space="preserve"> et portail «</w:t>
      </w:r>
      <w:r>
        <w:rPr>
          <w:color w:val="000000"/>
        </w:rPr>
        <w:t>L</w:t>
      </w:r>
      <w:r w:rsidR="0025212F">
        <w:rPr>
          <w:color w:val="000000"/>
        </w:rPr>
        <w:t>'</w:t>
      </w:r>
      <w:r w:rsidR="00FA42D8">
        <w:rPr>
          <w:color w:val="000000"/>
        </w:rPr>
        <w:t>œil</w:t>
      </w:r>
      <w:r>
        <w:rPr>
          <w:color w:val="000000"/>
        </w:rPr>
        <w:t xml:space="preserve"> sur les TIC»</w:t>
      </w:r>
      <w:bookmarkEnd w:id="37"/>
      <w:bookmarkEnd w:id="38"/>
    </w:p>
    <w:p w:rsidR="00F6435B" w:rsidRDefault="00F6435B" w:rsidP="002D5B0A">
      <w:r>
        <w:t>Le portail «L</w:t>
      </w:r>
      <w:r w:rsidR="0025212F">
        <w:t>'</w:t>
      </w:r>
      <w:r w:rsidR="00FA42D8">
        <w:t>œil</w:t>
      </w:r>
      <w:r>
        <w:t xml:space="preserve"> sur les TIC», et l</w:t>
      </w:r>
      <w:r w:rsidR="0025212F">
        <w:t>'</w:t>
      </w:r>
      <w:r>
        <w:t>enquête qui lui est associée, constituent un outil essentiel pour collecter des données auprès des administrations</w:t>
      </w:r>
      <w:r w:rsidRPr="00306001">
        <w:t xml:space="preserve"> </w:t>
      </w:r>
      <w:r>
        <w:t xml:space="preserve">sur des paramètres </w:t>
      </w:r>
      <w:r w:rsidR="005D11D9">
        <w:t xml:space="preserve">clés </w:t>
      </w:r>
      <w:r>
        <w:t>relatifs aux TIC. Le BDT suit chaque année l</w:t>
      </w:r>
      <w:r w:rsidR="0025212F">
        <w:t>'</w:t>
      </w:r>
      <w:r>
        <w:t xml:space="preserve">évolution de ces données et présente les résultats </w:t>
      </w:r>
      <w:r w:rsidR="008359F9">
        <w:t xml:space="preserve">de ses observations </w:t>
      </w:r>
      <w:r>
        <w:t xml:space="preserve">de manière </w:t>
      </w:r>
      <w:r w:rsidR="00056D7E">
        <w:t>intelligible</w:t>
      </w:r>
      <w:r>
        <w:t xml:space="preserve"> sur le portail consacré aux statistiques. Afin de tirer parti de la plate-forme existante, à savoir le portail «L</w:t>
      </w:r>
      <w:r w:rsidR="0025212F">
        <w:t>'</w:t>
      </w:r>
      <w:r w:rsidR="00FA42D8">
        <w:t>œil</w:t>
      </w:r>
      <w:r>
        <w:t xml:space="preserve"> sur les TIC», le BR a collaboré avec le BDT afin de développer l</w:t>
      </w:r>
      <w:r w:rsidR="0025212F">
        <w:t>'</w:t>
      </w:r>
      <w:r>
        <w:t>enquête actuelle et d</w:t>
      </w:r>
      <w:r w:rsidR="0025212F">
        <w:t>'</w:t>
      </w:r>
      <w:r>
        <w:t>y intégrer un chapitre sur des données essentielles axées sur le spectre (enchères, plafonnement, technologies mobiles/normes applicables au service mobile, octroi de licences pour l</w:t>
      </w:r>
      <w:r w:rsidR="0025212F">
        <w:t>'</w:t>
      </w:r>
      <w:r>
        <w:t xml:space="preserve">exploitation du spectre). Le chapitre consacré au spectre a été élaboré par le BR et </w:t>
      </w:r>
      <w:r w:rsidR="00805B71">
        <w:t>publié pour la première fois en </w:t>
      </w:r>
      <w:r>
        <w:t>2013 dans l</w:t>
      </w:r>
      <w:r w:rsidR="0025212F">
        <w:t>'</w:t>
      </w:r>
      <w:r>
        <w:t>enquête sur les TIC.</w:t>
      </w:r>
    </w:p>
    <w:p w:rsidR="00F6435B" w:rsidRDefault="00F6435B" w:rsidP="002D5B0A">
      <w:pPr>
        <w:pStyle w:val="Heading3"/>
      </w:pPr>
      <w:bookmarkStart w:id="39" w:name="_Toc426463281"/>
      <w:r>
        <w:t>8.1.3</w:t>
      </w:r>
      <w:r>
        <w:tab/>
        <w:t>Programme de formation à la gestion du spectre (SMTP)</w:t>
      </w:r>
      <w:bookmarkEnd w:id="39"/>
      <w:r>
        <w:t xml:space="preserve"> </w:t>
      </w:r>
    </w:p>
    <w:p w:rsidR="00F6435B" w:rsidRPr="009A7018" w:rsidRDefault="00F6435B" w:rsidP="002D5B0A">
      <w:pPr>
        <w:rPr>
          <w:lang w:val="fr-CH"/>
        </w:rPr>
      </w:pPr>
      <w:r>
        <w:t xml:space="preserve">Le </w:t>
      </w:r>
      <w:r w:rsidR="00805B71">
        <w:t>BR participe activement, depuis </w:t>
      </w:r>
      <w:r>
        <w:t xml:space="preserve">2013, à un projet commun avec le BDT visant à créer un programme de formation à la gestion du spectre (SMPT). Les </w:t>
      </w:r>
      <w:r w:rsidR="0009232C">
        <w:t>différentes phases de ce projet</w:t>
      </w:r>
      <w:r w:rsidR="00D110E8">
        <w:t> – </w:t>
      </w:r>
      <w:r w:rsidR="0009232C">
        <w:t>c</w:t>
      </w:r>
      <w:r>
        <w:t>onception, élaboration de ressources dida</w:t>
      </w:r>
      <w:r w:rsidR="0009232C">
        <w:t>ctiques et examen par les pairs</w:t>
      </w:r>
      <w:r w:rsidR="00D110E8">
        <w:t> – </w:t>
      </w:r>
      <w:r>
        <w:t>ont été menées à bien, et l</w:t>
      </w:r>
      <w:r w:rsidR="0025212F">
        <w:t>'</w:t>
      </w:r>
      <w:r>
        <w:t xml:space="preserve">essai pilote est en cours de mise en </w:t>
      </w:r>
      <w:r w:rsidR="00FA42D8">
        <w:t>œuvre</w:t>
      </w:r>
      <w:r>
        <w:t xml:space="preserve"> et d</w:t>
      </w:r>
      <w:r w:rsidR="0025212F">
        <w:t>'</w:t>
      </w:r>
      <w:r>
        <w:t xml:space="preserve">évaluation. </w:t>
      </w:r>
    </w:p>
    <w:p w:rsidR="00F6435B" w:rsidRPr="00831C1C" w:rsidRDefault="00F6435B" w:rsidP="002D5B0A">
      <w:pPr>
        <w:rPr>
          <w:lang w:val="fr-CH"/>
        </w:rPr>
      </w:pPr>
      <w:r w:rsidRPr="00831C1C">
        <w:rPr>
          <w:lang w:val="fr-CH"/>
        </w:rPr>
        <w:t xml:space="preserve">Des liens étroits ont été maintenus avec le BDT </w:t>
      </w:r>
      <w:r>
        <w:rPr>
          <w:lang w:val="fr-CH"/>
        </w:rPr>
        <w:t xml:space="preserve">dans le cadre de </w:t>
      </w:r>
      <w:r w:rsidRPr="00831C1C">
        <w:rPr>
          <w:lang w:val="fr-CH"/>
        </w:rPr>
        <w:t>travaux présentant un intérêt commun pour l</w:t>
      </w:r>
      <w:r w:rsidR="0025212F">
        <w:rPr>
          <w:lang w:val="fr-CH"/>
        </w:rPr>
        <w:t>'</w:t>
      </w:r>
      <w:r w:rsidRPr="00831C1C">
        <w:rPr>
          <w:lang w:val="fr-CH"/>
        </w:rPr>
        <w:t>UIT-D et l</w:t>
      </w:r>
      <w:r w:rsidR="0025212F">
        <w:rPr>
          <w:lang w:val="fr-CH"/>
        </w:rPr>
        <w:t>'</w:t>
      </w:r>
      <w:r w:rsidRPr="00831C1C">
        <w:rPr>
          <w:lang w:val="fr-CH"/>
        </w:rPr>
        <w:t>UIT-R. Le BR a particip</w:t>
      </w:r>
      <w:r w:rsidR="00E45ADF">
        <w:rPr>
          <w:lang w:val="fr-CH"/>
        </w:rPr>
        <w:t>é aux réunions pertinentes des C</w:t>
      </w:r>
      <w:r w:rsidRPr="00831C1C">
        <w:rPr>
          <w:lang w:val="fr-CH"/>
        </w:rPr>
        <w:t>ommissions d</w:t>
      </w:r>
      <w:r w:rsidR="0025212F">
        <w:rPr>
          <w:lang w:val="fr-CH"/>
        </w:rPr>
        <w:t>'</w:t>
      </w:r>
      <w:r w:rsidRPr="00831C1C">
        <w:rPr>
          <w:lang w:val="fr-CH"/>
        </w:rPr>
        <w:t xml:space="preserve">études </w:t>
      </w:r>
      <w:r>
        <w:rPr>
          <w:lang w:val="fr-CH"/>
        </w:rPr>
        <w:t xml:space="preserve">et </w:t>
      </w:r>
      <w:r w:rsidRPr="00831C1C">
        <w:rPr>
          <w:lang w:val="fr-CH"/>
        </w:rPr>
        <w:t>des Groupes d</w:t>
      </w:r>
      <w:r>
        <w:rPr>
          <w:lang w:val="fr-CH"/>
        </w:rPr>
        <w:t>u</w:t>
      </w:r>
      <w:r w:rsidRPr="00831C1C">
        <w:rPr>
          <w:lang w:val="fr-CH"/>
        </w:rPr>
        <w:t xml:space="preserve"> Rapporteur de l</w:t>
      </w:r>
      <w:r w:rsidR="0025212F">
        <w:rPr>
          <w:lang w:val="fr-CH"/>
        </w:rPr>
        <w:t>'</w:t>
      </w:r>
      <w:r w:rsidRPr="00831C1C">
        <w:rPr>
          <w:lang w:val="fr-CH"/>
        </w:rPr>
        <w:t>UIT-D et du GCDT, lorsque les activités de liaison port</w:t>
      </w:r>
      <w:r>
        <w:rPr>
          <w:lang w:val="fr-CH"/>
        </w:rPr>
        <w:t>aient</w:t>
      </w:r>
      <w:r w:rsidRPr="00831C1C">
        <w:rPr>
          <w:lang w:val="fr-CH"/>
        </w:rPr>
        <w:t xml:space="preserve"> sur des thèmes comme la gestion du spectre, la radiodiffusion numérique, le passage de l</w:t>
      </w:r>
      <w:r w:rsidR="0025212F">
        <w:rPr>
          <w:lang w:val="fr-CH"/>
        </w:rPr>
        <w:t>'</w:t>
      </w:r>
      <w:r w:rsidRPr="00831C1C">
        <w:rPr>
          <w:lang w:val="fr-CH"/>
        </w:rPr>
        <w:t>analogique au numérique, le passage aux IMT</w:t>
      </w:r>
      <w:r>
        <w:rPr>
          <w:lang w:val="fr-CH"/>
        </w:rPr>
        <w:t xml:space="preserve"> et la mise en </w:t>
      </w:r>
      <w:r w:rsidR="00FA42D8">
        <w:rPr>
          <w:lang w:val="fr-CH"/>
        </w:rPr>
        <w:t>œuvre</w:t>
      </w:r>
      <w:r>
        <w:rPr>
          <w:lang w:val="fr-CH"/>
        </w:rPr>
        <w:t xml:space="preserve"> des IMT et les technologies d</w:t>
      </w:r>
      <w:r w:rsidR="0025212F">
        <w:rPr>
          <w:lang w:val="fr-CH"/>
        </w:rPr>
        <w:t>'</w:t>
      </w:r>
      <w:r>
        <w:rPr>
          <w:lang w:val="fr-CH"/>
        </w:rPr>
        <w:t xml:space="preserve">accès hertzien large bande. </w:t>
      </w:r>
      <w:r w:rsidRPr="00831C1C">
        <w:rPr>
          <w:lang w:val="fr-CH"/>
        </w:rPr>
        <w:t>L</w:t>
      </w:r>
      <w:r w:rsidR="0025212F">
        <w:rPr>
          <w:lang w:val="fr-CH"/>
        </w:rPr>
        <w:t>'</w:t>
      </w:r>
      <w:r w:rsidRPr="00831C1C">
        <w:rPr>
          <w:lang w:val="fr-CH"/>
        </w:rPr>
        <w:t xml:space="preserve">examen de ces </w:t>
      </w:r>
      <w:r>
        <w:rPr>
          <w:lang w:val="fr-CH"/>
        </w:rPr>
        <w:t>questions</w:t>
      </w:r>
      <w:r w:rsidRPr="00831C1C">
        <w:rPr>
          <w:lang w:val="fr-CH"/>
        </w:rPr>
        <w:t xml:space="preserve"> vient s</w:t>
      </w:r>
      <w:r w:rsidR="0025212F">
        <w:rPr>
          <w:lang w:val="fr-CH"/>
        </w:rPr>
        <w:t>'</w:t>
      </w:r>
      <w:r w:rsidRPr="00831C1C">
        <w:rPr>
          <w:lang w:val="fr-CH"/>
        </w:rPr>
        <w:t xml:space="preserve">ajouter à la collaboration mise en place </w:t>
      </w:r>
      <w:r>
        <w:rPr>
          <w:lang w:val="fr-CH"/>
        </w:rPr>
        <w:t xml:space="preserve">au titre </w:t>
      </w:r>
      <w:r w:rsidR="00805B71">
        <w:rPr>
          <w:lang w:val="fr-CH"/>
        </w:rPr>
        <w:t>de la Question </w:t>
      </w:r>
      <w:r w:rsidRPr="00831C1C">
        <w:rPr>
          <w:lang w:val="fr-CH"/>
        </w:rPr>
        <w:t>9-</w:t>
      </w:r>
      <w:r>
        <w:rPr>
          <w:lang w:val="fr-CH"/>
        </w:rPr>
        <w:t>3</w:t>
      </w:r>
      <w:r w:rsidRPr="00831C1C">
        <w:rPr>
          <w:lang w:val="fr-CH"/>
        </w:rPr>
        <w:t>/2 de l</w:t>
      </w:r>
      <w:r w:rsidR="0025212F">
        <w:rPr>
          <w:lang w:val="fr-CH"/>
        </w:rPr>
        <w:t>'</w:t>
      </w:r>
      <w:r w:rsidRPr="00831C1C">
        <w:rPr>
          <w:lang w:val="fr-CH"/>
        </w:rPr>
        <w:t>UIT-D</w:t>
      </w:r>
      <w:r>
        <w:rPr>
          <w:lang w:val="fr-CH"/>
        </w:rPr>
        <w:t>,</w:t>
      </w:r>
      <w:r w:rsidRPr="00831C1C">
        <w:rPr>
          <w:lang w:val="fr-CH"/>
        </w:rPr>
        <w:t xml:space="preserve"> aux termes de laquelle il est demandé d</w:t>
      </w:r>
      <w:r>
        <w:rPr>
          <w:lang w:val="fr-CH"/>
        </w:rPr>
        <w:t>e recenser l</w:t>
      </w:r>
      <w:r w:rsidRPr="00831C1C">
        <w:rPr>
          <w:lang w:val="fr-CH"/>
        </w:rPr>
        <w:t>es sujets d</w:t>
      </w:r>
      <w:r w:rsidR="0025212F">
        <w:rPr>
          <w:lang w:val="fr-CH"/>
        </w:rPr>
        <w:t>'</w:t>
      </w:r>
      <w:r w:rsidRPr="00831C1C">
        <w:rPr>
          <w:lang w:val="fr-CH"/>
        </w:rPr>
        <w:t xml:space="preserve">étude </w:t>
      </w:r>
      <w:r>
        <w:rPr>
          <w:lang w:val="fr-CH"/>
        </w:rPr>
        <w:t>au sein</w:t>
      </w:r>
      <w:r w:rsidRPr="00831C1C">
        <w:rPr>
          <w:lang w:val="fr-CH"/>
        </w:rPr>
        <w:t xml:space="preserve"> de l</w:t>
      </w:r>
      <w:r w:rsidR="0025212F">
        <w:rPr>
          <w:lang w:val="fr-CH"/>
        </w:rPr>
        <w:t>'</w:t>
      </w:r>
      <w:r w:rsidRPr="00831C1C">
        <w:rPr>
          <w:lang w:val="fr-CH"/>
        </w:rPr>
        <w:t>UIT-R (et de l</w:t>
      </w:r>
      <w:r w:rsidR="0025212F">
        <w:rPr>
          <w:lang w:val="fr-CH"/>
        </w:rPr>
        <w:t>'</w:t>
      </w:r>
      <w:r w:rsidRPr="00831C1C">
        <w:rPr>
          <w:lang w:val="fr-CH"/>
        </w:rPr>
        <w:t>UIT</w:t>
      </w:r>
      <w:r>
        <w:rPr>
          <w:lang w:val="fr-CH"/>
        </w:rPr>
        <w:noBreakHyphen/>
      </w:r>
      <w:r w:rsidRPr="00831C1C">
        <w:rPr>
          <w:lang w:val="fr-CH"/>
        </w:rPr>
        <w:t>T) dont on estime qu</w:t>
      </w:r>
      <w:r w:rsidR="0025212F">
        <w:rPr>
          <w:lang w:val="fr-CH"/>
        </w:rPr>
        <w:t>'</w:t>
      </w:r>
      <w:r w:rsidRPr="00831C1C">
        <w:rPr>
          <w:lang w:val="fr-CH"/>
        </w:rPr>
        <w:t>ils intéressent particulièrement les pays en développement.</w:t>
      </w:r>
    </w:p>
    <w:p w:rsidR="00F6435B" w:rsidRDefault="00F6435B" w:rsidP="002D5B0A">
      <w:pPr>
        <w:rPr>
          <w:lang w:val="fr-CH"/>
        </w:rPr>
      </w:pPr>
      <w:r w:rsidRPr="00193258">
        <w:rPr>
          <w:lang w:val="fr-CH"/>
        </w:rPr>
        <w:t>En réponse à des demandes du BDT, des experts de l</w:t>
      </w:r>
      <w:r w:rsidR="0025212F">
        <w:rPr>
          <w:lang w:val="fr-CH"/>
        </w:rPr>
        <w:t>'</w:t>
      </w:r>
      <w:r w:rsidRPr="00193258">
        <w:rPr>
          <w:lang w:val="fr-CH"/>
        </w:rPr>
        <w:t>UIT-R et du BR ont participé à des séminaires et ateliers de l</w:t>
      </w:r>
      <w:r w:rsidR="0025212F">
        <w:rPr>
          <w:lang w:val="fr-CH"/>
        </w:rPr>
        <w:t>'</w:t>
      </w:r>
      <w:r w:rsidRPr="00193258">
        <w:rPr>
          <w:lang w:val="fr-CH"/>
        </w:rPr>
        <w:t xml:space="preserve">UIT </w:t>
      </w:r>
      <w:r>
        <w:rPr>
          <w:lang w:val="fr-CH"/>
        </w:rPr>
        <w:t>organisés par l</w:t>
      </w:r>
      <w:r w:rsidR="0025212F">
        <w:rPr>
          <w:lang w:val="fr-CH"/>
        </w:rPr>
        <w:t>'</w:t>
      </w:r>
      <w:r>
        <w:rPr>
          <w:lang w:val="fr-CH"/>
        </w:rPr>
        <w:t xml:space="preserve">UIT-D </w:t>
      </w:r>
      <w:r w:rsidR="00805B71">
        <w:rPr>
          <w:lang w:val="fr-CH"/>
        </w:rPr>
        <w:t>(voir le § </w:t>
      </w:r>
      <w:r w:rsidRPr="00193258">
        <w:rPr>
          <w:lang w:val="fr-CH"/>
        </w:rPr>
        <w:t>7.1). Dans le cadre de la Résolution</w:t>
      </w:r>
      <w:r>
        <w:rPr>
          <w:lang w:val="fr-CH"/>
        </w:rPr>
        <w:t xml:space="preserve"> UIT-R 11-4 (</w:t>
      </w:r>
      <w:r w:rsidRPr="009B5785">
        <w:rPr>
          <w:lang w:val="fr-CH"/>
        </w:rPr>
        <w:t xml:space="preserve">Perfectionnement du </w:t>
      </w:r>
      <w:r>
        <w:rPr>
          <w:lang w:val="fr-CH"/>
        </w:rPr>
        <w:t>s</w:t>
      </w:r>
      <w:r w:rsidRPr="009B5785">
        <w:rPr>
          <w:lang w:val="fr-CH"/>
        </w:rPr>
        <w:t>ystème de gestion du spectre pour les pays en développement</w:t>
      </w:r>
      <w:r>
        <w:rPr>
          <w:lang w:val="fr-CH"/>
        </w:rPr>
        <w:t xml:space="preserve">), </w:t>
      </w:r>
      <w:r w:rsidRPr="009B5785">
        <w:rPr>
          <w:lang w:val="fr-CH"/>
        </w:rPr>
        <w:t xml:space="preserve">le BR a participé à la conception et </w:t>
      </w:r>
      <w:r>
        <w:rPr>
          <w:lang w:val="fr-CH"/>
        </w:rPr>
        <w:t>au test</w:t>
      </w:r>
      <w:r w:rsidRPr="009B5785">
        <w:rPr>
          <w:lang w:val="fr-CH"/>
        </w:rPr>
        <w:t xml:space="preserve"> du logiciel SMS4DC (Système de gestion du spectre pour les pays en développement) ainsi qu</w:t>
      </w:r>
      <w:r w:rsidR="0025212F">
        <w:rPr>
          <w:lang w:val="fr-CH"/>
        </w:rPr>
        <w:t>'</w:t>
      </w:r>
      <w:r w:rsidRPr="009B5785">
        <w:rPr>
          <w:lang w:val="fr-CH"/>
        </w:rPr>
        <w:t>à la formation à l</w:t>
      </w:r>
      <w:r w:rsidR="0025212F">
        <w:rPr>
          <w:lang w:val="fr-CH"/>
        </w:rPr>
        <w:t>'</w:t>
      </w:r>
      <w:r w:rsidRPr="009B5785">
        <w:rPr>
          <w:lang w:val="fr-CH"/>
        </w:rPr>
        <w:t>utilisation de ce logiciel et a donné des avis sur l</w:t>
      </w:r>
      <w:r w:rsidR="0025212F">
        <w:rPr>
          <w:lang w:val="fr-CH"/>
        </w:rPr>
        <w:t>'</w:t>
      </w:r>
      <w:r w:rsidRPr="009B5785">
        <w:rPr>
          <w:lang w:val="fr-CH"/>
        </w:rPr>
        <w:t>utilisation des Recommandations pertinentes de l</w:t>
      </w:r>
      <w:r w:rsidR="0025212F">
        <w:rPr>
          <w:lang w:val="fr-CH"/>
        </w:rPr>
        <w:t>'</w:t>
      </w:r>
      <w:r w:rsidRPr="009B5785">
        <w:rPr>
          <w:lang w:val="fr-CH"/>
        </w:rPr>
        <w:t xml:space="preserve">UIT-R. </w:t>
      </w:r>
      <w:r>
        <w:rPr>
          <w:lang w:val="fr-CH"/>
        </w:rPr>
        <w:t>En outre,</w:t>
      </w:r>
      <w:r w:rsidR="0009232C">
        <w:rPr>
          <w:lang w:val="fr-CH"/>
        </w:rPr>
        <w:t xml:space="preserve"> la Commission d</w:t>
      </w:r>
      <w:r w:rsidR="0025212F">
        <w:rPr>
          <w:lang w:val="fr-CH"/>
        </w:rPr>
        <w:t>'</w:t>
      </w:r>
      <w:r w:rsidR="0009232C">
        <w:rPr>
          <w:lang w:val="fr-CH"/>
        </w:rPr>
        <w:t>études </w:t>
      </w:r>
      <w:r w:rsidRPr="009B5785">
        <w:rPr>
          <w:lang w:val="fr-CH"/>
        </w:rPr>
        <w:t>1 de l</w:t>
      </w:r>
      <w:r w:rsidR="0025212F">
        <w:rPr>
          <w:lang w:val="fr-CH"/>
        </w:rPr>
        <w:t>'</w:t>
      </w:r>
      <w:r w:rsidRPr="009B5785">
        <w:rPr>
          <w:lang w:val="fr-CH"/>
        </w:rPr>
        <w:t xml:space="preserve">UIT-R a continué de </w:t>
      </w:r>
      <w:r>
        <w:rPr>
          <w:lang w:val="fr-CH"/>
        </w:rPr>
        <w:t>collabor</w:t>
      </w:r>
      <w:r w:rsidR="00E45ADF">
        <w:rPr>
          <w:lang w:val="fr-CH"/>
        </w:rPr>
        <w:t>er étroitement avec les C</w:t>
      </w:r>
      <w:r w:rsidRPr="009B5785">
        <w:rPr>
          <w:lang w:val="fr-CH"/>
        </w:rPr>
        <w:t>ommissions d</w:t>
      </w:r>
      <w:r w:rsidR="0025212F">
        <w:rPr>
          <w:lang w:val="fr-CH"/>
        </w:rPr>
        <w:t>'</w:t>
      </w:r>
      <w:r w:rsidRPr="009B5785">
        <w:rPr>
          <w:lang w:val="fr-CH"/>
        </w:rPr>
        <w:t>études de l</w:t>
      </w:r>
      <w:r w:rsidR="0025212F">
        <w:rPr>
          <w:lang w:val="fr-CH"/>
        </w:rPr>
        <w:t>'</w:t>
      </w:r>
      <w:r w:rsidRPr="009B5785">
        <w:rPr>
          <w:lang w:val="fr-CH"/>
        </w:rPr>
        <w:t xml:space="preserve">UIT-D </w:t>
      </w:r>
      <w:r>
        <w:rPr>
          <w:lang w:val="fr-CH"/>
        </w:rPr>
        <w:t>dans le cadre d</w:t>
      </w:r>
      <w:r w:rsidRPr="009B5785">
        <w:rPr>
          <w:lang w:val="fr-CH"/>
        </w:rPr>
        <w:t>es études sur l</w:t>
      </w:r>
      <w:r w:rsidR="0025212F">
        <w:rPr>
          <w:lang w:val="fr-CH"/>
        </w:rPr>
        <w:t>'</w:t>
      </w:r>
      <w:r w:rsidRPr="009B5785">
        <w:rPr>
          <w:lang w:val="fr-CH"/>
        </w:rPr>
        <w:t>utilisation du spect</w:t>
      </w:r>
      <w:r w:rsidR="00805B71">
        <w:rPr>
          <w:lang w:val="fr-CH"/>
        </w:rPr>
        <w:t>re conformément à la Résolution </w:t>
      </w:r>
      <w:r w:rsidRPr="009B5785">
        <w:rPr>
          <w:lang w:val="fr-CH"/>
        </w:rPr>
        <w:t>9 de l</w:t>
      </w:r>
      <w:r w:rsidR="0025212F">
        <w:rPr>
          <w:lang w:val="fr-CH"/>
        </w:rPr>
        <w:t>'</w:t>
      </w:r>
      <w:r w:rsidRPr="009B5785">
        <w:rPr>
          <w:lang w:val="fr-CH"/>
        </w:rPr>
        <w:t>UIT-D.</w:t>
      </w:r>
    </w:p>
    <w:p w:rsidR="00F6435B" w:rsidRDefault="0009232C" w:rsidP="002D5B0A">
      <w:r>
        <w:t>En </w:t>
      </w:r>
      <w:r w:rsidR="00F6435B">
        <w:t xml:space="preserve">2013, le BR a élaboré, conjointement avec le BDT, un </w:t>
      </w:r>
      <w:r w:rsidR="00F6435B">
        <w:rPr>
          <w:color w:val="000000"/>
        </w:rPr>
        <w:t>Rapport de l</w:t>
      </w:r>
      <w:r w:rsidR="0025212F">
        <w:rPr>
          <w:color w:val="000000"/>
        </w:rPr>
        <w:t>'</w:t>
      </w:r>
      <w:r w:rsidR="00F6435B">
        <w:rPr>
          <w:color w:val="000000"/>
        </w:rPr>
        <w:t xml:space="preserve">UIT sur le dividende numérique. </w:t>
      </w:r>
      <w:r w:rsidR="00A424CA">
        <w:t>A</w:t>
      </w:r>
      <w:r w:rsidR="00F6435B">
        <w:t xml:space="preserve"> ce titre, la</w:t>
      </w:r>
      <w:r w:rsidR="00F6435B" w:rsidRPr="00890EA9">
        <w:rPr>
          <w:lang w:val="fr-CH"/>
        </w:rPr>
        <w:t xml:space="preserve"> </w:t>
      </w:r>
      <w:r w:rsidR="00F6435B" w:rsidRPr="009B5785">
        <w:rPr>
          <w:lang w:val="fr-CH"/>
        </w:rPr>
        <w:t>Commission d</w:t>
      </w:r>
      <w:r w:rsidR="0025212F">
        <w:rPr>
          <w:lang w:val="fr-CH"/>
        </w:rPr>
        <w:t>'</w:t>
      </w:r>
      <w:r w:rsidR="00F6435B" w:rsidRPr="009B5785">
        <w:rPr>
          <w:lang w:val="fr-CH"/>
        </w:rPr>
        <w:t>études</w:t>
      </w:r>
      <w:r>
        <w:rPr>
          <w:lang w:val="fr-CH"/>
        </w:rPr>
        <w:t> </w:t>
      </w:r>
      <w:r w:rsidR="00F6435B" w:rsidRPr="009B5785">
        <w:rPr>
          <w:lang w:val="fr-CH"/>
        </w:rPr>
        <w:t>1 de l</w:t>
      </w:r>
      <w:r w:rsidR="0025212F">
        <w:rPr>
          <w:lang w:val="fr-CH"/>
        </w:rPr>
        <w:t>'</w:t>
      </w:r>
      <w:r w:rsidR="00F6435B" w:rsidRPr="009B5785">
        <w:rPr>
          <w:lang w:val="fr-CH"/>
        </w:rPr>
        <w:t>UIT-R</w:t>
      </w:r>
      <w:r w:rsidR="00F6435B">
        <w:rPr>
          <w:lang w:val="fr-CH"/>
        </w:rPr>
        <w:t xml:space="preserve"> a </w:t>
      </w:r>
      <w:r w:rsidR="00F32FBE">
        <w:rPr>
          <w:lang w:val="fr-CH"/>
        </w:rPr>
        <w:t xml:space="preserve">depuis </w:t>
      </w:r>
      <w:r w:rsidR="004B3CDA">
        <w:rPr>
          <w:lang w:val="fr-CH"/>
        </w:rPr>
        <w:t>établi</w:t>
      </w:r>
      <w:r w:rsidR="00F32FBE">
        <w:rPr>
          <w:lang w:val="fr-CH"/>
        </w:rPr>
        <w:t>,</w:t>
      </w:r>
      <w:r w:rsidR="00F6435B">
        <w:rPr>
          <w:lang w:val="fr-CH"/>
        </w:rPr>
        <w:t xml:space="preserve"> et </w:t>
      </w:r>
      <w:r w:rsidR="00F32FBE">
        <w:rPr>
          <w:lang w:val="fr-CH"/>
        </w:rPr>
        <w:t xml:space="preserve">dernièrement </w:t>
      </w:r>
      <w:r w:rsidR="00F6435B">
        <w:rPr>
          <w:lang w:val="fr-CH"/>
        </w:rPr>
        <w:t>adopté, un rapport de l</w:t>
      </w:r>
      <w:r w:rsidR="0025212F">
        <w:rPr>
          <w:lang w:val="fr-CH"/>
        </w:rPr>
        <w:t>'</w:t>
      </w:r>
      <w:r w:rsidR="00F6435B">
        <w:rPr>
          <w:lang w:val="fr-CH"/>
        </w:rPr>
        <w:t>UIT-R sur cette question.</w:t>
      </w:r>
    </w:p>
    <w:p w:rsidR="00F6435B" w:rsidRPr="003E2A5C" w:rsidRDefault="00F6435B" w:rsidP="002D5B0A">
      <w:pPr>
        <w:rPr>
          <w:lang w:val="fr-CH"/>
        </w:rPr>
      </w:pPr>
      <w:r w:rsidRPr="005A6C15">
        <w:rPr>
          <w:lang w:val="fr-CH"/>
        </w:rPr>
        <w:t>L</w:t>
      </w:r>
      <w:r w:rsidR="0025212F">
        <w:rPr>
          <w:lang w:val="fr-CH"/>
        </w:rPr>
        <w:t>'</w:t>
      </w:r>
      <w:r w:rsidRPr="005A6C15">
        <w:rPr>
          <w:lang w:val="fr-CH"/>
        </w:rPr>
        <w:t xml:space="preserve">élaboration de </w:t>
      </w:r>
      <w:r>
        <w:rPr>
          <w:lang w:val="fr-CH"/>
        </w:rPr>
        <w:t>M</w:t>
      </w:r>
      <w:r w:rsidRPr="005A6C15">
        <w:rPr>
          <w:lang w:val="fr-CH"/>
        </w:rPr>
        <w:t xml:space="preserve">anuels </w:t>
      </w:r>
      <w:r>
        <w:rPr>
          <w:lang w:val="fr-CH"/>
        </w:rPr>
        <w:t xml:space="preserve">est toujours </w:t>
      </w:r>
      <w:r w:rsidRPr="005A6C15">
        <w:rPr>
          <w:lang w:val="fr-CH"/>
        </w:rPr>
        <w:t>considérée comme un</w:t>
      </w:r>
      <w:r>
        <w:rPr>
          <w:lang w:val="fr-CH"/>
        </w:rPr>
        <w:t xml:space="preserve"> aspect essentiel du travail </w:t>
      </w:r>
      <w:r w:rsidR="00E45ADF">
        <w:rPr>
          <w:lang w:val="fr-CH"/>
        </w:rPr>
        <w:t>des C</w:t>
      </w:r>
      <w:r w:rsidRPr="005A6C15">
        <w:rPr>
          <w:lang w:val="fr-CH"/>
        </w:rPr>
        <w:t>ommissions d</w:t>
      </w:r>
      <w:r w:rsidR="0025212F">
        <w:rPr>
          <w:lang w:val="fr-CH"/>
        </w:rPr>
        <w:t>'</w:t>
      </w:r>
      <w:r w:rsidRPr="005A6C15">
        <w:rPr>
          <w:lang w:val="fr-CH"/>
        </w:rPr>
        <w:t>études, compte tenu de</w:t>
      </w:r>
      <w:r>
        <w:rPr>
          <w:lang w:val="fr-CH"/>
        </w:rPr>
        <w:t xml:space="preserve"> la nécessité de répondre aux</w:t>
      </w:r>
      <w:r w:rsidRPr="005A6C15">
        <w:rPr>
          <w:lang w:val="fr-CH"/>
        </w:rPr>
        <w:t xml:space="preserve"> besoins des pays en développement. </w:t>
      </w:r>
      <w:r w:rsidR="00A424CA">
        <w:rPr>
          <w:lang w:val="fr-CH"/>
        </w:rPr>
        <w:t>A</w:t>
      </w:r>
      <w:r w:rsidRPr="003E2A5C">
        <w:rPr>
          <w:lang w:val="fr-CH"/>
        </w:rPr>
        <w:t xml:space="preserve"> cet égard, </w:t>
      </w:r>
      <w:r>
        <w:rPr>
          <w:lang w:val="fr-CH"/>
        </w:rPr>
        <w:t>des</w:t>
      </w:r>
      <w:r w:rsidRPr="003E2A5C">
        <w:rPr>
          <w:lang w:val="fr-CH"/>
        </w:rPr>
        <w:t xml:space="preserve"> </w:t>
      </w:r>
      <w:r>
        <w:rPr>
          <w:lang w:val="fr-CH"/>
        </w:rPr>
        <w:t>M</w:t>
      </w:r>
      <w:r w:rsidRPr="003E2A5C">
        <w:rPr>
          <w:lang w:val="fr-CH"/>
        </w:rPr>
        <w:t>anuels</w:t>
      </w:r>
      <w:r>
        <w:rPr>
          <w:lang w:val="fr-CH"/>
        </w:rPr>
        <w:t>, nouveaux ou révisés,</w:t>
      </w:r>
      <w:r w:rsidRPr="003E2A5C">
        <w:rPr>
          <w:lang w:val="fr-CH"/>
        </w:rPr>
        <w:t xml:space="preserve"> </w:t>
      </w:r>
      <w:r>
        <w:rPr>
          <w:lang w:val="fr-CH"/>
        </w:rPr>
        <w:t>ont été élaborés sur les questions suivantes: contrôle du spectre, informations sur la propagation des ondes radioélectriques pour la conception des liaisons de Terre point à point, services d</w:t>
      </w:r>
      <w:r w:rsidR="0025212F">
        <w:rPr>
          <w:lang w:val="fr-CH"/>
        </w:rPr>
        <w:t>'</w:t>
      </w:r>
      <w:r>
        <w:rPr>
          <w:lang w:val="fr-CH"/>
        </w:rPr>
        <w:t>amateur et d</w:t>
      </w:r>
      <w:r w:rsidR="0025212F">
        <w:rPr>
          <w:lang w:val="fr-CH"/>
        </w:rPr>
        <w:t>'</w:t>
      </w:r>
      <w:r>
        <w:rPr>
          <w:lang w:val="fr-CH"/>
        </w:rPr>
        <w:t>amateur par satellite, passage aux systèmes IMT-2000 et utilisation du spectre radioélectrique pour la météorologie: surveillance et prévisions concernant le climat, le temps et l</w:t>
      </w:r>
      <w:r w:rsidR="0025212F">
        <w:rPr>
          <w:lang w:val="fr-CH"/>
        </w:rPr>
        <w:t>'</w:t>
      </w:r>
      <w:r>
        <w:rPr>
          <w:lang w:val="fr-CH"/>
        </w:rPr>
        <w:t>eau.</w:t>
      </w:r>
    </w:p>
    <w:p w:rsidR="00F6435B" w:rsidRDefault="00F6435B" w:rsidP="002D5B0A">
      <w:pPr>
        <w:pStyle w:val="Heading2"/>
        <w:rPr>
          <w:lang w:val="fr-CH"/>
        </w:rPr>
      </w:pPr>
      <w:bookmarkStart w:id="40" w:name="_Toc426463282"/>
      <w:r>
        <w:rPr>
          <w:lang w:val="fr-CH"/>
        </w:rPr>
        <w:t>8</w:t>
      </w:r>
      <w:r w:rsidRPr="00C61D95">
        <w:rPr>
          <w:lang w:val="fr-CH"/>
        </w:rPr>
        <w:t>.2</w:t>
      </w:r>
      <w:r w:rsidRPr="00C61D95">
        <w:rPr>
          <w:lang w:val="fr-CH"/>
        </w:rPr>
        <w:tab/>
        <w:t>Coopération avec l</w:t>
      </w:r>
      <w:r w:rsidR="0025212F">
        <w:rPr>
          <w:lang w:val="fr-CH"/>
        </w:rPr>
        <w:t>'</w:t>
      </w:r>
      <w:r w:rsidRPr="00C61D95">
        <w:rPr>
          <w:lang w:val="fr-CH"/>
        </w:rPr>
        <w:t>UIT-T</w:t>
      </w:r>
      <w:bookmarkEnd w:id="40"/>
    </w:p>
    <w:p w:rsidR="00F6435B" w:rsidRDefault="00F6435B" w:rsidP="002D5B0A">
      <w:r>
        <w:t>Outre les changements climatiques et les communications d</w:t>
      </w:r>
      <w:r w:rsidR="0025212F">
        <w:t>'</w:t>
      </w:r>
      <w:r>
        <w:t>urgence, diverses questions présentent un intérêt mutuel pour l</w:t>
      </w:r>
      <w:r w:rsidR="0025212F">
        <w:t>'</w:t>
      </w:r>
      <w:r>
        <w:t>UIT-R et l</w:t>
      </w:r>
      <w:r w:rsidR="0025212F">
        <w:t>'</w:t>
      </w:r>
      <w:r>
        <w:t>UIT-T</w:t>
      </w:r>
      <w:r w:rsidR="00805B71">
        <w:t>, notamment les IMT à l</w:t>
      </w:r>
      <w:r w:rsidR="0025212F">
        <w:t>'</w:t>
      </w:r>
      <w:r w:rsidR="00805B71">
        <w:t>horizon </w:t>
      </w:r>
      <w:r>
        <w:t>2020, les effets de l</w:t>
      </w:r>
      <w:r w:rsidR="0025212F">
        <w:t>'</w:t>
      </w:r>
      <w:r>
        <w:t>exposition des personnes aux fréquences radioélectriques, les systèmes de télécommunication à courants porteurs en ligne, les systèmes de transport intelligents, la politique commune en matière de brevets et les droits de propriété intellectuelle et l</w:t>
      </w:r>
      <w:r w:rsidR="0025212F">
        <w:t>'</w:t>
      </w:r>
      <w:r>
        <w:t>accessibilité des supports audiovisuels.</w:t>
      </w:r>
    </w:p>
    <w:p w:rsidR="00F6435B" w:rsidRDefault="00F6435B" w:rsidP="002D5B0A">
      <w:pPr>
        <w:rPr>
          <w:color w:val="000000"/>
        </w:rPr>
      </w:pPr>
      <w:r>
        <w:rPr>
          <w:color w:val="000000"/>
        </w:rPr>
        <w:t>La CE</w:t>
      </w:r>
      <w:r w:rsidR="00805B71">
        <w:rPr>
          <w:color w:val="000000"/>
        </w:rPr>
        <w:t> </w:t>
      </w:r>
      <w:r>
        <w:rPr>
          <w:color w:val="000000"/>
        </w:rPr>
        <w:t>6 a constitué un nouveau Groupe du Rapporteur intersectoriel (GRI) sur les systèmes de radiodiffusion large bande intégrés (IBB), en plus des deux GRI actuels sur l</w:t>
      </w:r>
      <w:r w:rsidR="0025212F">
        <w:rPr>
          <w:color w:val="000000"/>
        </w:rPr>
        <w:t>'</w:t>
      </w:r>
      <w:r>
        <w:rPr>
          <w:color w:val="000000"/>
        </w:rPr>
        <w:t>accessibilité des supports audiovisuels (GRI-AVA) et les évaluations de la qualité audiovisuelle (GRI-AVQA).</w:t>
      </w:r>
    </w:p>
    <w:p w:rsidR="00F6435B" w:rsidRPr="00151A09" w:rsidRDefault="00F6435B" w:rsidP="002D5B0A">
      <w:pPr>
        <w:rPr>
          <w:lang w:val="fr-CH"/>
        </w:rPr>
      </w:pPr>
      <w:r>
        <w:t>Il reste nécessaire d</w:t>
      </w:r>
      <w:r w:rsidR="0025212F">
        <w:t>'</w:t>
      </w:r>
      <w:r>
        <w:t>établir une coordination étroite sur les diverses questions actuellement examinées par l</w:t>
      </w:r>
      <w:r w:rsidR="0025212F">
        <w:t>'</w:t>
      </w:r>
      <w:r>
        <w:t>UIT-T qui empiètent sur des questions de radiocommunication, afin de réduire les risques de double emploi et de chevauchement des travaux menés par les deux Secteurs.</w:t>
      </w:r>
    </w:p>
    <w:p w:rsidR="00F6435B" w:rsidRDefault="00F6435B" w:rsidP="002D5B0A">
      <w:pPr>
        <w:pStyle w:val="Heading2"/>
        <w:rPr>
          <w:lang w:val="fr-CH"/>
        </w:rPr>
      </w:pPr>
      <w:bookmarkStart w:id="41" w:name="_Toc426463283"/>
      <w:r>
        <w:rPr>
          <w:lang w:val="fr-CH"/>
        </w:rPr>
        <w:t>8</w:t>
      </w:r>
      <w:r w:rsidRPr="00A9386A">
        <w:rPr>
          <w:lang w:val="fr-CH"/>
        </w:rPr>
        <w:t>.3</w:t>
      </w:r>
      <w:r w:rsidRPr="00A9386A">
        <w:rPr>
          <w:lang w:val="fr-CH"/>
        </w:rPr>
        <w:tab/>
        <w:t>Coopération avec les organisations internationales et régionales</w:t>
      </w:r>
      <w:bookmarkEnd w:id="41"/>
    </w:p>
    <w:p w:rsidR="00F6435B" w:rsidRDefault="00F6435B" w:rsidP="002D5B0A">
      <w:pPr>
        <w:rPr>
          <w:lang w:val="fr-CH"/>
        </w:rPr>
      </w:pPr>
      <w:r w:rsidRPr="00FB1A4F">
        <w:rPr>
          <w:lang w:val="fr-CH"/>
        </w:rPr>
        <w:t xml:space="preserve">Comme par le passé, le Bureau a maintenu une coopération étroite avec de nombreuses organisations internationales </w:t>
      </w:r>
      <w:r>
        <w:rPr>
          <w:lang w:val="fr-CH"/>
        </w:rPr>
        <w:t>ou</w:t>
      </w:r>
      <w:r w:rsidRPr="00FB1A4F">
        <w:rPr>
          <w:lang w:val="fr-CH"/>
        </w:rPr>
        <w:t xml:space="preserve"> régionales, avec les objectifs suivants: 1) encourager le dialogue entre organismes ayant des intérêts communs; 2) faciliter la coordination afin de mieux préparer des manifestations comme les CMR; et 3) tenir l</w:t>
      </w:r>
      <w:r w:rsidR="0025212F">
        <w:rPr>
          <w:lang w:val="fr-CH"/>
        </w:rPr>
        <w:t>'</w:t>
      </w:r>
      <w:r w:rsidRPr="00FB1A4F">
        <w:rPr>
          <w:lang w:val="fr-CH"/>
        </w:rPr>
        <w:t xml:space="preserve">UIT-R informé des activités pertinentes </w:t>
      </w:r>
      <w:r>
        <w:rPr>
          <w:lang w:val="fr-CH"/>
        </w:rPr>
        <w:t xml:space="preserve">menées par </w:t>
      </w:r>
      <w:r w:rsidRPr="00FB1A4F">
        <w:rPr>
          <w:lang w:val="fr-CH"/>
        </w:rPr>
        <w:t>d</w:t>
      </w:r>
      <w:r w:rsidR="0025212F">
        <w:rPr>
          <w:lang w:val="fr-CH"/>
        </w:rPr>
        <w:t>'</w:t>
      </w:r>
      <w:r w:rsidRPr="00FB1A4F">
        <w:rPr>
          <w:lang w:val="fr-CH"/>
        </w:rPr>
        <w:t>autres organisations afin de faciliter la planification des programmes de travail</w:t>
      </w:r>
      <w:r>
        <w:rPr>
          <w:lang w:val="fr-CH"/>
        </w:rPr>
        <w:t>.</w:t>
      </w:r>
    </w:p>
    <w:p w:rsidR="00F6435B" w:rsidRDefault="00F6435B" w:rsidP="002D5B0A">
      <w:r>
        <w:t>Le BR continue de travailler en coopération étroite avec les organisations internationales ou régionales s</w:t>
      </w:r>
      <w:r w:rsidR="0025212F">
        <w:t>'</w:t>
      </w:r>
      <w:r>
        <w:t>occupant de l</w:t>
      </w:r>
      <w:r w:rsidR="0025212F">
        <w:t>'</w:t>
      </w:r>
      <w:r>
        <w:t>utilisation du spectre</w:t>
      </w:r>
      <w:r w:rsidRPr="002D2DD0">
        <w:t xml:space="preserve"> </w:t>
      </w:r>
      <w:r>
        <w:t>(APT, ASMG, UAT, CEPT, CITEL et RCC) ou, plus généralement, de l</w:t>
      </w:r>
      <w:r w:rsidR="0025212F">
        <w:t>'</w:t>
      </w:r>
      <w:r>
        <w:t>utilisation des services de radiocommunication (ICTO, ITSO, ESOA, GVF, GSMA, UER, par exemple),</w:t>
      </w:r>
      <w:r w:rsidRPr="009F3863">
        <w:t xml:space="preserve"> </w:t>
      </w:r>
      <w:r>
        <w:t>en organisant et en faisant mieux connaître des manifestations destinées à renforcer les capacités concernant l</w:t>
      </w:r>
      <w:r w:rsidR="0025212F">
        <w:t>'</w:t>
      </w:r>
      <w:r>
        <w:t>utilisation du RR, y compris les séminaires</w:t>
      </w:r>
      <w:r w:rsidRPr="006762F7">
        <w:t xml:space="preserve"> </w:t>
      </w:r>
      <w:r w:rsidR="00B4280C">
        <w:t xml:space="preserve">WRS et RRS, </w:t>
      </w:r>
      <w:r w:rsidR="004D7CE7">
        <w:t xml:space="preserve">comme indiqué au § 7, </w:t>
      </w:r>
      <w:r>
        <w:t>et en y participant.</w:t>
      </w:r>
    </w:p>
    <w:p w:rsidR="00F6435B" w:rsidRDefault="00F6435B" w:rsidP="000A2C67">
      <w:pPr>
        <w:keepNext/>
        <w:keepLines/>
        <w:rPr>
          <w:lang w:val="fr-CH"/>
        </w:rPr>
      </w:pPr>
      <w:r w:rsidRPr="0068567C">
        <w:rPr>
          <w:lang w:val="fr-CH"/>
        </w:rPr>
        <w:t>Conformément à la Résolution UIT-R</w:t>
      </w:r>
      <w:r w:rsidR="00645070">
        <w:rPr>
          <w:lang w:val="fr-CH"/>
        </w:rPr>
        <w:t> </w:t>
      </w:r>
      <w:r>
        <w:rPr>
          <w:lang w:val="fr-CH"/>
        </w:rPr>
        <w:t>9-4, la liaison a été renforcée avec plusieurs autres o</w:t>
      </w:r>
      <w:r w:rsidR="00A424CA">
        <w:rPr>
          <w:lang w:val="fr-CH"/>
        </w:rPr>
        <w:t>rganisations de normalisation. A</w:t>
      </w:r>
      <w:r>
        <w:rPr>
          <w:lang w:val="fr-CH"/>
        </w:rPr>
        <w:t xml:space="preserve"> titre d</w:t>
      </w:r>
      <w:r w:rsidR="0025212F">
        <w:rPr>
          <w:lang w:val="fr-CH"/>
        </w:rPr>
        <w:t>'</w:t>
      </w:r>
      <w:r>
        <w:rPr>
          <w:lang w:val="fr-CH"/>
        </w:rPr>
        <w:t>exemple, un mémorandum d</w:t>
      </w:r>
      <w:r w:rsidR="0025212F">
        <w:rPr>
          <w:lang w:val="fr-CH"/>
        </w:rPr>
        <w:t>'</w:t>
      </w:r>
      <w:r>
        <w:rPr>
          <w:lang w:val="fr-CH"/>
        </w:rPr>
        <w:t>accord a été élaboré entre l</w:t>
      </w:r>
      <w:r w:rsidR="0025212F">
        <w:rPr>
          <w:lang w:val="fr-CH"/>
        </w:rPr>
        <w:t>'</w:t>
      </w:r>
      <w:r>
        <w:rPr>
          <w:lang w:val="fr-CH"/>
        </w:rPr>
        <w:t>UIT et l</w:t>
      </w:r>
      <w:r w:rsidR="0025212F">
        <w:rPr>
          <w:lang w:val="fr-CH"/>
        </w:rPr>
        <w:t>'</w:t>
      </w:r>
      <w:r>
        <w:rPr>
          <w:lang w:val="fr-CH"/>
        </w:rPr>
        <w:t>ARIB, la CCSA, la TTA et le TTC, afin d</w:t>
      </w:r>
      <w:r w:rsidR="0025212F">
        <w:rPr>
          <w:lang w:val="fr-CH"/>
        </w:rPr>
        <w:t>'</w:t>
      </w:r>
      <w:r>
        <w:rPr>
          <w:lang w:val="fr-CH"/>
        </w:rPr>
        <w:t>harmoniser les activités de normalisation, et les mémorandums d</w:t>
      </w:r>
      <w:r w:rsidR="0025212F">
        <w:rPr>
          <w:lang w:val="fr-CH"/>
        </w:rPr>
        <w:t>'</w:t>
      </w:r>
      <w:r>
        <w:rPr>
          <w:lang w:val="fr-CH"/>
        </w:rPr>
        <w:t>accord existants entre, d</w:t>
      </w:r>
      <w:r w:rsidR="0025212F">
        <w:rPr>
          <w:lang w:val="fr-CH"/>
        </w:rPr>
        <w:t>'</w:t>
      </w:r>
      <w:r>
        <w:rPr>
          <w:lang w:val="fr-CH"/>
        </w:rPr>
        <w:t>une part, l</w:t>
      </w:r>
      <w:r w:rsidR="0025212F">
        <w:rPr>
          <w:lang w:val="fr-CH"/>
        </w:rPr>
        <w:t>'</w:t>
      </w:r>
      <w:r>
        <w:rPr>
          <w:lang w:val="fr-CH"/>
        </w:rPr>
        <w:t>UIT-R et l</w:t>
      </w:r>
      <w:r w:rsidR="0025212F">
        <w:rPr>
          <w:lang w:val="fr-CH"/>
        </w:rPr>
        <w:t>'</w:t>
      </w:r>
      <w:r>
        <w:rPr>
          <w:lang w:val="fr-CH"/>
        </w:rPr>
        <w:t>UIT-T et, d</w:t>
      </w:r>
      <w:r w:rsidR="0025212F">
        <w:rPr>
          <w:lang w:val="fr-CH"/>
        </w:rPr>
        <w:t>'</w:t>
      </w:r>
      <w:r>
        <w:rPr>
          <w:lang w:val="fr-CH"/>
        </w:rPr>
        <w:t>autre part, l</w:t>
      </w:r>
      <w:r w:rsidR="0025212F">
        <w:rPr>
          <w:lang w:val="fr-CH"/>
        </w:rPr>
        <w:t>'</w:t>
      </w:r>
      <w:r>
        <w:rPr>
          <w:lang w:val="fr-CH"/>
        </w:rPr>
        <w:t>ETSI, ont été réexaminés en vue d</w:t>
      </w:r>
      <w:r w:rsidR="0025212F">
        <w:rPr>
          <w:lang w:val="fr-CH"/>
        </w:rPr>
        <w:t>'</w:t>
      </w:r>
      <w:r>
        <w:rPr>
          <w:lang w:val="fr-CH"/>
        </w:rPr>
        <w:t>être regroupés dans un seul et même mémorandum d</w:t>
      </w:r>
      <w:r w:rsidR="0025212F">
        <w:rPr>
          <w:lang w:val="fr-CH"/>
        </w:rPr>
        <w:t>'</w:t>
      </w:r>
      <w:r>
        <w:rPr>
          <w:lang w:val="fr-CH"/>
        </w:rPr>
        <w:t>accord UIT/ETSI.</w:t>
      </w:r>
    </w:p>
    <w:p w:rsidR="00F6435B" w:rsidRDefault="00F6435B" w:rsidP="002D5B0A">
      <w:pPr>
        <w:rPr>
          <w:lang w:val="fr-CH"/>
        </w:rPr>
      </w:pPr>
      <w:r>
        <w:rPr>
          <w:lang w:val="fr-CH"/>
        </w:rPr>
        <w:t>Une attention particulière continue d</w:t>
      </w:r>
      <w:r w:rsidR="0025212F">
        <w:rPr>
          <w:lang w:val="fr-CH"/>
        </w:rPr>
        <w:t>'</w:t>
      </w:r>
      <w:r>
        <w:rPr>
          <w:lang w:val="fr-CH"/>
        </w:rPr>
        <w:t>être accordée aux activités du Groupe de collaboration pour la normalisation mondiale (GSC), auxquelles l</w:t>
      </w:r>
      <w:r w:rsidR="0025212F">
        <w:rPr>
          <w:lang w:val="fr-CH"/>
        </w:rPr>
        <w:t>'</w:t>
      </w:r>
      <w:r>
        <w:rPr>
          <w:lang w:val="fr-CH"/>
        </w:rPr>
        <w:t>UIT-R/BR et l</w:t>
      </w:r>
      <w:r w:rsidR="0025212F">
        <w:rPr>
          <w:lang w:val="fr-CH"/>
        </w:rPr>
        <w:t>'</w:t>
      </w:r>
      <w:r>
        <w:rPr>
          <w:lang w:val="fr-CH"/>
        </w:rPr>
        <w:t>UIT-T/TSB ont contribué chaque année, et l</w:t>
      </w:r>
      <w:r w:rsidR="0025212F">
        <w:rPr>
          <w:lang w:val="fr-CH"/>
        </w:rPr>
        <w:t>'</w:t>
      </w:r>
      <w:r>
        <w:rPr>
          <w:lang w:val="fr-CH"/>
        </w:rPr>
        <w:t xml:space="preserve">UIT a organisé la réunion du </w:t>
      </w:r>
      <w:r>
        <w:t xml:space="preserve">GSC </w:t>
      </w:r>
      <w:r w:rsidR="00805B71">
        <w:rPr>
          <w:lang w:val="fr-CH"/>
        </w:rPr>
        <w:t>en juillet </w:t>
      </w:r>
      <w:r>
        <w:rPr>
          <w:lang w:val="fr-CH"/>
        </w:rPr>
        <w:t>2015. La participa</w:t>
      </w:r>
      <w:r w:rsidR="00805B71">
        <w:rPr>
          <w:lang w:val="fr-CH"/>
        </w:rPr>
        <w:t>tion aux projets de partenariat </w:t>
      </w:r>
      <w:r>
        <w:rPr>
          <w:lang w:val="fr-CH"/>
        </w:rPr>
        <w:t>3G et aux travaux de l</w:t>
      </w:r>
      <w:r w:rsidR="0025212F">
        <w:rPr>
          <w:lang w:val="fr-CH"/>
        </w:rPr>
        <w:t>'</w:t>
      </w:r>
      <w:r>
        <w:rPr>
          <w:lang w:val="fr-CH"/>
        </w:rPr>
        <w:t>IEEE s</w:t>
      </w:r>
      <w:r w:rsidR="0025212F">
        <w:rPr>
          <w:lang w:val="fr-CH"/>
        </w:rPr>
        <w:t>'</w:t>
      </w:r>
      <w:r>
        <w:rPr>
          <w:lang w:val="fr-CH"/>
        </w:rPr>
        <w:t>est poursuivie, compte tenu de l</w:t>
      </w:r>
      <w:r w:rsidR="0025212F">
        <w:rPr>
          <w:lang w:val="fr-CH"/>
        </w:rPr>
        <w:t>'</w:t>
      </w:r>
      <w:r>
        <w:rPr>
          <w:lang w:val="fr-CH"/>
        </w:rPr>
        <w:t>importance et de l</w:t>
      </w:r>
      <w:r w:rsidR="0025212F">
        <w:rPr>
          <w:lang w:val="fr-CH"/>
        </w:rPr>
        <w:t>'</w:t>
      </w:r>
      <w:r>
        <w:rPr>
          <w:lang w:val="fr-CH"/>
        </w:rPr>
        <w:t>intérêt de ces projets et travaux pour les tr</w:t>
      </w:r>
      <w:r w:rsidR="00805B71">
        <w:rPr>
          <w:lang w:val="fr-CH"/>
        </w:rPr>
        <w:t>avaux de la Commission d</w:t>
      </w:r>
      <w:r w:rsidR="0025212F">
        <w:rPr>
          <w:lang w:val="fr-CH"/>
        </w:rPr>
        <w:t>'</w:t>
      </w:r>
      <w:r w:rsidR="00805B71">
        <w:rPr>
          <w:lang w:val="fr-CH"/>
        </w:rPr>
        <w:t>études </w:t>
      </w:r>
      <w:r>
        <w:rPr>
          <w:lang w:val="fr-CH"/>
        </w:rPr>
        <w:t>5. Parmi les</w:t>
      </w:r>
      <w:r w:rsidRPr="00DF5071">
        <w:rPr>
          <w:lang w:val="fr-CH"/>
        </w:rPr>
        <w:t xml:space="preserve"> autres domaines importants de </w:t>
      </w:r>
      <w:r w:rsidR="00E45ADF">
        <w:rPr>
          <w:lang w:val="fr-CH"/>
        </w:rPr>
        <w:t>liaison avec les activités des C</w:t>
      </w:r>
      <w:r w:rsidRPr="00DF5071">
        <w:rPr>
          <w:lang w:val="fr-CH"/>
        </w:rPr>
        <w:t>ommissions d</w:t>
      </w:r>
      <w:r w:rsidR="0025212F">
        <w:rPr>
          <w:lang w:val="fr-CH"/>
        </w:rPr>
        <w:t>'</w:t>
      </w:r>
      <w:r w:rsidRPr="00DF5071">
        <w:rPr>
          <w:lang w:val="fr-CH"/>
        </w:rPr>
        <w:t>études</w:t>
      </w:r>
      <w:r>
        <w:rPr>
          <w:lang w:val="fr-CH"/>
        </w:rPr>
        <w:t xml:space="preserve"> figurent la</w:t>
      </w:r>
      <w:r w:rsidRPr="00DF5071">
        <w:rPr>
          <w:lang w:val="fr-CH"/>
        </w:rPr>
        <w:t xml:space="preserve"> liaison avec l</w:t>
      </w:r>
      <w:r w:rsidR="0025212F">
        <w:rPr>
          <w:lang w:val="fr-CH"/>
        </w:rPr>
        <w:t>'</w:t>
      </w:r>
      <w:r w:rsidRPr="00DF5071">
        <w:rPr>
          <w:lang w:val="fr-CH"/>
        </w:rPr>
        <w:t xml:space="preserve">Organisation météorologique </w:t>
      </w:r>
      <w:r w:rsidR="00645070">
        <w:rPr>
          <w:lang w:val="fr-CH"/>
        </w:rPr>
        <w:t>mondiale (par le biais de la CE </w:t>
      </w:r>
      <w:r w:rsidRPr="00DF5071">
        <w:rPr>
          <w:lang w:val="fr-CH"/>
        </w:rPr>
        <w:t xml:space="preserve">7), avec </w:t>
      </w:r>
      <w:r w:rsidR="00645070">
        <w:rPr>
          <w:lang w:val="fr-CH"/>
        </w:rPr>
        <w:t>le CISPR (par le biais de la CE </w:t>
      </w:r>
      <w:r w:rsidRPr="00DF5071">
        <w:rPr>
          <w:lang w:val="fr-CH"/>
        </w:rPr>
        <w:t>1),</w:t>
      </w:r>
      <w:r>
        <w:rPr>
          <w:lang w:val="fr-CH"/>
        </w:rPr>
        <w:t xml:space="preserve"> avec l</w:t>
      </w:r>
      <w:r w:rsidR="0025212F">
        <w:rPr>
          <w:lang w:val="fr-CH"/>
        </w:rPr>
        <w:t>'</w:t>
      </w:r>
      <w:r>
        <w:rPr>
          <w:lang w:val="fr-CH"/>
        </w:rPr>
        <w:t>Organisation mondiale d</w:t>
      </w:r>
      <w:r w:rsidR="00805B71">
        <w:rPr>
          <w:lang w:val="fr-CH"/>
        </w:rPr>
        <w:t>e la santé (par le biais des CE 3 et </w:t>
      </w:r>
      <w:r>
        <w:rPr>
          <w:lang w:val="fr-CH"/>
        </w:rPr>
        <w:t xml:space="preserve">6), </w:t>
      </w:r>
      <w:r w:rsidRPr="00F933D4">
        <w:rPr>
          <w:lang w:val="fr-CH"/>
        </w:rPr>
        <w:t>avec le Groupe de</w:t>
      </w:r>
      <w:r w:rsidR="0080426A">
        <w:rPr>
          <w:lang w:val="fr-CH"/>
        </w:rPr>
        <w:t xml:space="preserve"> </w:t>
      </w:r>
      <w:r w:rsidRPr="00F933D4">
        <w:rPr>
          <w:lang w:val="fr-CH"/>
        </w:rPr>
        <w:t>coordination des fréquences spatiales (par le</w:t>
      </w:r>
      <w:r w:rsidR="00645070">
        <w:rPr>
          <w:lang w:val="fr-CH"/>
        </w:rPr>
        <w:t xml:space="preserve"> biais de la CE </w:t>
      </w:r>
      <w:r w:rsidRPr="00F933D4">
        <w:rPr>
          <w:lang w:val="fr-CH"/>
        </w:rPr>
        <w:t>7) et avec l</w:t>
      </w:r>
      <w:r w:rsidR="0025212F">
        <w:rPr>
          <w:lang w:val="fr-CH"/>
        </w:rPr>
        <w:t>'</w:t>
      </w:r>
      <w:r w:rsidRPr="00F933D4">
        <w:rPr>
          <w:lang w:val="fr-CH"/>
        </w:rPr>
        <w:t>Union européenne de radio-</w:t>
      </w:r>
      <w:r w:rsidR="00805B71">
        <w:rPr>
          <w:lang w:val="fr-CH"/>
        </w:rPr>
        <w:t>télévision (par le biais des CE 3 et </w:t>
      </w:r>
      <w:r w:rsidRPr="00F933D4">
        <w:rPr>
          <w:lang w:val="fr-CH"/>
        </w:rPr>
        <w:t>6)</w:t>
      </w:r>
      <w:r>
        <w:rPr>
          <w:lang w:val="fr-CH"/>
        </w:rPr>
        <w:t>.</w:t>
      </w:r>
    </w:p>
    <w:p w:rsidR="00F6435B" w:rsidRDefault="00F6435B" w:rsidP="002D5B0A">
      <w:pPr>
        <w:rPr>
          <w:lang w:val="fr-CH"/>
        </w:rPr>
      </w:pPr>
      <w:r w:rsidRPr="00FA09A7">
        <w:rPr>
          <w:lang w:val="fr-CH"/>
        </w:rPr>
        <w:t xml:space="preserve">Le BR </w:t>
      </w:r>
      <w:r>
        <w:rPr>
          <w:lang w:val="fr-CH"/>
        </w:rPr>
        <w:t>a assuré la</w:t>
      </w:r>
      <w:r w:rsidRPr="00FA09A7">
        <w:rPr>
          <w:lang w:val="fr-CH"/>
        </w:rPr>
        <w:t xml:space="preserve"> liaison et coopér</w:t>
      </w:r>
      <w:r>
        <w:rPr>
          <w:lang w:val="fr-CH"/>
        </w:rPr>
        <w:t>é</w:t>
      </w:r>
      <w:r w:rsidRPr="00FA09A7">
        <w:rPr>
          <w:lang w:val="fr-CH"/>
        </w:rPr>
        <w:t xml:space="preserve"> avec le Comité des utilisations pacifiques de l</w:t>
      </w:r>
      <w:r w:rsidR="0025212F">
        <w:rPr>
          <w:lang w:val="fr-CH"/>
        </w:rPr>
        <w:t>'</w:t>
      </w:r>
      <w:r w:rsidRPr="00FA09A7">
        <w:rPr>
          <w:lang w:val="fr-CH"/>
        </w:rPr>
        <w:t>espace extra</w:t>
      </w:r>
      <w:r>
        <w:rPr>
          <w:lang w:val="fr-CH"/>
        </w:rPr>
        <w:noBreakHyphen/>
      </w:r>
      <w:r w:rsidRPr="00FA09A7">
        <w:rPr>
          <w:lang w:val="fr-CH"/>
        </w:rPr>
        <w:t>atmosphérique des Nations Unies (UN-COPUOS), l</w:t>
      </w:r>
      <w:r w:rsidR="0025212F">
        <w:rPr>
          <w:lang w:val="fr-CH"/>
        </w:rPr>
        <w:t>'</w:t>
      </w:r>
      <w:r w:rsidRPr="00FA09A7">
        <w:rPr>
          <w:lang w:val="fr-CH"/>
        </w:rPr>
        <w:t>Organisation maritime internationale (OMI), l</w:t>
      </w:r>
      <w:r w:rsidR="0025212F">
        <w:rPr>
          <w:lang w:val="fr-CH"/>
        </w:rPr>
        <w:t>'</w:t>
      </w:r>
      <w:r w:rsidRPr="00FA09A7">
        <w:rPr>
          <w:lang w:val="fr-CH"/>
        </w:rPr>
        <w:t>Organisation internationale des télécommunications mobiles par satellite (IMSO), l</w:t>
      </w:r>
      <w:r w:rsidR="0025212F">
        <w:rPr>
          <w:lang w:val="fr-CH"/>
        </w:rPr>
        <w:t>'</w:t>
      </w:r>
      <w:r w:rsidRPr="00FA09A7">
        <w:rPr>
          <w:lang w:val="fr-CH"/>
        </w:rPr>
        <w:t>Organisation</w:t>
      </w:r>
      <w:r>
        <w:rPr>
          <w:lang w:val="fr-CH"/>
        </w:rPr>
        <w:t xml:space="preserve"> internationale des télécommunications par satellite</w:t>
      </w:r>
      <w:r w:rsidRPr="00FA09A7">
        <w:rPr>
          <w:lang w:val="fr-CH"/>
        </w:rPr>
        <w:t xml:space="preserve"> (ITSO), COSPAS-SARSAT, le CICR et l</w:t>
      </w:r>
      <w:r w:rsidR="0025212F">
        <w:rPr>
          <w:lang w:val="fr-CH"/>
        </w:rPr>
        <w:t>'</w:t>
      </w:r>
      <w:r w:rsidRPr="00FA09A7">
        <w:rPr>
          <w:lang w:val="fr-CH"/>
        </w:rPr>
        <w:t>OACI en ce qui concerne l</w:t>
      </w:r>
      <w:r w:rsidR="0025212F">
        <w:rPr>
          <w:lang w:val="fr-CH"/>
        </w:rPr>
        <w:t>'</w:t>
      </w:r>
      <w:r w:rsidRPr="00FA09A7">
        <w:rPr>
          <w:lang w:val="fr-CH"/>
        </w:rPr>
        <w:t>application des textes de l</w:t>
      </w:r>
      <w:r w:rsidR="0025212F">
        <w:rPr>
          <w:lang w:val="fr-CH"/>
        </w:rPr>
        <w:t>'</w:t>
      </w:r>
      <w:r w:rsidRPr="00FA09A7">
        <w:rPr>
          <w:lang w:val="fr-CH"/>
        </w:rPr>
        <w:t xml:space="preserve">UIT ayant valeur de traité. </w:t>
      </w:r>
      <w:r>
        <w:rPr>
          <w:lang w:val="fr-CH"/>
        </w:rPr>
        <w:t>D</w:t>
      </w:r>
      <w:r w:rsidRPr="00FA09A7">
        <w:rPr>
          <w:lang w:val="fr-CH"/>
        </w:rPr>
        <w:t>es experts du BR ont également participé à diverses réunions de ces organisations.</w:t>
      </w:r>
    </w:p>
    <w:p w:rsidR="00F6435B" w:rsidRDefault="00F6435B" w:rsidP="002D5B0A">
      <w:pPr>
        <w:rPr>
          <w:lang w:val="fr-CH"/>
        </w:rPr>
      </w:pPr>
      <w:r w:rsidRPr="00FA7439">
        <w:rPr>
          <w:lang w:val="fr-CH"/>
        </w:rPr>
        <w:t>Le BR a également assuré la liaison et coopéré avec l</w:t>
      </w:r>
      <w:r w:rsidR="0025212F">
        <w:rPr>
          <w:lang w:val="fr-CH"/>
        </w:rPr>
        <w:t>'</w:t>
      </w:r>
      <w:r w:rsidRPr="00FA7439">
        <w:rPr>
          <w:lang w:val="fr-CH"/>
        </w:rPr>
        <w:t>OMI, l</w:t>
      </w:r>
      <w:r w:rsidR="0025212F">
        <w:rPr>
          <w:lang w:val="fr-CH"/>
        </w:rPr>
        <w:t>'</w:t>
      </w:r>
      <w:r w:rsidRPr="00FA7439">
        <w:rPr>
          <w:lang w:val="fr-CH"/>
        </w:rPr>
        <w:t>OMM, la CEPT, la CITEL, l</w:t>
      </w:r>
      <w:r w:rsidR="0025212F">
        <w:rPr>
          <w:lang w:val="fr-CH"/>
        </w:rPr>
        <w:t>'</w:t>
      </w:r>
      <w:r w:rsidRPr="00FA7439">
        <w:rPr>
          <w:lang w:val="fr-CH"/>
        </w:rPr>
        <w:t>APT,</w:t>
      </w:r>
      <w:r>
        <w:rPr>
          <w:lang w:val="fr-CH"/>
        </w:rPr>
        <w:t xml:space="preserve"> l</w:t>
      </w:r>
      <w:r w:rsidR="0025212F">
        <w:rPr>
          <w:lang w:val="fr-CH"/>
        </w:rPr>
        <w:t>'</w:t>
      </w:r>
      <w:r>
        <w:rPr>
          <w:lang w:val="fr-CH"/>
        </w:rPr>
        <w:t>ASMG,</w:t>
      </w:r>
      <w:r w:rsidRPr="00FA7439">
        <w:rPr>
          <w:lang w:val="fr-CH"/>
        </w:rPr>
        <w:t xml:space="preserve"> l</w:t>
      </w:r>
      <w:r w:rsidR="0025212F">
        <w:rPr>
          <w:lang w:val="fr-CH"/>
        </w:rPr>
        <w:t>'</w:t>
      </w:r>
      <w:r w:rsidRPr="00FA7439">
        <w:rPr>
          <w:lang w:val="fr-CH"/>
        </w:rPr>
        <w:t>UAT, la RCC, l</w:t>
      </w:r>
      <w:r w:rsidR="0025212F">
        <w:rPr>
          <w:lang w:val="fr-CH"/>
        </w:rPr>
        <w:t>'</w:t>
      </w:r>
      <w:r w:rsidRPr="00FA7439">
        <w:rPr>
          <w:lang w:val="fr-CH"/>
        </w:rPr>
        <w:t>UER, l</w:t>
      </w:r>
      <w:r w:rsidR="0025212F">
        <w:rPr>
          <w:lang w:val="fr-CH"/>
        </w:rPr>
        <w:t>'</w:t>
      </w:r>
      <w:r w:rsidRPr="00FA7439">
        <w:rPr>
          <w:lang w:val="fr-CH"/>
        </w:rPr>
        <w:t>ABU, l</w:t>
      </w:r>
      <w:r w:rsidR="0025212F">
        <w:rPr>
          <w:lang w:val="fr-CH"/>
        </w:rPr>
        <w:t>'</w:t>
      </w:r>
      <w:r w:rsidRPr="00FA7439">
        <w:rPr>
          <w:lang w:val="fr-CH"/>
        </w:rPr>
        <w:t>ASBU</w:t>
      </w:r>
      <w:r w:rsidRPr="008A788D">
        <w:rPr>
          <w:lang w:val="fr-CH"/>
        </w:rPr>
        <w:t xml:space="preserve"> et les Unions de radiodiffusion mondiales pour préparer efficacement la CMR-</w:t>
      </w:r>
      <w:r>
        <w:rPr>
          <w:lang w:val="fr-CH"/>
        </w:rPr>
        <w:t xml:space="preserve">15. </w:t>
      </w:r>
      <w:r w:rsidRPr="00A3714E">
        <w:rPr>
          <w:lang w:val="fr-CH"/>
        </w:rPr>
        <w:t>La liaison et la coopération ont été également maintenues ave</w:t>
      </w:r>
      <w:r>
        <w:rPr>
          <w:lang w:val="fr-CH"/>
        </w:rPr>
        <w:t>c la CEI, l</w:t>
      </w:r>
      <w:r w:rsidR="0025212F">
        <w:rPr>
          <w:lang w:val="fr-CH"/>
        </w:rPr>
        <w:t>'</w:t>
      </w:r>
      <w:r>
        <w:rPr>
          <w:lang w:val="fr-CH"/>
        </w:rPr>
        <w:t>ISO, l</w:t>
      </w:r>
      <w:r w:rsidR="0025212F">
        <w:rPr>
          <w:lang w:val="fr-CH"/>
        </w:rPr>
        <w:t>'</w:t>
      </w:r>
      <w:r>
        <w:rPr>
          <w:lang w:val="fr-CH"/>
        </w:rPr>
        <w:t>ETSI et l</w:t>
      </w:r>
      <w:r w:rsidR="0025212F">
        <w:rPr>
          <w:lang w:val="fr-CH"/>
        </w:rPr>
        <w:t>'</w:t>
      </w:r>
      <w:r>
        <w:rPr>
          <w:lang w:val="fr-CH"/>
        </w:rPr>
        <w:t>IEEE.</w:t>
      </w:r>
    </w:p>
    <w:p w:rsidR="001B14DC" w:rsidRDefault="001B14DC" w:rsidP="000A2C67">
      <w:pPr>
        <w:pStyle w:val="Heading1"/>
        <w:rPr>
          <w:lang w:val="fr-CH"/>
        </w:rPr>
      </w:pPr>
      <w:r>
        <w:rPr>
          <w:lang w:val="fr-CH"/>
        </w:rPr>
        <w:t>9</w:t>
      </w:r>
      <w:r>
        <w:rPr>
          <w:lang w:val="fr-CH"/>
        </w:rPr>
        <w:tab/>
      </w:r>
      <w:r w:rsidR="000A2C67">
        <w:rPr>
          <w:lang w:val="fr-CH"/>
        </w:rPr>
        <w:t>Département des commissions d</w:t>
      </w:r>
      <w:r w:rsidR="0025212F">
        <w:rPr>
          <w:lang w:val="fr-CH"/>
        </w:rPr>
        <w:t>'</w:t>
      </w:r>
      <w:r w:rsidR="000A2C67">
        <w:rPr>
          <w:lang w:val="fr-CH"/>
        </w:rPr>
        <w:t>études</w:t>
      </w:r>
    </w:p>
    <w:p w:rsidR="001B14DC" w:rsidRDefault="001B14DC" w:rsidP="002D5B0A">
      <w:pPr>
        <w:pStyle w:val="Heading2"/>
        <w:rPr>
          <w:lang w:val="fr-CH"/>
        </w:rPr>
      </w:pPr>
      <w:r>
        <w:rPr>
          <w:lang w:val="fr-CH"/>
        </w:rPr>
        <w:t>9.1</w:t>
      </w:r>
      <w:r>
        <w:rPr>
          <w:lang w:val="fr-CH"/>
        </w:rPr>
        <w:tab/>
        <w:t>Ressources humaines</w:t>
      </w:r>
    </w:p>
    <w:p w:rsidR="001B14DC" w:rsidRDefault="00A424CA" w:rsidP="002D5B0A">
      <w:pPr>
        <w:rPr>
          <w:lang w:val="fr-CH"/>
        </w:rPr>
      </w:pPr>
      <w:r>
        <w:rPr>
          <w:lang w:val="fr-CH"/>
        </w:rPr>
        <w:t>A</w:t>
      </w:r>
      <w:r w:rsidR="00B474C7">
        <w:rPr>
          <w:lang w:val="fr-CH"/>
        </w:rPr>
        <w:t xml:space="preserve"> la fin de la période d</w:t>
      </w:r>
      <w:r w:rsidR="0025212F">
        <w:rPr>
          <w:lang w:val="fr-CH"/>
        </w:rPr>
        <w:t>'</w:t>
      </w:r>
      <w:r w:rsidR="00B474C7">
        <w:rPr>
          <w:lang w:val="fr-CH"/>
        </w:rPr>
        <w:t>études, le Département des Commissions d</w:t>
      </w:r>
      <w:r w:rsidR="0025212F">
        <w:rPr>
          <w:lang w:val="fr-CH"/>
        </w:rPr>
        <w:t>'</w:t>
      </w:r>
      <w:r w:rsidR="00805B71">
        <w:rPr>
          <w:lang w:val="fr-CH"/>
        </w:rPr>
        <w:t xml:space="preserve">études du BR comptait au total </w:t>
      </w:r>
      <w:r w:rsidR="00B474C7">
        <w:rPr>
          <w:lang w:val="fr-CH"/>
        </w:rPr>
        <w:t>six co</w:t>
      </w:r>
      <w:r w:rsidR="00805B71">
        <w:rPr>
          <w:lang w:val="fr-CH"/>
        </w:rPr>
        <w:t>nseillers, un ingénieur et sept </w:t>
      </w:r>
      <w:r w:rsidR="00B474C7">
        <w:rPr>
          <w:lang w:val="fr-CH"/>
        </w:rPr>
        <w:t>assistants, outre le Chef du Département et son assistante personnelle. Le BR/IAP (Département informatique, administration et publications) apporte lui aussi un appui aux activités des Commissions d</w:t>
      </w:r>
      <w:r w:rsidR="0025212F">
        <w:rPr>
          <w:lang w:val="fr-CH"/>
        </w:rPr>
        <w:t>'</w:t>
      </w:r>
      <w:r w:rsidR="00B474C7">
        <w:rPr>
          <w:lang w:val="fr-CH"/>
        </w:rPr>
        <w:t xml:space="preserve">études en ce qui concerne la logistique des réunions, </w:t>
      </w:r>
      <w:r w:rsidR="00B474C7" w:rsidRPr="00645070">
        <w:rPr>
          <w:lang w:val="fr-CH"/>
        </w:rPr>
        <w:t>l</w:t>
      </w:r>
      <w:r w:rsidR="0025212F">
        <w:rPr>
          <w:lang w:val="fr-CH"/>
        </w:rPr>
        <w:t>'</w:t>
      </w:r>
      <w:r w:rsidR="00B474C7" w:rsidRPr="00645070">
        <w:rPr>
          <w:lang w:val="fr-CH"/>
        </w:rPr>
        <w:t>expédition des documents, et l</w:t>
      </w:r>
      <w:r w:rsidR="0025212F">
        <w:rPr>
          <w:lang w:val="fr-CH"/>
        </w:rPr>
        <w:t>'</w:t>
      </w:r>
      <w:r w:rsidR="00B474C7" w:rsidRPr="00645070">
        <w:rPr>
          <w:lang w:val="fr-CH"/>
        </w:rPr>
        <w:t>édition des textes avant leur publication</w:t>
      </w:r>
      <w:r w:rsidR="00B474C7">
        <w:rPr>
          <w:lang w:val="fr-CH"/>
        </w:rPr>
        <w:t>.</w:t>
      </w:r>
    </w:p>
    <w:p w:rsidR="00B474C7" w:rsidRDefault="00B474C7" w:rsidP="002D5B0A">
      <w:pPr>
        <w:rPr>
          <w:lang w:val="fr-CH"/>
        </w:rPr>
      </w:pPr>
      <w:r>
        <w:rPr>
          <w:lang w:val="fr-CH"/>
        </w:rPr>
        <w:t>Avec ce niveau de ressources, le Département des Commissions d</w:t>
      </w:r>
      <w:r w:rsidR="0025212F">
        <w:rPr>
          <w:lang w:val="fr-CH"/>
        </w:rPr>
        <w:t>'</w:t>
      </w:r>
      <w:r>
        <w:rPr>
          <w:lang w:val="fr-CH"/>
        </w:rPr>
        <w:t>études a parfois eu des difficultés à fournir l</w:t>
      </w:r>
      <w:r w:rsidR="0025212F">
        <w:rPr>
          <w:lang w:val="fr-CH"/>
        </w:rPr>
        <w:t>'</w:t>
      </w:r>
      <w:r>
        <w:rPr>
          <w:lang w:val="fr-CH"/>
        </w:rPr>
        <w:t>appui requis dans les domaines suivants:</w:t>
      </w:r>
    </w:p>
    <w:p w:rsidR="00B474C7" w:rsidRPr="009E0E88" w:rsidRDefault="00A55E0B" w:rsidP="002D5B0A">
      <w:pPr>
        <w:pStyle w:val="enumlev1"/>
      </w:pPr>
      <w:r>
        <w:t>•</w:t>
      </w:r>
      <w:r>
        <w:tab/>
        <w:t>t</w:t>
      </w:r>
      <w:r w:rsidR="00B474C7" w:rsidRPr="009E0E88">
        <w:t>raitement des documents pendant les périodes chargées des réunions groupées, en particulier lorsque des réunions se tiennent simultanément à Genève et à l</w:t>
      </w:r>
      <w:r w:rsidR="0025212F">
        <w:t>'</w:t>
      </w:r>
      <w:r w:rsidR="00B474C7" w:rsidRPr="009E0E88">
        <w:t>extérieur</w:t>
      </w:r>
      <w:r>
        <w:t>;</w:t>
      </w:r>
    </w:p>
    <w:p w:rsidR="00B474C7" w:rsidRPr="009E0E88" w:rsidRDefault="00A55E0B" w:rsidP="002D5B0A">
      <w:pPr>
        <w:pStyle w:val="enumlev1"/>
      </w:pPr>
      <w:r>
        <w:t>•</w:t>
      </w:r>
      <w:r>
        <w:tab/>
        <w:t>a</w:t>
      </w:r>
      <w:r w:rsidR="00B474C7" w:rsidRPr="009E0E88">
        <w:t>u niveau professionnel, en particulier pour les grandes Commissions d</w:t>
      </w:r>
      <w:r w:rsidR="0025212F">
        <w:t>'</w:t>
      </w:r>
      <w:r w:rsidR="00B474C7" w:rsidRPr="009E0E88">
        <w:t xml:space="preserve">études </w:t>
      </w:r>
      <w:r w:rsidR="00365CF4">
        <w:t>comportant</w:t>
      </w:r>
      <w:r w:rsidR="00B474C7" w:rsidRPr="009E0E88">
        <w:t xml:space="preserve"> de nombreux </w:t>
      </w:r>
      <w:r w:rsidR="00B474C7">
        <w:t>g</w:t>
      </w:r>
      <w:r w:rsidR="00B474C7" w:rsidRPr="009E0E88">
        <w:t>roupes</w:t>
      </w:r>
      <w:r w:rsidR="00B474C7">
        <w:t xml:space="preserve"> </w:t>
      </w:r>
      <w:r w:rsidR="00B474C7" w:rsidRPr="009E0E88">
        <w:t xml:space="preserve">subordonnés et </w:t>
      </w:r>
      <w:r w:rsidR="00365CF4">
        <w:t>se réunissant fréquemment</w:t>
      </w:r>
      <w:r w:rsidR="00B474C7" w:rsidRPr="009E0E88">
        <w:t>.</w:t>
      </w:r>
    </w:p>
    <w:p w:rsidR="00B474C7" w:rsidRDefault="001614FE" w:rsidP="000A2C67">
      <w:pPr>
        <w:pStyle w:val="Heading2"/>
        <w:rPr>
          <w:lang w:val="fr-CH"/>
        </w:rPr>
      </w:pPr>
      <w:r>
        <w:rPr>
          <w:lang w:val="fr-CH"/>
        </w:rPr>
        <w:t>9</w:t>
      </w:r>
      <w:r w:rsidR="00B474C7">
        <w:rPr>
          <w:lang w:val="fr-CH"/>
        </w:rPr>
        <w:t>.2</w:t>
      </w:r>
      <w:r w:rsidR="00B474C7">
        <w:rPr>
          <w:lang w:val="fr-CH"/>
        </w:rPr>
        <w:tab/>
        <w:t>Appui fourni aux membres</w:t>
      </w:r>
    </w:p>
    <w:p w:rsidR="00B474C7" w:rsidRDefault="0020557A" w:rsidP="005E3CD4">
      <w:pPr>
        <w:keepNext/>
        <w:keepLines/>
      </w:pPr>
      <w:r w:rsidRPr="00BF0139">
        <w:t>Pendant la période d</w:t>
      </w:r>
      <w:r w:rsidR="0025212F">
        <w:t>'</w:t>
      </w:r>
      <w:r w:rsidRPr="00BF0139">
        <w:t>études, les</w:t>
      </w:r>
      <w:r w:rsidR="0053613F">
        <w:t xml:space="preserve"> participants aux travaux des C</w:t>
      </w:r>
      <w:r w:rsidRPr="00BF0139">
        <w:t>ommissions d</w:t>
      </w:r>
      <w:r w:rsidR="0025212F">
        <w:t>'</w:t>
      </w:r>
      <w:r w:rsidRPr="00BF0139">
        <w:t>étu</w:t>
      </w:r>
      <w:r>
        <w:t>des de l</w:t>
      </w:r>
      <w:r w:rsidR="0025212F">
        <w:t>'</w:t>
      </w:r>
      <w:r>
        <w:t>UIT</w:t>
      </w:r>
      <w:r>
        <w:noBreakHyphen/>
        <w:t>R</w:t>
      </w:r>
      <w:r w:rsidRPr="00BF0139">
        <w:t xml:space="preserve"> ainsi que </w:t>
      </w:r>
      <w:r>
        <w:t>les fonctionnaires du BR</w:t>
      </w:r>
      <w:r w:rsidRPr="00BF0139">
        <w:t xml:space="preserve"> ont continué de répondre aux demandes d</w:t>
      </w:r>
      <w:r w:rsidR="0025212F">
        <w:t>'</w:t>
      </w:r>
      <w:r w:rsidRPr="00BF0139">
        <w:t>informations et d</w:t>
      </w:r>
      <w:r w:rsidR="0025212F">
        <w:t>'</w:t>
      </w:r>
      <w:r w:rsidRPr="00BF0139">
        <w:t>avis sur des questions te</w:t>
      </w:r>
      <w:r w:rsidR="0053613F">
        <w:t xml:space="preserve">chniques liées aux travaux des </w:t>
      </w:r>
      <w:r w:rsidR="005E3CD4">
        <w:t>c</w:t>
      </w:r>
      <w:r w:rsidRPr="00BF0139">
        <w:t>ommissions d</w:t>
      </w:r>
      <w:r w:rsidR="0025212F">
        <w:t>'</w:t>
      </w:r>
      <w:r w:rsidRPr="00BF0139">
        <w:t>études. Ces questions se rapportent souvent aux prob</w:t>
      </w:r>
      <w:r>
        <w:t>lèmes que rencontrent certains M</w:t>
      </w:r>
      <w:r w:rsidRPr="00BF0139">
        <w:t>embres de</w:t>
      </w:r>
      <w:r>
        <w:t>s</w:t>
      </w:r>
      <w:r w:rsidRPr="00BF0139">
        <w:t xml:space="preserve"> pays en développement pour trouver des textes </w:t>
      </w:r>
      <w:r>
        <w:t xml:space="preserve">particuliers </w:t>
      </w:r>
      <w:r w:rsidRPr="00BF0139">
        <w:t>de l</w:t>
      </w:r>
      <w:r w:rsidR="0025212F">
        <w:t>'</w:t>
      </w:r>
      <w:r w:rsidRPr="00BF0139">
        <w:t xml:space="preserve">UIT-R ou des explications sur les informations qui y </w:t>
      </w:r>
      <w:r>
        <w:t>figurent</w:t>
      </w:r>
      <w:r w:rsidRPr="00BF0139">
        <w:t xml:space="preserve">. </w:t>
      </w:r>
      <w:r>
        <w:t xml:space="preserve">Une </w:t>
      </w:r>
      <w:r w:rsidRPr="00BF0139">
        <w:t xml:space="preserve">assistance </w:t>
      </w:r>
      <w:r>
        <w:t xml:space="preserve">a également été </w:t>
      </w:r>
      <w:r w:rsidRPr="00BF0139">
        <w:t xml:space="preserve">fournie </w:t>
      </w:r>
      <w:r>
        <w:t>sous</w:t>
      </w:r>
      <w:r w:rsidRPr="00BF0139">
        <w:t xml:space="preserve"> la forme d</w:t>
      </w:r>
      <w:r w:rsidR="0025212F">
        <w:t>'</w:t>
      </w:r>
      <w:r w:rsidRPr="00BF0139">
        <w:t>exposés</w:t>
      </w:r>
      <w:r>
        <w:t>,</w:t>
      </w:r>
      <w:r w:rsidRPr="00BF0139">
        <w:t xml:space="preserve"> lor</w:t>
      </w:r>
      <w:r>
        <w:t>s de séminaires ou d</w:t>
      </w:r>
      <w:r w:rsidR="0025212F">
        <w:t>'</w:t>
      </w:r>
      <w:r>
        <w:t>ateliers.</w:t>
      </w:r>
    </w:p>
    <w:p w:rsidR="0020557A" w:rsidRDefault="00D77DA8" w:rsidP="002D5B0A">
      <w:pPr>
        <w:pStyle w:val="Heading1"/>
        <w:rPr>
          <w:lang w:val="fr-CH"/>
        </w:rPr>
      </w:pPr>
      <w:r>
        <w:rPr>
          <w:lang w:val="fr-CH"/>
        </w:rPr>
        <w:t>10</w:t>
      </w:r>
      <w:r>
        <w:rPr>
          <w:lang w:val="fr-CH"/>
        </w:rPr>
        <w:tab/>
        <w:t>Situation financière</w:t>
      </w:r>
    </w:p>
    <w:p w:rsidR="00F2622B" w:rsidRPr="00805B71" w:rsidRDefault="00CD54F6" w:rsidP="000A2C67">
      <w:pPr>
        <w:rPr>
          <w:lang w:val="fr-CH"/>
        </w:rPr>
      </w:pPr>
      <w:r>
        <w:rPr>
          <w:lang w:val="fr-CH"/>
        </w:rPr>
        <w:t>Compte tenu de la situation financière de l</w:t>
      </w:r>
      <w:r w:rsidR="0025212F">
        <w:rPr>
          <w:lang w:val="fr-CH"/>
        </w:rPr>
        <w:t>'</w:t>
      </w:r>
      <w:r>
        <w:rPr>
          <w:lang w:val="fr-CH"/>
        </w:rPr>
        <w:t>UIT au cours de la période d</w:t>
      </w:r>
      <w:r w:rsidR="0025212F">
        <w:rPr>
          <w:lang w:val="fr-CH"/>
        </w:rPr>
        <w:t>'</w:t>
      </w:r>
      <w:r>
        <w:rPr>
          <w:lang w:val="fr-CH"/>
        </w:rPr>
        <w:t xml:space="preserve">études, des efforts </w:t>
      </w:r>
      <w:r w:rsidR="00805B71">
        <w:rPr>
          <w:lang w:val="fr-CH"/>
        </w:rPr>
        <w:t xml:space="preserve">continus </w:t>
      </w:r>
      <w:r>
        <w:rPr>
          <w:lang w:val="fr-CH"/>
        </w:rPr>
        <w:t xml:space="preserve">ont </w:t>
      </w:r>
      <w:r w:rsidR="00805B71">
        <w:rPr>
          <w:lang w:val="fr-CH"/>
        </w:rPr>
        <w:t xml:space="preserve">été </w:t>
      </w:r>
      <w:r w:rsidR="007D0F01">
        <w:rPr>
          <w:lang w:val="fr-CH"/>
        </w:rPr>
        <w:t>réalisés</w:t>
      </w:r>
      <w:r>
        <w:rPr>
          <w:lang w:val="fr-CH"/>
        </w:rPr>
        <w:t xml:space="preserve"> pour mettre en œuvre les méthodes de travail des Commissions d</w:t>
      </w:r>
      <w:r w:rsidR="0025212F">
        <w:rPr>
          <w:lang w:val="fr-CH"/>
        </w:rPr>
        <w:t>'</w:t>
      </w:r>
      <w:r>
        <w:rPr>
          <w:lang w:val="fr-CH"/>
        </w:rPr>
        <w:t>études de la manière la plus efficace possible. Ce</w:t>
      </w:r>
      <w:r w:rsidR="00B15D78">
        <w:rPr>
          <w:lang w:val="fr-CH"/>
        </w:rPr>
        <w:t>s mesures</w:t>
      </w:r>
      <w:r w:rsidR="00F2622B">
        <w:rPr>
          <w:lang w:val="fr-CH"/>
        </w:rPr>
        <w:t xml:space="preserve"> concernaient </w:t>
      </w:r>
      <w:r w:rsidR="00805B71">
        <w:rPr>
          <w:lang w:val="fr-CH"/>
        </w:rPr>
        <w:t xml:space="preserve">deux grands domaines: </w:t>
      </w:r>
      <w:r w:rsidR="006001E9">
        <w:rPr>
          <w:lang w:val="fr-CH"/>
        </w:rPr>
        <w:t xml:space="preserve">les </w:t>
      </w:r>
      <w:r w:rsidR="00805B71">
        <w:rPr>
          <w:lang w:val="fr-CH"/>
        </w:rPr>
        <w:t xml:space="preserve">réunions et </w:t>
      </w:r>
      <w:r w:rsidR="006001E9">
        <w:rPr>
          <w:lang w:val="fr-CH"/>
        </w:rPr>
        <w:t xml:space="preserve">la </w:t>
      </w:r>
      <w:r w:rsidR="00D77DA8">
        <w:rPr>
          <w:lang w:val="fr-CH"/>
        </w:rPr>
        <w:t>documentation. A</w:t>
      </w:r>
      <w:r w:rsidR="00F2622B">
        <w:rPr>
          <w:lang w:val="fr-CH"/>
        </w:rPr>
        <w:t xml:space="preserve"> cet égard, la durée et la fréquence des réunions ont été évaluées compte tenu des programmes de travail prévus, </w:t>
      </w:r>
      <w:r w:rsidR="00F2622B" w:rsidRPr="00A115DB">
        <w:rPr>
          <w:lang w:val="fr-CH"/>
        </w:rPr>
        <w:t xml:space="preserve">et les réunions sont désormais systématiquement organisées sans papier. </w:t>
      </w:r>
      <w:r w:rsidR="00805B71" w:rsidRPr="00805B71">
        <w:rPr>
          <w:lang w:val="fr-CH"/>
        </w:rPr>
        <w:t xml:space="preserve">Certains nouveaux services </w:t>
      </w:r>
      <w:r w:rsidR="00805B71">
        <w:rPr>
          <w:lang w:val="fr-CH"/>
        </w:rPr>
        <w:t>tel</w:t>
      </w:r>
      <w:r w:rsidR="00805B71" w:rsidRPr="00805B71">
        <w:rPr>
          <w:lang w:val="fr-CH"/>
        </w:rPr>
        <w:t xml:space="preserve">s que la diffusion </w:t>
      </w:r>
      <w:r w:rsidR="00805B71">
        <w:rPr>
          <w:lang w:val="fr-CH"/>
        </w:rPr>
        <w:t>s</w:t>
      </w:r>
      <w:r w:rsidR="00805B71" w:rsidRPr="00805B71">
        <w:rPr>
          <w:lang w:val="fr-CH"/>
        </w:rPr>
        <w:t>u</w:t>
      </w:r>
      <w:r w:rsidR="00805B71">
        <w:rPr>
          <w:lang w:val="fr-CH"/>
        </w:rPr>
        <w:t>r le</w:t>
      </w:r>
      <w:r w:rsidR="00805B71" w:rsidRPr="00805B71">
        <w:rPr>
          <w:lang w:val="fr-CH"/>
        </w:rPr>
        <w:t xml:space="preserve"> web ou le sous-titrage</w:t>
      </w:r>
      <w:r w:rsidR="00805B71">
        <w:rPr>
          <w:lang w:val="fr-CH"/>
        </w:rPr>
        <w:t xml:space="preserve"> pendant les réunions ont entraîné une hausse des dépenses diverses et </w:t>
      </w:r>
      <w:r w:rsidR="000A2C67">
        <w:rPr>
          <w:lang w:val="fr-CH"/>
        </w:rPr>
        <w:t>des dépenses en interne</w:t>
      </w:r>
      <w:r w:rsidR="00805B71">
        <w:rPr>
          <w:lang w:val="fr-CH"/>
        </w:rPr>
        <w:t>.</w:t>
      </w:r>
    </w:p>
    <w:p w:rsidR="00F2622B" w:rsidRDefault="00F2622B" w:rsidP="005E3CD4">
      <w:pPr>
        <w:rPr>
          <w:lang w:val="fr-CH"/>
        </w:rPr>
      </w:pPr>
      <w:r>
        <w:rPr>
          <w:lang w:val="fr-CH"/>
        </w:rPr>
        <w:t xml:space="preserve">Un état financier des dépenses des </w:t>
      </w:r>
      <w:r w:rsidR="005E3CD4">
        <w:rPr>
          <w:lang w:val="fr-CH"/>
        </w:rPr>
        <w:t>c</w:t>
      </w:r>
      <w:r>
        <w:rPr>
          <w:lang w:val="fr-CH"/>
        </w:rPr>
        <w:t>ommissions d</w:t>
      </w:r>
      <w:r w:rsidR="0025212F">
        <w:rPr>
          <w:lang w:val="fr-CH"/>
        </w:rPr>
        <w:t>'</w:t>
      </w:r>
      <w:r>
        <w:rPr>
          <w:lang w:val="fr-CH"/>
        </w:rPr>
        <w:t xml:space="preserve">études </w:t>
      </w:r>
      <w:r w:rsidR="000A2C67">
        <w:rPr>
          <w:lang w:val="fr-CH"/>
        </w:rPr>
        <w:t xml:space="preserve">à </w:t>
      </w:r>
      <w:r>
        <w:rPr>
          <w:lang w:val="fr-CH"/>
        </w:rPr>
        <w:t xml:space="preserve">la fin </w:t>
      </w:r>
      <w:r w:rsidR="00176E38">
        <w:rPr>
          <w:lang w:val="fr-CH"/>
        </w:rPr>
        <w:t xml:space="preserve">du mois de </w:t>
      </w:r>
      <w:r>
        <w:rPr>
          <w:lang w:val="fr-CH"/>
        </w:rPr>
        <w:t>septembre</w:t>
      </w:r>
      <w:r w:rsidR="00176E38">
        <w:rPr>
          <w:lang w:val="fr-CH"/>
        </w:rPr>
        <w:t> </w:t>
      </w:r>
      <w:r>
        <w:rPr>
          <w:lang w:val="fr-CH"/>
        </w:rPr>
        <w:t>201</w:t>
      </w:r>
      <w:r w:rsidR="00B15D78">
        <w:rPr>
          <w:lang w:val="fr-CH"/>
        </w:rPr>
        <w:t>5</w:t>
      </w:r>
      <w:r>
        <w:rPr>
          <w:lang w:val="fr-CH"/>
        </w:rPr>
        <w:t xml:space="preserve"> est </w:t>
      </w:r>
      <w:r w:rsidR="000A2C67">
        <w:rPr>
          <w:lang w:val="fr-CH"/>
        </w:rPr>
        <w:t>présenté en</w:t>
      </w:r>
      <w:r>
        <w:rPr>
          <w:lang w:val="fr-CH"/>
        </w:rPr>
        <w:t xml:space="preserve"> </w:t>
      </w:r>
      <w:r w:rsidR="000A2C67">
        <w:rPr>
          <w:lang w:val="fr-CH"/>
        </w:rPr>
        <w:t>p</w:t>
      </w:r>
      <w:r>
        <w:rPr>
          <w:lang w:val="fr-CH"/>
        </w:rPr>
        <w:t>ièce jointe.</w:t>
      </w:r>
    </w:p>
    <w:p w:rsidR="00B74FC6" w:rsidRDefault="00B74FC6" w:rsidP="002D5B0A">
      <w:pPr>
        <w:tabs>
          <w:tab w:val="clear" w:pos="1134"/>
          <w:tab w:val="clear" w:pos="1871"/>
          <w:tab w:val="clear" w:pos="2268"/>
        </w:tabs>
        <w:overflowPunct/>
        <w:autoSpaceDE/>
        <w:autoSpaceDN/>
        <w:adjustRightInd/>
        <w:spacing w:before="0"/>
        <w:textAlignment w:val="auto"/>
        <w:rPr>
          <w:lang w:val="fr-CH"/>
        </w:rPr>
      </w:pPr>
      <w:r>
        <w:rPr>
          <w:lang w:val="fr-CH"/>
        </w:rPr>
        <w:br w:type="page"/>
      </w:r>
    </w:p>
    <w:p w:rsidR="00B74FC6" w:rsidRDefault="00B74FC6" w:rsidP="00840686">
      <w:pPr>
        <w:pStyle w:val="Annextitle"/>
        <w:keepNext w:val="0"/>
        <w:keepLines w:val="0"/>
        <w:widowControl w:val="0"/>
        <w:rPr>
          <w:lang w:val="fr-CH"/>
        </w:rPr>
      </w:pPr>
      <w:r>
        <w:rPr>
          <w:lang w:val="fr-CH"/>
        </w:rPr>
        <w:t>Pièce jointe</w:t>
      </w:r>
    </w:p>
    <w:p w:rsidR="00B237DF" w:rsidRPr="00B237DF" w:rsidRDefault="00B237DF" w:rsidP="005E3CD4">
      <w:pPr>
        <w:pStyle w:val="Annextitle"/>
        <w:keepNext w:val="0"/>
        <w:keepLines w:val="0"/>
        <w:widowControl w:val="0"/>
        <w:rPr>
          <w:lang w:val="fr-CH"/>
        </w:rPr>
      </w:pPr>
      <w:r>
        <w:rPr>
          <w:lang w:val="fr-CH"/>
        </w:rPr>
        <w:t xml:space="preserve">Dépenses des </w:t>
      </w:r>
      <w:r w:rsidR="005E3CD4">
        <w:rPr>
          <w:lang w:val="fr-CH"/>
        </w:rPr>
        <w:t>c</w:t>
      </w:r>
      <w:r>
        <w:rPr>
          <w:lang w:val="fr-CH"/>
        </w:rPr>
        <w:t>ommissions d</w:t>
      </w:r>
      <w:r w:rsidR="0025212F">
        <w:rPr>
          <w:lang w:val="fr-CH"/>
        </w:rPr>
        <w:t>'</w:t>
      </w:r>
      <w:r>
        <w:rPr>
          <w:lang w:val="fr-CH"/>
        </w:rPr>
        <w:t>études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01"/>
        <w:gridCol w:w="1701"/>
        <w:gridCol w:w="1696"/>
      </w:tblGrid>
      <w:tr w:rsidR="00B74FC6" w:rsidRPr="00900CAD" w:rsidTr="00AD350F">
        <w:trPr>
          <w:jc w:val="center"/>
        </w:trPr>
        <w:tc>
          <w:tcPr>
            <w:tcW w:w="4531" w:type="dxa"/>
            <w:tcBorders>
              <w:top w:val="single" w:sz="4" w:space="0" w:color="auto"/>
            </w:tcBorders>
            <w:shd w:val="clear" w:color="auto" w:fill="auto"/>
          </w:tcPr>
          <w:p w:rsidR="00B74FC6" w:rsidRPr="00900CAD" w:rsidRDefault="00B74FC6" w:rsidP="00840686">
            <w:pPr>
              <w:pStyle w:val="Tablehead"/>
              <w:keepNext w:val="0"/>
              <w:widowControl w:val="0"/>
            </w:pPr>
            <w:r w:rsidRPr="00900CAD">
              <w:rPr>
                <w:rFonts w:eastAsia="MS Mincho"/>
                <w:lang w:val="fr-CH" w:eastAsia="ja-JP"/>
              </w:rPr>
              <w:t>Commissions d</w:t>
            </w:r>
            <w:r w:rsidR="0025212F">
              <w:rPr>
                <w:rFonts w:eastAsia="MS Mincho"/>
                <w:lang w:val="fr-CH" w:eastAsia="ja-JP"/>
              </w:rPr>
              <w:t>'</w:t>
            </w:r>
            <w:r w:rsidRPr="00900CAD">
              <w:rPr>
                <w:rFonts w:eastAsia="MS Mincho"/>
                <w:lang w:val="fr-CH" w:eastAsia="ja-JP"/>
              </w:rPr>
              <w:t>études</w:t>
            </w:r>
            <w:r>
              <w:rPr>
                <w:rFonts w:eastAsia="MS Mincho"/>
                <w:lang w:val="fr-CH" w:eastAsia="ja-JP"/>
              </w:rPr>
              <w:t xml:space="preserve"> 1, 3, 4, 5, 6, 7</w:t>
            </w:r>
            <w:r w:rsidRPr="00900CAD">
              <w:rPr>
                <w:rFonts w:eastAsia="MS Mincho"/>
                <w:lang w:val="fr-CH" w:eastAsia="ja-JP"/>
              </w:rPr>
              <w:t xml:space="preserve"> </w:t>
            </w:r>
            <w:r>
              <w:rPr>
                <w:rFonts w:eastAsia="MS Mincho"/>
                <w:lang w:val="fr-CH" w:eastAsia="ja-JP"/>
              </w:rPr>
              <w:br/>
            </w:r>
            <w:r w:rsidRPr="00900CAD">
              <w:rPr>
                <w:rFonts w:eastAsia="MS Mincho"/>
                <w:lang w:val="fr-CH" w:eastAsia="ja-JP"/>
              </w:rPr>
              <w:t>RPC et CS</w:t>
            </w:r>
          </w:p>
        </w:tc>
        <w:tc>
          <w:tcPr>
            <w:tcW w:w="1701" w:type="dxa"/>
            <w:tcBorders>
              <w:top w:val="single" w:sz="4" w:space="0" w:color="auto"/>
            </w:tcBorders>
            <w:shd w:val="clear" w:color="auto" w:fill="auto"/>
          </w:tcPr>
          <w:p w:rsidR="00B74FC6" w:rsidRPr="00900CAD" w:rsidRDefault="00B74FC6" w:rsidP="00AD350F">
            <w:pPr>
              <w:pStyle w:val="Tablehead"/>
              <w:keepNext w:val="0"/>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
              <w:rPr>
                <w:rFonts w:eastAsia="MS Mincho"/>
                <w:lang w:val="fr-CH" w:eastAsia="ja-JP"/>
              </w:rPr>
              <w:t>2012</w:t>
            </w:r>
            <w:r w:rsidRPr="00900CAD">
              <w:rPr>
                <w:rFonts w:eastAsia="MS Mincho"/>
                <w:lang w:val="fr-CH" w:eastAsia="ja-JP"/>
              </w:rPr>
              <w:t>-20</w:t>
            </w:r>
            <w:r>
              <w:rPr>
                <w:rFonts w:eastAsia="MS Mincho"/>
                <w:lang w:val="fr-CH" w:eastAsia="ja-JP"/>
              </w:rPr>
              <w:t xml:space="preserve">13 </w:t>
            </w:r>
            <w:r>
              <w:rPr>
                <w:rFonts w:eastAsia="MS Mincho"/>
                <w:lang w:val="fr-CH" w:eastAsia="ja-JP"/>
              </w:rPr>
              <w:br/>
            </w:r>
            <w:r w:rsidR="00176E38">
              <w:rPr>
                <w:lang w:val="fr-CH" w:eastAsia="zh-CN"/>
              </w:rPr>
              <w:t>(x 1 </w:t>
            </w:r>
            <w:r w:rsidRPr="00B74FC6">
              <w:rPr>
                <w:lang w:val="fr-CH" w:eastAsia="zh-CN"/>
              </w:rPr>
              <w:t>000 CHF)</w:t>
            </w:r>
          </w:p>
        </w:tc>
        <w:tc>
          <w:tcPr>
            <w:tcW w:w="1701" w:type="dxa"/>
            <w:tcBorders>
              <w:top w:val="single" w:sz="4" w:space="0" w:color="auto"/>
            </w:tcBorders>
            <w:shd w:val="clear" w:color="auto" w:fill="auto"/>
          </w:tcPr>
          <w:p w:rsidR="00B74FC6" w:rsidRPr="00900CAD" w:rsidRDefault="00B74FC6" w:rsidP="00AD350F">
            <w:pPr>
              <w:pStyle w:val="Tablehead"/>
              <w:keepNext w:val="0"/>
              <w:widowControl w:val="0"/>
            </w:pPr>
            <w:r>
              <w:rPr>
                <w:rFonts w:eastAsia="MS Mincho"/>
                <w:lang w:val="fr-CH" w:eastAsia="ja-JP"/>
              </w:rPr>
              <w:t>2014</w:t>
            </w:r>
            <w:r w:rsidRPr="00900CAD">
              <w:rPr>
                <w:rFonts w:eastAsia="MS Mincho"/>
                <w:lang w:val="fr-CH" w:eastAsia="ja-JP"/>
              </w:rPr>
              <w:t>-201</w:t>
            </w:r>
            <w:r>
              <w:rPr>
                <w:rFonts w:eastAsia="MS Mincho"/>
                <w:lang w:val="fr-CH" w:eastAsia="ja-JP"/>
              </w:rPr>
              <w:t>5</w:t>
            </w:r>
            <w:r>
              <w:rPr>
                <w:rFonts w:eastAsia="MS Mincho"/>
                <w:lang w:val="fr-CH" w:eastAsia="ja-JP"/>
              </w:rPr>
              <w:br/>
            </w:r>
            <w:r w:rsidR="00176E38">
              <w:rPr>
                <w:lang w:val="en-US" w:eastAsia="zh-CN"/>
              </w:rPr>
              <w:t>(x 1 </w:t>
            </w:r>
            <w:r>
              <w:rPr>
                <w:lang w:val="en-US" w:eastAsia="zh-CN"/>
              </w:rPr>
              <w:t>000 CHF)</w:t>
            </w:r>
          </w:p>
        </w:tc>
        <w:tc>
          <w:tcPr>
            <w:tcW w:w="1696" w:type="dxa"/>
            <w:tcBorders>
              <w:top w:val="single" w:sz="4" w:space="0" w:color="auto"/>
            </w:tcBorders>
            <w:shd w:val="clear" w:color="auto" w:fill="auto"/>
          </w:tcPr>
          <w:p w:rsidR="00B74FC6" w:rsidRPr="00B74FC6" w:rsidRDefault="00B74FC6" w:rsidP="00AD350F">
            <w:pPr>
              <w:pStyle w:val="Tablehead"/>
              <w:keepNext w:val="0"/>
              <w:widowControl w:val="0"/>
              <w:rPr>
                <w:rFonts w:eastAsia="MS Mincho"/>
                <w:lang w:val="fr-CH" w:eastAsia="ja-JP"/>
              </w:rPr>
            </w:pPr>
            <w:r>
              <w:rPr>
                <w:rFonts w:eastAsia="MS Mincho"/>
                <w:lang w:val="fr-CH" w:eastAsia="ja-JP"/>
              </w:rPr>
              <w:t>Total de 2012</w:t>
            </w:r>
            <w:r w:rsidRPr="00900CAD">
              <w:rPr>
                <w:rFonts w:eastAsia="MS Mincho"/>
                <w:lang w:val="fr-CH" w:eastAsia="ja-JP"/>
              </w:rPr>
              <w:t xml:space="preserve"> à </w:t>
            </w:r>
            <w:r w:rsidRPr="00900CAD">
              <w:rPr>
                <w:rFonts w:eastAsia="MS Mincho"/>
                <w:lang w:val="fr-CH" w:eastAsia="ja-JP"/>
              </w:rPr>
              <w:br/>
              <w:t>septembre 201</w:t>
            </w:r>
            <w:r>
              <w:rPr>
                <w:rFonts w:eastAsia="MS Mincho"/>
                <w:lang w:val="fr-CH" w:eastAsia="ja-JP"/>
              </w:rPr>
              <w:t>5</w:t>
            </w:r>
            <w:r>
              <w:rPr>
                <w:rFonts w:eastAsia="MS Mincho"/>
                <w:lang w:val="fr-CH" w:eastAsia="ja-JP"/>
              </w:rPr>
              <w:br/>
            </w:r>
            <w:r w:rsidR="00176E38">
              <w:rPr>
                <w:lang w:val="fr-CH" w:eastAsia="zh-CN"/>
              </w:rPr>
              <w:t>(x 1 </w:t>
            </w:r>
            <w:r w:rsidRPr="00B74FC6">
              <w:rPr>
                <w:lang w:val="fr-CH" w:eastAsia="zh-CN"/>
              </w:rPr>
              <w:t>000 CHF)</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b/>
                <w:bCs/>
                <w:lang w:val="fr-CH" w:eastAsia="ja-JP"/>
              </w:rPr>
            </w:pPr>
            <w:r w:rsidRPr="00900CAD">
              <w:rPr>
                <w:rFonts w:eastAsia="MS Mincho"/>
                <w:lang w:val="fr-CH" w:eastAsia="ja-JP"/>
              </w:rPr>
              <w:t>Dépenses de personnel</w:t>
            </w:r>
          </w:p>
        </w:tc>
        <w:tc>
          <w:tcPr>
            <w:tcW w:w="1701" w:type="dxa"/>
            <w:shd w:val="clear" w:color="auto" w:fill="auto"/>
          </w:tcPr>
          <w:p w:rsidR="00B74FC6" w:rsidRPr="00900CAD" w:rsidRDefault="00B74FC6" w:rsidP="00840686">
            <w:pPr>
              <w:pStyle w:val="Tabletext"/>
              <w:widowControl w:val="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right="667"/>
              <w:jc w:val="right"/>
              <w:rPr>
                <w:rFonts w:eastAsia="MS Mincho"/>
                <w:lang w:val="fr-CH" w:eastAsia="ja-JP"/>
              </w:rPr>
            </w:pPr>
            <w:r>
              <w:rPr>
                <w:rFonts w:eastAsia="MS Mincho"/>
                <w:lang w:val="fr-CH" w:eastAsia="ja-JP"/>
              </w:rPr>
              <w:t>323</w:t>
            </w:r>
          </w:p>
        </w:tc>
        <w:tc>
          <w:tcPr>
            <w:tcW w:w="1701" w:type="dxa"/>
            <w:shd w:val="clear" w:color="auto" w:fill="auto"/>
          </w:tcPr>
          <w:p w:rsidR="00B74FC6" w:rsidRPr="00900CAD" w:rsidRDefault="00B74FC6" w:rsidP="00840686">
            <w:pPr>
              <w:pStyle w:val="Tabletext"/>
              <w:widowControl w:val="0"/>
              <w:ind w:right="667"/>
              <w:jc w:val="right"/>
              <w:rPr>
                <w:rFonts w:eastAsia="MS Mincho"/>
                <w:lang w:val="fr-CH" w:eastAsia="ja-JP"/>
              </w:rPr>
            </w:pPr>
            <w:r>
              <w:rPr>
                <w:rFonts w:eastAsia="MS Mincho"/>
                <w:lang w:val="fr-CH" w:eastAsia="ja-JP"/>
              </w:rPr>
              <w:t>693</w:t>
            </w:r>
          </w:p>
        </w:tc>
        <w:tc>
          <w:tcPr>
            <w:tcW w:w="1696" w:type="dxa"/>
            <w:shd w:val="clear" w:color="auto" w:fill="auto"/>
          </w:tcPr>
          <w:p w:rsidR="00B74FC6" w:rsidRPr="00900CAD" w:rsidRDefault="00B74FC6" w:rsidP="00840686">
            <w:pPr>
              <w:pStyle w:val="Tabletext"/>
              <w:widowControl w:val="0"/>
              <w:ind w:right="667"/>
              <w:jc w:val="right"/>
              <w:rPr>
                <w:rFonts w:eastAsia="MS Mincho"/>
                <w:lang w:val="fr-CH" w:eastAsia="ja-JP"/>
              </w:rPr>
            </w:pPr>
            <w:r>
              <w:rPr>
                <w:rFonts w:eastAsia="MS Mincho"/>
                <w:lang w:val="fr-CH" w:eastAsia="ja-JP"/>
              </w:rPr>
              <w:t>1</w:t>
            </w:r>
            <w:r w:rsidR="008D7802">
              <w:rPr>
                <w:rFonts w:eastAsia="MS Mincho"/>
                <w:lang w:val="fr-CH" w:eastAsia="ja-JP"/>
              </w:rPr>
              <w:t> </w:t>
            </w:r>
            <w:r>
              <w:rPr>
                <w:rFonts w:eastAsia="MS Mincho"/>
                <w:lang w:val="fr-CH" w:eastAsia="ja-JP"/>
              </w:rPr>
              <w:t>016</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val="en-US" w:eastAsia="ja-JP"/>
              </w:rPr>
            </w:pPr>
            <w:r w:rsidRPr="00900CAD">
              <w:rPr>
                <w:rFonts w:eastAsia="MS Mincho"/>
                <w:lang w:val="fr-CH" w:eastAsia="ja-JP"/>
              </w:rPr>
              <w:t>Autres dépenses de personnel</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4</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22</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25</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val="en-US" w:eastAsia="ja-JP"/>
              </w:rPr>
            </w:pPr>
            <w:r w:rsidRPr="00900CAD">
              <w:rPr>
                <w:rFonts w:eastAsia="MS Mincho"/>
                <w:lang w:val="fr-CH" w:eastAsia="ja-JP"/>
              </w:rPr>
              <w:t>Frais de mission</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33</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18</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51</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val="en-US" w:eastAsia="ja-JP"/>
              </w:rPr>
            </w:pPr>
            <w:r w:rsidRPr="00900CAD">
              <w:rPr>
                <w:rFonts w:eastAsia="MS Mincho"/>
                <w:lang w:val="fr-CH" w:eastAsia="ja-JP"/>
              </w:rPr>
              <w:t>Services contractuels</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15</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29</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44</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eastAsia="ja-JP"/>
              </w:rPr>
            </w:pPr>
            <w:r w:rsidRPr="00900CAD">
              <w:rPr>
                <w:rFonts w:eastAsia="MS Mincho"/>
                <w:lang w:val="fr-CH" w:eastAsia="ja-JP"/>
              </w:rPr>
              <w:t>Location et entretien des locaux et des équipements</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30</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88</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118</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val="en-US" w:eastAsia="ja-JP"/>
              </w:rPr>
            </w:pPr>
            <w:r w:rsidRPr="00900CAD">
              <w:rPr>
                <w:rFonts w:eastAsia="MS Mincho"/>
                <w:lang w:val="fr-CH" w:eastAsia="ja-JP"/>
              </w:rPr>
              <w:t>Matériels et fournitures</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14</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67</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81</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eastAsia="ja-JP"/>
              </w:rPr>
            </w:pPr>
            <w:r w:rsidRPr="00900CAD">
              <w:rPr>
                <w:rFonts w:eastAsia="MS Mincho"/>
                <w:lang w:val="fr-CH" w:eastAsia="ja-JP"/>
              </w:rPr>
              <w:t>Services publics et services intérieurs</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85</w:t>
            </w:r>
          </w:p>
        </w:tc>
        <w:tc>
          <w:tcPr>
            <w:tcW w:w="1701"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56</w:t>
            </w:r>
          </w:p>
        </w:tc>
        <w:tc>
          <w:tcPr>
            <w:tcW w:w="1696" w:type="dxa"/>
            <w:shd w:val="clear" w:color="auto" w:fill="auto"/>
          </w:tcPr>
          <w:p w:rsidR="00B74FC6" w:rsidRPr="00900CAD" w:rsidRDefault="00B74FC6" w:rsidP="00840686">
            <w:pPr>
              <w:pStyle w:val="Tabletext"/>
              <w:widowControl w:val="0"/>
              <w:ind w:right="667"/>
              <w:jc w:val="right"/>
              <w:rPr>
                <w:rFonts w:eastAsia="MS Mincho"/>
                <w:lang w:val="en-US" w:eastAsia="ja-JP"/>
              </w:rPr>
            </w:pPr>
            <w:r>
              <w:rPr>
                <w:rFonts w:eastAsia="MS Mincho"/>
                <w:lang w:val="en-US" w:eastAsia="ja-JP"/>
              </w:rPr>
              <w:t>141</w:t>
            </w:r>
          </w:p>
        </w:tc>
      </w:tr>
      <w:tr w:rsidR="00B74FC6" w:rsidRPr="00900CAD" w:rsidTr="00AD350F">
        <w:trPr>
          <w:jc w:val="center"/>
        </w:trPr>
        <w:tc>
          <w:tcPr>
            <w:tcW w:w="4531" w:type="dxa"/>
            <w:shd w:val="clear" w:color="auto" w:fill="auto"/>
          </w:tcPr>
          <w:p w:rsidR="00B74FC6" w:rsidRPr="00900CAD" w:rsidRDefault="00B74FC6" w:rsidP="00840686">
            <w:pPr>
              <w:pStyle w:val="Tabletext"/>
              <w:widowControl w:val="0"/>
              <w:rPr>
                <w:rFonts w:eastAsia="MS Mincho"/>
                <w:lang w:val="fr-CH" w:eastAsia="ja-JP"/>
              </w:rPr>
            </w:pPr>
            <w:r w:rsidRPr="00900CAD">
              <w:rPr>
                <w:rFonts w:eastAsia="MS Mincho"/>
                <w:lang w:val="fr-CH" w:eastAsia="ja-JP"/>
              </w:rPr>
              <w:t>Divers</w:t>
            </w:r>
          </w:p>
        </w:tc>
        <w:tc>
          <w:tcPr>
            <w:tcW w:w="1701" w:type="dxa"/>
            <w:shd w:val="clear" w:color="auto" w:fill="auto"/>
          </w:tcPr>
          <w:p w:rsidR="00B74FC6" w:rsidRPr="00900CAD" w:rsidRDefault="00F70DDD" w:rsidP="008E2077">
            <w:pPr>
              <w:pStyle w:val="Tabletext"/>
              <w:widowControl w:val="0"/>
              <w:tabs>
                <w:tab w:val="clear" w:pos="851"/>
                <w:tab w:val="left" w:pos="0"/>
              </w:tabs>
              <w:jc w:val="center"/>
              <w:rPr>
                <w:rFonts w:eastAsia="MS Mincho"/>
                <w:lang w:val="fr-CH" w:eastAsia="ja-JP"/>
              </w:rPr>
            </w:pPr>
            <w:r w:rsidRPr="00F70DDD">
              <w:rPr>
                <w:rFonts w:eastAsia="MS Mincho"/>
                <w:lang w:val="fr-CH" w:eastAsia="ja-JP"/>
              </w:rPr>
              <w:t>–</w:t>
            </w:r>
          </w:p>
        </w:tc>
        <w:tc>
          <w:tcPr>
            <w:tcW w:w="1701" w:type="dxa"/>
            <w:shd w:val="clear" w:color="auto" w:fill="auto"/>
          </w:tcPr>
          <w:p w:rsidR="00B74FC6" w:rsidRPr="00900CAD" w:rsidRDefault="00B74FC6" w:rsidP="00840686">
            <w:pPr>
              <w:pStyle w:val="Tabletext"/>
              <w:widowControl w:val="0"/>
              <w:ind w:right="667"/>
              <w:jc w:val="right"/>
              <w:rPr>
                <w:rFonts w:eastAsia="MS Mincho"/>
                <w:lang w:val="fr-CH" w:eastAsia="ja-JP"/>
              </w:rPr>
            </w:pPr>
            <w:r>
              <w:rPr>
                <w:rFonts w:eastAsia="MS Mincho"/>
                <w:lang w:val="fr-CH" w:eastAsia="ja-JP"/>
              </w:rPr>
              <w:t>2</w:t>
            </w:r>
          </w:p>
        </w:tc>
        <w:tc>
          <w:tcPr>
            <w:tcW w:w="1696" w:type="dxa"/>
            <w:shd w:val="clear" w:color="auto" w:fill="auto"/>
          </w:tcPr>
          <w:p w:rsidR="00B74FC6" w:rsidRPr="00900CAD" w:rsidRDefault="00B74FC6" w:rsidP="00840686">
            <w:pPr>
              <w:pStyle w:val="Tabletext"/>
              <w:widowControl w:val="0"/>
              <w:ind w:right="667"/>
              <w:jc w:val="right"/>
              <w:rPr>
                <w:rFonts w:eastAsia="MS Mincho"/>
                <w:lang w:val="fr-CH" w:eastAsia="ja-JP"/>
              </w:rPr>
            </w:pPr>
            <w:r>
              <w:rPr>
                <w:rFonts w:eastAsia="MS Mincho"/>
                <w:lang w:val="fr-CH" w:eastAsia="ja-JP"/>
              </w:rPr>
              <w:t>2</w:t>
            </w:r>
          </w:p>
        </w:tc>
      </w:tr>
      <w:tr w:rsidR="00B74FC6" w:rsidRPr="00900CAD" w:rsidTr="00AD350F">
        <w:trPr>
          <w:jc w:val="center"/>
        </w:trPr>
        <w:tc>
          <w:tcPr>
            <w:tcW w:w="4531" w:type="dxa"/>
            <w:shd w:val="clear" w:color="auto" w:fill="auto"/>
          </w:tcPr>
          <w:p w:rsidR="00B74FC6" w:rsidRPr="00B74FC6" w:rsidRDefault="00B74FC6" w:rsidP="00840686">
            <w:pPr>
              <w:pStyle w:val="Tabletext"/>
              <w:widowControl w:val="0"/>
              <w:rPr>
                <w:rFonts w:eastAsia="MS Mincho"/>
                <w:b/>
                <w:bCs/>
                <w:lang w:val="en-US" w:eastAsia="ja-JP"/>
              </w:rPr>
            </w:pPr>
            <w:r w:rsidRPr="00B74FC6">
              <w:rPr>
                <w:rFonts w:eastAsia="MS Mincho"/>
                <w:b/>
                <w:bCs/>
                <w:lang w:val="en-US" w:eastAsia="ja-JP"/>
              </w:rPr>
              <w:t>Total</w:t>
            </w:r>
          </w:p>
        </w:tc>
        <w:tc>
          <w:tcPr>
            <w:tcW w:w="1701" w:type="dxa"/>
            <w:shd w:val="clear" w:color="auto" w:fill="auto"/>
          </w:tcPr>
          <w:p w:rsidR="00B74FC6" w:rsidRPr="00B74FC6" w:rsidRDefault="00B74FC6" w:rsidP="00840686">
            <w:pPr>
              <w:pStyle w:val="Tabletext"/>
              <w:widowControl w:val="0"/>
              <w:ind w:right="667"/>
              <w:jc w:val="right"/>
              <w:rPr>
                <w:rFonts w:eastAsia="MS Mincho"/>
                <w:b/>
                <w:bCs/>
                <w:lang w:val="en-US" w:eastAsia="ja-JP"/>
              </w:rPr>
            </w:pPr>
            <w:r w:rsidRPr="00B74FC6">
              <w:rPr>
                <w:rFonts w:eastAsia="MS Mincho"/>
                <w:b/>
                <w:bCs/>
                <w:lang w:val="en-US" w:eastAsia="ja-JP"/>
              </w:rPr>
              <w:t>503</w:t>
            </w:r>
          </w:p>
        </w:tc>
        <w:tc>
          <w:tcPr>
            <w:tcW w:w="1701" w:type="dxa"/>
            <w:shd w:val="clear" w:color="auto" w:fill="auto"/>
          </w:tcPr>
          <w:p w:rsidR="00B74FC6" w:rsidRPr="00B74FC6" w:rsidRDefault="00B74FC6" w:rsidP="00840686">
            <w:pPr>
              <w:pStyle w:val="Tabletext"/>
              <w:widowControl w:val="0"/>
              <w:ind w:right="667"/>
              <w:jc w:val="right"/>
              <w:rPr>
                <w:rFonts w:eastAsia="MS Mincho"/>
                <w:b/>
                <w:bCs/>
                <w:lang w:val="en-US" w:eastAsia="ja-JP"/>
              </w:rPr>
            </w:pPr>
            <w:r>
              <w:rPr>
                <w:rFonts w:eastAsia="MS Mincho"/>
                <w:b/>
                <w:bCs/>
                <w:lang w:val="en-US" w:eastAsia="ja-JP"/>
              </w:rPr>
              <w:t>973</w:t>
            </w:r>
          </w:p>
        </w:tc>
        <w:tc>
          <w:tcPr>
            <w:tcW w:w="1696" w:type="dxa"/>
            <w:shd w:val="clear" w:color="auto" w:fill="auto"/>
          </w:tcPr>
          <w:p w:rsidR="00B74FC6" w:rsidRPr="00B74FC6" w:rsidRDefault="00B74FC6" w:rsidP="00840686">
            <w:pPr>
              <w:pStyle w:val="Tabletext"/>
              <w:widowControl w:val="0"/>
              <w:ind w:right="667"/>
              <w:jc w:val="right"/>
              <w:rPr>
                <w:rFonts w:eastAsia="MS Mincho"/>
                <w:b/>
                <w:bCs/>
                <w:lang w:val="en-US" w:eastAsia="ja-JP"/>
              </w:rPr>
            </w:pPr>
            <w:r>
              <w:rPr>
                <w:rFonts w:eastAsia="MS Mincho"/>
                <w:b/>
                <w:bCs/>
                <w:lang w:val="en-US" w:eastAsia="ja-JP"/>
              </w:rPr>
              <w:t>1</w:t>
            </w:r>
            <w:r w:rsidR="008D7802">
              <w:rPr>
                <w:rFonts w:eastAsia="MS Mincho"/>
                <w:b/>
                <w:bCs/>
                <w:lang w:val="en-US" w:eastAsia="ja-JP"/>
              </w:rPr>
              <w:t> </w:t>
            </w:r>
            <w:r>
              <w:rPr>
                <w:rFonts w:eastAsia="MS Mincho"/>
                <w:b/>
                <w:bCs/>
                <w:lang w:val="en-US" w:eastAsia="ja-JP"/>
              </w:rPr>
              <w:t>477</w:t>
            </w:r>
          </w:p>
        </w:tc>
      </w:tr>
    </w:tbl>
    <w:p w:rsidR="004442E2" w:rsidRDefault="004442E2" w:rsidP="00840686">
      <w:pPr>
        <w:jc w:val="center"/>
      </w:pPr>
    </w:p>
    <w:p w:rsidR="00F70DDD" w:rsidRDefault="00F70DDD" w:rsidP="00840686">
      <w:pPr>
        <w:jc w:val="center"/>
      </w:pPr>
    </w:p>
    <w:p w:rsidR="00F70DDD" w:rsidRDefault="00F70DDD" w:rsidP="0032202E">
      <w:pPr>
        <w:pStyle w:val="Reasons"/>
      </w:pPr>
      <w:bookmarkStart w:id="42" w:name="_GoBack"/>
      <w:bookmarkEnd w:id="42"/>
    </w:p>
    <w:p w:rsidR="00F70DDD" w:rsidRDefault="00F70DDD">
      <w:pPr>
        <w:jc w:val="center"/>
      </w:pPr>
      <w:r>
        <w:t>______________</w:t>
      </w:r>
    </w:p>
    <w:p w:rsidR="00F70DDD" w:rsidRPr="00F2622B" w:rsidRDefault="00F70DDD" w:rsidP="00840686">
      <w:pPr>
        <w:jc w:val="center"/>
        <w:rPr>
          <w:lang w:val="fr-CH"/>
        </w:rPr>
      </w:pPr>
    </w:p>
    <w:sectPr w:rsidR="00F70DDD" w:rsidRPr="00F2622B" w:rsidSect="0075232C">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98" w:rsidRDefault="000D1D98">
      <w:r>
        <w:separator/>
      </w:r>
    </w:p>
  </w:endnote>
  <w:endnote w:type="continuationSeparator" w:id="0">
    <w:p w:rsidR="000D1D98" w:rsidRDefault="000D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98" w:rsidRPr="004336F6" w:rsidRDefault="000D1D98">
    <w:pPr>
      <w:rPr>
        <w:lang w:val="es-ES_tradnl"/>
      </w:rPr>
    </w:pPr>
    <w:r>
      <w:fldChar w:fldCharType="begin"/>
    </w:r>
    <w:r w:rsidRPr="004336F6">
      <w:rPr>
        <w:lang w:val="es-ES_tradnl"/>
      </w:rPr>
      <w:instrText xml:space="preserve"> FILENAME \p  \* MERGEFORMAT </w:instrText>
    </w:r>
    <w:r>
      <w:fldChar w:fldCharType="separate"/>
    </w:r>
    <w:r w:rsidR="007B756C">
      <w:rPr>
        <w:noProof/>
        <w:lang w:val="es-ES_tradnl"/>
      </w:rPr>
      <w:t>P:\FRA\ITU-R\CONF-R\AR15\PLEN\000\001F.docx</w:t>
    </w:r>
    <w:r>
      <w:fldChar w:fldCharType="end"/>
    </w:r>
    <w:r w:rsidRPr="004336F6">
      <w:rPr>
        <w:lang w:val="es-ES_tradnl"/>
      </w:rPr>
      <w:tab/>
    </w:r>
    <w:r>
      <w:fldChar w:fldCharType="begin"/>
    </w:r>
    <w:r>
      <w:instrText xml:space="preserve"> SAVEDATE \@ DD.MM.YY </w:instrText>
    </w:r>
    <w:r>
      <w:fldChar w:fldCharType="separate"/>
    </w:r>
    <w:r w:rsidR="005E3CD4">
      <w:rPr>
        <w:noProof/>
      </w:rPr>
      <w:t>08.09.15</w:t>
    </w:r>
    <w:r>
      <w:fldChar w:fldCharType="end"/>
    </w:r>
    <w:r w:rsidRPr="004336F6">
      <w:rPr>
        <w:lang w:val="es-ES_tradnl"/>
      </w:rPr>
      <w:tab/>
    </w:r>
    <w:r>
      <w:fldChar w:fldCharType="begin"/>
    </w:r>
    <w:r>
      <w:instrText xml:space="preserve"> PRINTDATE \@ DD.MM.YY </w:instrText>
    </w:r>
    <w:r>
      <w:fldChar w:fldCharType="separate"/>
    </w:r>
    <w:r w:rsidR="007B756C">
      <w:rPr>
        <w:noProof/>
      </w:rPr>
      <w:t>08.09.15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C" w:rsidRPr="002D5B0A" w:rsidRDefault="007B756C" w:rsidP="007B756C">
    <w:pPr>
      <w:pStyle w:val="Footer"/>
      <w:rPr>
        <w:lang w:val="es-ES_tradnl"/>
      </w:rPr>
    </w:pPr>
    <w:r>
      <w:fldChar w:fldCharType="begin"/>
    </w:r>
    <w:r w:rsidRPr="002D5B0A">
      <w:rPr>
        <w:lang w:val="es-ES_tradnl"/>
      </w:rPr>
      <w:instrText xml:space="preserve"> FILENAME \p  \* MERGEFORMAT </w:instrText>
    </w:r>
    <w:r>
      <w:fldChar w:fldCharType="separate"/>
    </w:r>
    <w:r>
      <w:rPr>
        <w:lang w:val="es-ES_tradnl"/>
      </w:rPr>
      <w:t>P:\FRA\ITU-R\CONF-R\AR15\PLEN\000\001F.docx</w:t>
    </w:r>
    <w:r>
      <w:fldChar w:fldCharType="end"/>
    </w:r>
    <w:r>
      <w:rPr>
        <w:lang w:val="es-ES_tradnl"/>
      </w:rPr>
      <w:t xml:space="preserve"> (382804</w:t>
    </w:r>
    <w:r w:rsidRPr="002D5B0A">
      <w:rPr>
        <w:lang w:val="es-ES_tradnl"/>
      </w:rPr>
      <w:t>)</w:t>
    </w:r>
    <w:r w:rsidRPr="002D5B0A">
      <w:rPr>
        <w:lang w:val="es-ES_tradnl"/>
      </w:rPr>
      <w:tab/>
    </w:r>
    <w:r>
      <w:fldChar w:fldCharType="begin"/>
    </w:r>
    <w:r>
      <w:instrText xml:space="preserve"> SAVEDATE \@ DD.MM.YY </w:instrText>
    </w:r>
    <w:r>
      <w:fldChar w:fldCharType="separate"/>
    </w:r>
    <w:r w:rsidR="005E3CD4">
      <w:t>08.09.15</w:t>
    </w:r>
    <w:r>
      <w:fldChar w:fldCharType="end"/>
    </w:r>
    <w:r w:rsidRPr="002D5B0A">
      <w:rPr>
        <w:lang w:val="es-ES_tradnl"/>
      </w:rPr>
      <w:tab/>
    </w:r>
    <w:r>
      <w:fldChar w:fldCharType="begin"/>
    </w:r>
    <w:r>
      <w:instrText xml:space="preserve"> PRINTDATE \@ DD.MM.YY </w:instrText>
    </w:r>
    <w:r>
      <w:fldChar w:fldCharType="separate"/>
    </w:r>
    <w:r>
      <w:t>08.09.15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98" w:rsidRPr="002D5B0A" w:rsidRDefault="000D1D98" w:rsidP="002D5B0A">
    <w:pPr>
      <w:pStyle w:val="Footer"/>
      <w:rPr>
        <w:lang w:val="es-ES_tradnl"/>
      </w:rPr>
    </w:pPr>
    <w:r>
      <w:fldChar w:fldCharType="begin"/>
    </w:r>
    <w:r w:rsidRPr="002D5B0A">
      <w:rPr>
        <w:lang w:val="es-ES_tradnl"/>
      </w:rPr>
      <w:instrText xml:space="preserve"> FILENAME \p  \* MERGEFORMAT </w:instrText>
    </w:r>
    <w:r>
      <w:fldChar w:fldCharType="separate"/>
    </w:r>
    <w:r w:rsidR="007B756C">
      <w:rPr>
        <w:lang w:val="es-ES_tradnl"/>
      </w:rPr>
      <w:t>P:\FRA\ITU-R\CONF-R\AR15\PLEN\000\001F.docx</w:t>
    </w:r>
    <w:r>
      <w:fldChar w:fldCharType="end"/>
    </w:r>
    <w:r>
      <w:rPr>
        <w:lang w:val="es-ES_tradnl"/>
      </w:rPr>
      <w:t xml:space="preserve"> (382804</w:t>
    </w:r>
    <w:r w:rsidRPr="002D5B0A">
      <w:rPr>
        <w:lang w:val="es-ES_tradnl"/>
      </w:rPr>
      <w:t>)</w:t>
    </w:r>
    <w:r w:rsidRPr="002D5B0A">
      <w:rPr>
        <w:lang w:val="es-ES_tradnl"/>
      </w:rPr>
      <w:tab/>
    </w:r>
    <w:r>
      <w:fldChar w:fldCharType="begin"/>
    </w:r>
    <w:r>
      <w:instrText xml:space="preserve"> SAVEDATE \@ DD.MM.YY </w:instrText>
    </w:r>
    <w:r>
      <w:fldChar w:fldCharType="separate"/>
    </w:r>
    <w:r w:rsidR="005E3CD4">
      <w:t>08.09.15</w:t>
    </w:r>
    <w:r>
      <w:fldChar w:fldCharType="end"/>
    </w:r>
    <w:r w:rsidRPr="002D5B0A">
      <w:rPr>
        <w:lang w:val="es-ES_tradnl"/>
      </w:rPr>
      <w:tab/>
    </w:r>
    <w:r>
      <w:fldChar w:fldCharType="begin"/>
    </w:r>
    <w:r>
      <w:instrText xml:space="preserve"> PRINTDATE \@ DD.MM.YY </w:instrText>
    </w:r>
    <w:r>
      <w:fldChar w:fldCharType="separate"/>
    </w:r>
    <w:r w:rsidR="007B756C">
      <w:t>08.09.15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98" w:rsidRDefault="000D1D98">
      <w:r>
        <w:rPr>
          <w:b/>
        </w:rPr>
        <w:t>_______________</w:t>
      </w:r>
    </w:p>
  </w:footnote>
  <w:footnote w:type="continuationSeparator" w:id="0">
    <w:p w:rsidR="000D1D98" w:rsidRDefault="000D1D98">
      <w:r>
        <w:continuationSeparator/>
      </w:r>
    </w:p>
  </w:footnote>
  <w:footnote w:id="1">
    <w:p w:rsidR="000D1D98" w:rsidRPr="00BB4A61" w:rsidRDefault="000D1D98" w:rsidP="00B07210">
      <w:pPr>
        <w:pStyle w:val="FootnoteText"/>
        <w:rPr>
          <w:lang w:val="fr-CH"/>
        </w:rPr>
      </w:pPr>
      <w:r>
        <w:rPr>
          <w:rStyle w:val="FootnoteReference"/>
        </w:rPr>
        <w:footnoteRef/>
      </w:r>
      <w:r>
        <w:tab/>
        <w:t>Cette colonne comprend les cas soumis jusqu</w:t>
      </w:r>
      <w:r w:rsidR="0025212F">
        <w:t>'</w:t>
      </w:r>
      <w:r>
        <w:t>à la fin du mois de juin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98" w:rsidRDefault="000D1D98">
    <w:pPr>
      <w:pStyle w:val="Header"/>
    </w:pPr>
    <w:r>
      <w:fldChar w:fldCharType="begin"/>
    </w:r>
    <w:r>
      <w:instrText xml:space="preserve"> PAGE  \* MERGEFORMAT </w:instrText>
    </w:r>
    <w:r>
      <w:fldChar w:fldCharType="separate"/>
    </w:r>
    <w:r w:rsidR="00F70DDD">
      <w:rPr>
        <w:noProof/>
      </w:rPr>
      <w:t>20</w:t>
    </w:r>
    <w:r>
      <w:fldChar w:fldCharType="end"/>
    </w:r>
  </w:p>
  <w:p w:rsidR="000D1D98" w:rsidRDefault="000D1D98">
    <w:pPr>
      <w:pStyle w:val="Header"/>
    </w:pPr>
    <w:r>
      <w:t>RA15/PLEN/1-F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B2511D7"/>
    <w:multiLevelType w:val="hybridMultilevel"/>
    <w:tmpl w:val="7ADCC6B8"/>
    <w:lvl w:ilvl="0" w:tplc="6EC4C6A0">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F4"/>
    <w:rsid w:val="00006711"/>
    <w:rsid w:val="00007193"/>
    <w:rsid w:val="00012600"/>
    <w:rsid w:val="00026756"/>
    <w:rsid w:val="00033806"/>
    <w:rsid w:val="00043D25"/>
    <w:rsid w:val="00045B7F"/>
    <w:rsid w:val="00056D7E"/>
    <w:rsid w:val="000642BB"/>
    <w:rsid w:val="000663C9"/>
    <w:rsid w:val="000717E6"/>
    <w:rsid w:val="00080D65"/>
    <w:rsid w:val="00083AC9"/>
    <w:rsid w:val="000877F5"/>
    <w:rsid w:val="0009232C"/>
    <w:rsid w:val="0009433D"/>
    <w:rsid w:val="000A2C67"/>
    <w:rsid w:val="000B1F11"/>
    <w:rsid w:val="000B232D"/>
    <w:rsid w:val="000D1D98"/>
    <w:rsid w:val="000D6B27"/>
    <w:rsid w:val="000D77B0"/>
    <w:rsid w:val="000F4A50"/>
    <w:rsid w:val="000F4E34"/>
    <w:rsid w:val="001031C4"/>
    <w:rsid w:val="001061DE"/>
    <w:rsid w:val="00115C38"/>
    <w:rsid w:val="001224C7"/>
    <w:rsid w:val="00124AC1"/>
    <w:rsid w:val="00135206"/>
    <w:rsid w:val="0013523C"/>
    <w:rsid w:val="00156EE3"/>
    <w:rsid w:val="00160694"/>
    <w:rsid w:val="001614FE"/>
    <w:rsid w:val="00164C8D"/>
    <w:rsid w:val="00170AF2"/>
    <w:rsid w:val="00176E38"/>
    <w:rsid w:val="00190715"/>
    <w:rsid w:val="001950F4"/>
    <w:rsid w:val="001B14DC"/>
    <w:rsid w:val="001C194D"/>
    <w:rsid w:val="001C7CA1"/>
    <w:rsid w:val="001D5471"/>
    <w:rsid w:val="001E1D15"/>
    <w:rsid w:val="001E2981"/>
    <w:rsid w:val="001F07C0"/>
    <w:rsid w:val="001F4C90"/>
    <w:rsid w:val="002010AF"/>
    <w:rsid w:val="00202D5C"/>
    <w:rsid w:val="0020557A"/>
    <w:rsid w:val="002232A2"/>
    <w:rsid w:val="00223DF9"/>
    <w:rsid w:val="002342AB"/>
    <w:rsid w:val="00251A63"/>
    <w:rsid w:val="0025212F"/>
    <w:rsid w:val="002770B3"/>
    <w:rsid w:val="002855FF"/>
    <w:rsid w:val="00293F92"/>
    <w:rsid w:val="002A0998"/>
    <w:rsid w:val="002A75F4"/>
    <w:rsid w:val="002B095C"/>
    <w:rsid w:val="002B5B43"/>
    <w:rsid w:val="002B5FE2"/>
    <w:rsid w:val="002D091F"/>
    <w:rsid w:val="002D5B0A"/>
    <w:rsid w:val="002F3451"/>
    <w:rsid w:val="002F6342"/>
    <w:rsid w:val="0030196D"/>
    <w:rsid w:val="00305DF9"/>
    <w:rsid w:val="00312771"/>
    <w:rsid w:val="00317700"/>
    <w:rsid w:val="00317967"/>
    <w:rsid w:val="00347D87"/>
    <w:rsid w:val="0035199D"/>
    <w:rsid w:val="00355D5B"/>
    <w:rsid w:val="003563D9"/>
    <w:rsid w:val="003644F8"/>
    <w:rsid w:val="00365CF4"/>
    <w:rsid w:val="0037097B"/>
    <w:rsid w:val="0037730C"/>
    <w:rsid w:val="00380377"/>
    <w:rsid w:val="0039549F"/>
    <w:rsid w:val="003A67B7"/>
    <w:rsid w:val="003B0C02"/>
    <w:rsid w:val="003B2885"/>
    <w:rsid w:val="003C44A7"/>
    <w:rsid w:val="003C61EE"/>
    <w:rsid w:val="003D18ED"/>
    <w:rsid w:val="003D3D50"/>
    <w:rsid w:val="003D5028"/>
    <w:rsid w:val="003D54FF"/>
    <w:rsid w:val="003F0E30"/>
    <w:rsid w:val="003F4F22"/>
    <w:rsid w:val="0040007E"/>
    <w:rsid w:val="004135EA"/>
    <w:rsid w:val="00425276"/>
    <w:rsid w:val="004336F6"/>
    <w:rsid w:val="00440184"/>
    <w:rsid w:val="00442B08"/>
    <w:rsid w:val="004442E2"/>
    <w:rsid w:val="004478AD"/>
    <w:rsid w:val="00453A53"/>
    <w:rsid w:val="004575CC"/>
    <w:rsid w:val="00460557"/>
    <w:rsid w:val="004661E8"/>
    <w:rsid w:val="004A79BE"/>
    <w:rsid w:val="004B3CDA"/>
    <w:rsid w:val="004C1B5B"/>
    <w:rsid w:val="004D0912"/>
    <w:rsid w:val="004D1215"/>
    <w:rsid w:val="004D609F"/>
    <w:rsid w:val="004D72E3"/>
    <w:rsid w:val="004D7CE7"/>
    <w:rsid w:val="004E0925"/>
    <w:rsid w:val="00507D6E"/>
    <w:rsid w:val="005114C3"/>
    <w:rsid w:val="00515FB7"/>
    <w:rsid w:val="0052539A"/>
    <w:rsid w:val="00530E6D"/>
    <w:rsid w:val="00531D72"/>
    <w:rsid w:val="00534808"/>
    <w:rsid w:val="0053613F"/>
    <w:rsid w:val="00537523"/>
    <w:rsid w:val="00542A26"/>
    <w:rsid w:val="00551BF5"/>
    <w:rsid w:val="0056072D"/>
    <w:rsid w:val="00560DB8"/>
    <w:rsid w:val="00561234"/>
    <w:rsid w:val="005915C8"/>
    <w:rsid w:val="005A1130"/>
    <w:rsid w:val="005A46FB"/>
    <w:rsid w:val="005B2C4C"/>
    <w:rsid w:val="005B6D6E"/>
    <w:rsid w:val="005D11D9"/>
    <w:rsid w:val="005D7205"/>
    <w:rsid w:val="005E3CD4"/>
    <w:rsid w:val="005F644E"/>
    <w:rsid w:val="006001E9"/>
    <w:rsid w:val="00621A0D"/>
    <w:rsid w:val="00637A67"/>
    <w:rsid w:val="00645070"/>
    <w:rsid w:val="006523FB"/>
    <w:rsid w:val="00672CCD"/>
    <w:rsid w:val="00694150"/>
    <w:rsid w:val="006A41C3"/>
    <w:rsid w:val="006B4488"/>
    <w:rsid w:val="006B7103"/>
    <w:rsid w:val="006D1533"/>
    <w:rsid w:val="006D54E9"/>
    <w:rsid w:val="006E2812"/>
    <w:rsid w:val="006E399E"/>
    <w:rsid w:val="006F558B"/>
    <w:rsid w:val="006F73A7"/>
    <w:rsid w:val="007225D3"/>
    <w:rsid w:val="0072754D"/>
    <w:rsid w:val="00731752"/>
    <w:rsid w:val="0075232C"/>
    <w:rsid w:val="00762132"/>
    <w:rsid w:val="00765413"/>
    <w:rsid w:val="00772186"/>
    <w:rsid w:val="00781160"/>
    <w:rsid w:val="00781778"/>
    <w:rsid w:val="00786008"/>
    <w:rsid w:val="007A377E"/>
    <w:rsid w:val="007B01FC"/>
    <w:rsid w:val="007B1DF1"/>
    <w:rsid w:val="007B756C"/>
    <w:rsid w:val="007C47FA"/>
    <w:rsid w:val="007D0F01"/>
    <w:rsid w:val="0080426A"/>
    <w:rsid w:val="00805B71"/>
    <w:rsid w:val="00812E5B"/>
    <w:rsid w:val="008218DB"/>
    <w:rsid w:val="008325A2"/>
    <w:rsid w:val="008359F9"/>
    <w:rsid w:val="008369B3"/>
    <w:rsid w:val="00840686"/>
    <w:rsid w:val="00840A51"/>
    <w:rsid w:val="00846C6B"/>
    <w:rsid w:val="00847C22"/>
    <w:rsid w:val="00852305"/>
    <w:rsid w:val="00854F1D"/>
    <w:rsid w:val="00857FD9"/>
    <w:rsid w:val="008737D1"/>
    <w:rsid w:val="0087786B"/>
    <w:rsid w:val="0088541C"/>
    <w:rsid w:val="008962EE"/>
    <w:rsid w:val="008C1580"/>
    <w:rsid w:val="008C3212"/>
    <w:rsid w:val="008C5FD1"/>
    <w:rsid w:val="008D0C36"/>
    <w:rsid w:val="008D7802"/>
    <w:rsid w:val="008E2077"/>
    <w:rsid w:val="008F4C91"/>
    <w:rsid w:val="009014C1"/>
    <w:rsid w:val="009177D2"/>
    <w:rsid w:val="00924647"/>
    <w:rsid w:val="009327D5"/>
    <w:rsid w:val="009329C0"/>
    <w:rsid w:val="00945370"/>
    <w:rsid w:val="009501F9"/>
    <w:rsid w:val="00971161"/>
    <w:rsid w:val="009B15E2"/>
    <w:rsid w:val="009B2290"/>
    <w:rsid w:val="009B49EC"/>
    <w:rsid w:val="009C56C2"/>
    <w:rsid w:val="009C6C2E"/>
    <w:rsid w:val="009D0ED5"/>
    <w:rsid w:val="00A115DB"/>
    <w:rsid w:val="00A25BA9"/>
    <w:rsid w:val="00A318C8"/>
    <w:rsid w:val="00A333A3"/>
    <w:rsid w:val="00A409A2"/>
    <w:rsid w:val="00A424CA"/>
    <w:rsid w:val="00A4322B"/>
    <w:rsid w:val="00A509AE"/>
    <w:rsid w:val="00A55E0B"/>
    <w:rsid w:val="00A62AD5"/>
    <w:rsid w:val="00A62B06"/>
    <w:rsid w:val="00A702B3"/>
    <w:rsid w:val="00A769F2"/>
    <w:rsid w:val="00A86AB0"/>
    <w:rsid w:val="00AA6F50"/>
    <w:rsid w:val="00AB4990"/>
    <w:rsid w:val="00AD0FA1"/>
    <w:rsid w:val="00AD26C8"/>
    <w:rsid w:val="00AD350F"/>
    <w:rsid w:val="00AF0272"/>
    <w:rsid w:val="00AF02DB"/>
    <w:rsid w:val="00B059A7"/>
    <w:rsid w:val="00B06A78"/>
    <w:rsid w:val="00B06F6D"/>
    <w:rsid w:val="00B07210"/>
    <w:rsid w:val="00B12DFD"/>
    <w:rsid w:val="00B15D78"/>
    <w:rsid w:val="00B237DF"/>
    <w:rsid w:val="00B30BAD"/>
    <w:rsid w:val="00B37E5B"/>
    <w:rsid w:val="00B4280C"/>
    <w:rsid w:val="00B44B6A"/>
    <w:rsid w:val="00B474C7"/>
    <w:rsid w:val="00B561B3"/>
    <w:rsid w:val="00B74FC6"/>
    <w:rsid w:val="00B827E8"/>
    <w:rsid w:val="00B82870"/>
    <w:rsid w:val="00B82926"/>
    <w:rsid w:val="00B830A9"/>
    <w:rsid w:val="00BB0E2B"/>
    <w:rsid w:val="00BB4A61"/>
    <w:rsid w:val="00BB4E2B"/>
    <w:rsid w:val="00BC1ECB"/>
    <w:rsid w:val="00BD0E2F"/>
    <w:rsid w:val="00BE0F92"/>
    <w:rsid w:val="00BE304F"/>
    <w:rsid w:val="00C10C2D"/>
    <w:rsid w:val="00C20609"/>
    <w:rsid w:val="00C24B8A"/>
    <w:rsid w:val="00C27517"/>
    <w:rsid w:val="00C44753"/>
    <w:rsid w:val="00C479F1"/>
    <w:rsid w:val="00C513E0"/>
    <w:rsid w:val="00C60499"/>
    <w:rsid w:val="00C67002"/>
    <w:rsid w:val="00C67C69"/>
    <w:rsid w:val="00C7796D"/>
    <w:rsid w:val="00C808D0"/>
    <w:rsid w:val="00C934FD"/>
    <w:rsid w:val="00CA605E"/>
    <w:rsid w:val="00CA65A0"/>
    <w:rsid w:val="00CC3C3C"/>
    <w:rsid w:val="00CC51C5"/>
    <w:rsid w:val="00CD54F6"/>
    <w:rsid w:val="00CE4BF8"/>
    <w:rsid w:val="00CE6AAE"/>
    <w:rsid w:val="00CF5CB2"/>
    <w:rsid w:val="00D06FAE"/>
    <w:rsid w:val="00D110E8"/>
    <w:rsid w:val="00D15701"/>
    <w:rsid w:val="00D16DB5"/>
    <w:rsid w:val="00D25176"/>
    <w:rsid w:val="00D278A9"/>
    <w:rsid w:val="00D31920"/>
    <w:rsid w:val="00D32DD4"/>
    <w:rsid w:val="00D441BC"/>
    <w:rsid w:val="00D54910"/>
    <w:rsid w:val="00D62AF6"/>
    <w:rsid w:val="00D6579A"/>
    <w:rsid w:val="00D7095E"/>
    <w:rsid w:val="00D75770"/>
    <w:rsid w:val="00D76170"/>
    <w:rsid w:val="00D77DA8"/>
    <w:rsid w:val="00D95347"/>
    <w:rsid w:val="00DA3F28"/>
    <w:rsid w:val="00DA4140"/>
    <w:rsid w:val="00DC39E6"/>
    <w:rsid w:val="00DC4CBD"/>
    <w:rsid w:val="00DD2014"/>
    <w:rsid w:val="00DE383A"/>
    <w:rsid w:val="00DF4004"/>
    <w:rsid w:val="00DF5B54"/>
    <w:rsid w:val="00E221B0"/>
    <w:rsid w:val="00E23413"/>
    <w:rsid w:val="00E2599D"/>
    <w:rsid w:val="00E30AE1"/>
    <w:rsid w:val="00E336B3"/>
    <w:rsid w:val="00E45ADF"/>
    <w:rsid w:val="00E6538F"/>
    <w:rsid w:val="00E760F9"/>
    <w:rsid w:val="00E77C0D"/>
    <w:rsid w:val="00E851D1"/>
    <w:rsid w:val="00E91EA2"/>
    <w:rsid w:val="00E92BB7"/>
    <w:rsid w:val="00EA396D"/>
    <w:rsid w:val="00EB455B"/>
    <w:rsid w:val="00EB77F2"/>
    <w:rsid w:val="00EC06EE"/>
    <w:rsid w:val="00EC0EB4"/>
    <w:rsid w:val="00ED01A6"/>
    <w:rsid w:val="00ED6310"/>
    <w:rsid w:val="00EE4FFB"/>
    <w:rsid w:val="00EE5848"/>
    <w:rsid w:val="00EF3C4E"/>
    <w:rsid w:val="00F018A8"/>
    <w:rsid w:val="00F17C45"/>
    <w:rsid w:val="00F243CE"/>
    <w:rsid w:val="00F258BD"/>
    <w:rsid w:val="00F2622B"/>
    <w:rsid w:val="00F2695B"/>
    <w:rsid w:val="00F32FBE"/>
    <w:rsid w:val="00F37132"/>
    <w:rsid w:val="00F506F3"/>
    <w:rsid w:val="00F6435B"/>
    <w:rsid w:val="00F70DDD"/>
    <w:rsid w:val="00F73E13"/>
    <w:rsid w:val="00F73FB9"/>
    <w:rsid w:val="00F76180"/>
    <w:rsid w:val="00F80FDA"/>
    <w:rsid w:val="00F81F2A"/>
    <w:rsid w:val="00F92313"/>
    <w:rsid w:val="00FA08B4"/>
    <w:rsid w:val="00FA42D8"/>
    <w:rsid w:val="00FB596A"/>
    <w:rsid w:val="00FC0296"/>
    <w:rsid w:val="00FC454C"/>
    <w:rsid w:val="00FC6C29"/>
    <w:rsid w:val="00FD1F5E"/>
    <w:rsid w:val="00FF78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5261B7E-8750-4717-B9F0-8C5AE13B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link w:val="TabletitleChar"/>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link w:val="NoteChar"/>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Char"/>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rsid w:val="0037730C"/>
    <w:rPr>
      <w:rFonts w:ascii="Times New Roman" w:hAnsi="Times New Roman"/>
      <w:b/>
      <w:sz w:val="28"/>
      <w:lang w:val="fr-FR" w:eastAsia="en-US"/>
    </w:rPr>
  </w:style>
  <w:style w:type="character" w:customStyle="1" w:styleId="enumlev1Char">
    <w:name w:val="enumlev1 Char"/>
    <w:basedOn w:val="DefaultParagraphFont"/>
    <w:link w:val="enumlev1"/>
    <w:rsid w:val="005114C3"/>
    <w:rPr>
      <w:rFonts w:ascii="Times New Roman" w:hAnsi="Times New Roman"/>
      <w:sz w:val="24"/>
      <w:lang w:val="fr-FR" w:eastAsia="en-US"/>
    </w:rPr>
  </w:style>
  <w:style w:type="character" w:styleId="Hyperlink">
    <w:name w:val="Hyperlink"/>
    <w:basedOn w:val="DefaultParagraphFont"/>
    <w:uiPriority w:val="99"/>
    <w:rsid w:val="005114C3"/>
    <w:rPr>
      <w:rFonts w:cs="Times New Roman"/>
      <w:color w:val="0000FF"/>
      <w:u w:val="single"/>
    </w:rPr>
  </w:style>
  <w:style w:type="character" w:customStyle="1" w:styleId="TableNoChar">
    <w:name w:val="Table_No Char"/>
    <w:basedOn w:val="DefaultParagraphFont"/>
    <w:link w:val="TableNo"/>
    <w:locked/>
    <w:rsid w:val="00425276"/>
    <w:rPr>
      <w:rFonts w:ascii="Times New Roman" w:hAnsi="Times New Roman"/>
      <w:caps/>
      <w:lang w:val="fr-FR" w:eastAsia="en-US"/>
    </w:rPr>
  </w:style>
  <w:style w:type="character" w:customStyle="1" w:styleId="TabletextChar">
    <w:name w:val="Table_text Char"/>
    <w:basedOn w:val="DefaultParagraphFont"/>
    <w:link w:val="Tabletext"/>
    <w:locked/>
    <w:rsid w:val="00425276"/>
    <w:rPr>
      <w:rFonts w:ascii="Times New Roman" w:hAnsi="Times New Roman"/>
      <w:lang w:val="fr-FR" w:eastAsia="en-US"/>
    </w:rPr>
  </w:style>
  <w:style w:type="character" w:customStyle="1" w:styleId="TabletitleChar">
    <w:name w:val="Table_title Char"/>
    <w:basedOn w:val="DefaultParagraphFont"/>
    <w:link w:val="Tabletitle"/>
    <w:locked/>
    <w:rsid w:val="00425276"/>
    <w:rPr>
      <w:rFonts w:ascii="Times New Roman Bold" w:hAnsi="Times New Roman Bold"/>
      <w:b/>
      <w:lang w:val="fr-FR" w:eastAsia="en-US"/>
    </w:rPr>
  </w:style>
  <w:style w:type="paragraph" w:customStyle="1" w:styleId="Tablehead0">
    <w:name w:val="Table head"/>
    <w:basedOn w:val="Normal"/>
    <w:rsid w:val="00425276"/>
    <w:pPr>
      <w:jc w:val="center"/>
    </w:pPr>
    <w:rPr>
      <w:b/>
      <w:bCs/>
      <w:lang w:val="fr-CH"/>
    </w:rPr>
  </w:style>
  <w:style w:type="character" w:customStyle="1" w:styleId="Heading2Char">
    <w:name w:val="Heading 2 Char"/>
    <w:basedOn w:val="DefaultParagraphFont"/>
    <w:link w:val="Heading2"/>
    <w:rsid w:val="00FC0296"/>
    <w:rPr>
      <w:rFonts w:ascii="Times New Roman" w:hAnsi="Times New Roman"/>
      <w:b/>
      <w:sz w:val="24"/>
      <w:lang w:val="fr-FR" w:eastAsia="en-US"/>
    </w:rPr>
  </w:style>
  <w:style w:type="paragraph" w:customStyle="1" w:styleId="Normalaftertitle0">
    <w:name w:val="Normal_after_title"/>
    <w:basedOn w:val="Normal"/>
    <w:next w:val="Normal"/>
    <w:rsid w:val="00C808D0"/>
    <w:pPr>
      <w:tabs>
        <w:tab w:val="clear" w:pos="1134"/>
        <w:tab w:val="clear" w:pos="1871"/>
        <w:tab w:val="clear" w:pos="2268"/>
        <w:tab w:val="left" w:pos="794"/>
        <w:tab w:val="left" w:pos="1191"/>
        <w:tab w:val="left" w:pos="1588"/>
        <w:tab w:val="left" w:pos="1985"/>
      </w:tabs>
      <w:spacing w:before="360"/>
    </w:pPr>
  </w:style>
  <w:style w:type="character" w:customStyle="1" w:styleId="href">
    <w:name w:val="href"/>
    <w:basedOn w:val="DefaultParagraphFont"/>
    <w:rsid w:val="00D16DB5"/>
    <w:rPr>
      <w:color w:val="auto"/>
    </w:rPr>
  </w:style>
  <w:style w:type="character" w:customStyle="1" w:styleId="NoteChar">
    <w:name w:val="Note Char"/>
    <w:basedOn w:val="DefaultParagraphFont"/>
    <w:link w:val="Note"/>
    <w:locked/>
    <w:rsid w:val="00847C22"/>
    <w:rPr>
      <w:rFonts w:ascii="Times New Roman" w:hAnsi="Times New Roman"/>
      <w:sz w:val="24"/>
      <w:lang w:val="fr-FR" w:eastAsia="en-US"/>
    </w:rPr>
  </w:style>
  <w:style w:type="character" w:customStyle="1" w:styleId="TableheadChar">
    <w:name w:val="Table_head Char"/>
    <w:basedOn w:val="DefaultParagraphFont"/>
    <w:link w:val="Tablehead"/>
    <w:rsid w:val="00847C22"/>
    <w:rPr>
      <w:rFonts w:ascii="Times New Roman" w:hAnsi="Times New Roman"/>
      <w:b/>
      <w:lang w:val="fr-FR" w:eastAsia="en-US"/>
    </w:rPr>
  </w:style>
  <w:style w:type="paragraph" w:styleId="Date">
    <w:name w:val="Date"/>
    <w:basedOn w:val="Normal"/>
    <w:next w:val="Normal"/>
    <w:link w:val="DateChar"/>
    <w:rsid w:val="006E399E"/>
  </w:style>
  <w:style w:type="character" w:customStyle="1" w:styleId="DateChar">
    <w:name w:val="Date Char"/>
    <w:basedOn w:val="DefaultParagraphFont"/>
    <w:link w:val="Date"/>
    <w:rsid w:val="006E399E"/>
    <w:rPr>
      <w:rFonts w:ascii="Times New Roman" w:hAnsi="Times New Roman"/>
      <w:sz w:val="24"/>
      <w:lang w:val="fr-FR" w:eastAsia="en-US"/>
    </w:rPr>
  </w:style>
  <w:style w:type="paragraph" w:styleId="BalloonText">
    <w:name w:val="Balloon Text"/>
    <w:basedOn w:val="Normal"/>
    <w:link w:val="BalloonTextChar"/>
    <w:semiHidden/>
    <w:unhideWhenUsed/>
    <w:rsid w:val="00C6049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60499"/>
    <w:rPr>
      <w:rFonts w:ascii="Segoe UI" w:hAnsi="Segoe UI" w:cs="Segoe UI"/>
      <w:sz w:val="18"/>
      <w:szCs w:val="18"/>
      <w:lang w:val="fr-FR" w:eastAsia="en-US"/>
    </w:rPr>
  </w:style>
  <w:style w:type="paragraph" w:customStyle="1" w:styleId="Default">
    <w:name w:val="Default"/>
    <w:rsid w:val="00C67C69"/>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semiHidden/>
    <w:unhideWhenUsed/>
    <w:rsid w:val="002D5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1-MMHI-SP/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tranet.itu.int/brdocsearch"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0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alla\AppData\Roaming\Microsoft\Templates\POOL%20F%20-%20ITU\PF_RA15.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lue\DFS\USERS\H\HUGUET\BRSGD\Statistics\2012-2015\Statistiques2012-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50" b="0" i="0" u="none" strike="noStrike" baseline="0">
                <a:solidFill>
                  <a:srgbClr val="000000"/>
                </a:solidFill>
                <a:latin typeface="Arial"/>
                <a:ea typeface="Arial"/>
                <a:cs typeface="Arial"/>
              </a:defRPr>
            </a:pPr>
            <a:r>
              <a:rPr lang="en-US" sz="1550" b="1" i="0" u="none" strike="noStrike" baseline="0">
                <a:solidFill>
                  <a:srgbClr val="000000"/>
                </a:solidFill>
                <a:latin typeface="Times New Roman"/>
                <a:cs typeface="Times New Roman"/>
              </a:rPr>
              <a:t>Total Meetings and Meeting Days</a:t>
            </a:r>
          </a:p>
          <a:p>
            <a:pPr>
              <a:defRPr sz="1550" b="0" i="0" u="none" strike="noStrike" baseline="0">
                <a:solidFill>
                  <a:srgbClr val="000000"/>
                </a:solidFill>
                <a:latin typeface="Arial"/>
                <a:ea typeface="Arial"/>
                <a:cs typeface="Arial"/>
              </a:defRPr>
            </a:pPr>
            <a:r>
              <a:rPr lang="en-US" sz="1550" b="1" i="0" u="none" strike="noStrike" baseline="0">
                <a:solidFill>
                  <a:srgbClr val="000000"/>
                </a:solidFill>
                <a:latin typeface="Times New Roman"/>
                <a:cs typeface="Times New Roman"/>
              </a:rPr>
              <a:t>for study period 2012-2015</a:t>
            </a:r>
            <a:endParaRPr lang="en-US" sz="1550" b="1" i="0" u="none" strike="noStrike" baseline="0">
              <a:solidFill>
                <a:srgbClr val="000000"/>
              </a:solidFill>
              <a:latin typeface="Arial"/>
              <a:cs typeface="Arial"/>
            </a:endParaRPr>
          </a:p>
          <a:p>
            <a:pPr>
              <a:defRPr sz="1550" b="0" i="0" u="none" strike="noStrike" baseline="0">
                <a:solidFill>
                  <a:srgbClr val="000000"/>
                </a:solidFill>
                <a:latin typeface="Arial"/>
                <a:ea typeface="Arial"/>
                <a:cs typeface="Arial"/>
              </a:defRPr>
            </a:pPr>
            <a:endParaRPr lang="en-US" sz="1550" b="1" i="0" u="none" strike="noStrike" baseline="0">
              <a:solidFill>
                <a:srgbClr val="000000"/>
              </a:solidFill>
              <a:latin typeface="Arial"/>
              <a:cs typeface="Arial"/>
            </a:endParaRPr>
          </a:p>
        </c:rich>
      </c:tx>
      <c:layout>
        <c:manualLayout>
          <c:xMode val="edge"/>
          <c:yMode val="edge"/>
          <c:x val="0.33244593606127132"/>
          <c:y val="1.6307893020221786E-2"/>
        </c:manualLayout>
      </c:layout>
      <c:overlay val="0"/>
      <c:spPr>
        <a:noFill/>
        <a:ln w="25400">
          <a:noFill/>
        </a:ln>
      </c:spPr>
    </c:title>
    <c:autoTitleDeleted val="0"/>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900709219858157E-2"/>
          <c:y val="0.20678428895018294"/>
          <c:w val="0.90602881554699555"/>
          <c:h val="0.624266741326306"/>
        </c:manualLayout>
      </c:layout>
      <c:bar3DChart>
        <c:barDir val="col"/>
        <c:grouping val="clustered"/>
        <c:varyColors val="0"/>
        <c:ser>
          <c:idx val="0"/>
          <c:order val="0"/>
          <c:tx>
            <c:strRef>
              <c:f>Table!$B$59</c:f>
              <c:strCache>
                <c:ptCount val="1"/>
                <c:pt idx="0">
                  <c:v>Number of Meetings</c:v>
                </c:pt>
              </c:strCache>
            </c:strRef>
          </c:tx>
          <c:spPr>
            <a:gradFill rotWithShape="0">
              <a:gsLst>
                <a:gs pos="0">
                  <a:srgbClr val="9999FF">
                    <a:gamma/>
                    <a:shade val="46275"/>
                    <a:invGamma/>
                  </a:srgbClr>
                </a:gs>
                <a:gs pos="100000">
                  <a:srgbClr val="9999FF"/>
                </a:gs>
              </a:gsLst>
              <a:lin ang="0" scaled="1"/>
            </a:gradFill>
            <a:ln w="12700">
              <a:solidFill>
                <a:srgbClr val="000000"/>
              </a:solidFill>
              <a:prstDash val="solid"/>
            </a:ln>
          </c:spPr>
          <c:invertIfNegative val="0"/>
          <c:dLbls>
            <c:dLbl>
              <c:idx val="0"/>
              <c:layout>
                <c:manualLayout>
                  <c:x val="4.3612581214233833E-3"/>
                  <c:y val="5.54129363966494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669850694892646E-3"/>
                  <c:y val="3.939370592374681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65765959582936E-3"/>
                  <c:y val="3.763502164969122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5727378340002693E-3"/>
                  <c:y val="4.536624702734218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0207965807552747E-3"/>
                  <c:y val="6.55212618970573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716191213803201E-3"/>
                  <c:y val="2.40031639880633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7.7191170775784178E-3"/>
                  <c:y val="-9.4508734353315648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2461540668072228E-2"/>
                  <c:y val="3.22582964800632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09774392954979E-2"/>
                  <c:y val="6.1656676477084196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6875636447083463E-3"/>
                  <c:y val="2.880256406305376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9143897996357013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323254"/>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Table!$B$60:$B$70</c:f>
              <c:numCache>
                <c:formatCode>General</c:formatCode>
                <c:ptCount val="11"/>
                <c:pt idx="0">
                  <c:v>17</c:v>
                </c:pt>
                <c:pt idx="1">
                  <c:v>18</c:v>
                </c:pt>
                <c:pt idx="2">
                  <c:v>25</c:v>
                </c:pt>
                <c:pt idx="3">
                  <c:v>36</c:v>
                </c:pt>
                <c:pt idx="4">
                  <c:v>32</c:v>
                </c:pt>
                <c:pt idx="5">
                  <c:v>28</c:v>
                </c:pt>
                <c:pt idx="6">
                  <c:v>6</c:v>
                </c:pt>
                <c:pt idx="7">
                  <c:v>2</c:v>
                </c:pt>
                <c:pt idx="8">
                  <c:v>1</c:v>
                </c:pt>
                <c:pt idx="9">
                  <c:v>3</c:v>
                </c:pt>
                <c:pt idx="10">
                  <c:v>168</c:v>
                </c:pt>
              </c:numCache>
            </c:numRef>
          </c:val>
        </c:ser>
        <c:ser>
          <c:idx val="1"/>
          <c:order val="1"/>
          <c:tx>
            <c:strRef>
              <c:f>Table!$C$59</c:f>
              <c:strCache>
                <c:ptCount val="1"/>
                <c:pt idx="0">
                  <c:v>Number of Meeting Days</c:v>
                </c:pt>
              </c:strCache>
            </c:strRef>
          </c:tx>
          <c:spPr>
            <a:gradFill rotWithShape="0">
              <a:gsLst>
                <a:gs pos="0">
                  <a:srgbClr val="993366">
                    <a:gamma/>
                    <a:shade val="46275"/>
                    <a:invGamma/>
                  </a:srgbClr>
                </a:gs>
                <a:gs pos="100000">
                  <a:srgbClr val="993366"/>
                </a:gs>
              </a:gsLst>
              <a:lin ang="0" scaled="1"/>
            </a:gradFill>
            <a:ln w="12700">
              <a:solidFill>
                <a:schemeClr val="tx1"/>
              </a:solidFill>
              <a:prstDash val="solid"/>
            </a:ln>
          </c:spPr>
          <c:invertIfNegative val="0"/>
          <c:dLbls>
            <c:dLbl>
              <c:idx val="0"/>
              <c:layout>
                <c:manualLayout>
                  <c:x val="7.5208467793984766E-3"/>
                  <c:y val="2.882516397779044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0406895859329057E-3"/>
                  <c:y val="3.034141280285169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3397444171937531E-3"/>
                  <c:y val="6.156627681813745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1718944967944578E-3"/>
                  <c:y val="5.931244895757893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2519398189980349E-3"/>
                  <c:y val="6.957281024803406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4951594165483413E-3"/>
                  <c:y val="2.088026667899389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778982545214635E-3"/>
                  <c:y val="4.65085699903950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664572666121649E-3"/>
                  <c:y val="6.487408252050685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4536379673853307E-3"/>
                  <c:y val="1.268882485579713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703498128307732E-3"/>
                  <c:y val="1.8620275205325362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5.8287795992714025E-3"/>
                  <c:y val="5.218525766470971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1000" b="1" i="0" u="none" strike="noStrike" baseline="0">
                    <a:solidFill>
                      <a:srgbClr val="71254B"/>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Table!$A$60:$A$70</c:f>
              <c:strCache>
                <c:ptCount val="11"/>
                <c:pt idx="0">
                  <c:v>1</c:v>
                </c:pt>
                <c:pt idx="1">
                  <c:v>3</c:v>
                </c:pt>
                <c:pt idx="2">
                  <c:v>4</c:v>
                </c:pt>
                <c:pt idx="3">
                  <c:v>5</c:v>
                </c:pt>
                <c:pt idx="4">
                  <c:v>6</c:v>
                </c:pt>
                <c:pt idx="5">
                  <c:v>7</c:v>
                </c:pt>
                <c:pt idx="6">
                  <c:v>4-5-6-7</c:v>
                </c:pt>
                <c:pt idx="7">
                  <c:v>SC</c:v>
                </c:pt>
                <c:pt idx="8">
                  <c:v>CPM</c:v>
                </c:pt>
                <c:pt idx="9">
                  <c:v>Others</c:v>
                </c:pt>
                <c:pt idx="10">
                  <c:v>Total</c:v>
                </c:pt>
              </c:strCache>
            </c:strRef>
          </c:cat>
          <c:val>
            <c:numRef>
              <c:f>Table!$C$60:$C$70</c:f>
              <c:numCache>
                <c:formatCode>General</c:formatCode>
                <c:ptCount val="11"/>
                <c:pt idx="0">
                  <c:v>82</c:v>
                </c:pt>
                <c:pt idx="1">
                  <c:v>118</c:v>
                </c:pt>
                <c:pt idx="2">
                  <c:v>113</c:v>
                </c:pt>
                <c:pt idx="3">
                  <c:v>258</c:v>
                </c:pt>
                <c:pt idx="4">
                  <c:v>138</c:v>
                </c:pt>
                <c:pt idx="5">
                  <c:v>125</c:v>
                </c:pt>
                <c:pt idx="6">
                  <c:v>42</c:v>
                </c:pt>
                <c:pt idx="7">
                  <c:v>9</c:v>
                </c:pt>
                <c:pt idx="8">
                  <c:v>10</c:v>
                </c:pt>
                <c:pt idx="9">
                  <c:v>3</c:v>
                </c:pt>
                <c:pt idx="10">
                  <c:v>898</c:v>
                </c:pt>
              </c:numCache>
            </c:numRef>
          </c:val>
        </c:ser>
        <c:dLbls>
          <c:showLegendKey val="0"/>
          <c:showVal val="0"/>
          <c:showCatName val="0"/>
          <c:showSerName val="0"/>
          <c:showPercent val="0"/>
          <c:showBubbleSize val="0"/>
        </c:dLbls>
        <c:gapWidth val="150"/>
        <c:shape val="box"/>
        <c:axId val="341698048"/>
        <c:axId val="341698440"/>
        <c:axId val="0"/>
      </c:bar3DChart>
      <c:catAx>
        <c:axId val="34169804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341698440"/>
        <c:crosses val="autoZero"/>
        <c:auto val="1"/>
        <c:lblAlgn val="ctr"/>
        <c:lblOffset val="100"/>
        <c:tickLblSkip val="1"/>
        <c:tickMarkSkip val="1"/>
        <c:noMultiLvlLbl val="0"/>
      </c:catAx>
      <c:valAx>
        <c:axId val="341698440"/>
        <c:scaling>
          <c:orientation val="minMax"/>
          <c:max val="10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en-US"/>
          </a:p>
        </c:txPr>
        <c:crossAx val="341698048"/>
        <c:crosses val="autoZero"/>
        <c:crossBetween val="between"/>
        <c:majorUnit val="100"/>
        <c:minorUnit val="10"/>
      </c:valAx>
      <c:spPr>
        <a:noFill/>
        <a:ln w="25400">
          <a:noFill/>
        </a:ln>
      </c:spPr>
    </c:plotArea>
    <c:legend>
      <c:legendPos val="b"/>
      <c:layout>
        <c:manualLayout>
          <c:xMode val="edge"/>
          <c:yMode val="edge"/>
          <c:x val="0.16032391375914609"/>
          <c:y val="0.93150767113014987"/>
          <c:w val="0.74384378423285324"/>
          <c:h val="6.6162319895689423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750" b="1" i="0" u="none" strike="noStrike" kern="1200" baseline="0">
                <a:solidFill>
                  <a:srgbClr val="000000"/>
                </a:solidFill>
                <a:latin typeface="Times New Roman"/>
                <a:ea typeface="Times New Roman"/>
                <a:cs typeface="Times New Roman"/>
              </a:defRPr>
            </a:pPr>
            <a:r>
              <a:rPr lang="fr-CH" sz="1800">
                <a:effectLst/>
              </a:rPr>
              <a:t>Nombre de documents traités pendant </a:t>
            </a:r>
            <a:br>
              <a:rPr lang="fr-CH" sz="1800">
                <a:effectLst/>
              </a:rPr>
            </a:br>
            <a:r>
              <a:rPr lang="fr-CH" sz="1800">
                <a:effectLst/>
              </a:rPr>
              <a:t>la période d'études 2012-2015</a:t>
            </a:r>
            <a:endParaRPr lang="en-US" sz="1800">
              <a:effectLst/>
            </a:endParaRPr>
          </a:p>
        </c:rich>
      </c:tx>
      <c:layout>
        <c:manualLayout>
          <c:xMode val="edge"/>
          <c:yMode val="edge"/>
          <c:x val="0.21017732260591609"/>
          <c:y val="2.1105934830643297E-2"/>
        </c:manualLayout>
      </c:layout>
      <c:overlay val="0"/>
      <c:spPr>
        <a:noFill/>
        <a:ln w="25400">
          <a:noFill/>
        </a:ln>
      </c:spPr>
    </c:title>
    <c:autoTitleDeleted val="0"/>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815181096436832E-2"/>
          <c:y val="0.17993079584775251"/>
          <c:w val="0.92093591277921905"/>
          <c:h val="0.67474048442907686"/>
        </c:manualLayout>
      </c:layout>
      <c:bar3DChart>
        <c:barDir val="col"/>
        <c:grouping val="clustered"/>
        <c:varyColors val="0"/>
        <c:ser>
          <c:idx val="0"/>
          <c:order val="0"/>
          <c:tx>
            <c:strRef>
              <c:f>Table!$B$74</c:f>
              <c:strCache>
                <c:ptCount val="1"/>
                <c:pt idx="0">
                  <c:v>Number of documents</c:v>
                </c:pt>
              </c:strCache>
            </c:strRef>
          </c:tx>
          <c:spPr>
            <a:gradFill>
              <a:gsLst>
                <a:gs pos="0">
                  <a:srgbClr val="03D4A8"/>
                </a:gs>
                <a:gs pos="25000">
                  <a:srgbClr val="21D6E0"/>
                </a:gs>
                <a:gs pos="75000">
                  <a:srgbClr val="0087E6"/>
                </a:gs>
                <a:gs pos="100000">
                  <a:srgbClr val="005CBF"/>
                </a:gs>
              </a:gsLst>
              <a:lin ang="0" scaled="0"/>
            </a:gradFill>
          </c:spPr>
          <c:invertIfNegative val="0"/>
          <c:dLbls>
            <c:dLbl>
              <c:idx val="0"/>
              <c:layout>
                <c:manualLayout>
                  <c:x val="-1.6297517376029555E-3"/>
                  <c:y val="3.986885722329691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1534351635890957E-4"/>
                  <c:y val="4.088675766740239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117671816635391E-3"/>
                  <c:y val="4.085715064163700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161051973180413E-3"/>
                  <c:y val="4.3573004931476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7805271557091776E-4"/>
                  <c:y val="3.99139034956270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237448047279595E-4"/>
                  <c:y val="3.950994015021489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8330089028403742E-3"/>
                  <c:y val="3.64962735273064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5662685816833055E-3"/>
                  <c:y val="1.03068087077348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2274579263338186E-3"/>
                  <c:y val="3.605206113941639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3908481373012139E-3"/>
                  <c:y val="1.7192033348772579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w="25400">
                <a:noFill/>
              </a:ln>
            </c:spPr>
            <c:txPr>
              <a:bodyPr/>
              <a:lstStyle/>
              <a:p>
                <a:pPr>
                  <a:defRPr sz="1050" b="1" i="0" u="none" strike="noStrike" baseline="0">
                    <a:solidFill>
                      <a:srgbClr val="FFFFFF"/>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Table!$A$75:$A$84</c:f>
              <c:strCache>
                <c:ptCount val="10"/>
                <c:pt idx="0">
                  <c:v>1</c:v>
                </c:pt>
                <c:pt idx="1">
                  <c:v>3</c:v>
                </c:pt>
                <c:pt idx="2">
                  <c:v>4</c:v>
                </c:pt>
                <c:pt idx="3">
                  <c:v>5</c:v>
                </c:pt>
                <c:pt idx="4">
                  <c:v>6</c:v>
                </c:pt>
                <c:pt idx="5">
                  <c:v>7</c:v>
                </c:pt>
                <c:pt idx="6">
                  <c:v>4-5-6-7</c:v>
                </c:pt>
                <c:pt idx="7">
                  <c:v>SC</c:v>
                </c:pt>
                <c:pt idx="8">
                  <c:v>CPM</c:v>
                </c:pt>
                <c:pt idx="9">
                  <c:v>Others</c:v>
                </c:pt>
              </c:strCache>
            </c:strRef>
          </c:cat>
          <c:val>
            <c:numRef>
              <c:f>Table!$B$75:$B$84</c:f>
              <c:numCache>
                <c:formatCode>#,##0</c:formatCode>
                <c:ptCount val="10"/>
                <c:pt idx="0">
                  <c:v>1722</c:v>
                </c:pt>
                <c:pt idx="1">
                  <c:v>1774</c:v>
                </c:pt>
                <c:pt idx="2">
                  <c:v>3049</c:v>
                </c:pt>
                <c:pt idx="3">
                  <c:v>7618</c:v>
                </c:pt>
                <c:pt idx="4">
                  <c:v>3916</c:v>
                </c:pt>
                <c:pt idx="5">
                  <c:v>2220</c:v>
                </c:pt>
                <c:pt idx="6">
                  <c:v>1601</c:v>
                </c:pt>
                <c:pt idx="7">
                  <c:v>265</c:v>
                </c:pt>
                <c:pt idx="8">
                  <c:v>760</c:v>
                </c:pt>
                <c:pt idx="9">
                  <c:v>255</c:v>
                </c:pt>
              </c:numCache>
            </c:numRef>
          </c:val>
        </c:ser>
        <c:dLbls>
          <c:showLegendKey val="0"/>
          <c:showVal val="0"/>
          <c:showCatName val="0"/>
          <c:showSerName val="0"/>
          <c:showPercent val="0"/>
          <c:showBubbleSize val="0"/>
        </c:dLbls>
        <c:gapWidth val="150"/>
        <c:shape val="box"/>
        <c:axId val="341697264"/>
        <c:axId val="341695696"/>
        <c:axId val="0"/>
      </c:bar3DChart>
      <c:catAx>
        <c:axId val="3416972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525" b="1" i="0" u="none" strike="noStrike" baseline="0">
                <a:solidFill>
                  <a:srgbClr val="000000"/>
                </a:solidFill>
                <a:latin typeface="Times New Roman"/>
                <a:ea typeface="Times New Roman"/>
                <a:cs typeface="Times New Roman"/>
              </a:defRPr>
            </a:pPr>
            <a:endParaRPr lang="en-US"/>
          </a:p>
        </c:txPr>
        <c:crossAx val="341695696"/>
        <c:crosses val="autoZero"/>
        <c:auto val="1"/>
        <c:lblAlgn val="ctr"/>
        <c:lblOffset val="100"/>
        <c:tickLblSkip val="1"/>
        <c:tickMarkSkip val="1"/>
        <c:noMultiLvlLbl val="0"/>
      </c:catAx>
      <c:valAx>
        <c:axId val="341695696"/>
        <c:scaling>
          <c:orientation val="minMax"/>
          <c:max val="7000"/>
          <c:min val="0"/>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en-US"/>
          </a:p>
        </c:txPr>
        <c:crossAx val="341697264"/>
        <c:crosses val="autoZero"/>
        <c:crossBetween val="between"/>
        <c:majorUnit val="500"/>
        <c:minorUnit val="100"/>
      </c:valAx>
      <c:spPr>
        <a:noFill/>
        <a:ln w="25400">
          <a:noFill/>
        </a:ln>
      </c:spPr>
    </c:plotArea>
    <c:plotVisOnly val="1"/>
    <c:dispBlanksAs val="gap"/>
    <c:showDLblsOverMax val="0"/>
  </c:chart>
  <c:spPr>
    <a:solidFill>
      <a:srgbClr val="FFFFFF"/>
    </a:solidFill>
    <a:ln w="3175">
      <a:solidFill>
        <a:schemeClr val="tx1"/>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22EB-D409-47B3-892F-787624C2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PF_RA15.dotx</Template>
  <TotalTime>144</TotalTime>
  <Pages>20</Pages>
  <Words>8751</Words>
  <Characters>49412</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58047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Botalla, Sabine</dc:creator>
  <cp:keywords/>
  <dc:description>PF_RA07.dot  Pour: _x000d_Date du document: _x000d_Enregistré par MM-43480 à 16:09:12 le 16.10.07</dc:description>
  <cp:lastModifiedBy>Saxod, Nathalie</cp:lastModifiedBy>
  <cp:revision>32</cp:revision>
  <cp:lastPrinted>2015-09-08T13:57:00Z</cp:lastPrinted>
  <dcterms:created xsi:type="dcterms:W3CDTF">2015-09-08T11:23:00Z</dcterms:created>
  <dcterms:modified xsi:type="dcterms:W3CDTF">2015-09-09T09:36:00Z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