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E12F62" w:rsidP="00E12F62">
            <w:pPr>
              <w:shd w:val="solid" w:color="FFFFFF" w:fill="FFFFFF"/>
              <w:spacing w:before="0" w:line="240" w:lineRule="atLeast"/>
            </w:pPr>
            <w:bookmarkStart w:id="0" w:name="ditulogo"/>
            <w:bookmarkEnd w:id="0"/>
            <w:r>
              <w:rPr>
                <w:noProof/>
                <w:lang w:eastAsia="en-GB"/>
              </w:rPr>
              <w:drawing>
                <wp:inline distT="0" distB="0" distL="0" distR="0" wp14:anchorId="1099315E" wp14:editId="60078E0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E20BC8" w:rsidP="00E12F6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32400">
              <w:rPr>
                <w:rFonts w:ascii="Verdana" w:hAnsi="Verdana"/>
                <w:sz w:val="20"/>
              </w:rPr>
              <w:t>Subject:</w:t>
            </w:r>
            <w:r w:rsidRPr="00A32400">
              <w:rPr>
                <w:rFonts w:ascii="Verdana" w:hAnsi="Verdana"/>
                <w:sz w:val="20"/>
              </w:rPr>
              <w:tab/>
            </w:r>
            <w:hyperlink r:id="rId7" w:history="1">
              <w:r w:rsidRPr="00A32400">
                <w:rPr>
                  <w:rStyle w:val="Hyperlink"/>
                  <w:rFonts w:ascii="Verdana" w:hAnsi="Verdana"/>
                  <w:sz w:val="20"/>
                </w:rPr>
                <w:t>Question ITU-R 229-5/5</w:t>
              </w:r>
            </w:hyperlink>
          </w:p>
          <w:p w:rsidR="00E12F62" w:rsidRPr="00982084" w:rsidRDefault="00E12F62" w:rsidP="00E12F62">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E12F62" w:rsidRDefault="00E12F6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5D/738-E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E12F62" w:rsidRDefault="00E12F62" w:rsidP="00A5173C">
            <w:pPr>
              <w:shd w:val="solid" w:color="FFFFFF" w:fill="FFFFFF"/>
              <w:spacing w:before="0" w:line="240" w:lineRule="atLeast"/>
              <w:rPr>
                <w:rFonts w:ascii="Verdana" w:hAnsi="Verdana"/>
                <w:sz w:val="20"/>
                <w:lang w:eastAsia="zh-CN"/>
              </w:rPr>
            </w:pPr>
            <w:r>
              <w:rPr>
                <w:rFonts w:ascii="Verdana" w:hAnsi="Verdana"/>
                <w:b/>
                <w:sz w:val="20"/>
                <w:lang w:eastAsia="zh-CN"/>
              </w:rPr>
              <w:t>16 August 2021</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E12F62"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E20BC8">
              <w:rPr>
                <w:rFonts w:ascii="Verdana" w:eastAsia="SimSun" w:hAnsi="Verdana"/>
                <w:b/>
                <w:sz w:val="20"/>
                <w:lang w:eastAsia="zh-CN"/>
              </w:rPr>
              <w:br/>
            </w:r>
          </w:p>
          <w:p w:rsidR="00E20BC8" w:rsidRPr="00E12F62" w:rsidRDefault="00E20BC8" w:rsidP="00A5173C">
            <w:pPr>
              <w:shd w:val="solid" w:color="FFFFFF" w:fill="FFFFFF"/>
              <w:spacing w:before="0" w:line="240" w:lineRule="atLeast"/>
              <w:rPr>
                <w:rFonts w:ascii="Verdana" w:eastAsia="SimSun" w:hAnsi="Verdana"/>
                <w:sz w:val="20"/>
                <w:lang w:eastAsia="zh-CN"/>
              </w:rPr>
            </w:pPr>
            <w:r w:rsidRPr="00A32400">
              <w:rPr>
                <w:rFonts w:ascii="Verdana" w:eastAsia="SimSun" w:hAnsi="Verdana"/>
                <w:b/>
                <w:sz w:val="20"/>
                <w:lang w:eastAsia="zh-CN"/>
              </w:rPr>
              <w:t>TECHNOLOGY ASPECTS</w:t>
            </w:r>
          </w:p>
        </w:tc>
      </w:tr>
      <w:tr w:rsidR="00E20BC8" w:rsidTr="00D046A7">
        <w:trPr>
          <w:cantSplit/>
        </w:trPr>
        <w:tc>
          <w:tcPr>
            <w:tcW w:w="9889" w:type="dxa"/>
            <w:gridSpan w:val="2"/>
          </w:tcPr>
          <w:p w:rsidR="00E20BC8" w:rsidRDefault="00E20BC8" w:rsidP="00E20BC8">
            <w:pPr>
              <w:pStyle w:val="Source"/>
              <w:rPr>
                <w:lang w:eastAsia="zh-CN"/>
              </w:rPr>
            </w:pPr>
            <w:bookmarkStart w:id="5" w:name="dsource" w:colFirst="0" w:colLast="0"/>
            <w:bookmarkEnd w:id="4"/>
            <w:r w:rsidRPr="00A32400">
              <w:t>Director, Radiocommunication Bureau</w:t>
            </w:r>
            <w:r w:rsidRPr="00A32400">
              <w:rPr>
                <w:rStyle w:val="FootnoteReference"/>
                <w:szCs w:val="24"/>
              </w:rPr>
              <w:footnoteReference w:customMarkFollows="1" w:id="1"/>
              <w:t>*</w:t>
            </w:r>
          </w:p>
        </w:tc>
      </w:tr>
      <w:tr w:rsidR="00E20BC8" w:rsidTr="00D046A7">
        <w:trPr>
          <w:cantSplit/>
        </w:trPr>
        <w:tc>
          <w:tcPr>
            <w:tcW w:w="9889" w:type="dxa"/>
            <w:gridSpan w:val="2"/>
          </w:tcPr>
          <w:p w:rsidR="00E20BC8" w:rsidRDefault="00E20BC8" w:rsidP="00E20BC8">
            <w:pPr>
              <w:pStyle w:val="Title1"/>
              <w:rPr>
                <w:lang w:eastAsia="zh-CN"/>
              </w:rPr>
            </w:pPr>
            <w:bookmarkStart w:id="6" w:name="drec" w:colFirst="0" w:colLast="0"/>
            <w:bookmarkEnd w:id="5"/>
            <w:r w:rsidRPr="00A32400">
              <w:t>CEG Report on the re-evaluation of the “ETSI (TC DECT) and DECT Forum Proponent” and of the “Nufront Proponent” candidate technology submissions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E20BC8" w:rsidRPr="00A32400" w:rsidRDefault="00E20BC8" w:rsidP="00E20BC8">
      <w:pPr>
        <w:pStyle w:val="PartNo"/>
        <w:spacing w:before="240" w:after="0"/>
      </w:pPr>
      <w:bookmarkStart w:id="8" w:name="dbreak"/>
      <w:bookmarkEnd w:id="7"/>
      <w:bookmarkEnd w:id="8"/>
      <w:r w:rsidRPr="00A32400">
        <w:t>Part I</w:t>
      </w:r>
    </w:p>
    <w:p w:rsidR="00E20BC8" w:rsidRPr="00A32400" w:rsidRDefault="00E20BC8" w:rsidP="00E20BC8">
      <w:pPr>
        <w:pStyle w:val="Parttitle"/>
      </w:pPr>
      <w:r w:rsidRPr="00A32400">
        <w:t>Administrative aspects of the Independent Evaluation Group</w:t>
      </w:r>
      <w:r w:rsidRPr="00A32400" w:rsidDel="004C142D">
        <w:t xml:space="preserve"> </w:t>
      </w:r>
    </w:p>
    <w:p w:rsidR="00E20BC8" w:rsidRDefault="00E20BC8" w:rsidP="00AA1F60">
      <w:pPr>
        <w:jc w:val="both"/>
      </w:pPr>
      <w:r w:rsidRPr="00A32400">
        <w:t>These details were provided in the previous report filed by the CEG (</w:t>
      </w:r>
      <w:hyperlink r:id="rId8" w:history="1">
        <w:r w:rsidRPr="00A32400">
          <w:rPr>
            <w:rStyle w:val="Hyperlink"/>
          </w:rPr>
          <w:t>IMT.2020/30Rev1</w:t>
        </w:r>
      </w:hyperlink>
      <w:r w:rsidRPr="00A32400">
        <w:t xml:space="preserve">) and are not repeated here since there are no changes. </w:t>
      </w:r>
    </w:p>
    <w:p w:rsidR="00E20BC8" w:rsidRPr="00A32400" w:rsidRDefault="00E20BC8" w:rsidP="00AA1F60">
      <w:pPr>
        <w:jc w:val="both"/>
      </w:pPr>
      <w:r>
        <w:t xml:space="preserve">This Report provides updates to the re-evaluation Report submitted by the CEG in Document </w:t>
      </w:r>
      <w:hyperlink r:id="rId9" w:history="1">
        <w:r w:rsidRPr="00E93859">
          <w:rPr>
            <w:rStyle w:val="Hyperlink"/>
          </w:rPr>
          <w:t>5D/624</w:t>
        </w:r>
      </w:hyperlink>
      <w:r>
        <w:t>.</w:t>
      </w:r>
    </w:p>
    <w:p w:rsidR="00E20BC8" w:rsidRPr="00A32400" w:rsidRDefault="00E20BC8" w:rsidP="00E20BC8">
      <w:pPr>
        <w:tabs>
          <w:tab w:val="clear" w:pos="1134"/>
          <w:tab w:val="clear" w:pos="1871"/>
          <w:tab w:val="clear" w:pos="2268"/>
        </w:tabs>
        <w:overflowPunct/>
        <w:autoSpaceDE/>
        <w:autoSpaceDN/>
        <w:adjustRightInd/>
        <w:spacing w:before="0"/>
        <w:textAlignment w:val="auto"/>
        <w:rPr>
          <w:lang w:eastAsia="zh-CN"/>
        </w:rPr>
      </w:pPr>
      <w:r w:rsidRPr="00A32400">
        <w:rPr>
          <w:lang w:eastAsia="zh-CN"/>
        </w:rPr>
        <w:br w:type="page"/>
      </w:r>
    </w:p>
    <w:p w:rsidR="00E20BC8" w:rsidRPr="00A32400" w:rsidRDefault="00E20BC8" w:rsidP="00E20BC8">
      <w:pPr>
        <w:pStyle w:val="PartNo"/>
      </w:pPr>
      <w:r w:rsidRPr="00A32400">
        <w:t>Part II</w:t>
      </w:r>
    </w:p>
    <w:p w:rsidR="00E20BC8" w:rsidRPr="00A32400" w:rsidRDefault="00E20BC8" w:rsidP="00E20BC8">
      <w:pPr>
        <w:pStyle w:val="Parttitle"/>
      </w:pPr>
      <w:r w:rsidRPr="00A32400">
        <w:t>Technical aspects of the work of the Independent Evaluation Group</w:t>
      </w:r>
    </w:p>
    <w:p w:rsidR="00E20BC8" w:rsidRPr="00A32400" w:rsidRDefault="00E20BC8" w:rsidP="00AA1F60">
      <w:pPr>
        <w:tabs>
          <w:tab w:val="left" w:pos="284"/>
        </w:tabs>
        <w:spacing w:before="80"/>
        <w:jc w:val="both"/>
        <w:rPr>
          <w:lang w:eastAsia="zh-CN"/>
        </w:rPr>
      </w:pPr>
      <w:r w:rsidRPr="00A32400">
        <w:rPr>
          <w:lang w:eastAsia="zh-CN"/>
        </w:rPr>
        <w:t xml:space="preserve">The CEG notes that in document </w:t>
      </w:r>
      <w:hyperlink r:id="rId10" w:history="1">
        <w:r w:rsidRPr="00A32400">
          <w:rPr>
            <w:color w:val="0000FF"/>
            <w:u w:val="single"/>
            <w:lang w:eastAsia="zh-CN"/>
          </w:rPr>
          <w:t>IMT.2020/54</w:t>
        </w:r>
      </w:hyperlink>
      <w:r w:rsidRPr="00A32400">
        <w:rPr>
          <w:lang w:eastAsia="zh-CN"/>
        </w:rPr>
        <w:t xml:space="preserve">, the ITU has provided somewhat elaborate guidance to independent evaluation groups (IEG) in how to structure their reports. The CEG would like to respectfully point out that the guidance appears to be provided from the point-of-view of documents that are internal to the ITU and so has followed the same format for this report as the one recommended previously by the ITU. </w:t>
      </w:r>
    </w:p>
    <w:p w:rsidR="00E20BC8" w:rsidRPr="00A32400" w:rsidRDefault="00E20BC8" w:rsidP="00AA1F60">
      <w:pPr>
        <w:tabs>
          <w:tab w:val="left" w:pos="284"/>
        </w:tabs>
        <w:spacing w:before="80"/>
        <w:jc w:val="both"/>
        <w:rPr>
          <w:lang w:eastAsia="zh-CN"/>
        </w:rPr>
      </w:pPr>
      <w:r w:rsidRPr="00A32400">
        <w:rPr>
          <w:lang w:eastAsia="zh-CN"/>
        </w:rPr>
        <w:t>But rather than revise its previous report (</w:t>
      </w:r>
      <w:hyperlink r:id="rId11" w:history="1">
        <w:r w:rsidRPr="00A32400">
          <w:rPr>
            <w:color w:val="0000FF"/>
            <w:u w:val="single"/>
          </w:rPr>
          <w:t>IMT.2020/30Rev1</w:t>
        </w:r>
      </w:hyperlink>
      <w:r w:rsidRPr="00A32400">
        <w:t>),</w:t>
      </w:r>
      <w:r w:rsidRPr="00A32400">
        <w:rPr>
          <w:lang w:eastAsia="zh-CN"/>
        </w:rPr>
        <w:t xml:space="preserve"> which would require enabling the “track changes” feature, then using the asterisk mark (‘*’) to differentiate the old results from the new, the CEG is providing a new report in which it believes that the results are presented with sufficient clarity that the ITU will not experience any major difficulty in taking them into account. In this new report, the CEG maintains the numbering scheme followed in the original one – for sections, sub-sections, etc. – in order to ensure some degree of consistency. </w:t>
      </w:r>
    </w:p>
    <w:p w:rsidR="00E20BC8" w:rsidRPr="00A32400" w:rsidRDefault="00E20BC8" w:rsidP="00E20BC8">
      <w:pPr>
        <w:pStyle w:val="Heading1"/>
      </w:pPr>
      <w:r w:rsidRPr="00A32400">
        <w:rPr>
          <w:szCs w:val="24"/>
        </w:rPr>
        <w:t>A)</w:t>
      </w:r>
      <w:r w:rsidRPr="00A32400">
        <w:rPr>
          <w:szCs w:val="24"/>
        </w:rPr>
        <w:tab/>
        <w:t>What</w:t>
      </w:r>
      <w:r w:rsidRPr="00A32400">
        <w:t xml:space="preserve"> candidate technologies or portions of the candidate technologies this IEG is or might anticipate re-evaluating?</w:t>
      </w:r>
    </w:p>
    <w:p w:rsidR="00E20BC8" w:rsidRPr="00A32400" w:rsidRDefault="00E20BC8" w:rsidP="00E20BC8">
      <w:pPr>
        <w:pStyle w:val="Heading1"/>
      </w:pPr>
      <w:r w:rsidRPr="00A32400">
        <w:t>7</w:t>
      </w:r>
      <w:r w:rsidRPr="00A32400">
        <w:tab/>
        <w:t>Technologies re-evaluated by the CEG</w:t>
      </w:r>
    </w:p>
    <w:p w:rsidR="00E20BC8" w:rsidRPr="00A32400" w:rsidRDefault="00E20BC8" w:rsidP="00E20BC8">
      <w:pPr>
        <w:jc w:val="both"/>
      </w:pPr>
      <w:r w:rsidRPr="00A32400">
        <w:t xml:space="preserve">The candidate technologies, or portions thereof, that the CEG will re-evaluate are as follows (extracted from Document </w:t>
      </w:r>
      <w:hyperlink r:id="rId12" w:history="1">
        <w:r w:rsidRPr="00A32400">
          <w:rPr>
            <w:color w:val="0000FF"/>
            <w:u w:val="single"/>
          </w:rPr>
          <w:t>5D/545</w:t>
        </w:r>
      </w:hyperlink>
      <w:r w:rsidRPr="00A32400">
        <w:t xml:space="preserve">, Chapter 7, Attachment 7.4: “Liaison Statement to Independent Evaluation Groups and "ETSI (TC DECT) and DECT Forum Proponent" and "Nufront Proponent" engaged In Option 2”): </w:t>
      </w:r>
    </w:p>
    <w:p w:rsidR="00E20BC8" w:rsidRPr="00A32400" w:rsidRDefault="00E20BC8" w:rsidP="00E20BC8">
      <w:pPr>
        <w:pStyle w:val="enumlev1"/>
        <w:rPr>
          <w:rFonts w:eastAsia="MS Mincho"/>
        </w:rPr>
      </w:pPr>
      <w:r w:rsidRPr="00A32400">
        <w:rPr>
          <w:rFonts w:eastAsia="MS Mincho"/>
        </w:rPr>
        <w:t>1</w:t>
      </w:r>
      <w:r w:rsidRPr="00A32400">
        <w:rPr>
          <w:rFonts w:eastAsia="MS Mincho"/>
        </w:rPr>
        <w:tab/>
        <w:t xml:space="preserve">ETSI (TC DECT) and DECT Forum Candidate Technology Submission (called “DECT-2020” hereafter, noting that it refers to one RIT component of the SRIT submitted) </w:t>
      </w:r>
    </w:p>
    <w:p w:rsidR="00E20BC8" w:rsidRPr="00A32400" w:rsidRDefault="00E20BC8" w:rsidP="00E20BC8">
      <w:pPr>
        <w:pStyle w:val="enumlev2"/>
        <w:rPr>
          <w:rFonts w:eastAsia="MS Mincho"/>
        </w:rPr>
      </w:pPr>
      <w:r w:rsidRPr="00A32400">
        <w:rPr>
          <w:rFonts w:eastAsia="MS Mincho"/>
        </w:rPr>
        <w:t>a</w:t>
      </w:r>
      <w:r w:rsidRPr="00A32400">
        <w:rPr>
          <w:rFonts w:eastAsia="MS Mincho"/>
        </w:rPr>
        <w:tab/>
        <w:t>Connection density: for UMa-mMTC test environment</w:t>
      </w:r>
    </w:p>
    <w:p w:rsidR="00E20BC8" w:rsidRPr="00A32400" w:rsidRDefault="00E20BC8" w:rsidP="00E20BC8">
      <w:pPr>
        <w:pStyle w:val="enumlev1"/>
        <w:rPr>
          <w:rFonts w:eastAsia="MS Mincho"/>
        </w:rPr>
      </w:pPr>
      <w:r w:rsidRPr="00A32400">
        <w:rPr>
          <w:rFonts w:eastAsia="MS Mincho"/>
        </w:rPr>
        <w:t>2</w:t>
      </w:r>
      <w:r w:rsidRPr="00A32400">
        <w:rPr>
          <w:rFonts w:eastAsia="MS Mincho"/>
        </w:rPr>
        <w:tab/>
        <w:t xml:space="preserve">Nufront Candidate Technology Submission (called “EUHT” hereafter) </w:t>
      </w:r>
    </w:p>
    <w:p w:rsidR="00E20BC8" w:rsidRPr="00A32400" w:rsidRDefault="00E20BC8" w:rsidP="00E20BC8">
      <w:pPr>
        <w:pStyle w:val="enumlev2"/>
        <w:rPr>
          <w:rFonts w:eastAsia="MS Mincho"/>
        </w:rPr>
      </w:pPr>
      <w:r w:rsidRPr="00A32400">
        <w:rPr>
          <w:rFonts w:eastAsia="MS Mincho"/>
        </w:rPr>
        <w:t>a</w:t>
      </w:r>
      <w:r w:rsidRPr="00A32400">
        <w:rPr>
          <w:rFonts w:eastAsia="MS Mincho"/>
        </w:rPr>
        <w:tab/>
        <w:t>5</w:t>
      </w:r>
      <w:r w:rsidRPr="00A32400">
        <w:rPr>
          <w:rFonts w:eastAsia="MS Mincho"/>
          <w:vertAlign w:val="superscript"/>
        </w:rPr>
        <w:t>th</w:t>
      </w:r>
      <w:r w:rsidRPr="00A32400">
        <w:rPr>
          <w:rFonts w:eastAsia="MS Mincho"/>
        </w:rPr>
        <w:t xml:space="preserve"> percentile and average Spectral Efficiencies: for DU-eMBB test environment </w:t>
      </w:r>
    </w:p>
    <w:p w:rsidR="00E20BC8" w:rsidRPr="00A32400" w:rsidRDefault="00E20BC8" w:rsidP="00E20BC8">
      <w:pPr>
        <w:pStyle w:val="enumlev2"/>
        <w:rPr>
          <w:rFonts w:eastAsia="MS Mincho"/>
        </w:rPr>
      </w:pPr>
      <w:r w:rsidRPr="00A32400">
        <w:rPr>
          <w:rFonts w:eastAsia="MS Mincho"/>
        </w:rPr>
        <w:t>b</w:t>
      </w:r>
      <w:r w:rsidRPr="00A32400">
        <w:rPr>
          <w:rFonts w:eastAsia="MS Mincho"/>
        </w:rPr>
        <w:tab/>
        <w:t>Mobility: for DU-eMBB test environment</w:t>
      </w:r>
    </w:p>
    <w:p w:rsidR="00E20BC8" w:rsidRPr="00A32400" w:rsidRDefault="00E20BC8" w:rsidP="00E20BC8">
      <w:pPr>
        <w:pStyle w:val="enumlev2"/>
        <w:rPr>
          <w:rFonts w:eastAsia="MS Mincho"/>
        </w:rPr>
      </w:pPr>
      <w:r w:rsidRPr="00A32400">
        <w:rPr>
          <w:rFonts w:eastAsia="MS Mincho"/>
        </w:rPr>
        <w:t>c</w:t>
      </w:r>
      <w:r w:rsidRPr="00A32400">
        <w:rPr>
          <w:rFonts w:eastAsia="MS Mincho"/>
        </w:rPr>
        <w:tab/>
        <w:t xml:space="preserve">Reliability: for UMa-urLLC test environment </w:t>
      </w:r>
    </w:p>
    <w:p w:rsidR="00E20BC8" w:rsidRPr="00A32400" w:rsidRDefault="00E20BC8" w:rsidP="00E20BC8">
      <w:pPr>
        <w:pStyle w:val="enumlev2"/>
        <w:rPr>
          <w:rFonts w:ascii="Calibri" w:eastAsia="MS Mincho" w:hAnsi="Calibri"/>
        </w:rPr>
      </w:pPr>
      <w:r w:rsidRPr="00A32400">
        <w:rPr>
          <w:rFonts w:eastAsia="MS Mincho"/>
        </w:rPr>
        <w:t>d</w:t>
      </w:r>
      <w:r w:rsidRPr="00A32400">
        <w:rPr>
          <w:rFonts w:eastAsia="MS Mincho"/>
        </w:rPr>
        <w:tab/>
        <w:t>Connection density: for UMa-mMTC test environment.</w:t>
      </w:r>
    </w:p>
    <w:p w:rsidR="00E20BC8" w:rsidRPr="00A32400" w:rsidRDefault="00E20BC8" w:rsidP="00E20BC8">
      <w:pPr>
        <w:pStyle w:val="Heading1"/>
      </w:pPr>
      <w:r w:rsidRPr="00A32400">
        <w:t>B)</w:t>
      </w:r>
      <w:r w:rsidRPr="00A32400">
        <w:tab/>
        <w:t>Confirmation of utilization of the ITU-R evaluation guidelines in Report ITU-R M.2412</w:t>
      </w:r>
    </w:p>
    <w:p w:rsidR="00E20BC8" w:rsidRPr="00A32400" w:rsidRDefault="00E20BC8" w:rsidP="00E20BC8">
      <w:pPr>
        <w:pStyle w:val="Heading1"/>
      </w:pPr>
      <w:r w:rsidRPr="00A32400">
        <w:t>8</w:t>
      </w:r>
      <w:r w:rsidRPr="00A32400">
        <w:tab/>
        <w:t>Evaluation Guidelines</w:t>
      </w:r>
    </w:p>
    <w:p w:rsidR="00E20BC8" w:rsidRPr="00A32400" w:rsidRDefault="00E20BC8" w:rsidP="00E20BC8">
      <w:pPr>
        <w:jc w:val="both"/>
      </w:pPr>
      <w:r w:rsidRPr="00A32400">
        <w:t xml:space="preserve">While the CEG confirms it has utilized not just the ITU-R evaluation guidelines in Report ITU-R </w:t>
      </w:r>
      <w:hyperlink r:id="rId13" w:history="1">
        <w:r w:rsidRPr="00A32400">
          <w:rPr>
            <w:color w:val="0000FF"/>
            <w:u w:val="single"/>
          </w:rPr>
          <w:t>M.2412</w:t>
        </w:r>
      </w:hyperlink>
      <w:r w:rsidRPr="00A32400">
        <w:t xml:space="preserve">, but the re-evaluation guidelines in </w:t>
      </w:r>
      <w:r w:rsidRPr="00A32400">
        <w:rPr>
          <w:lang w:eastAsia="zh-CN"/>
        </w:rPr>
        <w:t xml:space="preserve">document </w:t>
      </w:r>
      <w:hyperlink r:id="rId14" w:history="1">
        <w:r w:rsidRPr="00A32400">
          <w:rPr>
            <w:color w:val="0000FF"/>
            <w:u w:val="single"/>
            <w:lang w:eastAsia="zh-CN"/>
          </w:rPr>
          <w:t>IMT.2020/54</w:t>
        </w:r>
      </w:hyperlink>
      <w:r w:rsidRPr="00A32400">
        <w:rPr>
          <w:lang w:eastAsia="zh-CN"/>
        </w:rPr>
        <w:t xml:space="preserve"> </w:t>
      </w:r>
      <w:r w:rsidRPr="00A32400">
        <w:t xml:space="preserve">as well, it draws the attention of the ITU to the fact that these guidelines were established from the view-point of RITs (Radio Interface Technologies) or SRITs (Sets of RITs) that are fundamentally </w:t>
      </w:r>
      <w:r w:rsidRPr="00A32400">
        <w:rPr>
          <w:i/>
          <w:iCs/>
        </w:rPr>
        <w:t>cellular</w:t>
      </w:r>
      <w:r w:rsidRPr="00A32400">
        <w:t xml:space="preserve"> in nature i.e. possess a network structure with a base-station site (usually with three sectors/cells) that communicates with user-equipment in those sectors. </w:t>
      </w:r>
    </w:p>
    <w:p w:rsidR="00E20BC8" w:rsidRPr="00A32400" w:rsidRDefault="00E20BC8" w:rsidP="00AA1F60">
      <w:pPr>
        <w:jc w:val="both"/>
      </w:pPr>
      <w:r w:rsidRPr="00A32400">
        <w:t xml:space="preserve">The CEG notes that the DECT-2020 RIT component appears to have a hybrid nature in that it combines a cellular lay-out with mesh network capabilities, while the EUHT RIT also appears to have a hybrid RLAN/cellular structure.  </w:t>
      </w:r>
    </w:p>
    <w:p w:rsidR="00E20BC8" w:rsidRPr="00A32400" w:rsidRDefault="00E20BC8" w:rsidP="00E20BC8">
      <w:r w:rsidRPr="00A32400">
        <w:t xml:space="preserve">Consequently, these candidate submissions require more guidelines than are presented in Report ITU-R </w:t>
      </w:r>
      <w:hyperlink r:id="rId15" w:history="1">
        <w:r w:rsidRPr="00A32400">
          <w:rPr>
            <w:color w:val="0000FF"/>
            <w:u w:val="single"/>
          </w:rPr>
          <w:t>M.2412</w:t>
        </w:r>
      </w:hyperlink>
      <w:r w:rsidRPr="00A32400">
        <w:rPr>
          <w:color w:val="0000FF"/>
          <w:u w:val="single"/>
        </w:rPr>
        <w:t xml:space="preserve">. </w:t>
      </w:r>
    </w:p>
    <w:p w:rsidR="00E20BC8" w:rsidRPr="00A32400" w:rsidRDefault="00E20BC8" w:rsidP="00E20BC8">
      <w:pPr>
        <w:pStyle w:val="Heading1"/>
      </w:pPr>
      <w:r w:rsidRPr="00A32400">
        <w:t>C)</w:t>
      </w:r>
      <w:r w:rsidRPr="00A32400">
        <w:tab/>
        <w:t>Documentation of any additional evaluation methodologies that are or might be developed by the Independent Evaluation Group to complement the evaluation guidelines;</w:t>
      </w:r>
    </w:p>
    <w:p w:rsidR="00E20BC8" w:rsidRPr="00A32400" w:rsidRDefault="00E20BC8" w:rsidP="00E20BC8">
      <w:pPr>
        <w:keepNext/>
        <w:keepLines/>
        <w:spacing w:before="240" w:after="60"/>
        <w:ind w:left="1134" w:hanging="1134"/>
        <w:outlineLvl w:val="0"/>
        <w:rPr>
          <w:rFonts w:ascii="Times New Roman Bold" w:hAnsi="Times New Roman Bold" w:cs="Times New Roman Bold"/>
          <w:b/>
          <w:spacing w:val="-2"/>
          <w:sz w:val="28"/>
          <w:szCs w:val="24"/>
        </w:rPr>
      </w:pPr>
      <w:r w:rsidRPr="00A32400">
        <w:rPr>
          <w:b/>
          <w:sz w:val="28"/>
          <w:szCs w:val="24"/>
        </w:rPr>
        <w:t>D)</w:t>
      </w:r>
      <w:r w:rsidRPr="00A32400">
        <w:rPr>
          <w:b/>
          <w:sz w:val="28"/>
          <w:szCs w:val="24"/>
        </w:rPr>
        <w:tab/>
      </w:r>
      <w:r w:rsidRPr="00A32400">
        <w:rPr>
          <w:rFonts w:ascii="Times New Roman Bold" w:hAnsi="Times New Roman Bold" w:cs="Times New Roman Bold"/>
          <w:b/>
          <w:spacing w:val="-2"/>
          <w:sz w:val="28"/>
          <w:szCs w:val="24"/>
        </w:rPr>
        <w:t>Verification as per Report ITU-R M.2411 of the compliance templates and the self-evaluation for each candidate technology as indicated in A)</w:t>
      </w:r>
    </w:p>
    <w:p w:rsidR="00E20BC8" w:rsidRPr="00A32400" w:rsidRDefault="00E20BC8" w:rsidP="00E20BC8">
      <w:pPr>
        <w:pStyle w:val="enumlev1"/>
      </w:pPr>
      <w:r w:rsidRPr="00A32400">
        <w:t>–</w:t>
      </w:r>
      <w:r w:rsidRPr="00A32400">
        <w:tab/>
        <w:t>Identify gaps/deficiencies in submitted material and/or self-evaluation;</w:t>
      </w:r>
    </w:p>
    <w:p w:rsidR="00E20BC8" w:rsidRPr="00A32400" w:rsidRDefault="00E20BC8" w:rsidP="00E20BC8">
      <w:pPr>
        <w:pStyle w:val="enumlev1"/>
      </w:pPr>
      <w:r w:rsidRPr="00A32400">
        <w:t>–</w:t>
      </w:r>
      <w:r w:rsidRPr="00A32400">
        <w:tab/>
        <w:t>Identify areas requiring clarifications;</w:t>
      </w:r>
    </w:p>
    <w:p w:rsidR="00E20BC8" w:rsidRPr="00A32400" w:rsidRDefault="00E20BC8" w:rsidP="00E20BC8">
      <w:pPr>
        <w:pStyle w:val="enumlev1"/>
      </w:pPr>
      <w:r w:rsidRPr="00A32400">
        <w:t>–</w:t>
      </w:r>
      <w:r w:rsidRPr="00A32400">
        <w:tab/>
        <w:t>General questions.</w:t>
      </w:r>
    </w:p>
    <w:p w:rsidR="00E20BC8" w:rsidRPr="00A32400" w:rsidRDefault="00E20BC8" w:rsidP="00E20BC8">
      <w:pPr>
        <w:pStyle w:val="Heading1"/>
      </w:pPr>
      <w:r w:rsidRPr="00A32400">
        <w:t>9</w:t>
      </w:r>
      <w:r w:rsidRPr="00A32400">
        <w:tab/>
        <w:t>Identify areas requiring clarifications</w:t>
      </w:r>
    </w:p>
    <w:p w:rsidR="00E20BC8" w:rsidRPr="00A32400" w:rsidRDefault="00E20BC8" w:rsidP="00AA1F60">
      <w:pPr>
        <w:tabs>
          <w:tab w:val="clear" w:pos="1134"/>
        </w:tabs>
        <w:spacing w:before="200"/>
        <w:jc w:val="both"/>
        <w:outlineLvl w:val="1"/>
      </w:pPr>
      <w:r w:rsidRPr="00A32400">
        <w:t>The CEG, along with other IEGs, has a separate contribution to the 38</w:t>
      </w:r>
      <w:r w:rsidRPr="00A32400">
        <w:rPr>
          <w:vertAlign w:val="superscript"/>
        </w:rPr>
        <w:t>th</w:t>
      </w:r>
      <w:r w:rsidRPr="00A32400">
        <w:t xml:space="preserve"> meeting of WP</w:t>
      </w:r>
      <w:r>
        <w:t> </w:t>
      </w:r>
      <w:r w:rsidRPr="00A32400">
        <w:t xml:space="preserve">5D entitled “Observations of 5GIF, CEG, and WWRF regarding the administrative and timing circumstances of the technology evaluations for Option 2” in Document </w:t>
      </w:r>
      <w:hyperlink r:id="rId16" w:history="1">
        <w:r w:rsidRPr="00A32400">
          <w:rPr>
            <w:rStyle w:val="Hyperlink"/>
          </w:rPr>
          <w:t>5D/607</w:t>
        </w:r>
      </w:hyperlink>
      <w:r w:rsidRPr="00A32400">
        <w:rPr>
          <w:b/>
        </w:rPr>
        <w:t xml:space="preserve">, </w:t>
      </w:r>
      <w:r w:rsidRPr="00A32400">
        <w:t xml:space="preserve">which identifies areas requiring clarifications. It has chosen not to reproduce that text here in order not to create two documents with identical content (with accompanying loss in clarity if one document is updated, but not the other).  </w:t>
      </w:r>
    </w:p>
    <w:p w:rsidR="00E20BC8" w:rsidRPr="00A32400" w:rsidRDefault="00E20BC8" w:rsidP="00E20BC8">
      <w:pPr>
        <w:pStyle w:val="Heading2"/>
      </w:pPr>
      <w:r w:rsidRPr="00A32400">
        <w:t>9.1</w:t>
      </w:r>
      <w:r w:rsidRPr="00A32400">
        <w:tab/>
        <w:t>DECT-2020</w:t>
      </w:r>
    </w:p>
    <w:p w:rsidR="00E20BC8" w:rsidRDefault="00E20BC8" w:rsidP="00E20BC8">
      <w:pPr>
        <w:overflowPunct/>
        <w:autoSpaceDE/>
        <w:autoSpaceDN/>
        <w:adjustRightInd/>
        <w:spacing w:before="240"/>
        <w:jc w:val="both"/>
        <w:textAlignment w:val="auto"/>
        <w:rPr>
          <w:color w:val="212121"/>
          <w:szCs w:val="24"/>
          <w:shd w:val="clear" w:color="auto" w:fill="FFFFFF"/>
        </w:rPr>
      </w:pPr>
      <w:r w:rsidRPr="00A32400">
        <w:rPr>
          <w:color w:val="212121"/>
          <w:szCs w:val="24"/>
          <w:shd w:val="clear" w:color="auto" w:fill="FFFFFF"/>
        </w:rPr>
        <w:t>The CEG had to tackle multiple issues to produce the desired DECT evaluation metric. Full specifications required to set up the simulator were not entirely confirmed until after the 37</w:t>
      </w:r>
      <w:r w:rsidRPr="00A32400">
        <w:rPr>
          <w:color w:val="212121"/>
          <w:szCs w:val="24"/>
          <w:shd w:val="clear" w:color="auto" w:fill="FFFFFF"/>
          <w:vertAlign w:val="superscript"/>
        </w:rPr>
        <w:t>th</w:t>
      </w:r>
      <w:r w:rsidRPr="00A32400">
        <w:rPr>
          <w:color w:val="212121"/>
          <w:szCs w:val="24"/>
          <w:shd w:val="clear" w:color="auto" w:fill="FFFFFF"/>
        </w:rPr>
        <w:t xml:space="preserve"> WP</w:t>
      </w:r>
      <w:r w:rsidR="00AA1F60">
        <w:rPr>
          <w:color w:val="212121"/>
          <w:szCs w:val="24"/>
          <w:shd w:val="clear" w:color="auto" w:fill="FFFFFF"/>
        </w:rPr>
        <w:t> </w:t>
      </w:r>
      <w:r w:rsidRPr="00A32400">
        <w:rPr>
          <w:color w:val="212121"/>
          <w:szCs w:val="24"/>
          <w:shd w:val="clear" w:color="auto" w:fill="FFFFFF"/>
        </w:rPr>
        <w:t>5D meeting (cf. section 12 for details). Besides, given the final setup adopted by the CEG based on the proponent’s feedback received by 8</w:t>
      </w:r>
      <w:r w:rsidRPr="00A32400">
        <w:rPr>
          <w:color w:val="212121"/>
          <w:szCs w:val="24"/>
          <w:shd w:val="clear" w:color="auto" w:fill="FFFFFF"/>
          <w:vertAlign w:val="superscript"/>
        </w:rPr>
        <w:t>th</w:t>
      </w:r>
      <w:r w:rsidRPr="00A32400">
        <w:rPr>
          <w:color w:val="212121"/>
          <w:szCs w:val="24"/>
          <w:shd w:val="clear" w:color="auto" w:fill="FFFFFF"/>
        </w:rPr>
        <w:t xml:space="preserve"> April 2021 and translating into exhaustive consideration a priori of all potential D2D channels between the user equipment (UE)/devices and all potential multi-hop relaying paths (up to 255 in number), the amount of data required to be generated – for around 77,000 UE/devices per sector/cell to reflect the criterion of 1 million users per km</w:t>
      </w:r>
      <w:r w:rsidRPr="00A32400">
        <w:rPr>
          <w:color w:val="212121"/>
          <w:szCs w:val="24"/>
          <w:shd w:val="clear" w:color="auto" w:fill="FFFFFF"/>
          <w:vertAlign w:val="superscript"/>
        </w:rPr>
        <w:t>2</w:t>
      </w:r>
      <w:r w:rsidRPr="00A32400">
        <w:rPr>
          <w:color w:val="212121"/>
          <w:szCs w:val="24"/>
          <w:shd w:val="clear" w:color="auto" w:fill="FFFFFF"/>
        </w:rPr>
        <w:t xml:space="preserve"> – was enormous. Just a single drop to carry out a simulation could take days for one base-station (BS) site (one site comprising three cells/sectors) and, as a consequent extension, </w:t>
      </w:r>
      <w:r w:rsidRPr="00A32400">
        <w:rPr>
          <w:i/>
          <w:iCs/>
          <w:color w:val="212121"/>
          <w:szCs w:val="24"/>
          <w:shd w:val="clear" w:color="auto" w:fill="FFFFFF"/>
        </w:rPr>
        <w:t>many weeks</w:t>
      </w:r>
      <w:r w:rsidRPr="00A32400">
        <w:rPr>
          <w:color w:val="212121"/>
          <w:szCs w:val="24"/>
          <w:shd w:val="clear" w:color="auto" w:fill="FFFFFF"/>
        </w:rPr>
        <w:t xml:space="preserve"> for the full layout of nineteen BS sites. The CEG’s academic member, despite having powerful computing servers of its own, had to rely on </w:t>
      </w:r>
      <w:hyperlink r:id="rId17" w:history="1">
        <w:r w:rsidRPr="00A32400">
          <w:rPr>
            <w:color w:val="0000FF"/>
            <w:szCs w:val="24"/>
            <w:u w:val="single"/>
            <w:shd w:val="clear" w:color="auto" w:fill="FFFFFF"/>
          </w:rPr>
          <w:t>Compute Canada resources</w:t>
        </w:r>
      </w:hyperlink>
      <w:r w:rsidRPr="00A32400">
        <w:rPr>
          <w:color w:val="212121"/>
          <w:szCs w:val="24"/>
          <w:shd w:val="clear" w:color="auto" w:fill="FFFFFF"/>
        </w:rPr>
        <w:t xml:space="preserve"> to cope with the daunting demands in number crunching required by the evaluation of the connection density criterion of this submission. Simply obtaining the required memory allocations from Compute Canada could take a few days before simulations are allowed to run, since access is granted via a queue.</w:t>
      </w:r>
    </w:p>
    <w:p w:rsidR="00E20BC8" w:rsidRDefault="00E20BC8" w:rsidP="00E20BC8">
      <w:pPr>
        <w:overflowPunct/>
        <w:autoSpaceDE/>
        <w:autoSpaceDN/>
        <w:adjustRightInd/>
        <w:spacing w:before="240"/>
        <w:jc w:val="both"/>
        <w:textAlignment w:val="auto"/>
        <w:rPr>
          <w:color w:val="212121"/>
          <w:szCs w:val="24"/>
          <w:shd w:val="clear" w:color="auto" w:fill="FFFFFF"/>
        </w:rPr>
      </w:pPr>
      <w:r>
        <w:rPr>
          <w:color w:val="212121"/>
          <w:szCs w:val="24"/>
          <w:shd w:val="clear" w:color="auto" w:fill="FFFFFF"/>
        </w:rPr>
        <w:t>After the 38</w:t>
      </w:r>
      <w:r w:rsidRPr="00810213">
        <w:rPr>
          <w:color w:val="212121"/>
          <w:szCs w:val="24"/>
          <w:shd w:val="clear" w:color="auto" w:fill="FFFFFF"/>
          <w:vertAlign w:val="superscript"/>
        </w:rPr>
        <w:t>th</w:t>
      </w:r>
      <w:r>
        <w:rPr>
          <w:color w:val="212121"/>
          <w:szCs w:val="24"/>
          <w:shd w:val="clear" w:color="auto" w:fill="FFFFFF"/>
        </w:rPr>
        <w:t xml:space="preserve"> meeting of WP</w:t>
      </w:r>
      <w:r w:rsidR="00AA1F60">
        <w:rPr>
          <w:color w:val="212121"/>
          <w:szCs w:val="24"/>
          <w:shd w:val="clear" w:color="auto" w:fill="FFFFFF"/>
        </w:rPr>
        <w:t> </w:t>
      </w:r>
      <w:r>
        <w:rPr>
          <w:color w:val="212121"/>
          <w:szCs w:val="24"/>
          <w:shd w:val="clear" w:color="auto" w:fill="FFFFFF"/>
        </w:rPr>
        <w:t>5D in June 2021, during which the DECT-2020 proponent provided the necessary clarifications, significant progress was made to successfully develop and integrate in the CEG’s system-level simulator several processing-acceleration schemes that ultimately overcame the overwhelming a) computational complexity and b) memory consumption required by the DECT submission.</w:t>
      </w:r>
    </w:p>
    <w:p w:rsidR="00E20BC8" w:rsidRPr="00A23EA0" w:rsidRDefault="00E20BC8" w:rsidP="00E20BC8">
      <w:pPr>
        <w:pStyle w:val="Heading2"/>
        <w:ind w:left="0" w:firstLine="0"/>
        <w:rPr>
          <w:lang w:val="en-US"/>
        </w:rPr>
      </w:pPr>
      <w:r w:rsidRPr="00A32400">
        <w:t xml:space="preserve">9.2 </w:t>
      </w:r>
      <w:r w:rsidRPr="00A32400">
        <w:tab/>
        <w:t>EUHT</w:t>
      </w:r>
    </w:p>
    <w:p w:rsidR="00E20BC8" w:rsidRDefault="00E20BC8" w:rsidP="00E20BC8">
      <w:pPr>
        <w:overflowPunct/>
        <w:autoSpaceDE/>
        <w:autoSpaceDN/>
        <w:adjustRightInd/>
        <w:spacing w:before="240"/>
        <w:jc w:val="both"/>
        <w:textAlignment w:val="auto"/>
        <w:rPr>
          <w:color w:val="212121"/>
          <w:szCs w:val="24"/>
          <w:shd w:val="clear" w:color="auto" w:fill="FFFFFF"/>
        </w:rPr>
      </w:pPr>
      <w:r w:rsidRPr="00A32400">
        <w:rPr>
          <w:color w:val="212121"/>
          <w:szCs w:val="24"/>
          <w:shd w:val="clear" w:color="auto" w:fill="FFFFFF"/>
        </w:rPr>
        <w:t>As far as EUHT is concerned, similar issues had to be faced. Full specifications were confirmed after the 37</w:t>
      </w:r>
      <w:r w:rsidRPr="00A32400">
        <w:rPr>
          <w:color w:val="212121"/>
          <w:szCs w:val="24"/>
          <w:shd w:val="clear" w:color="auto" w:fill="FFFFFF"/>
          <w:vertAlign w:val="superscript"/>
        </w:rPr>
        <w:t>th</w:t>
      </w:r>
      <w:r w:rsidRPr="00A32400">
        <w:rPr>
          <w:color w:val="212121"/>
          <w:szCs w:val="24"/>
          <w:shd w:val="clear" w:color="auto" w:fill="FFFFFF"/>
        </w:rPr>
        <w:t xml:space="preserve"> WP</w:t>
      </w:r>
      <w:r>
        <w:rPr>
          <w:color w:val="212121"/>
          <w:szCs w:val="24"/>
          <w:shd w:val="clear" w:color="auto" w:fill="FFFFFF"/>
        </w:rPr>
        <w:t> </w:t>
      </w:r>
      <w:r w:rsidRPr="00A32400">
        <w:rPr>
          <w:color w:val="212121"/>
          <w:szCs w:val="24"/>
          <w:shd w:val="clear" w:color="auto" w:fill="FFFFFF"/>
        </w:rPr>
        <w:t>5D meeting (cf. section 12 for details). Once the CEG adopted the final setup based on Nufront’s feedback received by 21</w:t>
      </w:r>
      <w:r w:rsidRPr="00A32400">
        <w:rPr>
          <w:color w:val="212121"/>
          <w:szCs w:val="24"/>
          <w:shd w:val="clear" w:color="auto" w:fill="FFFFFF"/>
          <w:vertAlign w:val="superscript"/>
        </w:rPr>
        <w:t>st</w:t>
      </w:r>
      <w:r w:rsidRPr="00A32400">
        <w:rPr>
          <w:color w:val="212121"/>
          <w:szCs w:val="24"/>
          <w:shd w:val="clear" w:color="auto" w:fill="FFFFFF"/>
        </w:rPr>
        <w:t xml:space="preserve"> April 2021, the time left to configure the simulator has proved to be insufficient. Indeed, previously developed programming blocks to simulate other candidates have been rendered inadequate, if not obsolete, as this submission is more akin to an RLAN-based technology than a cellular one. Further, the persistent recommendation of a complex receiver structure such as MMSE-IRC has resulted in </w:t>
      </w:r>
      <w:r>
        <w:rPr>
          <w:color w:val="212121"/>
          <w:szCs w:val="24"/>
          <w:shd w:val="clear" w:color="auto" w:fill="FFFFFF"/>
        </w:rPr>
        <w:t xml:space="preserve">rendering </w:t>
      </w:r>
      <w:r w:rsidRPr="00A32400">
        <w:rPr>
          <w:color w:val="212121"/>
          <w:szCs w:val="24"/>
          <w:shd w:val="clear" w:color="auto" w:fill="FFFFFF"/>
        </w:rPr>
        <w:t>the reconfiguration of our simulator a</w:t>
      </w:r>
      <w:r>
        <w:rPr>
          <w:color w:val="212121"/>
          <w:szCs w:val="24"/>
          <w:shd w:val="clear" w:color="auto" w:fill="FFFFFF"/>
        </w:rPr>
        <w:t xml:space="preserve">n extremely </w:t>
      </w:r>
      <w:r w:rsidRPr="00A32400">
        <w:rPr>
          <w:color w:val="212121"/>
          <w:szCs w:val="24"/>
          <w:shd w:val="clear" w:color="auto" w:fill="FFFFFF"/>
        </w:rPr>
        <w:t>time-consuming tas</w:t>
      </w:r>
      <w:r>
        <w:rPr>
          <w:color w:val="212121"/>
          <w:szCs w:val="24"/>
          <w:shd w:val="clear" w:color="auto" w:fill="FFFFFF"/>
        </w:rPr>
        <w:t>k and, hence, an impossible one to be completed in the remaining time</w:t>
      </w:r>
      <w:r w:rsidRPr="00A32400">
        <w:rPr>
          <w:color w:val="212121"/>
          <w:szCs w:val="24"/>
          <w:shd w:val="clear" w:color="auto" w:fill="FFFFFF"/>
        </w:rPr>
        <w:t>.</w:t>
      </w:r>
    </w:p>
    <w:p w:rsidR="00E20BC8" w:rsidRPr="008E1FF9" w:rsidRDefault="00E20BC8" w:rsidP="00E20BC8">
      <w:pPr>
        <w:pStyle w:val="Heading2"/>
        <w:ind w:left="0" w:firstLine="0"/>
        <w:rPr>
          <w:lang w:val="en-US"/>
        </w:rPr>
      </w:pPr>
      <w:r w:rsidRPr="00A32400">
        <w:t>9.</w:t>
      </w:r>
      <w:r>
        <w:t>3</w:t>
      </w:r>
      <w:r w:rsidRPr="00A32400">
        <w:t xml:space="preserve"> </w:t>
      </w:r>
      <w:r w:rsidRPr="00A32400">
        <w:tab/>
      </w:r>
      <w:r>
        <w:t>Recommendation to W</w:t>
      </w:r>
      <w:r w:rsidR="00475363">
        <w:t xml:space="preserve">orking </w:t>
      </w:r>
      <w:r>
        <w:t>P</w:t>
      </w:r>
      <w:r w:rsidR="00475363">
        <w:t xml:space="preserve">arty </w:t>
      </w:r>
      <w:r>
        <w:t>5D</w:t>
      </w:r>
    </w:p>
    <w:p w:rsidR="00E20BC8" w:rsidRPr="00A43D1C" w:rsidRDefault="00E20BC8" w:rsidP="00E20BC8">
      <w:pPr>
        <w:tabs>
          <w:tab w:val="clear" w:pos="1134"/>
          <w:tab w:val="clear" w:pos="1871"/>
          <w:tab w:val="clear" w:pos="2268"/>
        </w:tabs>
        <w:overflowPunct/>
        <w:autoSpaceDE/>
        <w:autoSpaceDN/>
        <w:adjustRightInd/>
        <w:jc w:val="both"/>
        <w:textAlignment w:val="auto"/>
        <w:rPr>
          <w:lang w:val="en-US"/>
        </w:rPr>
      </w:pPr>
      <w:r>
        <w:t>The CEG</w:t>
      </w:r>
      <w:r w:rsidRPr="004275D0">
        <w:rPr>
          <w:lang w:val="en-US"/>
        </w:rPr>
        <w:t xml:space="preserve"> recommend</w:t>
      </w:r>
      <w:r>
        <w:rPr>
          <w:lang w:val="en-US"/>
        </w:rPr>
        <w:t>s</w:t>
      </w:r>
      <w:r w:rsidRPr="004275D0">
        <w:rPr>
          <w:lang w:val="en-US"/>
        </w:rPr>
        <w:t xml:space="preserve"> to </w:t>
      </w:r>
      <w:r>
        <w:rPr>
          <w:lang w:val="en-US"/>
        </w:rPr>
        <w:t>WP </w:t>
      </w:r>
      <w:r w:rsidRPr="004275D0">
        <w:rPr>
          <w:lang w:val="en-US"/>
        </w:rPr>
        <w:t>5D that more time be spent on</w:t>
      </w:r>
      <w:r>
        <w:rPr>
          <w:lang w:val="en-US"/>
        </w:rPr>
        <w:t xml:space="preserve"> </w:t>
      </w:r>
      <w:r w:rsidRPr="004275D0">
        <w:rPr>
          <w:lang w:val="en-US"/>
        </w:rPr>
        <w:t>ensuring that proponents provide all the tools required before-hand</w:t>
      </w:r>
      <w:r>
        <w:rPr>
          <w:lang w:val="en-US"/>
        </w:rPr>
        <w:t xml:space="preserve">, </w:t>
      </w:r>
      <w:r w:rsidRPr="004275D0">
        <w:rPr>
          <w:lang w:val="en-US"/>
        </w:rPr>
        <w:t>i.e.</w:t>
      </w:r>
      <w:r>
        <w:rPr>
          <w:lang w:val="en-US"/>
        </w:rPr>
        <w:t>,</w:t>
      </w:r>
      <w:r w:rsidRPr="004275D0">
        <w:rPr>
          <w:lang w:val="en-US"/>
        </w:rPr>
        <w:t xml:space="preserve"> before the evaluation groups begin their activity. For example,</w:t>
      </w:r>
      <w:r>
        <w:rPr>
          <w:lang w:val="en-US"/>
        </w:rPr>
        <w:t xml:space="preserve"> the</w:t>
      </w:r>
      <w:r w:rsidRPr="004275D0">
        <w:rPr>
          <w:lang w:val="en-US"/>
        </w:rPr>
        <w:t xml:space="preserve"> proponent or WP</w:t>
      </w:r>
      <w:r>
        <w:rPr>
          <w:lang w:val="en-US"/>
        </w:rPr>
        <w:t> </w:t>
      </w:r>
      <w:r w:rsidRPr="004275D0">
        <w:rPr>
          <w:lang w:val="en-US"/>
        </w:rPr>
        <w:t>5D should have provided adequate</w:t>
      </w:r>
      <w:r>
        <w:rPr>
          <w:lang w:val="en-US"/>
        </w:rPr>
        <w:t xml:space="preserve"> </w:t>
      </w:r>
      <w:r w:rsidRPr="004275D0">
        <w:rPr>
          <w:lang w:val="en-US"/>
        </w:rPr>
        <w:t xml:space="preserve">details of how to simulate a joint mesh-cellular network, </w:t>
      </w:r>
      <w:r>
        <w:rPr>
          <w:lang w:val="en-US"/>
        </w:rPr>
        <w:t xml:space="preserve">or how to implement a complex receiver structure such as the MMSE-IRC, </w:t>
      </w:r>
      <w:r w:rsidRPr="004275D0">
        <w:rPr>
          <w:lang w:val="en-US"/>
        </w:rPr>
        <w:t>noting that</w:t>
      </w:r>
      <w:r>
        <w:rPr>
          <w:lang w:val="en-US"/>
        </w:rPr>
        <w:t xml:space="preserve"> </w:t>
      </w:r>
      <w:r w:rsidRPr="004275D0">
        <w:rPr>
          <w:lang w:val="en-US"/>
        </w:rPr>
        <w:t>Report ITU-R M.2412 was only conceived for cellular networks</w:t>
      </w:r>
      <w:r>
        <w:rPr>
          <w:lang w:val="en-US"/>
        </w:rPr>
        <w:t xml:space="preserve"> employing fairly simple receiver structures</w:t>
      </w:r>
      <w:r w:rsidRPr="004275D0">
        <w:rPr>
          <w:lang w:val="en-US"/>
        </w:rPr>
        <w:t>.</w:t>
      </w:r>
    </w:p>
    <w:p w:rsidR="00E20BC8" w:rsidRPr="00A32400" w:rsidRDefault="00E20BC8" w:rsidP="00E20BC8">
      <w:pPr>
        <w:pStyle w:val="Heading1"/>
      </w:pPr>
      <w:r w:rsidRPr="00A32400">
        <w:t>10</w:t>
      </w:r>
      <w:r w:rsidRPr="00A32400">
        <w:tab/>
        <w:t xml:space="preserve">Compliance templates </w:t>
      </w:r>
    </w:p>
    <w:p w:rsidR="00E20BC8" w:rsidRPr="00A32400" w:rsidRDefault="00E20BC8" w:rsidP="00E20BC8">
      <w:pPr>
        <w:pStyle w:val="Heading2"/>
      </w:pPr>
      <w:r w:rsidRPr="00A32400">
        <w:t>10.4</w:t>
      </w:r>
      <w:r w:rsidRPr="00A32400">
        <w:tab/>
        <w:t>Compliance templates for Nufront RIT</w:t>
      </w:r>
    </w:p>
    <w:p w:rsidR="00E20BC8" w:rsidRPr="00A32400" w:rsidRDefault="00E20BC8" w:rsidP="00E20BC8">
      <w:pPr>
        <w:pStyle w:val="Heading3"/>
      </w:pPr>
      <w:r w:rsidRPr="00A32400">
        <w:t>10.4.1</w:t>
      </w:r>
      <w:r w:rsidRPr="00A32400">
        <w:tab/>
        <w:t xml:space="preserve">Services </w:t>
      </w:r>
    </w:p>
    <w:p w:rsidR="00E20BC8" w:rsidRPr="00A32400" w:rsidRDefault="00E20BC8" w:rsidP="00E20BC8">
      <w:pPr>
        <w:pStyle w:val="Headingb"/>
      </w:pPr>
      <w:r w:rsidRPr="00A32400">
        <w:t>Compliance template for services</w:t>
      </w:r>
    </w:p>
    <w:p w:rsidR="00E20BC8" w:rsidRPr="00A32400" w:rsidRDefault="00E20BC8" w:rsidP="00E20BC8">
      <w:r w:rsidRPr="00A32400">
        <w:t xml:space="preserve">This is available in document </w:t>
      </w:r>
      <w:hyperlink r:id="rId18" w:history="1">
        <w:r w:rsidRPr="00A32400">
          <w:rPr>
            <w:color w:val="0000FF"/>
            <w:u w:val="single"/>
          </w:rPr>
          <w:t>IMT.2020/30Rev1</w:t>
        </w:r>
      </w:hyperlink>
      <w:r w:rsidRPr="00A32400">
        <w:t xml:space="preserve">. </w:t>
      </w:r>
    </w:p>
    <w:p w:rsidR="00E20BC8" w:rsidRPr="00A32400" w:rsidRDefault="00E20BC8" w:rsidP="00E20BC8">
      <w:pPr>
        <w:pStyle w:val="Heading3"/>
      </w:pPr>
      <w:r w:rsidRPr="00A32400">
        <w:t>10.4.2</w:t>
      </w:r>
      <w:r w:rsidRPr="00A32400">
        <w:tab/>
        <w:t xml:space="preserve">Spectrum </w:t>
      </w:r>
    </w:p>
    <w:p w:rsidR="00E20BC8" w:rsidRPr="00A32400" w:rsidRDefault="00E20BC8" w:rsidP="00E20BC8">
      <w:pPr>
        <w:pStyle w:val="Headingb"/>
      </w:pPr>
      <w:r w:rsidRPr="00A32400">
        <w:t>Compliance template for spectrum</w:t>
      </w:r>
    </w:p>
    <w:p w:rsidR="00E20BC8" w:rsidRPr="00A32400" w:rsidRDefault="00E20BC8" w:rsidP="00E20BC8">
      <w:r w:rsidRPr="00A32400">
        <w:t xml:space="preserve">This is available in document </w:t>
      </w:r>
      <w:hyperlink r:id="rId19" w:history="1">
        <w:r w:rsidRPr="00A32400">
          <w:rPr>
            <w:color w:val="0000FF"/>
            <w:u w:val="single"/>
          </w:rPr>
          <w:t>IMT.2020/30Rev1</w:t>
        </w:r>
      </w:hyperlink>
      <w:r w:rsidRPr="00A32400">
        <w:t xml:space="preserve">. </w:t>
      </w:r>
    </w:p>
    <w:p w:rsidR="00E20BC8" w:rsidRPr="00A32400" w:rsidRDefault="00E20BC8" w:rsidP="00E20BC8">
      <w:pPr>
        <w:pStyle w:val="Heading3"/>
      </w:pPr>
      <w:r w:rsidRPr="00A32400">
        <w:t>10.4.3</w:t>
      </w:r>
      <w:r w:rsidRPr="00A32400">
        <w:tab/>
        <w:t xml:space="preserve">Technical Performance </w:t>
      </w:r>
    </w:p>
    <w:p w:rsidR="00E20BC8" w:rsidRPr="00A32400" w:rsidRDefault="00E20BC8" w:rsidP="00E20BC8">
      <w:r w:rsidRPr="00A32400">
        <w:t>Only the minimum technical performance requirements that were the subject of re-evaluation are presented in the table that follows:</w:t>
      </w:r>
    </w:p>
    <w:p w:rsidR="00E20BC8" w:rsidRPr="0013216F" w:rsidRDefault="00E20BC8" w:rsidP="00AA1F60">
      <w:pPr>
        <w:pStyle w:val="TableNo"/>
        <w:rPr>
          <w:rFonts w:eastAsia="Yu Mincho"/>
        </w:rPr>
      </w:pPr>
      <w:r w:rsidRPr="00765801">
        <w:rPr>
          <w:rFonts w:eastAsia="Yu Mincho"/>
        </w:rPr>
        <w:t>TABLE 1</w:t>
      </w:r>
      <w:r>
        <w:rPr>
          <w:rFonts w:eastAsia="Yu Mincho"/>
        </w:rPr>
        <w:t>0</w:t>
      </w:r>
      <w:r w:rsidRPr="00765801">
        <w:rPr>
          <w:rFonts w:eastAsia="Yu Mincho"/>
        </w:rPr>
        <w:t>.</w:t>
      </w:r>
      <w:r>
        <w:rPr>
          <w:rFonts w:eastAsia="Yu Mincho"/>
        </w:rPr>
        <w:t>4</w:t>
      </w:r>
      <w:r w:rsidRPr="00765801">
        <w:rPr>
          <w:rFonts w:eastAsia="Yu Mincho"/>
        </w:rPr>
        <w:t>.3-1</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127"/>
        <w:gridCol w:w="1321"/>
        <w:gridCol w:w="1227"/>
        <w:gridCol w:w="1183"/>
        <w:gridCol w:w="944"/>
        <w:gridCol w:w="1158"/>
        <w:gridCol w:w="1187"/>
      </w:tblGrid>
      <w:tr w:rsidR="00E20BC8" w:rsidRPr="00A32400" w:rsidTr="008822B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67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Category</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Required value</w:t>
            </w: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Value</w:t>
            </w:r>
            <w:r w:rsidRPr="00A32400">
              <w:rPr>
                <w:vertAlign w:val="superscript"/>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Requirement met?</w:t>
            </w: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Comments</w:t>
            </w:r>
            <w:r w:rsidRPr="00A32400">
              <w:br/>
            </w:r>
            <w:r w:rsidRPr="00A32400">
              <w:rPr>
                <w:vertAlign w:val="superscript"/>
              </w:rPr>
              <w:t>(3)</w:t>
            </w:r>
          </w:p>
        </w:tc>
      </w:tr>
      <w:tr w:rsidR="00E20BC8" w:rsidRPr="00A32400" w:rsidTr="008822B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Usage scenario</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Test environment</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Downlink or uplink</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944"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87"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5.2.4.3.4</w:t>
            </w:r>
            <w:r w:rsidRPr="00A32400">
              <w:br/>
              <w:t>5</w:t>
            </w:r>
            <w:r w:rsidRPr="00A32400">
              <w:rPr>
                <w:vertAlign w:val="superscript"/>
              </w:rPr>
              <w:t>th</w:t>
            </w:r>
            <w:r w:rsidRPr="00A32400">
              <w:t xml:space="preserve"> percentile user spectral efficiency (bit/s/Hz)</w:t>
            </w:r>
            <w:r w:rsidRPr="00A32400">
              <w:br/>
            </w:r>
            <w:r w:rsidRPr="00A32400">
              <w:rPr>
                <w:i/>
                <w:iCs/>
              </w:rPr>
              <w:t>(4.4)</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Indoor Hotspot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0.3</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0.21</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Dense Urban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0.225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0.15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Rural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0.12</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0.045</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5.2.4.3.5</w:t>
            </w:r>
            <w:r w:rsidRPr="00A32400">
              <w:br/>
              <w:t>Average spectral efficiency (bit/s/Hz/ TRxP)</w:t>
            </w:r>
            <w:r w:rsidRPr="00A32400">
              <w:br/>
            </w:r>
            <w:r w:rsidRPr="00A32400">
              <w:rPr>
                <w:i/>
                <w:iCs/>
              </w:rPr>
              <w:t>(4.5)</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Indoor Hotspot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9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6.75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Dense Urban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7.8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5.4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Rural – eMBB</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Downlink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3.3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1.6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mMTC</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Urban Macro – mMTC</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 xml:space="preserve">1 000 000 </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5.2.4.3.11</w:t>
            </w:r>
            <w:r w:rsidRPr="00A32400">
              <w:br/>
              <w:t>Reliability</w:t>
            </w:r>
            <w:r w:rsidRPr="00A32400">
              <w:br/>
            </w:r>
            <w:r w:rsidRPr="00A32400">
              <w:rPr>
                <w:i/>
                <w:iCs/>
              </w:rPr>
              <w:t>(4.10)</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URLLC</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Urban Macro –URLLC</w:t>
            </w:r>
          </w:p>
        </w:tc>
        <w:tc>
          <w:tcPr>
            <w:tcW w:w="122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rsidRPr="00A32400">
              <w:t>Uplink or Downlink</w:t>
            </w:r>
          </w:p>
          <w:p w:rsidR="00E20BC8" w:rsidRPr="00A32400" w:rsidRDefault="00E20BC8" w:rsidP="008822B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1-10</w:t>
            </w:r>
            <w:r w:rsidRPr="00A32400">
              <w:rPr>
                <w:vertAlign w:val="superscript"/>
              </w:rPr>
              <w:t>−5</w:t>
            </w:r>
            <w:r w:rsidRPr="00A32400">
              <w:t xml:space="preserve"> success probability of transmitting a layer</w:t>
            </w:r>
            <w:r w:rsidRPr="00A32400">
              <w:rPr>
                <w:lang w:eastAsia="ko-KR"/>
              </w:rPr>
              <w:t xml:space="preserve"> 2 PDU </w:t>
            </w:r>
            <w:r w:rsidRPr="00A32400">
              <w:rPr>
                <w:rFonts w:eastAsia="Malgun Gothic"/>
                <w:lang w:eastAsia="ko-KR"/>
              </w:rPr>
              <w:t>(protocol data unit)</w:t>
            </w:r>
            <w:r w:rsidRPr="00A32400">
              <w:t xml:space="preserve"> of size 32 bytes within 1 ms in channel quality of coverage edge</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rPr>
                <w:b/>
                <w:lang w:eastAsia="zh-CN"/>
              </w:rPr>
            </w:pPr>
            <w:r w:rsidRPr="00A32400">
              <w:rPr>
                <w:b/>
              </w:rPr>
              <w:t>5.2.4.3.1</w:t>
            </w:r>
            <w:r w:rsidRPr="00A32400">
              <w:rPr>
                <w:b/>
                <w:lang w:eastAsia="zh-CN"/>
              </w:rPr>
              <w:t>3</w:t>
            </w:r>
          </w:p>
          <w:p w:rsidR="00E20BC8" w:rsidRPr="00A32400" w:rsidRDefault="00E20BC8" w:rsidP="008822BE">
            <w:pPr>
              <w:pStyle w:val="Tabletext"/>
            </w:pPr>
            <w:r w:rsidRPr="00A32400">
              <w:rPr>
                <w:lang w:eastAsia="zh-CN"/>
              </w:rPr>
              <w:t>Mobility</w:t>
            </w:r>
            <w:r w:rsidRPr="00A32400">
              <w:rPr>
                <w:lang w:eastAsia="zh-CN"/>
              </w:rPr>
              <w:br/>
              <w:t>Traffic channel link data rates (bit/s/Hz)</w:t>
            </w:r>
            <w:r w:rsidRPr="00A32400">
              <w:rPr>
                <w:lang w:eastAsia="zh-CN"/>
              </w:rPr>
              <w:br/>
            </w:r>
            <w:r w:rsidRPr="00A32400">
              <w:rPr>
                <w:i/>
                <w:iCs/>
                <w:lang w:eastAsia="zh-CN"/>
              </w:rPr>
              <w:t>(4.11)</w:t>
            </w: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Indoor Hotspot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1.5 (10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Dense Urban – eMBB</w:t>
            </w:r>
          </w:p>
        </w:tc>
        <w:tc>
          <w:tcPr>
            <w:tcW w:w="1227"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1.12 (30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eMBB</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Rural – eMBB</w:t>
            </w:r>
          </w:p>
        </w:tc>
        <w:tc>
          <w:tcPr>
            <w:tcW w:w="12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Uplink</w:t>
            </w: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0.8 (120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32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22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pPr>
          </w:p>
        </w:tc>
        <w:tc>
          <w:tcPr>
            <w:tcW w:w="1183"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t>0.45 (500 km/h)</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sym w:font="Times New Roman" w:char="F072"/>
            </w:r>
            <w:r w:rsidRPr="00A32400">
              <w:tab/>
              <w:t>Yes</w:t>
            </w:r>
            <w:r w:rsidRPr="00A32400">
              <w:br/>
            </w:r>
            <w:r w:rsidRPr="00A32400">
              <w:sym w:font="Times New Roman" w:char="F072"/>
            </w:r>
            <w:r w:rsidRPr="00A32400">
              <w:tab/>
              <w:t>No</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E20BC8" w:rsidRPr="00A32400" w:rsidRDefault="00E20BC8" w:rsidP="008822BE">
            <w:pPr>
              <w:pStyle w:val="Tabletext"/>
            </w:pPr>
            <w:r>
              <w:t>C</w:t>
            </w:r>
            <w:r w:rsidRPr="00A32400">
              <w:t>f. Section 9</w:t>
            </w:r>
            <w:r>
              <w:t>.2</w:t>
            </w:r>
          </w:p>
        </w:tc>
      </w:tr>
      <w:tr w:rsidR="00E20BC8" w:rsidRPr="00A32400" w:rsidTr="008822BE">
        <w:trPr>
          <w:cantSplit/>
          <w:jc w:val="center"/>
        </w:trPr>
        <w:tc>
          <w:tcPr>
            <w:tcW w:w="9805" w:type="dxa"/>
            <w:gridSpan w:val="8"/>
            <w:tcBorders>
              <w:top w:val="single" w:sz="4" w:space="0" w:color="auto"/>
              <w:left w:val="nil"/>
              <w:bottom w:val="nil"/>
              <w:right w:val="nil"/>
            </w:tcBorders>
            <w:shd w:val="clear" w:color="auto" w:fill="FFFFFF"/>
            <w:hideMark/>
          </w:tcPr>
          <w:p w:rsidR="00E20BC8" w:rsidRPr="00A32400" w:rsidRDefault="00E20BC8" w:rsidP="008822BE">
            <w:pPr>
              <w:pStyle w:val="Tablelegend"/>
            </w:pPr>
            <w:r w:rsidRPr="00A32400">
              <w:rPr>
                <w:vertAlign w:val="superscript"/>
              </w:rPr>
              <w:t>(1)</w:t>
            </w:r>
            <w:r w:rsidRPr="00A32400">
              <w:t xml:space="preserve"> </w:t>
            </w:r>
            <w:r w:rsidRPr="00A32400">
              <w:tab/>
              <w:t>As defined in Report ITU-R M.2410-0.</w:t>
            </w:r>
          </w:p>
          <w:p w:rsidR="00E20BC8" w:rsidRPr="00A32400" w:rsidRDefault="00E20BC8" w:rsidP="008822BE">
            <w:pPr>
              <w:pStyle w:val="Tablelegend"/>
            </w:pPr>
            <w:r w:rsidRPr="00A32400">
              <w:rPr>
                <w:vertAlign w:val="superscript"/>
              </w:rPr>
              <w:t>(2)</w:t>
            </w:r>
            <w:r w:rsidRPr="00A32400">
              <w:t xml:space="preserve"> </w:t>
            </w:r>
            <w:r w:rsidRPr="00A32400">
              <w:tab/>
              <w:t>According to the evaluation methodology specified in Report ITU-R M.2412-0.</w:t>
            </w:r>
          </w:p>
          <w:p w:rsidR="00E20BC8" w:rsidRPr="00A32400" w:rsidRDefault="00E20BC8" w:rsidP="008822B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E20BC8" w:rsidRPr="00A32400" w:rsidRDefault="00E20BC8" w:rsidP="008822B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AA1F60" w:rsidRDefault="00AA1F60" w:rsidP="00AA1F60">
      <w:pPr>
        <w:pStyle w:val="Tablefin"/>
      </w:pPr>
    </w:p>
    <w:p w:rsidR="00E20BC8" w:rsidRPr="00A32400" w:rsidRDefault="00E20BC8" w:rsidP="00E20BC8">
      <w:pPr>
        <w:pStyle w:val="Heading2"/>
      </w:pPr>
      <w:r w:rsidRPr="00A32400">
        <w:t>10.5</w:t>
      </w:r>
      <w:r w:rsidRPr="00A32400">
        <w:tab/>
        <w:t>Compliance templates for ETSI/DECT (DECT-2020 “NR” component RIT only)</w:t>
      </w:r>
    </w:p>
    <w:p w:rsidR="00E20BC8" w:rsidRPr="00A32400" w:rsidRDefault="00E20BC8" w:rsidP="00E20BC8">
      <w:pPr>
        <w:pStyle w:val="Heading3"/>
      </w:pPr>
      <w:r w:rsidRPr="00A32400">
        <w:t xml:space="preserve">10.5.1 </w:t>
      </w:r>
      <w:r w:rsidRPr="00A32400">
        <w:tab/>
        <w:t xml:space="preserve">Services </w:t>
      </w:r>
    </w:p>
    <w:p w:rsidR="00E20BC8" w:rsidRPr="00A32400" w:rsidRDefault="00E20BC8" w:rsidP="00E20BC8">
      <w:pPr>
        <w:pStyle w:val="Headingb"/>
      </w:pPr>
      <w:r w:rsidRPr="00A32400">
        <w:t>Compliance template for services</w:t>
      </w:r>
    </w:p>
    <w:p w:rsidR="00E20BC8" w:rsidRPr="00A32400" w:rsidRDefault="00E20BC8" w:rsidP="00E20BC8">
      <w:r w:rsidRPr="00A32400">
        <w:t xml:space="preserve">This is available in document </w:t>
      </w:r>
      <w:hyperlink r:id="rId20" w:history="1">
        <w:r w:rsidRPr="00A32400">
          <w:rPr>
            <w:color w:val="0000FF"/>
            <w:u w:val="single"/>
          </w:rPr>
          <w:t>IMT.2020/30Rev1</w:t>
        </w:r>
      </w:hyperlink>
      <w:r w:rsidRPr="00A32400">
        <w:t xml:space="preserve">. </w:t>
      </w:r>
    </w:p>
    <w:p w:rsidR="00E20BC8" w:rsidRPr="00A32400" w:rsidRDefault="00E20BC8" w:rsidP="00E20BC8">
      <w:pPr>
        <w:pStyle w:val="Heading3"/>
      </w:pPr>
      <w:r w:rsidRPr="00A32400">
        <w:t xml:space="preserve">10.5.2 </w:t>
      </w:r>
      <w:r w:rsidRPr="00A32400">
        <w:tab/>
        <w:t xml:space="preserve">Spectrum </w:t>
      </w:r>
    </w:p>
    <w:p w:rsidR="00E20BC8" w:rsidRPr="00A32400" w:rsidRDefault="00E20BC8" w:rsidP="00E20BC8">
      <w:pPr>
        <w:pStyle w:val="Headingb"/>
      </w:pPr>
      <w:r w:rsidRPr="00A32400">
        <w:t xml:space="preserve">Compliance </w:t>
      </w:r>
      <w:r w:rsidRPr="00A32400">
        <w:rPr>
          <w:bCs/>
        </w:rPr>
        <w:t>template</w:t>
      </w:r>
      <w:r w:rsidRPr="00A32400">
        <w:t xml:space="preserve"> for spectrum</w:t>
      </w:r>
    </w:p>
    <w:p w:rsidR="00E20BC8" w:rsidRPr="00A32400" w:rsidRDefault="00E20BC8" w:rsidP="00E20BC8">
      <w:r w:rsidRPr="00A32400">
        <w:t xml:space="preserve">This is available in document </w:t>
      </w:r>
      <w:hyperlink r:id="rId21" w:history="1">
        <w:r w:rsidRPr="00A32400">
          <w:rPr>
            <w:color w:val="0000FF"/>
            <w:u w:val="single"/>
          </w:rPr>
          <w:t>IMT.2020/30Rev1</w:t>
        </w:r>
      </w:hyperlink>
      <w:r w:rsidRPr="00A32400">
        <w:t xml:space="preserve">. </w:t>
      </w:r>
    </w:p>
    <w:p w:rsidR="00E20BC8" w:rsidRPr="00A32400" w:rsidRDefault="00E20BC8" w:rsidP="00E20BC8">
      <w:pPr>
        <w:pStyle w:val="Heading3"/>
      </w:pPr>
      <w:r w:rsidRPr="00A32400">
        <w:t xml:space="preserve">10.5.3 </w:t>
      </w:r>
      <w:r w:rsidRPr="00A32400">
        <w:tab/>
        <w:t xml:space="preserve">Technical Performance </w:t>
      </w:r>
    </w:p>
    <w:p w:rsidR="00E20BC8" w:rsidRPr="00A32400" w:rsidRDefault="00E20BC8" w:rsidP="00E20BC8">
      <w:pPr>
        <w:pStyle w:val="Headingb"/>
      </w:pPr>
      <w:r w:rsidRPr="00A32400">
        <w:t xml:space="preserve">Compliance template for </w:t>
      </w:r>
      <w:r w:rsidRPr="00A32400">
        <w:rPr>
          <w:bCs/>
        </w:rPr>
        <w:t xml:space="preserve">technical </w:t>
      </w:r>
      <w:r w:rsidRPr="00A32400">
        <w:t>performance</w:t>
      </w:r>
    </w:p>
    <w:p w:rsidR="00E20BC8" w:rsidRPr="00A32400" w:rsidRDefault="00E20BC8" w:rsidP="00AA1F60">
      <w:pPr>
        <w:jc w:val="both"/>
      </w:pPr>
      <w:r w:rsidRPr="00A32400">
        <w:t xml:space="preserve">Evaluation results for the minimum technical performance requirements of </w:t>
      </w:r>
      <w:r w:rsidRPr="00A32400">
        <w:rPr>
          <w:i/>
          <w:iCs/>
        </w:rPr>
        <w:t>5</w:t>
      </w:r>
      <w:r w:rsidRPr="00A32400">
        <w:rPr>
          <w:i/>
          <w:iCs/>
          <w:vertAlign w:val="superscript"/>
        </w:rPr>
        <w:t>th</w:t>
      </w:r>
      <w:r w:rsidRPr="00A32400">
        <w:rPr>
          <w:i/>
          <w:iCs/>
        </w:rPr>
        <w:t xml:space="preserve"> percentile user spectral efficiency</w:t>
      </w:r>
      <w:r w:rsidRPr="00A32400">
        <w:t xml:space="preserve">, </w:t>
      </w:r>
      <w:r w:rsidRPr="00A32400">
        <w:rPr>
          <w:i/>
          <w:iCs/>
        </w:rPr>
        <w:t>average spectral efficiency</w:t>
      </w:r>
      <w:r w:rsidRPr="00A32400">
        <w:t xml:space="preserve">, </w:t>
      </w:r>
      <w:r w:rsidRPr="00A32400">
        <w:rPr>
          <w:i/>
          <w:iCs/>
        </w:rPr>
        <w:t>reliability</w:t>
      </w:r>
      <w:r w:rsidRPr="00A32400">
        <w:t xml:space="preserve">, and </w:t>
      </w:r>
      <w:r w:rsidRPr="00A32400">
        <w:rPr>
          <w:i/>
          <w:iCs/>
        </w:rPr>
        <w:t>mobility</w:t>
      </w:r>
      <w:r w:rsidRPr="00A32400">
        <w:t xml:space="preserve"> are available in document </w:t>
      </w:r>
      <w:hyperlink r:id="rId22" w:history="1">
        <w:r w:rsidRPr="00A32400">
          <w:rPr>
            <w:color w:val="0000FF"/>
            <w:u w:val="single"/>
          </w:rPr>
          <w:t>IMT.2020/30Rev1</w:t>
        </w:r>
      </w:hyperlink>
      <w:r w:rsidRPr="00A32400">
        <w:t xml:space="preserve">. Only the minimum technical performance requirement of </w:t>
      </w:r>
      <w:r w:rsidRPr="00A32400">
        <w:rPr>
          <w:i/>
          <w:iCs/>
        </w:rPr>
        <w:t>connection density</w:t>
      </w:r>
      <w:r w:rsidRPr="00A32400">
        <w:t xml:space="preserve">, that was the subject of re-evaluation, is presented in the table that follows:  </w:t>
      </w:r>
    </w:p>
    <w:p w:rsidR="00E20BC8" w:rsidRPr="009D509D" w:rsidRDefault="00E20BC8" w:rsidP="00AA1F60">
      <w:pPr>
        <w:pStyle w:val="TableNo"/>
        <w:rPr>
          <w:rFonts w:eastAsia="Yu Mincho"/>
          <w:sz w:val="15"/>
          <w:szCs w:val="10"/>
        </w:rPr>
      </w:pPr>
      <w:r w:rsidRPr="009D509D">
        <w:rPr>
          <w:rFonts w:eastAsia="Yu Mincho"/>
        </w:rPr>
        <w:t>TABLE 11.5.13-1</w:t>
      </w:r>
    </w:p>
    <w:p w:rsidR="00E20BC8" w:rsidRPr="009D509D" w:rsidRDefault="00E20BC8" w:rsidP="00AA1F60">
      <w:pPr>
        <w:pStyle w:val="Tabletitle"/>
        <w:rPr>
          <w:rFonts w:eastAsia="Yu Mincho"/>
        </w:rPr>
      </w:pPr>
      <w:r w:rsidRPr="003B4CC8">
        <w:rPr>
          <w:rFonts w:eastAsia="Yu Mincho"/>
          <w:bCs/>
          <w:lang w:val="en-US"/>
        </w:rPr>
        <w:t xml:space="preserve">Urban Macro-mMTC </w:t>
      </w:r>
      <w:r w:rsidRPr="00DF1C0C">
        <w:rPr>
          <w:rFonts w:eastAsia="Yu Mincho"/>
          <w:lang w:val="en-CA"/>
        </w:rPr>
        <w:t>(</w:t>
      </w:r>
      <w:r>
        <w:rPr>
          <w:rFonts w:eastAsia="Yu Mincho"/>
          <w:lang w:val="en-CA"/>
        </w:rPr>
        <w:t>700 MHz, ISD=500 m, 19 BS (19 sites)</w:t>
      </w:r>
      <w:r w:rsidRPr="00DF1C0C">
        <w:rPr>
          <w:rFonts w:eastAsia="Yu Mincho"/>
          <w:lang w:val="en-CA"/>
        </w:rPr>
        <w:t xml:space="preserve">) </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410"/>
        <w:gridCol w:w="1115"/>
        <w:gridCol w:w="1279"/>
        <w:gridCol w:w="1241"/>
        <w:gridCol w:w="1158"/>
        <w:gridCol w:w="1182"/>
      </w:tblGrid>
      <w:tr w:rsidR="00E20BC8" w:rsidRPr="00A32400" w:rsidTr="008822BE">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head"/>
            </w:pPr>
            <w:r w:rsidRPr="00A32400">
              <w:t>Minimum technical performance requirements item (5.2.4.3.x), units, and Report</w:t>
            </w:r>
            <w:r w:rsidRPr="00A32400">
              <w:br/>
              <w:t>ITU-R M.2410-0 section reference</w:t>
            </w:r>
            <w:r w:rsidRPr="00A32400">
              <w:rPr>
                <w:vertAlign w:val="superscript"/>
              </w:rPr>
              <w:t>(1)</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20BC8" w:rsidRDefault="00E20BC8" w:rsidP="008822BE">
            <w:pPr>
              <w:pStyle w:val="Tablehead"/>
            </w:pPr>
            <w:r w:rsidRPr="00A32400">
              <w:t>Category</w:t>
            </w:r>
          </w:p>
          <w:p w:rsidR="00E20BC8" w:rsidRPr="00A32400" w:rsidRDefault="00E20BC8" w:rsidP="008822BE">
            <w:pPr>
              <w:pStyle w:val="Tablehead"/>
            </w:pPr>
          </w:p>
        </w:tc>
        <w:tc>
          <w:tcPr>
            <w:tcW w:w="1279"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Required value</w:t>
            </w:r>
          </w:p>
        </w:tc>
        <w:tc>
          <w:tcPr>
            <w:tcW w:w="1241"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Value</w:t>
            </w:r>
            <w:r w:rsidRPr="00A32400">
              <w:rPr>
                <w:vertAlign w:val="superscript"/>
              </w:rPr>
              <w:t>(2)</w:t>
            </w:r>
          </w:p>
        </w:tc>
        <w:tc>
          <w:tcPr>
            <w:tcW w:w="1158"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Requirement met?</w:t>
            </w:r>
          </w:p>
        </w:tc>
        <w:tc>
          <w:tcPr>
            <w:tcW w:w="1182" w:type="dxa"/>
            <w:vMerge w:val="restart"/>
            <w:tcBorders>
              <w:top w:val="single" w:sz="4" w:space="0" w:color="auto"/>
              <w:left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Comments</w:t>
            </w:r>
            <w:r w:rsidRPr="00A32400">
              <w:br/>
            </w:r>
            <w:r w:rsidRPr="00A32400">
              <w:rPr>
                <w:vertAlign w:val="superscript"/>
              </w:rPr>
              <w:t>(3)</w:t>
            </w:r>
          </w:p>
        </w:tc>
      </w:tr>
      <w:tr w:rsidR="00E20BC8" w:rsidRPr="00A32400" w:rsidTr="008822BE">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Test environment</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head"/>
            </w:pPr>
            <w:r w:rsidRPr="00A32400">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241"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58"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c>
          <w:tcPr>
            <w:tcW w:w="1182" w:type="dxa"/>
            <w:vMerge/>
            <w:tcBorders>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head"/>
            </w:pPr>
          </w:p>
        </w:tc>
      </w:tr>
      <w:tr w:rsidR="00E20BC8" w:rsidRPr="00A32400" w:rsidTr="008822BE">
        <w:trPr>
          <w:cantSplit/>
          <w:jc w:val="center"/>
        </w:trPr>
        <w:tc>
          <w:tcPr>
            <w:tcW w:w="1658" w:type="dxa"/>
            <w:tcBorders>
              <w:top w:val="single" w:sz="4" w:space="0" w:color="auto"/>
              <w:left w:val="single" w:sz="4" w:space="0" w:color="auto"/>
              <w:bottom w:val="single" w:sz="4" w:space="0" w:color="auto"/>
              <w:right w:val="single" w:sz="4" w:space="0" w:color="auto"/>
            </w:tcBorders>
            <w:shd w:val="clear" w:color="auto" w:fill="FFFFFF"/>
            <w:hideMark/>
          </w:tcPr>
          <w:p w:rsidR="00E20BC8" w:rsidRPr="00A32400" w:rsidRDefault="00E20BC8" w:rsidP="008822BE">
            <w:pPr>
              <w:pStyle w:val="Tabletext"/>
            </w:pPr>
            <w:r w:rsidRPr="00A32400">
              <w:rPr>
                <w:b/>
              </w:rPr>
              <w:t>5.2.4.3.9</w:t>
            </w:r>
            <w:r w:rsidRPr="00A32400">
              <w:br/>
              <w:t>Connection density (devices/km</w:t>
            </w:r>
            <w:r w:rsidRPr="00A32400">
              <w:rPr>
                <w:vertAlign w:val="superscript"/>
              </w:rPr>
              <w:t>2</w:t>
            </w:r>
            <w:r w:rsidRPr="00A32400">
              <w:t>)</w:t>
            </w:r>
            <w:r w:rsidRPr="00A32400">
              <w:br/>
            </w:r>
            <w:r w:rsidRPr="00A32400">
              <w:rPr>
                <w:i/>
                <w:iCs/>
              </w:rPr>
              <w:t>(4.8)</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mMTC</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Urban Macro – mMTC</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Uplink</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Pr="00A32400" w:rsidRDefault="00E20BC8" w:rsidP="008822BE">
            <w:pPr>
              <w:pStyle w:val="Tabletext"/>
              <w:jc w:val="center"/>
            </w:pPr>
            <w:r w:rsidRPr="00A32400">
              <w:t>1 000 000</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text"/>
              <w:jc w:val="center"/>
            </w:pPr>
            <w:r w:rsidRPr="00A32400">
              <w:t>1 000 000</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0BC8" w:rsidRDefault="00E20BC8" w:rsidP="008822BE">
            <w:pPr>
              <w:pStyle w:val="Tabletext"/>
              <w:jc w:val="center"/>
            </w:pPr>
            <w:r>
              <w:rPr>
                <w:rFonts w:ascii="Minion Pro" w:hAnsi="Minion Pro"/>
              </w:rPr>
              <w:t xml:space="preserve"> </w:t>
            </w:r>
            <w:r>
              <w:sym w:font="Wingdings" w:char="F0FE"/>
            </w:r>
            <w:r w:rsidRPr="00A32400">
              <w:tab/>
              <w:t>Yes</w:t>
            </w:r>
          </w:p>
          <w:p w:rsidR="00E20BC8" w:rsidRPr="00A32400" w:rsidRDefault="00E20BC8" w:rsidP="008822BE">
            <w:pPr>
              <w:pStyle w:val="Tabletext"/>
              <w:jc w:val="center"/>
            </w:pPr>
            <w:r w:rsidRPr="00A32400">
              <w:sym w:font="Times New Roman" w:char="F072"/>
            </w:r>
            <w:r w:rsidRPr="00A32400">
              <w:tab/>
              <w:t>No</w:t>
            </w: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rsidR="00E20BC8" w:rsidRPr="00A32400" w:rsidRDefault="00E20BC8" w:rsidP="008822BE">
            <w:pPr>
              <w:pStyle w:val="Tabletext"/>
              <w:jc w:val="center"/>
            </w:pPr>
          </w:p>
          <w:p w:rsidR="00E20BC8" w:rsidRPr="00A32400" w:rsidRDefault="00E20BC8" w:rsidP="008822BE">
            <w:pPr>
              <w:pStyle w:val="Tabletext"/>
              <w:jc w:val="center"/>
            </w:pPr>
          </w:p>
          <w:p w:rsidR="00E20BC8" w:rsidRPr="00A32400" w:rsidRDefault="00E20BC8" w:rsidP="008822BE">
            <w:pPr>
              <w:pStyle w:val="Tabletext"/>
              <w:jc w:val="center"/>
            </w:pPr>
          </w:p>
        </w:tc>
      </w:tr>
      <w:tr w:rsidR="00E20BC8" w:rsidRPr="00A32400" w:rsidTr="008822BE">
        <w:trPr>
          <w:cantSplit/>
          <w:jc w:val="center"/>
        </w:trPr>
        <w:tc>
          <w:tcPr>
            <w:tcW w:w="10075" w:type="dxa"/>
            <w:gridSpan w:val="8"/>
            <w:tcBorders>
              <w:top w:val="single" w:sz="4" w:space="0" w:color="auto"/>
              <w:left w:val="nil"/>
              <w:bottom w:val="nil"/>
              <w:right w:val="nil"/>
            </w:tcBorders>
            <w:shd w:val="clear" w:color="auto" w:fill="FFFFFF"/>
            <w:hideMark/>
          </w:tcPr>
          <w:p w:rsidR="00E20BC8" w:rsidRPr="00A32400" w:rsidRDefault="00E20BC8" w:rsidP="008822BE">
            <w:pPr>
              <w:pStyle w:val="Tablelegend"/>
            </w:pPr>
            <w:r w:rsidRPr="00A32400">
              <w:rPr>
                <w:vertAlign w:val="superscript"/>
              </w:rPr>
              <w:t>(1)</w:t>
            </w:r>
            <w:r w:rsidRPr="00A32400">
              <w:t xml:space="preserve"> </w:t>
            </w:r>
            <w:r w:rsidRPr="00A32400">
              <w:tab/>
              <w:t>As defined in Report ITU-R M.2410-0.</w:t>
            </w:r>
          </w:p>
          <w:p w:rsidR="00E20BC8" w:rsidRPr="00A32400" w:rsidRDefault="00E20BC8" w:rsidP="008822BE">
            <w:pPr>
              <w:pStyle w:val="Tablelegend"/>
            </w:pPr>
            <w:r w:rsidRPr="00A32400">
              <w:rPr>
                <w:vertAlign w:val="superscript"/>
              </w:rPr>
              <w:t>(2)</w:t>
            </w:r>
            <w:r w:rsidRPr="00A32400">
              <w:t xml:space="preserve"> </w:t>
            </w:r>
            <w:r w:rsidRPr="00A32400">
              <w:tab/>
              <w:t>According to the evaluation methodology specified in Report ITU-R M.2412-0.</w:t>
            </w:r>
          </w:p>
          <w:p w:rsidR="00E20BC8" w:rsidRPr="00A32400" w:rsidRDefault="00E20BC8" w:rsidP="008822BE">
            <w:pPr>
              <w:pStyle w:val="Tablelegend"/>
            </w:pPr>
            <w:r w:rsidRPr="00A32400">
              <w:rPr>
                <w:vertAlign w:val="superscript"/>
              </w:rPr>
              <w:t>(3)</w:t>
            </w:r>
            <w:r w:rsidRPr="00A32400">
              <w:tab/>
            </w:r>
            <w:r w:rsidRPr="00A32400">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A32400">
              <w:rPr>
                <w:lang w:eastAsia="ja-JP"/>
              </w:rPr>
              <w:t>, and could provide other relevant information as well</w:t>
            </w:r>
            <w:r w:rsidRPr="00A32400">
              <w:rPr>
                <w:rFonts w:eastAsia="Malgun Gothic"/>
              </w:rPr>
              <w:t>. For details, refer to Report ITU-R M.2412-0, in particular, § 7.1.3 for the evaluation methodologies, § 8.4 for the evaluation configurations per each test environment, and Annex 1 on the channel model variants.</w:t>
            </w:r>
          </w:p>
          <w:p w:rsidR="00E20BC8" w:rsidRPr="00A32400" w:rsidRDefault="00E20BC8" w:rsidP="008822BE">
            <w:pPr>
              <w:pStyle w:val="Tablelegend"/>
              <w:rPr>
                <w:rFonts w:eastAsia="Malgun Gothic"/>
              </w:rPr>
            </w:pPr>
            <w:r w:rsidRPr="00A32400">
              <w:rPr>
                <w:rFonts w:eastAsia="Malgun Gothic"/>
                <w:vertAlign w:val="superscript"/>
              </w:rPr>
              <w:t>(4)</w:t>
            </w:r>
            <w:r w:rsidRPr="00A32400">
              <w:rPr>
                <w:rFonts w:eastAsia="Malgun Gothic"/>
              </w:rPr>
              <w:tab/>
              <w:t>Refer to § 7.3.1 of Report ITU-R M.2412-0.</w:t>
            </w:r>
          </w:p>
        </w:tc>
      </w:tr>
    </w:tbl>
    <w:p w:rsidR="00E20BC8" w:rsidRPr="00A32400" w:rsidRDefault="00E20BC8" w:rsidP="00E20BC8">
      <w:pPr>
        <w:pStyle w:val="Tablefin"/>
        <w:rPr>
          <w:highlight w:val="cyan"/>
        </w:rPr>
      </w:pPr>
    </w:p>
    <w:p w:rsidR="00E20BC8" w:rsidRPr="00A32400" w:rsidRDefault="00E20BC8" w:rsidP="00E20BC8">
      <w:pPr>
        <w:pStyle w:val="Heading1"/>
      </w:pPr>
      <w:r w:rsidRPr="00A32400">
        <w:t>E)</w:t>
      </w:r>
      <w:r w:rsidRPr="00A32400">
        <w:tab/>
        <w:t>Assessment as per Reports ITU-R M.2410, ITU-R M.2411 and ITU</w:t>
      </w:r>
      <w:r w:rsidRPr="00A32400">
        <w:noBreakHyphen/>
        <w:t>R M.2412 for each candidate technology as indicated in A)</w:t>
      </w:r>
    </w:p>
    <w:p w:rsidR="00E20BC8" w:rsidRPr="00A32400" w:rsidRDefault="00E20BC8" w:rsidP="00E20BC8">
      <w:pPr>
        <w:pStyle w:val="enumlev1"/>
      </w:pPr>
      <w:r w:rsidRPr="00A32400">
        <w:t>–</w:t>
      </w:r>
      <w:r w:rsidRPr="00A32400">
        <w:tab/>
        <w:t>Detailed analysis/assessment and evaluation by the IEGs of the compliance templates submitted by the proponents per the Report ITU-R M.2411, § 5.2.4;</w:t>
      </w:r>
    </w:p>
    <w:p w:rsidR="00E20BC8" w:rsidRPr="00A32400" w:rsidRDefault="00E20BC8" w:rsidP="00E20BC8">
      <w:pPr>
        <w:pStyle w:val="enumlev1"/>
      </w:pPr>
      <w:r w:rsidRPr="00A32400">
        <w:t>–</w:t>
      </w:r>
      <w:r w:rsidRPr="00A32400">
        <w:tab/>
        <w:t>Provide any additional comments in the templates along with supporting documentation for such comments;</w:t>
      </w:r>
    </w:p>
    <w:p w:rsidR="00E20BC8" w:rsidRPr="00A32400" w:rsidRDefault="00E20BC8" w:rsidP="00E20BC8">
      <w:pPr>
        <w:pStyle w:val="enumlev1"/>
      </w:pPr>
      <w:r w:rsidRPr="00A32400">
        <w:t>–</w:t>
      </w:r>
      <w:r w:rsidRPr="00A32400">
        <w:tab/>
        <w:t>Analysis of the proponent’s self-evaluation by the IEG.</w:t>
      </w:r>
    </w:p>
    <w:p w:rsidR="00E20BC8" w:rsidRPr="00A32400" w:rsidRDefault="00E20BC8" w:rsidP="00E20BC8">
      <w:pPr>
        <w:pStyle w:val="Heading1"/>
      </w:pPr>
      <w:r w:rsidRPr="00A32400">
        <w:t>11</w:t>
      </w:r>
      <w:r w:rsidRPr="00A32400">
        <w:tab/>
        <w:t>Candidate technologies and the portions thereof re-evaluated</w:t>
      </w:r>
    </w:p>
    <w:p w:rsidR="00E20BC8" w:rsidRPr="00A32400" w:rsidRDefault="00E20BC8" w:rsidP="00E20BC8">
      <w:r w:rsidRPr="00A32400">
        <w:t>As explained in sub-section 7 of section A, Part II, the CEG re-evaluated the following:</w:t>
      </w:r>
    </w:p>
    <w:p w:rsidR="00E20BC8" w:rsidRPr="00A32400" w:rsidRDefault="00E20BC8" w:rsidP="00E20BC8">
      <w:pPr>
        <w:pStyle w:val="enumlev1"/>
        <w:rPr>
          <w:rFonts w:eastAsia="MS Mincho"/>
        </w:rPr>
      </w:pPr>
      <w:r w:rsidRPr="00A32400">
        <w:rPr>
          <w:rFonts w:eastAsia="MS Mincho"/>
        </w:rPr>
        <w:t>1</w:t>
      </w:r>
      <w:r w:rsidRPr="00A32400">
        <w:rPr>
          <w:rFonts w:eastAsia="MS Mincho"/>
        </w:rPr>
        <w:tab/>
        <w:t>ETSI (TC DECT) and DECT Forum Candidate Technology Submission</w:t>
      </w:r>
    </w:p>
    <w:p w:rsidR="00E20BC8" w:rsidRPr="00A32400" w:rsidRDefault="00E20BC8" w:rsidP="00E20BC8">
      <w:pPr>
        <w:pStyle w:val="enumlev2"/>
        <w:rPr>
          <w:rFonts w:eastAsia="MS Mincho"/>
        </w:rPr>
      </w:pPr>
      <w:r w:rsidRPr="00A32400">
        <w:rPr>
          <w:rFonts w:eastAsia="MS Mincho"/>
        </w:rPr>
        <w:t>a</w:t>
      </w:r>
      <w:r w:rsidRPr="00A32400">
        <w:rPr>
          <w:rFonts w:eastAsia="MS Mincho"/>
        </w:rPr>
        <w:tab/>
        <w:t>Connection density: for UMa-mMTC test environment</w:t>
      </w:r>
    </w:p>
    <w:p w:rsidR="00E20BC8" w:rsidRPr="00A32400" w:rsidRDefault="00E20BC8" w:rsidP="00E20BC8">
      <w:pPr>
        <w:pStyle w:val="enumlev1"/>
        <w:rPr>
          <w:rFonts w:eastAsia="MS Mincho"/>
        </w:rPr>
      </w:pPr>
      <w:r w:rsidRPr="00A32400">
        <w:rPr>
          <w:rFonts w:eastAsia="MS Mincho"/>
        </w:rPr>
        <w:t>2</w:t>
      </w:r>
      <w:r w:rsidRPr="00A32400">
        <w:rPr>
          <w:rFonts w:eastAsia="MS Mincho"/>
        </w:rPr>
        <w:tab/>
        <w:t>Nufront Candidate Technology Submission</w:t>
      </w:r>
    </w:p>
    <w:p w:rsidR="00E20BC8" w:rsidRPr="00A32400" w:rsidRDefault="00E20BC8" w:rsidP="00E20BC8">
      <w:pPr>
        <w:pStyle w:val="enumlev2"/>
        <w:rPr>
          <w:rFonts w:eastAsia="MS Mincho"/>
        </w:rPr>
      </w:pPr>
      <w:r w:rsidRPr="00A32400">
        <w:rPr>
          <w:rFonts w:eastAsia="MS Mincho"/>
        </w:rPr>
        <w:t>a</w:t>
      </w:r>
      <w:r w:rsidRPr="00A32400">
        <w:rPr>
          <w:rFonts w:eastAsia="MS Mincho"/>
        </w:rPr>
        <w:tab/>
        <w:t>5</w:t>
      </w:r>
      <w:r w:rsidRPr="00A32400">
        <w:rPr>
          <w:rFonts w:eastAsia="MS Mincho"/>
          <w:vertAlign w:val="superscript"/>
        </w:rPr>
        <w:t>th</w:t>
      </w:r>
      <w:r w:rsidRPr="00A32400">
        <w:rPr>
          <w:rFonts w:eastAsia="MS Mincho"/>
        </w:rPr>
        <w:t xml:space="preserve"> percentile and average Spectral Efficiencies: for DU-eMBB test environment </w:t>
      </w:r>
    </w:p>
    <w:p w:rsidR="00E20BC8" w:rsidRPr="00A32400" w:rsidRDefault="00E20BC8" w:rsidP="00E20BC8">
      <w:pPr>
        <w:pStyle w:val="enumlev2"/>
        <w:rPr>
          <w:rFonts w:eastAsia="MS Mincho"/>
        </w:rPr>
      </w:pPr>
      <w:r w:rsidRPr="00A32400">
        <w:rPr>
          <w:rFonts w:eastAsia="MS Mincho"/>
        </w:rPr>
        <w:t>b</w:t>
      </w:r>
      <w:r w:rsidRPr="00A32400">
        <w:rPr>
          <w:rFonts w:eastAsia="MS Mincho"/>
        </w:rPr>
        <w:tab/>
        <w:t>Mobility: for DU-eMBB test environment</w:t>
      </w:r>
    </w:p>
    <w:p w:rsidR="00E20BC8" w:rsidRPr="00A32400" w:rsidRDefault="00E20BC8" w:rsidP="00E20BC8">
      <w:pPr>
        <w:pStyle w:val="enumlev2"/>
        <w:rPr>
          <w:rFonts w:eastAsia="MS Mincho"/>
        </w:rPr>
      </w:pPr>
      <w:r w:rsidRPr="00A32400">
        <w:rPr>
          <w:rFonts w:eastAsia="MS Mincho"/>
        </w:rPr>
        <w:t>c</w:t>
      </w:r>
      <w:r w:rsidRPr="00A32400">
        <w:rPr>
          <w:rFonts w:eastAsia="MS Mincho"/>
        </w:rPr>
        <w:tab/>
        <w:t xml:space="preserve">Reliability: for UMa-urLLC test environment </w:t>
      </w:r>
    </w:p>
    <w:p w:rsidR="00E20BC8" w:rsidRPr="00A32400" w:rsidRDefault="00E20BC8" w:rsidP="00E20BC8">
      <w:pPr>
        <w:pStyle w:val="enumlev2"/>
        <w:rPr>
          <w:rFonts w:ascii="Calibri" w:eastAsia="MS Mincho" w:hAnsi="Calibri"/>
        </w:rPr>
      </w:pPr>
      <w:r w:rsidRPr="00A32400">
        <w:rPr>
          <w:rFonts w:eastAsia="MS Mincho"/>
        </w:rPr>
        <w:t>d</w:t>
      </w:r>
      <w:r w:rsidRPr="00A32400">
        <w:rPr>
          <w:rFonts w:eastAsia="MS Mincho"/>
        </w:rPr>
        <w:tab/>
        <w:t>Connection density: for UMa-mMTC test environment</w:t>
      </w:r>
    </w:p>
    <w:p w:rsidR="00E20BC8" w:rsidRPr="00A32400" w:rsidRDefault="00E20BC8" w:rsidP="00E20BC8">
      <w:pPr>
        <w:pStyle w:val="Heading2"/>
      </w:pPr>
      <w:r w:rsidRPr="00A32400">
        <w:t xml:space="preserve">11.4 </w:t>
      </w:r>
      <w:r w:rsidRPr="00A32400">
        <w:tab/>
        <w:t>Nufront EUHT RIT</w:t>
      </w:r>
    </w:p>
    <w:p w:rsidR="00E20BC8" w:rsidRPr="00A32400" w:rsidRDefault="00E20BC8" w:rsidP="00E20BC8">
      <w:pPr>
        <w:pStyle w:val="Headingb"/>
      </w:pPr>
      <w:r w:rsidRPr="00A32400">
        <w:t>Parameters re-evaluated via Simulation</w:t>
      </w:r>
    </w:p>
    <w:p w:rsidR="00E20BC8" w:rsidRPr="00A32400" w:rsidRDefault="00E20BC8" w:rsidP="00E20BC8">
      <w:pPr>
        <w:pStyle w:val="Heading3"/>
      </w:pPr>
      <w:r w:rsidRPr="00A32400">
        <w:t>11.4.12</w:t>
      </w:r>
      <w:r w:rsidRPr="00A32400">
        <w:tab/>
        <w:t xml:space="preserve">5% user spectral efficiency and Average spectral efficiency (per test environment) </w:t>
      </w:r>
    </w:p>
    <w:p w:rsidR="00E20BC8" w:rsidRPr="00A32400" w:rsidRDefault="00E20BC8" w:rsidP="00E20BC8">
      <w:pPr>
        <w:pStyle w:val="Heading4"/>
      </w:pPr>
      <w:r w:rsidRPr="00A32400">
        <w:t>11.4.12.1</w:t>
      </w:r>
      <w:r w:rsidRPr="00A32400">
        <w:tab/>
        <w:t>Conclusion</w:t>
      </w:r>
      <w:r w:rsidRPr="00A32400">
        <w:rPr>
          <w:bCs/>
        </w:rPr>
        <w:t xml:space="preserve">: </w:t>
      </w:r>
      <w:r w:rsidRPr="00A45DE3">
        <w:rPr>
          <w:b w:val="0"/>
          <w:bCs/>
        </w:rPr>
        <w:t>Cf. Section 9.</w:t>
      </w:r>
      <w:r>
        <w:rPr>
          <w:b w:val="0"/>
          <w:bCs/>
        </w:rPr>
        <w:t>2.</w:t>
      </w:r>
    </w:p>
    <w:p w:rsidR="00E20BC8" w:rsidRPr="00A32400" w:rsidRDefault="00E20BC8" w:rsidP="00E20BC8">
      <w:pPr>
        <w:pStyle w:val="Heading4"/>
      </w:pPr>
      <w:r w:rsidRPr="00A32400">
        <w:t>11.4.12.2</w:t>
      </w:r>
      <w:r w:rsidRPr="00A32400">
        <w:tab/>
        <w:t>Verification</w:t>
      </w:r>
      <w:r w:rsidRPr="00A32400">
        <w:rPr>
          <w:bCs/>
        </w:rPr>
        <w:t>:</w:t>
      </w:r>
      <w:r w:rsidRPr="00A32400">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3"/>
      </w:pPr>
      <w:r w:rsidRPr="00A32400">
        <w:t>11.4.14</w:t>
      </w:r>
      <w:r w:rsidRPr="00A32400">
        <w:tab/>
        <w:t>Reliability</w:t>
      </w:r>
    </w:p>
    <w:p w:rsidR="00E20BC8" w:rsidRPr="00A32400" w:rsidRDefault="00E20BC8" w:rsidP="00E20BC8">
      <w:pPr>
        <w:pStyle w:val="Heading4"/>
      </w:pPr>
      <w:r w:rsidRPr="00A32400">
        <w:t>11.4.14.1</w:t>
      </w:r>
      <w:r w:rsidRPr="00A32400">
        <w:tab/>
        <w:t>Conclusion</w:t>
      </w:r>
      <w:r w:rsidRPr="00A32400">
        <w:rPr>
          <w:bCs/>
        </w:rPr>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4"/>
      </w:pPr>
      <w:r w:rsidRPr="00A32400">
        <w:t>11.4.14.2</w:t>
      </w:r>
      <w:r w:rsidRPr="00A32400">
        <w:tab/>
        <w:t>Verification</w:t>
      </w:r>
      <w:r w:rsidRPr="00A32400">
        <w:rPr>
          <w:bCs/>
        </w:rPr>
        <w:t>:</w:t>
      </w:r>
      <w:r w:rsidRPr="00A32400">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3"/>
      </w:pPr>
      <w:r w:rsidRPr="00A32400">
        <w:t>11.4.15</w:t>
      </w:r>
      <w:r w:rsidRPr="00A32400">
        <w:tab/>
        <w:t xml:space="preserve">Mobility (InH, DU, RU) </w:t>
      </w:r>
    </w:p>
    <w:p w:rsidR="00E20BC8" w:rsidRPr="00A32400" w:rsidRDefault="00E20BC8" w:rsidP="00E20BC8">
      <w:pPr>
        <w:pStyle w:val="Heading4"/>
      </w:pPr>
      <w:r w:rsidRPr="00A32400">
        <w:t>11.4.15.1</w:t>
      </w:r>
      <w:r w:rsidRPr="00A32400">
        <w:tab/>
        <w:t>Conclusion</w:t>
      </w:r>
      <w:r w:rsidRPr="00A32400">
        <w:rPr>
          <w:bCs/>
        </w:rPr>
        <w:t xml:space="preserve">: </w:t>
      </w:r>
      <w:r w:rsidRPr="00765801">
        <w:rPr>
          <w:b w:val="0"/>
          <w:bCs/>
        </w:rPr>
        <w:t>Cf. Section 9.</w:t>
      </w:r>
      <w:r>
        <w:rPr>
          <w:b w:val="0"/>
          <w:bCs/>
        </w:rPr>
        <w:t>2.</w:t>
      </w:r>
      <w:r w:rsidRPr="00A32400" w:rsidDel="008824DA">
        <w:t xml:space="preserve"> </w:t>
      </w:r>
    </w:p>
    <w:p w:rsidR="00E20BC8" w:rsidRPr="00A32400" w:rsidRDefault="00E20BC8" w:rsidP="00E20BC8">
      <w:pPr>
        <w:pStyle w:val="Heading4"/>
      </w:pPr>
      <w:r w:rsidRPr="00A32400">
        <w:rPr>
          <w:bCs/>
        </w:rPr>
        <w:t>11.4.15.2</w:t>
      </w:r>
      <w:r w:rsidRPr="00A32400">
        <w:rPr>
          <w:bCs/>
        </w:rPr>
        <w:tab/>
        <w:t xml:space="preserve">Verification: </w:t>
      </w:r>
      <w:r w:rsidRPr="00765801">
        <w:rPr>
          <w:b w:val="0"/>
          <w:bCs/>
        </w:rPr>
        <w:t>Cf. Section 9.</w:t>
      </w:r>
      <w:r>
        <w:rPr>
          <w:b w:val="0"/>
          <w:bCs/>
        </w:rPr>
        <w:t>2.</w:t>
      </w:r>
    </w:p>
    <w:p w:rsidR="00E20BC8" w:rsidRPr="00A32400" w:rsidRDefault="00E20BC8" w:rsidP="00E20BC8">
      <w:pPr>
        <w:pStyle w:val="Heading2"/>
      </w:pPr>
      <w:r w:rsidRPr="00A32400">
        <w:t xml:space="preserve">11.5 </w:t>
      </w:r>
      <w:r w:rsidRPr="00A32400">
        <w:tab/>
        <w:t xml:space="preserve">ETSI/DECT Forum SRIT </w:t>
      </w:r>
    </w:p>
    <w:p w:rsidR="00E20BC8" w:rsidRPr="00A32400" w:rsidRDefault="00E20BC8" w:rsidP="00E20BC8">
      <w:pPr>
        <w:pStyle w:val="Headingb"/>
      </w:pPr>
      <w:r w:rsidRPr="00A32400">
        <w:t xml:space="preserve">Parameters re-evaluated via simulation </w:t>
      </w:r>
    </w:p>
    <w:p w:rsidR="00E20BC8" w:rsidRPr="00A32400" w:rsidRDefault="00E20BC8" w:rsidP="00E20BC8">
      <w:pPr>
        <w:pStyle w:val="Heading3"/>
      </w:pPr>
      <w:r w:rsidRPr="00A32400">
        <w:t xml:space="preserve">11.5.13 </w:t>
      </w:r>
      <w:r w:rsidRPr="00A32400">
        <w:tab/>
        <w:t>Connection density</w:t>
      </w:r>
    </w:p>
    <w:p w:rsidR="00E20BC8" w:rsidRPr="00B065E2" w:rsidRDefault="00E20BC8" w:rsidP="00E20BC8">
      <w:pPr>
        <w:pStyle w:val="Heading4"/>
        <w:rPr>
          <w:b w:val="0"/>
          <w:bCs/>
        </w:rPr>
      </w:pPr>
      <w:r w:rsidRPr="00A32400">
        <w:rPr>
          <w:bCs/>
        </w:rPr>
        <w:t>11.5.13.1</w:t>
      </w:r>
      <w:r w:rsidRPr="00A32400">
        <w:rPr>
          <w:bCs/>
        </w:rPr>
        <w:tab/>
        <w:t>Conclusion</w:t>
      </w:r>
      <w:r w:rsidRPr="00A32400">
        <w:t xml:space="preserve">: </w:t>
      </w:r>
      <w:r w:rsidRPr="00B065E2">
        <w:rPr>
          <w:b w:val="0"/>
          <w:bCs/>
          <w:lang w:val="en-US"/>
        </w:rPr>
        <w:t>The CEG concluded that connection density requirements are met by the DECT</w:t>
      </w:r>
      <w:r>
        <w:rPr>
          <w:b w:val="0"/>
          <w:bCs/>
          <w:lang w:val="en-US"/>
        </w:rPr>
        <w:t>-2020</w:t>
      </w:r>
      <w:r w:rsidRPr="00B065E2">
        <w:rPr>
          <w:b w:val="0"/>
          <w:bCs/>
          <w:lang w:val="en-US"/>
        </w:rPr>
        <w:t xml:space="preserve"> component RIT submission.</w:t>
      </w:r>
    </w:p>
    <w:p w:rsidR="00E20BC8" w:rsidRPr="00A32400" w:rsidRDefault="00E20BC8" w:rsidP="00E20BC8">
      <w:pPr>
        <w:pStyle w:val="Heading4"/>
      </w:pPr>
      <w:r w:rsidRPr="00A32400">
        <w:rPr>
          <w:bCs/>
        </w:rPr>
        <w:t>11.5.13.2</w:t>
      </w:r>
      <w:r w:rsidRPr="00A32400">
        <w:rPr>
          <w:bCs/>
        </w:rPr>
        <w:tab/>
        <w:t>Verification</w:t>
      </w:r>
      <w:r w:rsidRPr="00A32400">
        <w:t xml:space="preserve">: </w:t>
      </w:r>
    </w:p>
    <w:p w:rsidR="00E20BC8" w:rsidRPr="00D42B94" w:rsidRDefault="00E20BC8" w:rsidP="00E20BC8">
      <w:pPr>
        <w:rPr>
          <w:lang w:val="en-US"/>
        </w:rPr>
      </w:pPr>
      <w:r w:rsidRPr="0059741A">
        <w:rPr>
          <w:spacing w:val="-2"/>
          <w:lang w:val="en-CA"/>
        </w:rPr>
        <w:t xml:space="preserve">The CEG conducted simulations for the </w:t>
      </w:r>
      <w:r>
        <w:rPr>
          <w:spacing w:val="-2"/>
          <w:lang w:val="en-CA"/>
        </w:rPr>
        <w:t>non-</w:t>
      </w:r>
      <w:r w:rsidRPr="0059741A">
        <w:rPr>
          <w:spacing w:val="-2"/>
          <w:lang w:val="en-CA"/>
        </w:rPr>
        <w:t xml:space="preserve">full-buffer traffic model of the </w:t>
      </w:r>
      <w:r>
        <w:rPr>
          <w:spacing w:val="-2"/>
          <w:lang w:val="en-CA"/>
        </w:rPr>
        <w:t>DECT</w:t>
      </w:r>
      <w:r w:rsidRPr="0059741A">
        <w:rPr>
          <w:spacing w:val="-2"/>
          <w:lang w:val="en-CA"/>
        </w:rPr>
        <w:t xml:space="preserve"> </w:t>
      </w:r>
      <w:r w:rsidRPr="0059741A">
        <w:t xml:space="preserve">component – the results of which are shown in Tables </w:t>
      </w:r>
      <w:r>
        <w:rPr>
          <w:rFonts w:eastAsia="Yu Mincho"/>
        </w:rPr>
        <w:t>10</w:t>
      </w:r>
      <w:r w:rsidRPr="006753D0">
        <w:rPr>
          <w:rFonts w:eastAsia="Yu Mincho"/>
        </w:rPr>
        <w:t>.</w:t>
      </w:r>
      <w:r>
        <w:rPr>
          <w:rFonts w:eastAsia="Yu Mincho"/>
        </w:rPr>
        <w:t xml:space="preserve">5.3-1 </w:t>
      </w:r>
      <w:r w:rsidRPr="0059741A">
        <w:t xml:space="preserve">and </w:t>
      </w:r>
      <w:r w:rsidRPr="00943410">
        <w:t>11.5.13-1</w:t>
      </w:r>
      <w:r w:rsidRPr="0059741A">
        <w:t>.</w:t>
      </w:r>
    </w:p>
    <w:p w:rsidR="00E20BC8" w:rsidRDefault="00E20BC8" w:rsidP="00E20BC8">
      <w:pPr>
        <w:pStyle w:val="TableNo"/>
        <w:spacing w:before="400"/>
        <w:rPr>
          <w:rFonts w:eastAsia="Yu Mincho"/>
        </w:rPr>
      </w:pPr>
      <w:r w:rsidRPr="006753D0">
        <w:rPr>
          <w:rFonts w:eastAsia="Yu Mincho"/>
        </w:rPr>
        <w:t xml:space="preserve">Table </w:t>
      </w:r>
      <w:r>
        <w:rPr>
          <w:rFonts w:eastAsia="Yu Mincho"/>
        </w:rPr>
        <w:t>11</w:t>
      </w:r>
      <w:r w:rsidRPr="006753D0">
        <w:rPr>
          <w:rFonts w:eastAsia="Yu Mincho"/>
        </w:rPr>
        <w:t>.</w:t>
      </w:r>
      <w:r>
        <w:rPr>
          <w:rFonts w:eastAsia="Yu Mincho"/>
        </w:rPr>
        <w:t>5.13-1</w:t>
      </w:r>
    </w:p>
    <w:p w:rsidR="00E20BC8" w:rsidRPr="006753D0" w:rsidRDefault="00E20BC8" w:rsidP="00E20BC8">
      <w:pPr>
        <w:pStyle w:val="Tabletitle"/>
        <w:rPr>
          <w:rFonts w:eastAsia="Yu Mincho"/>
        </w:rPr>
      </w:pPr>
      <w:r w:rsidRPr="003B4CC8">
        <w:rPr>
          <w:rFonts w:eastAsia="Yu Mincho"/>
          <w:bCs/>
          <w:lang w:val="en-US"/>
        </w:rPr>
        <w:t xml:space="preserve">Urban Macro-mMTC </w:t>
      </w:r>
      <w:r w:rsidRPr="00DF1C0C">
        <w:rPr>
          <w:rFonts w:eastAsia="Yu Mincho"/>
          <w:lang w:val="en-CA"/>
        </w:rPr>
        <w:t>(</w:t>
      </w:r>
      <w:r>
        <w:rPr>
          <w:rFonts w:eastAsia="Yu Mincho"/>
          <w:lang w:val="en-CA"/>
        </w:rPr>
        <w:t>700 MHz, ISD=500 m, 19 BS (19 sites)</w:t>
      </w:r>
      <w:r w:rsidRPr="00DF1C0C">
        <w:rPr>
          <w:rFonts w:eastAsia="Yu Mincho"/>
          <w:lang w:val="en-CA"/>
        </w:rPr>
        <w:t xml:space="preserve">)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810"/>
        <w:gridCol w:w="3330"/>
        <w:gridCol w:w="3330"/>
      </w:tblGrid>
      <w:tr w:rsidR="00E20BC8" w:rsidRPr="00176900" w:rsidTr="008822BE">
        <w:trPr>
          <w:trHeight w:val="401"/>
        </w:trPr>
        <w:tc>
          <w:tcPr>
            <w:tcW w:w="2875" w:type="dxa"/>
            <w:gridSpan w:val="2"/>
            <w:shd w:val="clear" w:color="auto" w:fill="D9D9D9" w:themeFill="background1" w:themeFillShade="D9"/>
            <w:vAlign w:val="center"/>
            <w:hideMark/>
          </w:tcPr>
          <w:p w:rsidR="00E20BC8" w:rsidRPr="006753D0" w:rsidRDefault="00E20BC8" w:rsidP="008822BE">
            <w:pPr>
              <w:pStyle w:val="Tablehead"/>
              <w:rPr>
                <w:lang w:eastAsia="zh-CN"/>
              </w:rPr>
            </w:pPr>
            <w:r>
              <w:rPr>
                <w:lang w:eastAsia="zh-CN"/>
              </w:rPr>
              <w:t>mMTC</w:t>
            </w:r>
            <w:r w:rsidRPr="006753D0">
              <w:rPr>
                <w:lang w:eastAsia="zh-CN"/>
              </w:rPr>
              <w:t xml:space="preserve"> – </w:t>
            </w:r>
            <w:r w:rsidRPr="00B10E15">
              <w:rPr>
                <w:lang w:val="en-US" w:eastAsia="zh-CN"/>
              </w:rPr>
              <w:t>Urban Macro</w:t>
            </w:r>
          </w:p>
        </w:tc>
        <w:tc>
          <w:tcPr>
            <w:tcW w:w="6660" w:type="dxa"/>
            <w:gridSpan w:val="2"/>
            <w:shd w:val="clear" w:color="auto" w:fill="D9D9D9" w:themeFill="background1" w:themeFillShade="D9"/>
            <w:vAlign w:val="center"/>
          </w:tcPr>
          <w:p w:rsidR="00E20BC8" w:rsidRPr="006753D0" w:rsidRDefault="00E20BC8" w:rsidP="008822BE">
            <w:pPr>
              <w:pStyle w:val="Tablehead"/>
              <w:rPr>
                <w:lang w:eastAsia="zh-CN"/>
              </w:rPr>
            </w:pPr>
            <w:r>
              <w:rPr>
                <w:lang w:eastAsia="zh-CN"/>
              </w:rPr>
              <w:t xml:space="preserve">Channel Model B - </w:t>
            </w:r>
            <w:r w:rsidRPr="006753D0">
              <w:rPr>
                <w:lang w:eastAsia="zh-CN"/>
              </w:rPr>
              <w:t xml:space="preserve">Configuration </w:t>
            </w:r>
            <w:r>
              <w:rPr>
                <w:lang w:eastAsia="zh-CN"/>
              </w:rPr>
              <w:t>A</w:t>
            </w:r>
            <w:r w:rsidRPr="006753D0">
              <w:rPr>
                <w:lang w:eastAsia="zh-CN"/>
              </w:rPr>
              <w:t xml:space="preserve"> (</w:t>
            </w:r>
            <w:r>
              <w:rPr>
                <w:lang w:eastAsia="zh-CN"/>
              </w:rPr>
              <w:t>ISD=500m</w:t>
            </w:r>
            <w:r w:rsidRPr="006753D0">
              <w:rPr>
                <w:lang w:eastAsia="zh-CN"/>
              </w:rPr>
              <w:t>)</w:t>
            </w:r>
            <w:r>
              <w:rPr>
                <w:lang w:eastAsia="zh-CN"/>
              </w:rPr>
              <w:t xml:space="preserve"> – DECT component</w:t>
            </w:r>
          </w:p>
        </w:tc>
      </w:tr>
      <w:tr w:rsidR="00E20BC8" w:rsidRPr="00176900" w:rsidTr="008822BE">
        <w:trPr>
          <w:trHeight w:val="463"/>
        </w:trPr>
        <w:tc>
          <w:tcPr>
            <w:tcW w:w="2065" w:type="dxa"/>
            <w:shd w:val="clear" w:color="auto" w:fill="D9D9D9" w:themeFill="background1" w:themeFillShade="D9"/>
            <w:hideMark/>
          </w:tcPr>
          <w:p w:rsidR="00E20BC8" w:rsidRPr="006753D0" w:rsidRDefault="00E20BC8" w:rsidP="008822BE">
            <w:pPr>
              <w:pStyle w:val="Tablehead"/>
              <w:rPr>
                <w:lang w:eastAsia="zh-CN"/>
              </w:rPr>
            </w:pPr>
            <w:r w:rsidRPr="006753D0">
              <w:rPr>
                <w:lang w:eastAsia="zh-CN"/>
              </w:rPr>
              <w:t>Metric</w:t>
            </w:r>
          </w:p>
        </w:tc>
        <w:tc>
          <w:tcPr>
            <w:tcW w:w="810" w:type="dxa"/>
            <w:shd w:val="clear" w:color="auto" w:fill="D9D9D9" w:themeFill="background1" w:themeFillShade="D9"/>
            <w:vAlign w:val="center"/>
            <w:hideMark/>
          </w:tcPr>
          <w:p w:rsidR="00E20BC8" w:rsidRPr="006753D0" w:rsidRDefault="00E20BC8" w:rsidP="008822BE">
            <w:pPr>
              <w:pStyle w:val="Tablehead"/>
              <w:rPr>
                <w:lang w:eastAsia="zh-CN"/>
              </w:rPr>
            </w:pPr>
            <w:r w:rsidRPr="006753D0">
              <w:rPr>
                <w:lang w:eastAsia="zh-CN"/>
              </w:rPr>
              <w:t>Link</w:t>
            </w:r>
          </w:p>
        </w:tc>
        <w:tc>
          <w:tcPr>
            <w:tcW w:w="3330" w:type="dxa"/>
            <w:shd w:val="clear" w:color="auto" w:fill="D9D9D9" w:themeFill="background1" w:themeFillShade="D9"/>
            <w:vAlign w:val="center"/>
            <w:hideMark/>
          </w:tcPr>
          <w:p w:rsidR="00E20BC8" w:rsidRPr="006753D0" w:rsidRDefault="00E20BC8" w:rsidP="008822BE">
            <w:pPr>
              <w:pStyle w:val="Tablehead"/>
              <w:rPr>
                <w:lang w:eastAsia="zh-CN"/>
              </w:rPr>
            </w:pPr>
            <w:r>
              <w:rPr>
                <w:lang w:eastAsia="zh-CN"/>
              </w:rPr>
              <w:t>Packet outage rate threshold</w:t>
            </w:r>
          </w:p>
        </w:tc>
        <w:tc>
          <w:tcPr>
            <w:tcW w:w="3330" w:type="dxa"/>
            <w:shd w:val="clear" w:color="auto" w:fill="D9D9D9" w:themeFill="background1" w:themeFillShade="D9"/>
            <w:vAlign w:val="center"/>
          </w:tcPr>
          <w:p w:rsidR="00E20BC8" w:rsidRPr="006753D0" w:rsidRDefault="00E20BC8" w:rsidP="008822BE">
            <w:pPr>
              <w:pStyle w:val="Tablehead"/>
              <w:rPr>
                <w:lang w:eastAsia="zh-CN"/>
              </w:rPr>
            </w:pPr>
            <w:r>
              <w:rPr>
                <w:lang w:eastAsia="zh-CN"/>
              </w:rPr>
              <w:t>INRS</w:t>
            </w:r>
          </w:p>
        </w:tc>
      </w:tr>
      <w:tr w:rsidR="00E20BC8" w:rsidRPr="00176900" w:rsidTr="008822BE">
        <w:trPr>
          <w:trHeight w:val="399"/>
        </w:trPr>
        <w:tc>
          <w:tcPr>
            <w:tcW w:w="2065" w:type="dxa"/>
            <w:hideMark/>
          </w:tcPr>
          <w:p w:rsidR="00E20BC8" w:rsidRPr="006753D0" w:rsidRDefault="00E20BC8" w:rsidP="008822BE">
            <w:pPr>
              <w:pStyle w:val="Tabletext"/>
              <w:rPr>
                <w:lang w:eastAsia="zh-CN"/>
              </w:rPr>
            </w:pPr>
            <w:r>
              <w:rPr>
                <w:lang w:eastAsia="zh-CN"/>
              </w:rPr>
              <w:t>Packet outage rate (</w:t>
            </w:r>
            <w:r w:rsidRPr="006B21D1">
              <w:rPr>
                <w:lang w:eastAsia="zh-CN"/>
              </w:rPr>
              <w:t>%</w:t>
            </w:r>
            <w:r>
              <w:rPr>
                <w:lang w:eastAsia="zh-CN"/>
              </w:rPr>
              <w:t>)</w:t>
            </w:r>
          </w:p>
        </w:tc>
        <w:tc>
          <w:tcPr>
            <w:tcW w:w="810" w:type="dxa"/>
            <w:hideMark/>
          </w:tcPr>
          <w:p w:rsidR="00E20BC8" w:rsidRPr="006753D0" w:rsidRDefault="00E20BC8" w:rsidP="008822BE">
            <w:pPr>
              <w:pStyle w:val="Tabletext"/>
              <w:jc w:val="center"/>
              <w:rPr>
                <w:lang w:eastAsia="zh-CN"/>
              </w:rPr>
            </w:pPr>
            <w:r>
              <w:rPr>
                <w:lang w:eastAsia="zh-CN"/>
              </w:rPr>
              <w:t>U</w:t>
            </w:r>
            <w:r w:rsidRPr="006753D0">
              <w:rPr>
                <w:lang w:eastAsia="zh-CN"/>
              </w:rPr>
              <w:t>L</w:t>
            </w:r>
          </w:p>
        </w:tc>
        <w:tc>
          <w:tcPr>
            <w:tcW w:w="3330" w:type="dxa"/>
            <w:hideMark/>
          </w:tcPr>
          <w:p w:rsidR="00E20BC8" w:rsidRPr="006753D0" w:rsidRDefault="00E20BC8" w:rsidP="008822BE">
            <w:pPr>
              <w:pStyle w:val="Tabletext"/>
              <w:jc w:val="center"/>
              <w:rPr>
                <w:color w:val="000000" w:themeColor="text1"/>
              </w:rPr>
            </w:pPr>
            <w:r>
              <w:rPr>
                <w:color w:val="000000" w:themeColor="text1"/>
              </w:rPr>
              <w:t>1</w:t>
            </w:r>
          </w:p>
        </w:tc>
        <w:tc>
          <w:tcPr>
            <w:tcW w:w="3330" w:type="dxa"/>
          </w:tcPr>
          <w:p w:rsidR="00E20BC8" w:rsidRPr="00385123" w:rsidRDefault="00E20BC8" w:rsidP="008822BE">
            <w:pPr>
              <w:pStyle w:val="Tabletext"/>
              <w:jc w:val="center"/>
              <w:rPr>
                <w:color w:val="000000" w:themeColor="text1"/>
                <w:lang w:val="en-US"/>
              </w:rPr>
            </w:pPr>
            <w:r w:rsidRPr="008A6B5A">
              <w:rPr>
                <w:color w:val="000000" w:themeColor="text1"/>
              </w:rPr>
              <w:t>0.2</w:t>
            </w:r>
            <w:r>
              <w:rPr>
                <w:color w:val="000000" w:themeColor="text1"/>
              </w:rPr>
              <w:t>1</w:t>
            </w:r>
            <w:r w:rsidRPr="008A6B5A">
              <w:rPr>
                <w:color w:val="000000" w:themeColor="text1"/>
              </w:rPr>
              <w:t>4</w:t>
            </w:r>
          </w:p>
        </w:tc>
      </w:tr>
    </w:tbl>
    <w:p w:rsidR="00E20BC8" w:rsidRPr="007C2982" w:rsidRDefault="00E20BC8" w:rsidP="00E20BC8">
      <w:pPr>
        <w:pStyle w:val="Tablefin"/>
      </w:pPr>
    </w:p>
    <w:p w:rsidR="00E20BC8" w:rsidRPr="00A32400" w:rsidRDefault="00E20BC8" w:rsidP="00E20BC8">
      <w:pPr>
        <w:pStyle w:val="Heading1"/>
      </w:pPr>
      <w:r w:rsidRPr="00A32400">
        <w:t>F)</w:t>
      </w:r>
      <w:r w:rsidRPr="00A32400">
        <w:tab/>
        <w:t>Questions and feedback to WP</w:t>
      </w:r>
      <w:r w:rsidR="00475363">
        <w:t> </w:t>
      </w:r>
      <w:r w:rsidRPr="00A32400">
        <w:t>5D and/or the proponents or other IEGs</w:t>
      </w:r>
    </w:p>
    <w:p w:rsidR="00E20BC8" w:rsidRDefault="00E20BC8" w:rsidP="00E20BC8">
      <w:pPr>
        <w:pStyle w:val="Heading1"/>
      </w:pPr>
      <w:r w:rsidRPr="00A32400">
        <w:t>12</w:t>
      </w:r>
      <w:r w:rsidRPr="00A32400">
        <w:tab/>
        <w:t>Questions and feedback</w:t>
      </w:r>
    </w:p>
    <w:tbl>
      <w:tblPr>
        <w:tblStyle w:val="GridTable2"/>
        <w:tblpPr w:leftFromText="180" w:rightFromText="180" w:vertAnchor="text" w:horzAnchor="margin" w:tblpXSpec="center" w:tblpY="500"/>
        <w:tblW w:w="9596" w:type="dxa"/>
        <w:tblLook w:val="04A0" w:firstRow="1" w:lastRow="0" w:firstColumn="1" w:lastColumn="0" w:noHBand="0" w:noVBand="1"/>
      </w:tblPr>
      <w:tblGrid>
        <w:gridCol w:w="1276"/>
        <w:gridCol w:w="6519"/>
        <w:gridCol w:w="1173"/>
        <w:gridCol w:w="628"/>
      </w:tblGrid>
      <w:tr w:rsidR="00E20BC8" w:rsidRPr="00A32400" w:rsidTr="0047536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head"/>
            </w:pPr>
            <w:r w:rsidRPr="00A32400">
              <w:t>Submission</w:t>
            </w:r>
          </w:p>
        </w:tc>
        <w:tc>
          <w:tcPr>
            <w:tcW w:w="6519"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Document Title</w:t>
            </w:r>
          </w:p>
        </w:tc>
        <w:tc>
          <w:tcPr>
            <w:tcW w:w="1173"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Author</w:t>
            </w:r>
          </w:p>
        </w:tc>
        <w:tc>
          <w:tcPr>
            <w:tcW w:w="628" w:type="dxa"/>
            <w:noWrap/>
            <w:vAlign w:val="center"/>
            <w:hideMark/>
          </w:tcPr>
          <w:p w:rsidR="00E20BC8" w:rsidRPr="00A32400" w:rsidRDefault="00E20BC8" w:rsidP="008822BE">
            <w:pPr>
              <w:pStyle w:val="Tablehead"/>
              <w:cnfStyle w:val="100000000000" w:firstRow="1" w:lastRow="0" w:firstColumn="0" w:lastColumn="0" w:oddVBand="0" w:evenVBand="0" w:oddHBand="0" w:evenHBand="0" w:firstRowFirstColumn="0" w:firstRowLastColumn="0" w:lastRowFirstColumn="0" w:lastRowLastColumn="0"/>
            </w:pPr>
            <w:r w:rsidRPr="00A32400">
              <w:t>Link</w:t>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2020-12-23</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TC-DECT response to CEG questions</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101730F6" wp14:editId="64BDF8AD">
                  <wp:extent cx="144986" cy="144986"/>
                  <wp:effectExtent l="0" t="0" r="0" b="0"/>
                  <wp:docPr id="2" name="Graphic 2" descr="Link with solid fil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ink with solid fill">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2021-01-25</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Evaluation of 5G NR Standard Candidates by System-Level Simulations: Questions regarding ETSI-DECT technology raised by the CEG</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66F9DE3C" wp14:editId="1ACF9863">
                  <wp:extent cx="144986" cy="144986"/>
                  <wp:effectExtent l="0" t="0" r="0" b="0"/>
                  <wp:docPr id="3" name="Graphic 3" descr="Link with solid fi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ink with solid fill">
                            <a:hlinkClick r:id="rId2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2021-02-01</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 TC DECT Response to the additional questions from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2915D9B8" wp14:editId="464E33D2">
                  <wp:extent cx="144986" cy="144986"/>
                  <wp:effectExtent l="0" t="0" r="0" b="0"/>
                  <wp:docPr id="4" name="Graphic 4" descr="Link with solid fil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Link with solid fill">
                            <a:hlinkClick r:id="rId27"/>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2021-02-04</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 Evaluation Group Status</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4126E02C" wp14:editId="0B72CC82">
                  <wp:extent cx="144986" cy="144986"/>
                  <wp:effectExtent l="0" t="0" r="0" b="0"/>
                  <wp:docPr id="6" name="Graphic 6" descr="Link with solid fill">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ink with solid fill">
                            <a:hlinkClick r:id="rId28"/>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2021-03-25</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EVALUATION OF ETSI (TC DECT) &amp; DECT FORUM CANDIDATE BY CEG – “WAY FORWARD OPTION 2”: Compilation of questions raised by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4E1C4681" wp14:editId="2DC9B44E">
                  <wp:extent cx="144986" cy="144986"/>
                  <wp:effectExtent l="0" t="0" r="0" b="0"/>
                  <wp:docPr id="7" name="Graphic 7" descr="Link with solid fil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Link with solid fill">
                            <a:hlinkClick r:id="rId29"/>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2021-03-31</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 TC DECT response to ‘Pending’ or ‘Open’ threads</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ETSI</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2E16EE54" wp14:editId="40C1C5C3">
                  <wp:extent cx="144986" cy="144986"/>
                  <wp:effectExtent l="0" t="0" r="0" b="0"/>
                  <wp:docPr id="8" name="Graphic 8" descr="Link with solid fil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Link with solid fill">
                            <a:hlinkClick r:id="rId30"/>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2021-04-08</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EVALUATION OF 5G NR STANDARD CANDIDATES BY SYSTEM-LEVEL SIMULATIONS – OPTION 2: Compilation of Questions Raised by INRS on Behalf of the CEG on EUHT Technology</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64CC9AFC" wp14:editId="1862AAE3">
                  <wp:extent cx="144986" cy="144986"/>
                  <wp:effectExtent l="0" t="0" r="0" b="0"/>
                  <wp:docPr id="9" name="Graphic 9" descr="Link with solid fill">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nk with solid fill">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2021-04-21</w:t>
            </w:r>
          </w:p>
        </w:tc>
        <w:tc>
          <w:tcPr>
            <w:tcW w:w="6519"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EVALUATION OF IMT-2020 STANDARD CANDIDATES BY SYSTEM-LEVEL SIMULATIONS – OPTION 2: Compilation of Questions Raised by CEG on EUHT Technology</w:t>
            </w:r>
          </w:p>
        </w:tc>
        <w:tc>
          <w:tcPr>
            <w:tcW w:w="1173"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pPr>
            <w:r w:rsidRPr="00A32400">
              <w:t>CEG/INRS</w:t>
            </w:r>
          </w:p>
        </w:tc>
        <w:tc>
          <w:tcPr>
            <w:tcW w:w="628" w:type="dxa"/>
            <w:noWrap/>
            <w:vAlign w:val="center"/>
            <w:hideMark/>
          </w:tcPr>
          <w:p w:rsidR="00E20BC8" w:rsidRPr="00A32400" w:rsidRDefault="00E20BC8" w:rsidP="008822B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1C428B2D" wp14:editId="3FE2067A">
                  <wp:extent cx="144986" cy="144986"/>
                  <wp:effectExtent l="0" t="0" r="0" b="0"/>
                  <wp:docPr id="10" name="Graphic 10" descr="Link with solid fil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a:hlinkClick r:id="rId32"/>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r w:rsidR="00E20BC8" w:rsidRPr="00A32400" w:rsidTr="0047536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rsidR="00E20BC8" w:rsidRPr="00A32400" w:rsidRDefault="00E20BC8" w:rsidP="008822BE">
            <w:pPr>
              <w:pStyle w:val="Tabletext"/>
            </w:pPr>
            <w:r w:rsidRPr="00A32400">
              <w:t>2021-04-21</w:t>
            </w:r>
          </w:p>
        </w:tc>
        <w:tc>
          <w:tcPr>
            <w:tcW w:w="6519"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Response to CEG</w:t>
            </w:r>
          </w:p>
        </w:tc>
        <w:tc>
          <w:tcPr>
            <w:tcW w:w="1173"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pPr>
            <w:r w:rsidRPr="00A32400">
              <w:t>Nufront</w:t>
            </w:r>
          </w:p>
        </w:tc>
        <w:tc>
          <w:tcPr>
            <w:tcW w:w="628" w:type="dxa"/>
            <w:noWrap/>
            <w:vAlign w:val="center"/>
            <w:hideMark/>
          </w:tcPr>
          <w:p w:rsidR="00E20BC8" w:rsidRPr="00A32400" w:rsidRDefault="00E20BC8" w:rsidP="008822BE">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32400">
              <w:rPr>
                <w:noProof/>
                <w:sz w:val="18"/>
                <w:szCs w:val="18"/>
                <w:u w:val="single"/>
                <w:lang w:val="en-US"/>
              </w:rPr>
              <w:drawing>
                <wp:inline distT="0" distB="0" distL="0" distR="0" wp14:anchorId="5D1F5AF3" wp14:editId="16F0F3F2">
                  <wp:extent cx="144986" cy="144986"/>
                  <wp:effectExtent l="0" t="0" r="0" b="0"/>
                  <wp:docPr id="11" name="Graphic 11" descr="Link with solid fil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nk with solid fill">
                            <a:hlinkClick r:id="rId3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5563" cy="145563"/>
                          </a:xfrm>
                          <a:prstGeom prst="rect">
                            <a:avLst/>
                          </a:prstGeom>
                        </pic:spPr>
                      </pic:pic>
                    </a:graphicData>
                  </a:graphic>
                </wp:inline>
              </w:drawing>
            </w:r>
          </w:p>
        </w:tc>
      </w:tr>
    </w:tbl>
    <w:p w:rsidR="00E20BC8" w:rsidRPr="00A32400" w:rsidRDefault="00E20BC8" w:rsidP="00E20BC8">
      <w:pPr>
        <w:pStyle w:val="PartNo"/>
      </w:pPr>
      <w:r w:rsidRPr="00A32400">
        <w:t>Part III</w:t>
      </w:r>
    </w:p>
    <w:p w:rsidR="00E20BC8" w:rsidRPr="00A32400" w:rsidRDefault="00E20BC8" w:rsidP="00E20BC8">
      <w:pPr>
        <w:pStyle w:val="Parttitle"/>
      </w:pPr>
      <w:r w:rsidRPr="00A32400">
        <w:t>Conclusion</w:t>
      </w:r>
    </w:p>
    <w:p w:rsidR="00E20BC8" w:rsidRPr="00A32400" w:rsidRDefault="00E20BC8" w:rsidP="00E20BC8">
      <w:pPr>
        <w:pStyle w:val="Heading1"/>
      </w:pPr>
      <w:r w:rsidRPr="00A32400">
        <w:t>14</w:t>
      </w:r>
      <w:r w:rsidRPr="00A32400">
        <w:tab/>
        <w:t>Overall conclusions</w:t>
      </w:r>
    </w:p>
    <w:p w:rsidR="00E20BC8" w:rsidRPr="00A32400" w:rsidRDefault="00E20BC8" w:rsidP="00E20BC8">
      <w:pPr>
        <w:pStyle w:val="Heading2"/>
      </w:pPr>
      <w:r w:rsidRPr="00A32400">
        <w:t>14.4</w:t>
      </w:r>
      <w:r w:rsidRPr="00A32400">
        <w:tab/>
        <w:t>Nufront RIT</w:t>
      </w:r>
    </w:p>
    <w:p w:rsidR="00E20BC8" w:rsidRPr="008824DA" w:rsidRDefault="00E20BC8" w:rsidP="00E20BC8">
      <w:r>
        <w:t xml:space="preserve">The CEG was not able to evaluate this RIT for the reasons explained in </w:t>
      </w:r>
      <w:r w:rsidRPr="00B80CCA">
        <w:t>Section 9.</w:t>
      </w:r>
      <w:r>
        <w:t>2.</w:t>
      </w:r>
    </w:p>
    <w:p w:rsidR="00E20BC8" w:rsidRPr="00A32400" w:rsidRDefault="00E20BC8" w:rsidP="00E20BC8">
      <w:pPr>
        <w:pStyle w:val="Heading2"/>
      </w:pPr>
      <w:r w:rsidRPr="00A32400">
        <w:t xml:space="preserve">14.5 </w:t>
      </w:r>
      <w:r w:rsidRPr="00A32400">
        <w:tab/>
        <w:t>ETSI/DECT Forum SRIT</w:t>
      </w:r>
    </w:p>
    <w:p w:rsidR="00E20BC8" w:rsidRPr="00A32400" w:rsidRDefault="00E20BC8" w:rsidP="00E20BC8">
      <w:r>
        <w:t xml:space="preserve">The DECT-2020 RIT component of the SRIT </w:t>
      </w:r>
      <w:r w:rsidRPr="00546FD3">
        <w:rPr>
          <w:lang w:val="en-US"/>
        </w:rPr>
        <w:t>passed the connection density requirement</w:t>
      </w:r>
      <w:r>
        <w:rPr>
          <w:lang w:val="en-US"/>
        </w:rPr>
        <w:t>.</w:t>
      </w:r>
    </w:p>
    <w:p w:rsidR="00E20BC8" w:rsidRPr="00B80CCA" w:rsidRDefault="00E20BC8" w:rsidP="00E20BC8">
      <w:pPr>
        <w:tabs>
          <w:tab w:val="clear" w:pos="1134"/>
          <w:tab w:val="clear" w:pos="1871"/>
          <w:tab w:val="clear" w:pos="2268"/>
        </w:tabs>
        <w:overflowPunct/>
        <w:autoSpaceDE/>
        <w:autoSpaceDN/>
        <w:adjustRightInd/>
        <w:spacing w:before="0"/>
        <w:textAlignment w:val="auto"/>
        <w:rPr>
          <w:lang w:val="en-US"/>
        </w:rPr>
      </w:pPr>
      <w:r w:rsidRPr="00A32400">
        <w:br w:type="page"/>
      </w:r>
    </w:p>
    <w:p w:rsidR="00E20BC8" w:rsidRPr="00A32400" w:rsidRDefault="00E20BC8" w:rsidP="00E20BC8">
      <w:pPr>
        <w:pStyle w:val="AnnexNo"/>
      </w:pPr>
      <w:r w:rsidRPr="00A32400">
        <w:t>Annex 1</w:t>
      </w:r>
    </w:p>
    <w:p w:rsidR="00E20BC8" w:rsidRPr="00A32400" w:rsidRDefault="00E20BC8" w:rsidP="00E20BC8">
      <w:pPr>
        <w:pStyle w:val="Annextitle"/>
      </w:pPr>
      <w:r w:rsidRPr="00A32400">
        <w:t>Evaluation Assumptions and Configuration for ETSI (TC DECT)</w:t>
      </w:r>
    </w:p>
    <w:p w:rsidR="00E20BC8" w:rsidRPr="00A32400" w:rsidRDefault="00E20BC8" w:rsidP="00E20BC8">
      <w:pPr>
        <w:jc w:val="center"/>
        <w:rPr>
          <w:lang w:eastAsia="zh-CN"/>
        </w:rPr>
      </w:pPr>
    </w:p>
    <w:p w:rsidR="00E20BC8" w:rsidRPr="00A32400" w:rsidRDefault="00E20BC8" w:rsidP="00E20BC8">
      <w:pPr>
        <w:jc w:val="center"/>
        <w:rPr>
          <w:lang w:eastAsia="zh-CN"/>
        </w:rPr>
      </w:pPr>
    </w:p>
    <w:bookmarkStart w:id="9" w:name="_MON_1690314298"/>
    <w:bookmarkEnd w:id="9"/>
    <w:p w:rsidR="00E20BC8" w:rsidRPr="00A32400" w:rsidRDefault="00E20BC8" w:rsidP="00E20BC8">
      <w:pPr>
        <w:jc w:val="center"/>
        <w:rPr>
          <w:lang w:eastAsia="zh-CN"/>
        </w:rPr>
      </w:pPr>
      <w:r>
        <w:rPr>
          <w:noProof/>
          <w:lang w:eastAsia="zh-CN"/>
        </w:rPr>
        <w:object w:dxaOrig="1483" w:dyaOrig="964" w14:anchorId="5BCA4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4pt;height:48.6pt" o:ole="">
            <v:imagedata r:id="rId34" o:title=""/>
          </v:shape>
          <o:OLEObject Type="Embed" ProgID="Word.Document.12" ShapeID="_x0000_i1025" DrawAspect="Icon" ObjectID="_1697970266" r:id="rId35">
            <o:FieldCodes>\s</o:FieldCodes>
          </o:OLEObject>
        </w:object>
      </w:r>
    </w:p>
    <w:p w:rsidR="00E20BC8" w:rsidRDefault="00E20BC8" w:rsidP="00E20BC8">
      <w:pPr>
        <w:jc w:val="center"/>
        <w:rPr>
          <w:lang w:eastAsia="zh-CN"/>
        </w:rPr>
      </w:pPr>
    </w:p>
    <w:p w:rsidR="00E20BC8" w:rsidRDefault="00E20BC8" w:rsidP="00E20BC8">
      <w:pPr>
        <w:jc w:val="center"/>
        <w:rPr>
          <w:lang w:eastAsia="zh-CN"/>
        </w:rPr>
      </w:pPr>
    </w:p>
    <w:p w:rsidR="000069D4" w:rsidRPr="00E20BC8" w:rsidRDefault="00E20BC8" w:rsidP="00475363">
      <w:pPr>
        <w:jc w:val="center"/>
        <w:rPr>
          <w:lang w:eastAsia="zh-CN"/>
        </w:rPr>
      </w:pPr>
      <w:r w:rsidRPr="00A32400">
        <w:rPr>
          <w:lang w:eastAsia="zh-CN"/>
        </w:rPr>
        <w:t>_____________</w:t>
      </w:r>
    </w:p>
    <w:sectPr w:rsidR="000069D4" w:rsidRPr="00E20BC8" w:rsidSect="00E31124">
      <w:headerReference w:type="default" r:id="rId36"/>
      <w:footerReference w:type="default" r:id="rId37"/>
      <w:footerReference w:type="first" r:id="rId3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74A" w:rsidRDefault="00F4574A">
      <w:r>
        <w:separator/>
      </w:r>
    </w:p>
  </w:endnote>
  <w:endnote w:type="continuationSeparator" w:id="0">
    <w:p w:rsidR="00F4574A" w:rsidRDefault="00F4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inion Pro">
    <w:altName w:val="Cambria"/>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F4574A">
    <w:pPr>
      <w:pStyle w:val="Footer"/>
      <w:rPr>
        <w:lang w:val="en-US"/>
      </w:rPr>
    </w:pPr>
    <w:r>
      <w:fldChar w:fldCharType="begin"/>
    </w:r>
    <w:r>
      <w:instrText xml:space="preserve"> FILENAME \p \* MERGEFORMAT </w:instrText>
    </w:r>
    <w:r>
      <w:fldChar w:fldCharType="separate"/>
    </w:r>
    <w:r w:rsidR="00E20BC8" w:rsidRPr="00E20BC8">
      <w:rPr>
        <w:lang w:val="en-US"/>
      </w:rPr>
      <w:t>M</w:t>
    </w:r>
    <w:r w:rsidR="00E20BC8">
      <w:t>:\BRSGD\TEXT2019\SG05\WP5D\700\738e.docx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695954">
      <w:t>16.08.21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12F62">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Pr="002F7CB3" w:rsidRDefault="00F4574A" w:rsidP="00E6257C">
    <w:pPr>
      <w:pStyle w:val="Footer"/>
      <w:rPr>
        <w:lang w:val="en-US"/>
      </w:rPr>
    </w:pPr>
    <w:r>
      <w:fldChar w:fldCharType="begin"/>
    </w:r>
    <w:r>
      <w:instrText xml:space="preserve"> FILENAME \p \* MERGEFORMAT </w:instrText>
    </w:r>
    <w:r>
      <w:fldChar w:fldCharType="separate"/>
    </w:r>
    <w:r w:rsidR="00E20BC8" w:rsidRPr="00E20BC8">
      <w:rPr>
        <w:lang w:val="en-US"/>
      </w:rPr>
      <w:t>M</w:t>
    </w:r>
    <w:r w:rsidR="00E20BC8">
      <w:t>:\BRSGD\TEXT2019\SG05\WP5D\700\738e.docx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695954">
      <w:t>16.08.21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12F6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74A" w:rsidRDefault="00F4574A">
      <w:r>
        <w:t>____________________</w:t>
      </w:r>
    </w:p>
  </w:footnote>
  <w:footnote w:type="continuationSeparator" w:id="0">
    <w:p w:rsidR="00F4574A" w:rsidRDefault="00F4574A">
      <w:r>
        <w:continuationSeparator/>
      </w:r>
    </w:p>
  </w:footnote>
  <w:footnote w:id="1">
    <w:p w:rsidR="00E20BC8" w:rsidRPr="00510A92" w:rsidRDefault="00E20BC8" w:rsidP="00E06DAC">
      <w:pPr>
        <w:pStyle w:val="FootnoteText"/>
        <w:rPr>
          <w:szCs w:val="22"/>
        </w:rPr>
      </w:pPr>
      <w:r w:rsidRPr="00510A92">
        <w:rPr>
          <w:rStyle w:val="FootnoteReference"/>
          <w:szCs w:val="22"/>
        </w:rPr>
        <w:t>*</w:t>
      </w:r>
      <w:r w:rsidRPr="00510A92">
        <w:rPr>
          <w:szCs w:val="22"/>
        </w:rPr>
        <w:t xml:space="preserve"> </w:t>
      </w:r>
      <w:r w:rsidRPr="00510A92">
        <w:rPr>
          <w:szCs w:val="22"/>
        </w:rPr>
        <w:tab/>
        <w:t>Submitted on behalf of the Canadian Evaluation Group (CEG)</w:t>
      </w:r>
      <w:r>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E12F62">
    <w:pPr>
      <w:pStyle w:val="Header"/>
      <w:rPr>
        <w:lang w:val="en-US"/>
      </w:rPr>
    </w:pPr>
    <w:r>
      <w:rPr>
        <w:lang w:val="en-US"/>
      </w:rPr>
      <w:t>5D/738-E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6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75363"/>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95954"/>
    <w:rsid w:val="0080538C"/>
    <w:rsid w:val="00814E0A"/>
    <w:rsid w:val="00822581"/>
    <w:rsid w:val="008309DD"/>
    <w:rsid w:val="0083227A"/>
    <w:rsid w:val="00866900"/>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A1F60"/>
    <w:rsid w:val="00AD2345"/>
    <w:rsid w:val="00AF173A"/>
    <w:rsid w:val="00B066A4"/>
    <w:rsid w:val="00B07A13"/>
    <w:rsid w:val="00B4279B"/>
    <w:rsid w:val="00B45FC9"/>
    <w:rsid w:val="00B71098"/>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12F62"/>
    <w:rsid w:val="00E20BC8"/>
    <w:rsid w:val="00E27D7E"/>
    <w:rsid w:val="00E31124"/>
    <w:rsid w:val="00E42E13"/>
    <w:rsid w:val="00E56D5C"/>
    <w:rsid w:val="00E6257C"/>
    <w:rsid w:val="00E63C59"/>
    <w:rsid w:val="00F25662"/>
    <w:rsid w:val="00F4574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6882E"/>
  <w15:docId w15:val="{053D51BB-A15E-491E-A853-EA15CFE4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E20BC8"/>
    <w:rPr>
      <w:color w:val="0000FF" w:themeColor="hyperlink"/>
      <w:u w:val="single"/>
    </w:rPr>
  </w:style>
  <w:style w:type="table" w:styleId="GridTable2">
    <w:name w:val="Grid Table 2"/>
    <w:basedOn w:val="TableNormal"/>
    <w:uiPriority w:val="47"/>
    <w:rsid w:val="00E20BC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extChar">
    <w:name w:val="Table_text Char"/>
    <w:basedOn w:val="DefaultParagraphFont"/>
    <w:link w:val="Tabletext"/>
    <w:qFormat/>
    <w:rsid w:val="00E20BC8"/>
    <w:rPr>
      <w:rFonts w:ascii="Times New Roman" w:hAnsi="Times New Roman"/>
      <w:lang w:val="en-GB" w:eastAsia="en-US"/>
    </w:rPr>
  </w:style>
  <w:style w:type="character" w:customStyle="1" w:styleId="TableheadChar">
    <w:name w:val="Table_head Char"/>
    <w:basedOn w:val="DefaultParagraphFont"/>
    <w:link w:val="Tablehead"/>
    <w:qFormat/>
    <w:rsid w:val="00E20BC8"/>
    <w:rPr>
      <w:rFonts w:ascii="Times New Roman Bold" w:hAnsi="Times New Roman Bold" w:cs="Times New Roman Bold"/>
      <w:b/>
      <w:lang w:val="en-GB" w:eastAsia="en-US"/>
    </w:rPr>
  </w:style>
  <w:style w:type="character" w:customStyle="1" w:styleId="TableNoChar">
    <w:name w:val="Table_No Char"/>
    <w:basedOn w:val="DefaultParagraphFont"/>
    <w:link w:val="TableNo"/>
    <w:rsid w:val="00E20BC8"/>
    <w:rPr>
      <w:rFonts w:ascii="Times New Roman" w:hAnsi="Times New Roman"/>
      <w:caps/>
      <w:lang w:val="en-GB" w:eastAsia="en-US"/>
    </w:rPr>
  </w:style>
  <w:style w:type="character" w:customStyle="1" w:styleId="TabletitleChar">
    <w:name w:val="Table_title Char"/>
    <w:basedOn w:val="DefaultParagraphFont"/>
    <w:link w:val="Tabletitle"/>
    <w:rsid w:val="00E20BC8"/>
    <w:rPr>
      <w:rFonts w:ascii="Times New Roman Bold" w:hAnsi="Times New Roman Bold"/>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0BC8"/>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5-IMT.2020-C-0030" TargetMode="External"/><Relationship Id="rId13" Type="http://schemas.openxmlformats.org/officeDocument/2006/relationships/hyperlink" Target="https://www.itu.int/pub/R-REP-M.2412" TargetMode="External"/><Relationship Id="rId18" Type="http://schemas.openxmlformats.org/officeDocument/2006/relationships/hyperlink" Target="https://www.itu.int/md/meetingdoc.asp?lang=en&amp;parent=R15-IMT.2020-C-0030" TargetMode="External"/><Relationship Id="rId26" Type="http://schemas.openxmlformats.org/officeDocument/2006/relationships/hyperlink" Target="https://extranet.itu.int/itu-r/imt2020-evalgroup/Shared%20Documents/Question-for-DECT-01-22-2021%20revSA_VS_2020-01-25.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tu.int/md/meetingdoc.asp?lang=en&amp;parent=R15-IMT.2020-C-0030" TargetMode="External"/><Relationship Id="rId34" Type="http://schemas.openxmlformats.org/officeDocument/2006/relationships/image" Target="media/image4.emf"/><Relationship Id="rId7" Type="http://schemas.openxmlformats.org/officeDocument/2006/relationships/hyperlink" Target="https://www.itu.int/pub/R-QUE-SG05.229" TargetMode="External"/><Relationship Id="rId12" Type="http://schemas.openxmlformats.org/officeDocument/2006/relationships/hyperlink" Target="https://www.itu.int/md/meetingdoc.asp?lang=en&amp;parent=R19-WP5D-C-0545" TargetMode="External"/><Relationship Id="rId17" Type="http://schemas.openxmlformats.org/officeDocument/2006/relationships/hyperlink" Target="https://ccdb.computecanada.ca/security/login" TargetMode="External"/><Relationship Id="rId25" Type="http://schemas.openxmlformats.org/officeDocument/2006/relationships/image" Target="media/image3.svg"/><Relationship Id="rId33" Type="http://schemas.openxmlformats.org/officeDocument/2006/relationships/hyperlink" Target="https://extranet.itu.int/itu-r/imt2020-evalgroup/Shared%20Documents/Nufront_response_to_CEG_2021_0421.pdf"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itu.int/md/R19-WP5D-C-0607/en" TargetMode="External"/><Relationship Id="rId20" Type="http://schemas.openxmlformats.org/officeDocument/2006/relationships/hyperlink" Target="https://www.itu.int/md/meetingdoc.asp?lang=en&amp;parent=R15-IMT.2020-C-0030" TargetMode="External"/><Relationship Id="rId29" Type="http://schemas.openxmlformats.org/officeDocument/2006/relationships/hyperlink" Target="https://extranet.itu.int/itu-r/imt2020-evalgroup/Shared%20Documents/CEG_Q&amp;A_DECT-2020_proponent_25Mar21.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md/meetingdoc.asp?lang=en&amp;parent=R15-IMT.2020-C-0030" TargetMode="External"/><Relationship Id="rId24" Type="http://schemas.openxmlformats.org/officeDocument/2006/relationships/image" Target="media/image2.png"/><Relationship Id="rId32" Type="http://schemas.openxmlformats.org/officeDocument/2006/relationships/hyperlink" Target="https://extranet.itu.int/itu-r/imt2020-evalgroup/Shared%20Documents/QA-Threads-with-NuFront-Compiled-as-of-2021-04-21.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pub/R-REP-M.2412" TargetMode="External"/><Relationship Id="rId23" Type="http://schemas.openxmlformats.org/officeDocument/2006/relationships/hyperlink" Target="https://extranet.itu.int/itu-r/imt2020-evalgroup/_layouts/15/WopiFrame.aspx?sourcedoc=%7B5B3052D4-85DE-4AA0-9D64-47FAC68D5F04%7D&amp;file=DECT(20)000369_TC-DECT_response_to_CEG__questions_.pptx" TargetMode="External"/><Relationship Id="rId28" Type="http://schemas.openxmlformats.org/officeDocument/2006/relationships/hyperlink" Target="https://extranet.itu.int/itu-r/imt2020-evalgroup/Shared%20Documents/MSG(21)000002_Liaison_Statement_EVAL_WG_to_other_IEG.pdf" TargetMode="External"/><Relationship Id="rId36" Type="http://schemas.openxmlformats.org/officeDocument/2006/relationships/header" Target="header1.xml"/><Relationship Id="rId10" Type="http://schemas.openxmlformats.org/officeDocument/2006/relationships/hyperlink" Target="https://www.itu.int/md/R15-IMT.2020-C-0054/en" TargetMode="External"/><Relationship Id="rId19" Type="http://schemas.openxmlformats.org/officeDocument/2006/relationships/hyperlink" Target="https://www.itu.int/md/meetingdoc.asp?lang=en&amp;parent=R15-IMT.2020-C-0030" TargetMode="External"/><Relationship Id="rId31" Type="http://schemas.openxmlformats.org/officeDocument/2006/relationships/hyperlink" Target="https://extranet.itu.int/itu-r/imt2020-evalgroup/Shared%20Documents/QA-Threads-with-NuFront-Compiled-as-of-2021-04-08.pdf" TargetMode="External"/><Relationship Id="rId4" Type="http://schemas.openxmlformats.org/officeDocument/2006/relationships/footnotes" Target="footnotes.xml"/><Relationship Id="rId9" Type="http://schemas.openxmlformats.org/officeDocument/2006/relationships/hyperlink" Target="https://www.itu.int/md/R19-WP5D-C-0624" TargetMode="External"/><Relationship Id="rId14" Type="http://schemas.openxmlformats.org/officeDocument/2006/relationships/hyperlink" Target="https://www.itu.int/md/R15-IMT.2020-C-0054/en" TargetMode="External"/><Relationship Id="rId22" Type="http://schemas.openxmlformats.org/officeDocument/2006/relationships/hyperlink" Target="https://www.itu.int/md/meetingdoc.asp?lang=en&amp;parent=R15-IMT.2020-C-0030" TargetMode="External"/><Relationship Id="rId27" Type="http://schemas.openxmlformats.org/officeDocument/2006/relationships/hyperlink" Target="https://extranet.itu.int/itu-r/imt2020-evalgroup/Shared%20Documents/Answers_to_Question-for-DECT-01-22-2021%20revSA_VS_2020-01-25.docx" TargetMode="External"/><Relationship Id="rId30" Type="http://schemas.openxmlformats.org/officeDocument/2006/relationships/hyperlink" Target="https://extranet.itu.int/itu-r/imt2020-evalgroup/_layouts/15/WopiFrame2.aspx?sourcedoc=%7B04C19DA5-3E61-4782-B5C8-9035BBCCB568%7D&amp;file=Response_to_CEG_QA_DECT-2020_proponent_25Mar21.docx" TargetMode="External"/><Relationship Id="rId35"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Fernandez Jimenez, Virginia</cp:lastModifiedBy>
  <cp:revision>1</cp:revision>
  <cp:lastPrinted>2008-02-21T14:04:00Z</cp:lastPrinted>
  <dcterms:created xsi:type="dcterms:W3CDTF">2021-11-09T12:32:00Z</dcterms:created>
  <dcterms:modified xsi:type="dcterms:W3CDTF">2021-11-09T12:32:00Z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