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8C134E" w:rsidP="008C134E">
            <w:pPr>
              <w:shd w:val="solid" w:color="FFFFFF" w:fill="FFFFFF"/>
              <w:spacing w:before="0" w:line="240" w:lineRule="atLeast"/>
            </w:pPr>
            <w:bookmarkStart w:id="0" w:name="ditulogo"/>
            <w:bookmarkEnd w:id="0"/>
            <w:r>
              <w:rPr>
                <w:noProof/>
                <w:lang w:val="en-US"/>
              </w:rPr>
              <w:drawing>
                <wp:inline distT="0" distB="0" distL="0" distR="0" wp14:anchorId="3D3264A8" wp14:editId="514C4A3C">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069D4" w:rsidRDefault="008C134E" w:rsidP="008C134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 xml:space="preserve"> 13 August 2021</w:t>
            </w:r>
          </w:p>
          <w:p w:rsidR="008C134E" w:rsidRPr="00982084" w:rsidRDefault="00CF3062" w:rsidP="008C134E">
            <w:pPr>
              <w:shd w:val="solid" w:color="FFFFFF" w:fill="FFFFFF"/>
              <w:tabs>
                <w:tab w:val="clear" w:pos="1134"/>
                <w:tab w:val="clear" w:pos="1871"/>
                <w:tab w:val="clear" w:pos="2268"/>
              </w:tabs>
              <w:spacing w:before="0" w:after="240"/>
              <w:ind w:left="1134" w:hanging="1134"/>
              <w:rPr>
                <w:rFonts w:ascii="Verdana" w:hAnsi="Verdana"/>
                <w:sz w:val="20"/>
              </w:rPr>
            </w:pPr>
            <w:r w:rsidRPr="00CF3062">
              <w:rPr>
                <w:rFonts w:ascii="Verdana" w:hAnsi="Verdana"/>
                <w:bCs/>
                <w:sz w:val="20"/>
                <w:lang w:val="en-US"/>
              </w:rPr>
              <w:t>Source:</w:t>
            </w:r>
            <w:r>
              <w:rPr>
                <w:rFonts w:ascii="Verdana" w:hAnsi="Verdana"/>
                <w:b/>
                <w:sz w:val="20"/>
                <w:lang w:val="en-US"/>
              </w:rPr>
              <w:t xml:space="preserve"> </w:t>
            </w:r>
            <w:r w:rsidR="008C134E">
              <w:rPr>
                <w:rFonts w:ascii="Verdana" w:hAnsi="Verdana"/>
                <w:sz w:val="20"/>
              </w:rPr>
              <w:tab/>
            </w:r>
            <w:r w:rsidR="008C134E" w:rsidRPr="008C134E">
              <w:rPr>
                <w:rFonts w:ascii="Verdana" w:hAnsi="Verdana"/>
                <w:bCs/>
                <w:sz w:val="20"/>
                <w:lang w:val="en-US"/>
              </w:rPr>
              <w:t>Wireless World Research Forum</w:t>
            </w:r>
          </w:p>
        </w:tc>
        <w:tc>
          <w:tcPr>
            <w:tcW w:w="3402" w:type="dxa"/>
          </w:tcPr>
          <w:p w:rsidR="000069D4" w:rsidRPr="008C134E" w:rsidRDefault="008C134E"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5D/736-E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8C134E" w:rsidRDefault="008C134E" w:rsidP="00A5173C">
            <w:pPr>
              <w:shd w:val="solid" w:color="FFFFFF" w:fill="FFFFFF"/>
              <w:spacing w:before="0" w:line="240" w:lineRule="atLeast"/>
              <w:rPr>
                <w:rFonts w:ascii="Verdana" w:hAnsi="Verdana"/>
                <w:sz w:val="20"/>
                <w:lang w:eastAsia="zh-CN"/>
              </w:rPr>
            </w:pPr>
            <w:r>
              <w:rPr>
                <w:rFonts w:ascii="Verdana" w:hAnsi="Verdana"/>
                <w:b/>
                <w:sz w:val="20"/>
                <w:lang w:eastAsia="zh-CN"/>
              </w:rPr>
              <w:t>13 August 2021</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8C134E"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r>
              <w:rPr>
                <w:rFonts w:ascii="Verdana" w:eastAsia="SimSun" w:hAnsi="Verdana"/>
                <w:b/>
                <w:sz w:val="20"/>
                <w:lang w:eastAsia="zh-CN"/>
              </w:rPr>
              <w:br/>
            </w:r>
          </w:p>
          <w:p w:rsidR="008C134E" w:rsidRPr="008C134E" w:rsidRDefault="008C134E" w:rsidP="00A5173C">
            <w:pPr>
              <w:shd w:val="solid" w:color="FFFFFF" w:fill="FFFFFF"/>
              <w:spacing w:before="0" w:line="240" w:lineRule="atLeast"/>
              <w:rPr>
                <w:rFonts w:ascii="Verdana" w:eastAsia="SimSun" w:hAnsi="Verdana"/>
                <w:sz w:val="20"/>
                <w:lang w:eastAsia="zh-CN"/>
              </w:rPr>
            </w:pPr>
            <w:r w:rsidRPr="00C1787A">
              <w:rPr>
                <w:rFonts w:ascii="Verdana" w:eastAsia="SimSun" w:hAnsi="Verdana"/>
                <w:b/>
                <w:sz w:val="20"/>
                <w:lang w:val="en-US" w:eastAsia="zh-CN"/>
              </w:rPr>
              <w:t>TECHNOLOGY ASPECTS</w:t>
            </w:r>
          </w:p>
        </w:tc>
      </w:tr>
      <w:tr w:rsidR="008C134E" w:rsidTr="00D046A7">
        <w:trPr>
          <w:cantSplit/>
        </w:trPr>
        <w:tc>
          <w:tcPr>
            <w:tcW w:w="9889" w:type="dxa"/>
            <w:gridSpan w:val="2"/>
          </w:tcPr>
          <w:p w:rsidR="008C134E" w:rsidRDefault="008C134E" w:rsidP="008C134E">
            <w:pPr>
              <w:pStyle w:val="Source"/>
              <w:rPr>
                <w:lang w:eastAsia="zh-CN"/>
              </w:rPr>
            </w:pPr>
            <w:bookmarkStart w:id="5" w:name="dsource" w:colFirst="0" w:colLast="0"/>
            <w:bookmarkEnd w:id="4"/>
            <w:r w:rsidRPr="00C1787A">
              <w:rPr>
                <w:lang w:val="en-US"/>
              </w:rPr>
              <w:t>Wireless World Research Forum</w:t>
            </w:r>
          </w:p>
        </w:tc>
      </w:tr>
      <w:tr w:rsidR="008C134E" w:rsidTr="00D046A7">
        <w:trPr>
          <w:cantSplit/>
        </w:trPr>
        <w:tc>
          <w:tcPr>
            <w:tcW w:w="9889" w:type="dxa"/>
            <w:gridSpan w:val="2"/>
          </w:tcPr>
          <w:p w:rsidR="008C134E" w:rsidRDefault="008C134E" w:rsidP="008C134E">
            <w:pPr>
              <w:pStyle w:val="Title1"/>
              <w:rPr>
                <w:lang w:eastAsia="zh-CN"/>
              </w:rPr>
            </w:pPr>
            <w:bookmarkStart w:id="6" w:name="drec" w:colFirst="0" w:colLast="0"/>
            <w:bookmarkEnd w:id="5"/>
            <w:r>
              <w:rPr>
                <w:lang w:val="en-CA"/>
              </w:rPr>
              <w:t xml:space="preserve">UPDATED FINAL </w:t>
            </w:r>
            <w:r w:rsidRPr="002B7498">
              <w:rPr>
                <w:lang w:val="en-CA"/>
              </w:rPr>
              <w:t>Evaluation R</w:t>
            </w:r>
            <w:r>
              <w:rPr>
                <w:lang w:val="en-CA"/>
              </w:rPr>
              <w:t>EPORT ON</w:t>
            </w:r>
            <w:r>
              <w:t xml:space="preserve"> THE </w:t>
            </w:r>
            <w:r>
              <w:rPr>
                <w:lang w:val="en-CA"/>
              </w:rPr>
              <w:t>CANDIDATE TECHNOLOGY SUBMISSION</w:t>
            </w:r>
            <w:r w:rsidRPr="00D3127C">
              <w:rPr>
                <w:lang w:val="en-CA"/>
              </w:rPr>
              <w:t xml:space="preserve"> FOR IMT-2020</w:t>
            </w:r>
            <w:r>
              <w:rPr>
                <w:lang w:val="en-CA"/>
              </w:rPr>
              <w:t xml:space="preserve"> “</w:t>
            </w:r>
            <w:r w:rsidRPr="00A23A22">
              <w:rPr>
                <w:lang w:val="en-US"/>
              </w:rPr>
              <w:t xml:space="preserve">ETSI (TC DECT) and DECT Forum Proponent” </w:t>
            </w:r>
            <w:r>
              <w:rPr>
                <w:lang w:val="en-US"/>
              </w:rPr>
              <w:t>AS PART OF the</w:t>
            </w:r>
            <w:r w:rsidRPr="00FF3BCA">
              <w:rPr>
                <w:lang w:val="en-US"/>
              </w:rPr>
              <w:t xml:space="preserve"> </w:t>
            </w:r>
            <w:r w:rsidRPr="00A23A22">
              <w:rPr>
                <w:lang w:val="en-US"/>
              </w:rPr>
              <w:t>re-engage</w:t>
            </w:r>
            <w:r>
              <w:rPr>
                <w:lang w:val="en-US"/>
              </w:rPr>
              <w:t>ment</w:t>
            </w:r>
            <w:r w:rsidRPr="00A23A22">
              <w:rPr>
                <w:lang w:val="en-US"/>
              </w:rPr>
              <w:t xml:space="preserve"> in Step 4</w:t>
            </w:r>
            <w:r>
              <w:rPr>
                <w:lang w:val="en-US"/>
              </w:rPr>
              <w:t xml:space="preserve"> EVALUATION</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8C134E" w:rsidRDefault="008C134E" w:rsidP="008C134E">
      <w:pPr>
        <w:snapToGrid w:val="0"/>
        <w:spacing w:line="276" w:lineRule="auto"/>
        <w:jc w:val="both"/>
        <w:rPr>
          <w:lang w:val="en-US"/>
        </w:rPr>
      </w:pPr>
      <w:bookmarkStart w:id="8" w:name="dbreak"/>
      <w:bookmarkEnd w:id="7"/>
      <w:bookmarkEnd w:id="8"/>
      <w:r w:rsidRPr="00103A55">
        <w:rPr>
          <w:lang w:val="en-US"/>
        </w:rPr>
        <w:t>This contribution</w:t>
      </w:r>
      <w:r>
        <w:rPr>
          <w:lang w:val="en-US"/>
        </w:rPr>
        <w:t xml:space="preserve"> to the </w:t>
      </w:r>
      <w:r w:rsidRPr="00C2095B">
        <w:rPr>
          <w:lang w:eastAsia="zh-CN"/>
        </w:rPr>
        <w:t xml:space="preserve">to the 23-27 August 2021 Technology Aspects Working Group (Option 2) virtual “interim meeting” </w:t>
      </w:r>
      <w:r w:rsidRPr="00103A55">
        <w:rPr>
          <w:lang w:val="en-US"/>
        </w:rPr>
        <w:t>contains the</w:t>
      </w:r>
      <w:r>
        <w:rPr>
          <w:lang w:val="en-US"/>
        </w:rPr>
        <w:t xml:space="preserve"> updated final</w:t>
      </w:r>
      <w:r w:rsidRPr="00103A55">
        <w:rPr>
          <w:lang w:val="en-US"/>
        </w:rPr>
        <w:t xml:space="preserve"> evaluation report from the Independent Evaluation Group Wireless World Research Forum (WWRF) for ETSI (TC DECT), DECT FORUM, IMT-2020/17 Submission</w:t>
      </w:r>
      <w:r>
        <w:rPr>
          <w:lang w:val="en-US"/>
        </w:rPr>
        <w:t xml:space="preserve">, and in particular </w:t>
      </w:r>
      <w:r w:rsidRPr="00C70177">
        <w:rPr>
          <w:lang w:val="en-US"/>
        </w:rPr>
        <w:t>the DECT-2020 NR RIT component</w:t>
      </w:r>
      <w:r w:rsidRPr="00103A55">
        <w:rPr>
          <w:lang w:val="en-US"/>
        </w:rPr>
        <w:t xml:space="preserve">. </w:t>
      </w:r>
    </w:p>
    <w:p w:rsidR="008C134E" w:rsidRPr="00103A55" w:rsidRDefault="008C134E" w:rsidP="008C134E">
      <w:pPr>
        <w:snapToGrid w:val="0"/>
        <w:spacing w:line="276" w:lineRule="auto"/>
        <w:jc w:val="both"/>
        <w:rPr>
          <w:lang w:val="en-US"/>
        </w:rPr>
      </w:pPr>
      <w:r w:rsidRPr="00103A55">
        <w:rPr>
          <w:lang w:val="en-US"/>
        </w:rPr>
        <w:t>Following the finalization of Step 7 in the IMT-2020 Process, ETSI (TC DECT) and DECT Forum technology submission evaluation was granted an extension in the IMT-2020 Process, for re-engagement and re-evaluation.</w:t>
      </w:r>
      <w:r w:rsidRPr="00487FA4">
        <w:rPr>
          <w:lang w:val="en-US"/>
        </w:rPr>
        <w:t xml:space="preserve"> </w:t>
      </w:r>
      <w:r w:rsidRPr="00103A55">
        <w:rPr>
          <w:lang w:val="en-US"/>
        </w:rPr>
        <w:t>The evaluation is based on the characteristics defined in ITU-R Reports M.2410-0, M.2411-0 and M.2412-0 using a methodology described in Report ITU-R M.2412-0.</w:t>
      </w:r>
      <w:r w:rsidRPr="00487FA4">
        <w:rPr>
          <w:lang w:val="en-US"/>
        </w:rPr>
        <w:t xml:space="preserve"> </w:t>
      </w:r>
      <w:r>
        <w:rPr>
          <w:lang w:val="en-US"/>
        </w:rPr>
        <w:t xml:space="preserve">The report </w:t>
      </w:r>
      <w:r w:rsidRPr="00103A55">
        <w:rPr>
          <w:lang w:val="en-US"/>
        </w:rPr>
        <w:t xml:space="preserve">consists of 3 Parts and </w:t>
      </w:r>
      <w:r>
        <w:rPr>
          <w:lang w:val="en-US"/>
        </w:rPr>
        <w:t>a series of</w:t>
      </w:r>
      <w:r w:rsidRPr="00103A55">
        <w:rPr>
          <w:lang w:val="en-US"/>
        </w:rPr>
        <w:t xml:space="preserve"> Annex</w:t>
      </w:r>
      <w:r>
        <w:rPr>
          <w:lang w:val="en-US"/>
        </w:rPr>
        <w:t>es</w:t>
      </w:r>
      <w:r w:rsidRPr="00103A55">
        <w:rPr>
          <w:lang w:val="en-US"/>
        </w:rPr>
        <w:t xml:space="preserve"> according to the proposed structure by ITU</w:t>
      </w:r>
      <w:r w:rsidRPr="00721D6B">
        <w:rPr>
          <w:lang w:val="en-US"/>
        </w:rPr>
        <w:t>:</w:t>
      </w:r>
    </w:p>
    <w:p w:rsidR="008C134E" w:rsidRPr="00836D52" w:rsidRDefault="00836D52" w:rsidP="00836D52">
      <w:pPr>
        <w:pStyle w:val="enumlev1"/>
      </w:pPr>
      <w:r>
        <w:t>•</w:t>
      </w:r>
      <w:r>
        <w:tab/>
      </w:r>
      <w:r w:rsidR="008C134E" w:rsidRPr="00836D52">
        <w:t>Part I: Administrative Aspects of the WWRF</w:t>
      </w:r>
    </w:p>
    <w:p w:rsidR="008C134E" w:rsidRPr="00836D52" w:rsidRDefault="00836D52" w:rsidP="00836D52">
      <w:pPr>
        <w:pStyle w:val="enumlev1"/>
      </w:pPr>
      <w:r>
        <w:t>•</w:t>
      </w:r>
      <w:r>
        <w:tab/>
      </w:r>
      <w:r w:rsidR="008C134E" w:rsidRPr="00836D52">
        <w:t>Part II: Technical Aspects of the work of WWRF</w:t>
      </w:r>
    </w:p>
    <w:p w:rsidR="008C134E" w:rsidRPr="00836D52" w:rsidRDefault="00836D52" w:rsidP="00836D52">
      <w:pPr>
        <w:pStyle w:val="enumlev1"/>
      </w:pPr>
      <w:r>
        <w:t>•</w:t>
      </w:r>
      <w:r>
        <w:tab/>
      </w:r>
      <w:r w:rsidR="008C134E" w:rsidRPr="00836D52">
        <w:t>Part III: Conclusions</w:t>
      </w:r>
    </w:p>
    <w:p w:rsidR="008C134E" w:rsidRPr="00836D52" w:rsidRDefault="00836D52" w:rsidP="00836D52">
      <w:pPr>
        <w:pStyle w:val="enumlev1"/>
      </w:pPr>
      <w:r>
        <w:t>•</w:t>
      </w:r>
      <w:r>
        <w:tab/>
      </w:r>
      <w:r w:rsidR="008C134E" w:rsidRPr="00836D52">
        <w:t>Annex I: Additional IMT-2020 evaluation details for User-Plane Latency</w:t>
      </w:r>
    </w:p>
    <w:p w:rsidR="008C134E" w:rsidRPr="00836D52" w:rsidRDefault="00836D52" w:rsidP="00836D52">
      <w:pPr>
        <w:pStyle w:val="enumlev1"/>
      </w:pPr>
      <w:r>
        <w:t>•</w:t>
      </w:r>
      <w:r>
        <w:tab/>
      </w:r>
      <w:r w:rsidR="008C134E" w:rsidRPr="00836D52">
        <w:t>Annex II: Additional IMT-2020 evaluation details for Control-Plane Latency</w:t>
      </w:r>
    </w:p>
    <w:p w:rsidR="008C134E" w:rsidRDefault="00836D52" w:rsidP="00836D52">
      <w:pPr>
        <w:pStyle w:val="enumlev1"/>
        <w:rPr>
          <w:lang w:val="en-US"/>
        </w:rPr>
      </w:pPr>
      <w:r>
        <w:t>•</w:t>
      </w:r>
      <w:r>
        <w:tab/>
      </w:r>
      <w:r w:rsidR="008C134E" w:rsidRPr="00836D52">
        <w:t>Annex III: Additional</w:t>
      </w:r>
      <w:r w:rsidR="008C134E" w:rsidRPr="00721D6B">
        <w:rPr>
          <w:lang w:val="en-US" w:eastAsia="zh-CN"/>
        </w:rPr>
        <w:t xml:space="preserve"> IMT-2020 evaluation details</w:t>
      </w:r>
      <w:r w:rsidR="008C134E">
        <w:rPr>
          <w:lang w:val="en-US" w:eastAsia="zh-CN"/>
        </w:rPr>
        <w:t xml:space="preserve"> for Simulation-Based KPIs</w:t>
      </w:r>
    </w:p>
    <w:p w:rsidR="008C134E" w:rsidRPr="008C134E" w:rsidRDefault="008C134E" w:rsidP="008C134E">
      <w:pPr>
        <w:pStyle w:val="Normalaftertitle"/>
        <w:rPr>
          <w:lang w:eastAsia="zh-CN"/>
        </w:rPr>
      </w:pPr>
      <w:r w:rsidRPr="00EA79EF">
        <w:rPr>
          <w:u w:val="single"/>
          <w:lang w:val="en-US" w:eastAsia="zh-CN"/>
        </w:rPr>
        <w:t>Note</w:t>
      </w:r>
      <w:r w:rsidRPr="00EA79EF">
        <w:rPr>
          <w:lang w:val="en-US" w:eastAsia="zh-CN"/>
        </w:rPr>
        <w:t>: Compared to the report submitted to WP</w:t>
      </w:r>
      <w:r w:rsidR="00531545">
        <w:rPr>
          <w:lang w:val="en-US" w:eastAsia="zh-CN"/>
        </w:rPr>
        <w:t> </w:t>
      </w:r>
      <w:r w:rsidRPr="00EA79EF">
        <w:rPr>
          <w:lang w:val="en-US" w:eastAsia="zh-CN"/>
        </w:rPr>
        <w:t>5D #38 (</w:t>
      </w:r>
      <w:hyperlink r:id="rId8" w:history="1">
        <w:r w:rsidRPr="00753464">
          <w:rPr>
            <w:rStyle w:val="Hyperlink"/>
            <w:lang w:val="en-US" w:eastAsia="zh-CN"/>
          </w:rPr>
          <w:t>5D/658</w:t>
        </w:r>
      </w:hyperlink>
      <w:r w:rsidRPr="00EA79EF">
        <w:rPr>
          <w:lang w:val="en-US" w:eastAsia="zh-CN"/>
        </w:rPr>
        <w:t xml:space="preserve">-E), the current document provides updated results on the Connection Density KPI only (refer to Sections II-E-1-3, II-E-2-5 and Annex III). Updated text in the report is flagged up in </w:t>
      </w:r>
      <w:r>
        <w:rPr>
          <w:color w:val="00B0F0"/>
          <w:lang w:val="en-US" w:eastAsia="zh-CN"/>
        </w:rPr>
        <w:t>blue.</w:t>
      </w:r>
    </w:p>
    <w:p w:rsidR="008C134E" w:rsidRPr="008C134E" w:rsidRDefault="008C134E">
      <w:pPr>
        <w:tabs>
          <w:tab w:val="clear" w:pos="1134"/>
          <w:tab w:val="clear" w:pos="1871"/>
          <w:tab w:val="clear" w:pos="2268"/>
        </w:tabs>
        <w:overflowPunct/>
        <w:autoSpaceDE/>
        <w:autoSpaceDN/>
        <w:adjustRightInd/>
        <w:spacing w:before="0"/>
        <w:textAlignment w:val="auto"/>
        <w:rPr>
          <w:lang w:eastAsia="zh-CN"/>
        </w:rPr>
      </w:pPr>
      <w:r w:rsidRPr="008C134E">
        <w:rPr>
          <w:lang w:eastAsia="zh-CN"/>
        </w:rPr>
        <w:br w:type="page"/>
      </w:r>
    </w:p>
    <w:p w:rsidR="008C134E" w:rsidRPr="00C1787A" w:rsidRDefault="008C134E" w:rsidP="00ED7CC4">
      <w:pPr>
        <w:pStyle w:val="Heading1"/>
        <w:jc w:val="center"/>
        <w:rPr>
          <w:rFonts w:eastAsia="MS Mincho"/>
          <w:lang w:val="en-US"/>
        </w:rPr>
      </w:pPr>
      <w:bookmarkStart w:id="9" w:name="_Hlk32274431"/>
      <w:bookmarkEnd w:id="9"/>
      <w:r w:rsidRPr="00C1787A">
        <w:rPr>
          <w:rFonts w:eastAsia="MS Mincho"/>
          <w:lang w:val="en-US"/>
        </w:rPr>
        <w:t>Part I: Administrative aspects of the Independent Evaluation Group</w:t>
      </w:r>
    </w:p>
    <w:p w:rsidR="008C134E" w:rsidRPr="00C1787A" w:rsidRDefault="008C134E" w:rsidP="00ED7CC4">
      <w:pPr>
        <w:pStyle w:val="Heading1"/>
        <w:rPr>
          <w:rFonts w:eastAsia="MS Mincho"/>
          <w:lang w:val="en-US"/>
        </w:rPr>
      </w:pPr>
      <w:r w:rsidRPr="00C1787A">
        <w:rPr>
          <w:rFonts w:eastAsia="MS Mincho"/>
          <w:lang w:val="en-US"/>
        </w:rPr>
        <w:t>I-1</w:t>
      </w:r>
      <w:r w:rsidRPr="00C1787A">
        <w:rPr>
          <w:rFonts w:eastAsia="MS Mincho"/>
          <w:lang w:val="en-US"/>
        </w:rPr>
        <w:tab/>
        <w:t>Name of the Independent Evaluation Group</w:t>
      </w:r>
    </w:p>
    <w:p w:rsidR="008C134E" w:rsidRPr="00C1787A" w:rsidRDefault="008C134E" w:rsidP="00753464">
      <w:pPr>
        <w:keepNext/>
        <w:ind w:right="96"/>
        <w:rPr>
          <w:rFonts w:eastAsia="MS Mincho"/>
          <w:szCs w:val="24"/>
          <w:lang w:val="en-US"/>
        </w:rPr>
      </w:pPr>
      <w:r w:rsidRPr="00C1787A">
        <w:rPr>
          <w:rFonts w:eastAsia="MS Mincho"/>
          <w:szCs w:val="24"/>
          <w:lang w:val="en-US"/>
        </w:rPr>
        <w:t>Wireless World Research Forum (WWRF)</w:t>
      </w:r>
    </w:p>
    <w:p w:rsidR="008C134E" w:rsidRPr="00C1787A" w:rsidRDefault="008C134E" w:rsidP="00FD140E">
      <w:pPr>
        <w:pStyle w:val="Heading1"/>
        <w:rPr>
          <w:rFonts w:eastAsia="MS Mincho"/>
          <w:lang w:val="en-US"/>
        </w:rPr>
      </w:pPr>
      <w:r w:rsidRPr="00C1787A">
        <w:rPr>
          <w:rFonts w:eastAsia="MS Mincho"/>
          <w:lang w:val="en-US"/>
        </w:rPr>
        <w:t>I-2</w:t>
      </w:r>
      <w:r w:rsidRPr="00C1787A">
        <w:rPr>
          <w:rFonts w:eastAsia="MS Mincho"/>
          <w:lang w:val="en-US"/>
        </w:rPr>
        <w:tab/>
        <w:t>Introduction and background of the Independent Evaluation Group</w:t>
      </w:r>
    </w:p>
    <w:p w:rsidR="008C134E" w:rsidRPr="00952FEB" w:rsidRDefault="008C134E" w:rsidP="00736D4A">
      <w:pPr>
        <w:spacing w:line="276" w:lineRule="auto"/>
        <w:jc w:val="both"/>
        <w:rPr>
          <w:lang w:val="en-US"/>
        </w:rPr>
      </w:pPr>
      <w:r w:rsidRPr="00952FEB">
        <w:rPr>
          <w:lang w:val="en-US"/>
        </w:rPr>
        <w:t xml:space="preserve">WWRF’s goal is to encourage research that will achieve unbounded communications to address key societal challenges for the future. The term “Wireless World” is used in this broad sense to address the support of innovation and business, social inclusion and infrastructural challenges. This will be achieved by creating a range of new technological capabilities from wide-area networks to short-range communications, machine-to-machine communications, sensor networks, wireless broadband access technologies and optical networking, along with increasing intelligence and virtualization in networks. This will support a dependable future Internet of people, knowledge and things and the development of a service universe. WWRF is the unique forum where the wireless community can tackle the key research challenges. By searching out the issues, flagging them up to opinion leaders, and then working with liaison partners to deal with them, WWRF drives the development of the Wireless World. WWRF organizes two major events each year combining inputs from industry and academic experts, the exchange of ideas and the evolution of the research agenda and technology roadmaps. WWRF has a strong publication programme, working with partners such as IEEE and Wiley, </w:t>
      </w:r>
      <w:r>
        <w:rPr>
          <w:lang w:val="en-US"/>
        </w:rPr>
        <w:t xml:space="preserve">and </w:t>
      </w:r>
      <w:r w:rsidRPr="00952FEB">
        <w:rPr>
          <w:lang w:val="en-US"/>
        </w:rPr>
        <w:t>makes the key messages and results available to the wireless research sector. To ease standardization, WWRF disseminates and harmonizes views, and together with our major liaison partners, we initiate collaborative research, and develop the global vision.</w:t>
      </w:r>
    </w:p>
    <w:p w:rsidR="008C134E" w:rsidRPr="00952FEB" w:rsidRDefault="008C134E" w:rsidP="00736D4A">
      <w:pPr>
        <w:spacing w:line="276" w:lineRule="auto"/>
        <w:jc w:val="both"/>
        <w:rPr>
          <w:lang w:val="en-US"/>
        </w:rPr>
      </w:pPr>
      <w:r w:rsidRPr="00952FEB">
        <w:rPr>
          <w:lang w:val="en-US"/>
        </w:rPr>
        <w:t>Over the last ten years, WWRF has championed several activities focused on the wireless evolution to and beyond 5G, including workshops and special sessions, presentations, white papers and journal special issues.</w:t>
      </w:r>
    </w:p>
    <w:p w:rsidR="008C134E" w:rsidRDefault="008C134E" w:rsidP="00736D4A">
      <w:pPr>
        <w:spacing w:line="276" w:lineRule="auto"/>
      </w:pPr>
      <w:r>
        <w:rPr>
          <w:rFonts w:eastAsia="Calibri"/>
          <w:b/>
          <w:bCs/>
          <w:color w:val="000000" w:themeColor="text1"/>
        </w:rPr>
        <w:t>WWRF ITU engagement</w:t>
      </w:r>
    </w:p>
    <w:p w:rsidR="008C134E" w:rsidRPr="00952FEB" w:rsidRDefault="008C134E" w:rsidP="00736D4A">
      <w:pPr>
        <w:spacing w:line="276" w:lineRule="auto"/>
        <w:jc w:val="both"/>
        <w:rPr>
          <w:lang w:val="en-US"/>
        </w:rPr>
      </w:pPr>
      <w:r w:rsidRPr="00952FEB">
        <w:rPr>
          <w:lang w:val="en-US"/>
        </w:rPr>
        <w:t>WWRF has been very supportive of the ITU’s evaluation process for IMT-2020 and participates as an independent evaluation group (IEG).</w:t>
      </w:r>
    </w:p>
    <w:p w:rsidR="008C134E" w:rsidRPr="00952FEB" w:rsidRDefault="008C134E" w:rsidP="00736D4A">
      <w:pPr>
        <w:spacing w:line="276" w:lineRule="auto"/>
        <w:jc w:val="both"/>
      </w:pPr>
      <w:r w:rsidRPr="00952FEB">
        <w:t>WWRF continues to work with ITU in a number of areas. WWRF was pleased to be invited, along with the other Independent Evaluation Groups (IEGs), to attend WP</w:t>
      </w:r>
      <w:r w:rsidR="004F35F4">
        <w:t> </w:t>
      </w:r>
      <w:r w:rsidRPr="00952FEB">
        <w:t xml:space="preserve">5D #36e as a guest, to discuss the process for continuing evaluation of the remaining candidate IMT-2020 technologies. </w:t>
      </w:r>
    </w:p>
    <w:p w:rsidR="008C134E" w:rsidRPr="00B67670" w:rsidRDefault="008C134E" w:rsidP="004F35F4">
      <w:pPr>
        <w:spacing w:line="276" w:lineRule="auto"/>
        <w:jc w:val="both"/>
        <w:rPr>
          <w:highlight w:val="yellow"/>
        </w:rPr>
      </w:pPr>
      <w:r w:rsidRPr="00952FEB">
        <w:t xml:space="preserve">WWRF </w:t>
      </w:r>
      <w:r>
        <w:t>was</w:t>
      </w:r>
      <w:r w:rsidRPr="00952FEB">
        <w:t xml:space="preserve"> delighted to be accepted as a Sector Member of ITU in December 2020. In its capacity as ITU member WWRF is planning a number of direct contributions, including its participation as </w:t>
      </w:r>
      <w:r>
        <w:t xml:space="preserve">an </w:t>
      </w:r>
      <w:r w:rsidRPr="00952FEB">
        <w:t>IEG in the IMT</w:t>
      </w:r>
      <w:r>
        <w:t>-</w:t>
      </w:r>
      <w:r w:rsidRPr="00952FEB">
        <w:t xml:space="preserve">2020 evaluation of the ETSI (DECT) and </w:t>
      </w:r>
      <w:r>
        <w:t>EUHT (</w:t>
      </w:r>
      <w:r w:rsidRPr="00952FEB">
        <w:t>Nufront</w:t>
      </w:r>
      <w:r>
        <w:t>)</w:t>
      </w:r>
      <w:r w:rsidRPr="00952FEB">
        <w:t xml:space="preserve"> proposals.</w:t>
      </w:r>
    </w:p>
    <w:p w:rsidR="008C134E" w:rsidRDefault="008C134E" w:rsidP="002963BD">
      <w:pPr>
        <w:pStyle w:val="Heading1"/>
        <w:rPr>
          <w:rFonts w:eastAsia="MS Mincho"/>
          <w:lang w:val="en-US"/>
        </w:rPr>
      </w:pPr>
      <w:r w:rsidRPr="00C1787A">
        <w:rPr>
          <w:rFonts w:eastAsia="MS Mincho"/>
          <w:lang w:val="en-US"/>
        </w:rPr>
        <w:t>I-3</w:t>
      </w:r>
      <w:r w:rsidRPr="00C1787A">
        <w:rPr>
          <w:rFonts w:eastAsia="MS Mincho"/>
          <w:lang w:val="en-US"/>
        </w:rPr>
        <w:tab/>
        <w:t>Method of work</w:t>
      </w:r>
    </w:p>
    <w:p w:rsidR="008C134E" w:rsidRDefault="008C134E" w:rsidP="00931A06">
      <w:pPr>
        <w:pStyle w:val="Heading2"/>
        <w:rPr>
          <w:rFonts w:eastAsia="MS Mincho"/>
          <w:lang w:val="en-US"/>
        </w:rPr>
      </w:pPr>
      <w:r w:rsidRPr="00C1787A">
        <w:rPr>
          <w:rFonts w:eastAsia="MS Mincho"/>
          <w:lang w:val="en-US"/>
        </w:rPr>
        <w:t>I-3</w:t>
      </w:r>
      <w:r>
        <w:rPr>
          <w:rFonts w:eastAsia="MS Mincho"/>
          <w:lang w:val="en-US"/>
        </w:rPr>
        <w:t>-1</w:t>
      </w:r>
      <w:r w:rsidRPr="00C1787A">
        <w:rPr>
          <w:rFonts w:eastAsia="MS Mincho"/>
          <w:lang w:val="en-US"/>
        </w:rPr>
        <w:tab/>
      </w:r>
      <w:r>
        <w:rPr>
          <w:rFonts w:eastAsia="MS Mincho"/>
          <w:lang w:val="en-US"/>
        </w:rPr>
        <w:t>Background</w:t>
      </w:r>
    </w:p>
    <w:p w:rsidR="008C134E" w:rsidRPr="002526E8" w:rsidRDefault="008C134E" w:rsidP="00736D4A">
      <w:pPr>
        <w:spacing w:line="276" w:lineRule="auto"/>
        <w:jc w:val="both"/>
      </w:pPr>
      <w:r w:rsidRPr="002526E8">
        <w:t>An SRIT proposal was submitted to ITU-R WP</w:t>
      </w:r>
      <w:r w:rsidR="004F35F4">
        <w:t> </w:t>
      </w:r>
      <w:r w:rsidRPr="002526E8">
        <w:t>5D by ETSI (DECT). The proposed SRIT consists of two component RITs: (a) DECT-2020 NR RIT and (b) 3GPP 5G CANDIDATE FOR INCLUSION IN IMT-2020: SUBMISSION 2 FOR IMT-2020 (RIT).</w:t>
      </w:r>
    </w:p>
    <w:p w:rsidR="008C134E" w:rsidRPr="002526E8" w:rsidRDefault="008C134E" w:rsidP="00736D4A">
      <w:pPr>
        <w:spacing w:line="276" w:lineRule="auto"/>
        <w:jc w:val="both"/>
      </w:pPr>
      <w:r w:rsidRPr="002526E8">
        <w:t>During STEP 4 of the IMT-2020 evaluation process, the proponent’s ETSI (TC DECT) &amp; DECT FORUM submission (</w:t>
      </w:r>
      <w:r w:rsidR="00753464" w:rsidRPr="002526E8">
        <w:t>D</w:t>
      </w:r>
      <w:r w:rsidRPr="002526E8">
        <w:t>ocument IMT-2020/17 Rev.1) did not receive a complete evaluation as to whether it satisfies all the requirements for an RIT component (as mandated by ITU-R Res. 65).</w:t>
      </w:r>
    </w:p>
    <w:p w:rsidR="008C134E" w:rsidRPr="002C7720" w:rsidRDefault="008C134E" w:rsidP="0041197E">
      <w:pPr>
        <w:rPr>
          <w:highlight w:val="yellow"/>
        </w:rPr>
      </w:pPr>
    </w:p>
    <w:p w:rsidR="008C134E" w:rsidRPr="002C7720" w:rsidRDefault="008C134E" w:rsidP="0041197E">
      <w:pPr>
        <w:jc w:val="center"/>
        <w:rPr>
          <w:sz w:val="32"/>
          <w:highlight w:val="yellow"/>
        </w:rPr>
      </w:pPr>
      <w:r w:rsidRPr="002C7720">
        <w:rPr>
          <w:noProof/>
          <w:sz w:val="32"/>
          <w:highlight w:val="yellow"/>
          <w:lang w:val="en-US"/>
        </w:rPr>
        <w:drawing>
          <wp:inline distT="0" distB="0" distL="0" distR="0" wp14:anchorId="76C8CB64" wp14:editId="102FB53D">
            <wp:extent cx="5388610" cy="2916393"/>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1776" cy="2918106"/>
                    </a:xfrm>
                    <a:prstGeom prst="rect">
                      <a:avLst/>
                    </a:prstGeom>
                  </pic:spPr>
                </pic:pic>
              </a:graphicData>
            </a:graphic>
          </wp:inline>
        </w:drawing>
      </w:r>
    </w:p>
    <w:p w:rsidR="008C134E" w:rsidRPr="002C7720" w:rsidRDefault="008C134E" w:rsidP="0041197E">
      <w:pPr>
        <w:jc w:val="center"/>
        <w:rPr>
          <w:sz w:val="32"/>
          <w:highlight w:val="yellow"/>
        </w:rPr>
      </w:pPr>
      <w:r w:rsidRPr="002C7720">
        <w:rPr>
          <w:noProof/>
          <w:sz w:val="32"/>
          <w:highlight w:val="yellow"/>
          <w:lang w:val="en-US"/>
        </w:rPr>
        <w:drawing>
          <wp:inline distT="0" distB="0" distL="0" distR="0" wp14:anchorId="1148AD05" wp14:editId="2C2253B6">
            <wp:extent cx="5204460" cy="2889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2889250"/>
                    </a:xfrm>
                    <a:prstGeom prst="rect">
                      <a:avLst/>
                    </a:prstGeom>
                    <a:noFill/>
                  </pic:spPr>
                </pic:pic>
              </a:graphicData>
            </a:graphic>
          </wp:inline>
        </w:drawing>
      </w:r>
    </w:p>
    <w:p w:rsidR="008C134E" w:rsidRPr="002526E8" w:rsidRDefault="008C134E" w:rsidP="00736D4A">
      <w:pPr>
        <w:spacing w:line="276" w:lineRule="auto"/>
        <w:jc w:val="both"/>
      </w:pPr>
      <w:r w:rsidRPr="002526E8">
        <w:t>As a way forward the following was decided by WP</w:t>
      </w:r>
      <w:r w:rsidR="00753464">
        <w:t> </w:t>
      </w:r>
      <w:r w:rsidRPr="002526E8">
        <w:t>5D (Option 2): The ETSI (TC DECT) &amp; DECT FORUM candidate submission will carry</w:t>
      </w:r>
      <w:r>
        <w:t xml:space="preserve"> </w:t>
      </w:r>
      <w:r w:rsidRPr="002526E8">
        <w:t>on in the current process (Step 4 to Step 7), under an extension, rewinding back to Step 4 (as indicated in the following figure).</w:t>
      </w:r>
    </w:p>
    <w:p w:rsidR="008C134E" w:rsidRPr="002C7720" w:rsidRDefault="008C134E" w:rsidP="0041197E">
      <w:pPr>
        <w:jc w:val="center"/>
        <w:rPr>
          <w:sz w:val="32"/>
          <w:highlight w:val="yellow"/>
        </w:rPr>
      </w:pPr>
      <w:r w:rsidRPr="002C7720">
        <w:rPr>
          <w:noProof/>
          <w:sz w:val="32"/>
          <w:highlight w:val="yellow"/>
          <w:lang w:val="en-US"/>
        </w:rPr>
        <w:drawing>
          <wp:inline distT="0" distB="0" distL="0" distR="0" wp14:anchorId="3BF23E1E" wp14:editId="5745C5EF">
            <wp:extent cx="5205266" cy="260626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4708" cy="2626016"/>
                    </a:xfrm>
                    <a:prstGeom prst="rect">
                      <a:avLst/>
                    </a:prstGeom>
                    <a:noFill/>
                  </pic:spPr>
                </pic:pic>
              </a:graphicData>
            </a:graphic>
          </wp:inline>
        </w:drawing>
      </w:r>
    </w:p>
    <w:p w:rsidR="008C134E" w:rsidRPr="0013432E" w:rsidRDefault="008C134E" w:rsidP="00736D4A">
      <w:pPr>
        <w:pStyle w:val="enumlev2"/>
        <w:spacing w:line="276" w:lineRule="auto"/>
        <w:ind w:left="0" w:firstLine="0"/>
        <w:jc w:val="both"/>
        <w:rPr>
          <w:sz w:val="32"/>
          <w:lang w:val="en-US"/>
        </w:rPr>
      </w:pPr>
      <w:r w:rsidRPr="0013432E">
        <w:t xml:space="preserve">In view of the above, the WWRF IEG team is committed to contribute to this additional phase of the IMT-2020 evaluation process. </w:t>
      </w:r>
    </w:p>
    <w:p w:rsidR="008C134E" w:rsidRPr="0013432E" w:rsidRDefault="008C134E" w:rsidP="00736D4A">
      <w:pPr>
        <w:spacing w:line="276" w:lineRule="auto"/>
        <w:jc w:val="both"/>
        <w:rPr>
          <w:szCs w:val="24"/>
        </w:rPr>
      </w:pPr>
      <w:r w:rsidRPr="0013432E">
        <w:rPr>
          <w:szCs w:val="24"/>
        </w:rPr>
        <w:t>The scope of the work is to assess the IMT-2020/17 technology proposal submitted by ETSI (TC DECT) for inclusion in IMT-2020. The proposed SRIT consists of two component RITs:</w:t>
      </w:r>
    </w:p>
    <w:p w:rsidR="008C134E" w:rsidRPr="0013432E" w:rsidRDefault="00836D52" w:rsidP="00836D52">
      <w:pPr>
        <w:pStyle w:val="enumlev1"/>
      </w:pPr>
      <w:r>
        <w:t>•</w:t>
      </w:r>
      <w:r>
        <w:tab/>
      </w:r>
      <w:r w:rsidR="008C134E" w:rsidRPr="0013432E">
        <w:t>DECT-2020 NR RIT</w:t>
      </w:r>
    </w:p>
    <w:p w:rsidR="008C134E" w:rsidRPr="0013432E" w:rsidRDefault="00836D52" w:rsidP="00836D52">
      <w:pPr>
        <w:pStyle w:val="enumlev1"/>
      </w:pPr>
      <w:r>
        <w:t>•</w:t>
      </w:r>
      <w:r>
        <w:tab/>
      </w:r>
      <w:r w:rsidR="008C134E" w:rsidRPr="0013432E">
        <w:t xml:space="preserve">3GPP 5G CANDIDATE FOR INCLUSION IN IMT-2020: SUBMISSION 2 FOR </w:t>
      </w:r>
      <w:r w:rsidR="004F35F4">
        <w:br/>
      </w:r>
      <w:r w:rsidR="008C134E" w:rsidRPr="0013432E">
        <w:t xml:space="preserve">IMT-2020 (RIT) </w:t>
      </w:r>
    </w:p>
    <w:p w:rsidR="008C134E" w:rsidRPr="0013432E" w:rsidRDefault="008C134E" w:rsidP="00736D4A">
      <w:pPr>
        <w:spacing w:line="276" w:lineRule="auto"/>
        <w:jc w:val="both"/>
        <w:rPr>
          <w:szCs w:val="24"/>
        </w:rPr>
      </w:pPr>
      <w:r w:rsidRPr="0013432E">
        <w:rPr>
          <w:szCs w:val="24"/>
        </w:rPr>
        <w:t>This proposal addresses all the five test environments across the three usage scenarios (eMBB, mMTC, and URLLC) as described in Report ITU-R M.2412-0.</w:t>
      </w:r>
    </w:p>
    <w:p w:rsidR="008C134E" w:rsidRPr="0013432E" w:rsidRDefault="008C134E" w:rsidP="00736D4A">
      <w:pPr>
        <w:spacing w:line="276" w:lineRule="auto"/>
        <w:jc w:val="both"/>
        <w:rPr>
          <w:szCs w:val="24"/>
        </w:rPr>
      </w:pPr>
      <w:r w:rsidRPr="0013432E">
        <w:rPr>
          <w:szCs w:val="24"/>
        </w:rPr>
        <w:t>Within the SRIT:</w:t>
      </w:r>
    </w:p>
    <w:p w:rsidR="008C134E" w:rsidRPr="0013432E" w:rsidRDefault="00836D52" w:rsidP="00836D52">
      <w:pPr>
        <w:pStyle w:val="enumlev1"/>
      </w:pPr>
      <w:r>
        <w:t>•</w:t>
      </w:r>
      <w:r>
        <w:tab/>
      </w:r>
      <w:r w:rsidR="008C134E" w:rsidRPr="0013432E">
        <w:t>The eMBB usage scenario is addressed by the 3GPP NR component.</w:t>
      </w:r>
    </w:p>
    <w:p w:rsidR="008C134E" w:rsidRPr="0013432E" w:rsidRDefault="00836D52" w:rsidP="00836D52">
      <w:pPr>
        <w:pStyle w:val="enumlev1"/>
      </w:pPr>
      <w:r>
        <w:t>•</w:t>
      </w:r>
      <w:r>
        <w:tab/>
      </w:r>
      <w:r w:rsidR="008C134E" w:rsidRPr="0013432E">
        <w:t>the DECT-2020 NR component address two usage scenarios (mMTC and URLLC) as described in ITU-R M.2412.0.</w:t>
      </w:r>
    </w:p>
    <w:p w:rsidR="008C134E" w:rsidRDefault="008C134E" w:rsidP="00736D4A">
      <w:pPr>
        <w:spacing w:line="276" w:lineRule="auto"/>
        <w:jc w:val="both"/>
        <w:rPr>
          <w:szCs w:val="24"/>
          <w:lang w:val="en-US"/>
        </w:rPr>
      </w:pPr>
      <w:r w:rsidRPr="0013432E">
        <w:rPr>
          <w:szCs w:val="24"/>
        </w:rPr>
        <w:t xml:space="preserve">The 3GPP NR component has been already evaluated by other IEGs. </w:t>
      </w:r>
      <w:r w:rsidRPr="0070674C">
        <w:rPr>
          <w:b/>
          <w:bCs/>
          <w:szCs w:val="24"/>
          <w:u w:val="single"/>
        </w:rPr>
        <w:t xml:space="preserve">Hence, this report considers </w:t>
      </w:r>
      <w:bookmarkStart w:id="10" w:name="_Hlk72083591"/>
      <w:r w:rsidRPr="0070674C">
        <w:rPr>
          <w:b/>
          <w:bCs/>
          <w:szCs w:val="24"/>
          <w:u w:val="single"/>
        </w:rPr>
        <w:t>only</w:t>
      </w:r>
      <w:r w:rsidRPr="0070674C">
        <w:rPr>
          <w:b/>
          <w:bCs/>
          <w:szCs w:val="24"/>
          <w:u w:val="single"/>
          <w:lang w:val="en-US"/>
        </w:rPr>
        <w:t xml:space="preserve"> the DECT-2020 </w:t>
      </w:r>
      <w:r>
        <w:rPr>
          <w:b/>
          <w:bCs/>
          <w:szCs w:val="24"/>
          <w:u w:val="single"/>
          <w:lang w:val="en-US"/>
        </w:rPr>
        <w:t xml:space="preserve">NR </w:t>
      </w:r>
      <w:r w:rsidRPr="0070674C">
        <w:rPr>
          <w:b/>
          <w:bCs/>
          <w:szCs w:val="24"/>
          <w:u w:val="single"/>
          <w:lang w:val="en-US"/>
        </w:rPr>
        <w:t>RIT</w:t>
      </w:r>
      <w:r>
        <w:rPr>
          <w:b/>
          <w:bCs/>
          <w:szCs w:val="24"/>
          <w:u w:val="single"/>
          <w:lang w:val="en-US"/>
        </w:rPr>
        <w:t xml:space="preserve"> </w:t>
      </w:r>
      <w:r w:rsidRPr="0070674C">
        <w:rPr>
          <w:b/>
          <w:bCs/>
          <w:szCs w:val="24"/>
          <w:u w:val="single"/>
          <w:lang w:val="en-US"/>
        </w:rPr>
        <w:t>component</w:t>
      </w:r>
      <w:r w:rsidRPr="0013432E">
        <w:rPr>
          <w:szCs w:val="24"/>
          <w:lang w:val="en-US"/>
        </w:rPr>
        <w:t xml:space="preserve">. Since the DECT-2020 component RIT addresses URLLC and mMTC test environments, </w:t>
      </w:r>
      <w:r>
        <w:rPr>
          <w:szCs w:val="24"/>
          <w:lang w:val="en-US"/>
        </w:rPr>
        <w:t xml:space="preserve">only </w:t>
      </w:r>
      <w:r w:rsidRPr="0013432E">
        <w:rPr>
          <w:szCs w:val="24"/>
          <w:lang w:val="en-US"/>
        </w:rPr>
        <w:t>the technical performance requirements</w:t>
      </w:r>
      <w:r>
        <w:rPr>
          <w:szCs w:val="24"/>
          <w:lang w:val="en-US"/>
        </w:rPr>
        <w:t xml:space="preserve"> related to these test environments will be evaluated.</w:t>
      </w:r>
    </w:p>
    <w:bookmarkEnd w:id="10"/>
    <w:p w:rsidR="008C134E" w:rsidRDefault="008C134E" w:rsidP="0042771B">
      <w:pPr>
        <w:pStyle w:val="Heading2"/>
        <w:rPr>
          <w:rFonts w:eastAsia="MS Mincho"/>
          <w:lang w:val="en-US"/>
        </w:rPr>
      </w:pPr>
      <w:r w:rsidRPr="00C1787A">
        <w:rPr>
          <w:rFonts w:eastAsia="MS Mincho"/>
          <w:lang w:val="en-US"/>
        </w:rPr>
        <w:t>I-3</w:t>
      </w:r>
      <w:r>
        <w:rPr>
          <w:rFonts w:eastAsia="MS Mincho"/>
          <w:lang w:val="en-US"/>
        </w:rPr>
        <w:t>-2</w:t>
      </w:r>
      <w:r w:rsidRPr="00C1787A">
        <w:rPr>
          <w:rFonts w:eastAsia="MS Mincho"/>
          <w:lang w:val="en-US"/>
        </w:rPr>
        <w:tab/>
      </w:r>
      <w:r>
        <w:rPr>
          <w:rFonts w:eastAsia="MS Mincho"/>
          <w:lang w:val="en-US"/>
        </w:rPr>
        <w:t>Organizational Issues</w:t>
      </w:r>
    </w:p>
    <w:p w:rsidR="008C134E" w:rsidRPr="007135BF" w:rsidRDefault="008C134E" w:rsidP="00736D4A">
      <w:pPr>
        <w:spacing w:line="276" w:lineRule="auto"/>
        <w:rPr>
          <w:lang w:val="en-CA"/>
        </w:rPr>
      </w:pPr>
      <w:r w:rsidRPr="007135BF">
        <w:rPr>
          <w:lang w:val="en-CA"/>
        </w:rPr>
        <w:t>The work was organized using the following channels:</w:t>
      </w:r>
    </w:p>
    <w:p w:rsidR="008C134E" w:rsidRPr="007135BF" w:rsidRDefault="008C134E" w:rsidP="00836D52">
      <w:pPr>
        <w:pStyle w:val="enumlev1"/>
        <w:numPr>
          <w:ilvl w:val="0"/>
          <w:numId w:val="3"/>
        </w:numPr>
        <w:spacing w:line="276" w:lineRule="auto"/>
        <w:ind w:hanging="720"/>
        <w:rPr>
          <w:lang w:val="en-CA"/>
        </w:rPr>
      </w:pPr>
      <w:r w:rsidRPr="007135BF">
        <w:rPr>
          <w:lang w:val="en-CA"/>
        </w:rPr>
        <w:t>Regular phone meetings of the</w:t>
      </w:r>
      <w:r>
        <w:rPr>
          <w:lang w:val="en-CA"/>
        </w:rPr>
        <w:t xml:space="preserve"> WWRF IEG</w:t>
      </w:r>
      <w:r w:rsidRPr="007135BF">
        <w:rPr>
          <w:lang w:val="en-CA"/>
        </w:rPr>
        <w:t xml:space="preserve"> steering board</w:t>
      </w:r>
    </w:p>
    <w:p w:rsidR="008C134E" w:rsidRPr="007135BF" w:rsidRDefault="008C134E" w:rsidP="00836D52">
      <w:pPr>
        <w:pStyle w:val="enumlev1"/>
        <w:numPr>
          <w:ilvl w:val="0"/>
          <w:numId w:val="3"/>
        </w:numPr>
        <w:spacing w:line="276" w:lineRule="auto"/>
        <w:ind w:hanging="720"/>
        <w:rPr>
          <w:lang w:val="en-CA"/>
        </w:rPr>
      </w:pPr>
      <w:r w:rsidRPr="007135BF">
        <w:rPr>
          <w:lang w:val="en-CA"/>
        </w:rPr>
        <w:t>Regular bi-weekly phone meetings of the technical teams</w:t>
      </w:r>
    </w:p>
    <w:p w:rsidR="008C134E" w:rsidRPr="007135BF" w:rsidRDefault="008C134E" w:rsidP="00836D52">
      <w:pPr>
        <w:pStyle w:val="enumlev1"/>
        <w:numPr>
          <w:ilvl w:val="0"/>
          <w:numId w:val="3"/>
        </w:numPr>
        <w:spacing w:line="276" w:lineRule="auto"/>
        <w:ind w:hanging="720"/>
        <w:rPr>
          <w:lang w:val="en-CA"/>
        </w:rPr>
      </w:pPr>
      <w:r w:rsidRPr="007135BF">
        <w:rPr>
          <w:lang w:val="en-CA"/>
        </w:rPr>
        <w:t>E-mail exchanges through a dedicated mailing list</w:t>
      </w:r>
    </w:p>
    <w:p w:rsidR="008C134E" w:rsidRPr="007135BF" w:rsidRDefault="008C134E" w:rsidP="00836D52">
      <w:pPr>
        <w:pStyle w:val="enumlev1"/>
        <w:numPr>
          <w:ilvl w:val="0"/>
          <w:numId w:val="3"/>
        </w:numPr>
        <w:spacing w:line="276" w:lineRule="auto"/>
        <w:ind w:hanging="720"/>
        <w:rPr>
          <w:lang w:val="en-CA"/>
        </w:rPr>
      </w:pPr>
      <w:r w:rsidRPr="007135BF">
        <w:rPr>
          <w:lang w:val="en-CA"/>
        </w:rPr>
        <w:t>Exchange of files through a shared workspace</w:t>
      </w:r>
    </w:p>
    <w:p w:rsidR="008C134E" w:rsidRPr="007135BF" w:rsidRDefault="008C134E" w:rsidP="00836D52">
      <w:pPr>
        <w:pStyle w:val="enumlev1"/>
        <w:numPr>
          <w:ilvl w:val="0"/>
          <w:numId w:val="3"/>
        </w:numPr>
        <w:spacing w:line="276" w:lineRule="auto"/>
        <w:ind w:hanging="720"/>
        <w:rPr>
          <w:lang w:val="en-CA"/>
        </w:rPr>
      </w:pPr>
      <w:r w:rsidRPr="007135BF">
        <w:rPr>
          <w:lang w:val="en-CA"/>
        </w:rPr>
        <w:t>Dedicated sessions in WWRF workshops</w:t>
      </w:r>
    </w:p>
    <w:p w:rsidR="008C134E" w:rsidRDefault="008C134E" w:rsidP="00836D52">
      <w:pPr>
        <w:pStyle w:val="enumlev1"/>
        <w:numPr>
          <w:ilvl w:val="0"/>
          <w:numId w:val="3"/>
        </w:numPr>
        <w:spacing w:line="276" w:lineRule="auto"/>
        <w:ind w:hanging="720"/>
        <w:rPr>
          <w:lang w:val="en-CA"/>
        </w:rPr>
      </w:pPr>
      <w:r w:rsidRPr="007135BF">
        <w:rPr>
          <w:lang w:val="en-CA"/>
        </w:rPr>
        <w:t>Monitoring of</w:t>
      </w:r>
      <w:r>
        <w:rPr>
          <w:lang w:val="en-CA"/>
        </w:rPr>
        <w:t xml:space="preserve"> and Contribution to the</w:t>
      </w:r>
      <w:r w:rsidRPr="007135BF">
        <w:rPr>
          <w:lang w:val="en-CA"/>
        </w:rPr>
        <w:t xml:space="preserve"> ITU Discussion Forum</w:t>
      </w:r>
    </w:p>
    <w:p w:rsidR="008C134E" w:rsidRDefault="008C134E" w:rsidP="00836D52">
      <w:pPr>
        <w:pStyle w:val="enumlev1"/>
        <w:numPr>
          <w:ilvl w:val="0"/>
          <w:numId w:val="3"/>
        </w:numPr>
        <w:spacing w:line="276" w:lineRule="auto"/>
        <w:ind w:hanging="720"/>
        <w:rPr>
          <w:lang w:val="en-CA"/>
        </w:rPr>
      </w:pPr>
      <w:r>
        <w:rPr>
          <w:lang w:val="en-CA"/>
        </w:rPr>
        <w:t>Communication with other IEGs, in particular CEG and ETSI EG through telcos and e-mail</w:t>
      </w:r>
    </w:p>
    <w:p w:rsidR="008C134E" w:rsidRPr="007135BF" w:rsidRDefault="008C134E" w:rsidP="00836D52">
      <w:pPr>
        <w:pStyle w:val="enumlev1"/>
        <w:numPr>
          <w:ilvl w:val="0"/>
          <w:numId w:val="3"/>
        </w:numPr>
        <w:spacing w:line="276" w:lineRule="auto"/>
        <w:ind w:hanging="720"/>
        <w:rPr>
          <w:lang w:val="en-CA"/>
        </w:rPr>
      </w:pPr>
      <w:r>
        <w:rPr>
          <w:lang w:val="en-CA"/>
        </w:rPr>
        <w:t>Communication with the proponent through e-mail</w:t>
      </w:r>
    </w:p>
    <w:p w:rsidR="008C134E" w:rsidRPr="00C1787A" w:rsidRDefault="008C134E" w:rsidP="002963BD">
      <w:pPr>
        <w:pStyle w:val="Heading1"/>
        <w:rPr>
          <w:rFonts w:eastAsia="MS Mincho"/>
          <w:lang w:val="en-US"/>
        </w:rPr>
      </w:pPr>
      <w:r w:rsidRPr="00C1787A">
        <w:rPr>
          <w:rFonts w:eastAsia="MS Mincho"/>
          <w:lang w:val="en-US"/>
        </w:rPr>
        <w:t>I-4</w:t>
      </w:r>
      <w:r w:rsidRPr="00C1787A">
        <w:rPr>
          <w:rFonts w:eastAsia="MS Mincho"/>
          <w:lang w:val="en-US"/>
        </w:rPr>
        <w:tab/>
        <w:t>Administrative contact details</w:t>
      </w:r>
    </w:p>
    <w:p w:rsidR="008C134E" w:rsidRPr="00C1787A" w:rsidRDefault="008C134E" w:rsidP="002963BD">
      <w:pPr>
        <w:rPr>
          <w:lang w:val="en-US"/>
        </w:rPr>
      </w:pPr>
      <w:r w:rsidRPr="00C1787A">
        <w:rPr>
          <w:lang w:val="en-US"/>
        </w:rPr>
        <w:t>Name &amp; Affiliation; Dr Nigel Jefferies, WWRF Chairman</w:t>
      </w:r>
    </w:p>
    <w:p w:rsidR="008C134E" w:rsidRPr="00C1787A" w:rsidRDefault="008C134E" w:rsidP="002963BD">
      <w:pPr>
        <w:rPr>
          <w:lang w:val="en-US"/>
        </w:rPr>
      </w:pPr>
      <w:r w:rsidRPr="00C1787A">
        <w:rPr>
          <w:lang w:val="en-US"/>
        </w:rPr>
        <w:t xml:space="preserve">Email: </w:t>
      </w:r>
      <w:hyperlink r:id="rId12" w:history="1">
        <w:r w:rsidRPr="00C1787A">
          <w:rPr>
            <w:rStyle w:val="Hyperlink"/>
            <w:szCs w:val="24"/>
            <w:lang w:val="en-US"/>
          </w:rPr>
          <w:t>chairman@wwrf.ch</w:t>
        </w:r>
      </w:hyperlink>
    </w:p>
    <w:p w:rsidR="008C134E" w:rsidRPr="00C1787A" w:rsidRDefault="008C134E" w:rsidP="00D40B06">
      <w:pPr>
        <w:pStyle w:val="Heading1"/>
        <w:rPr>
          <w:rFonts w:eastAsia="MS Mincho"/>
          <w:lang w:val="en-US"/>
        </w:rPr>
      </w:pPr>
      <w:r w:rsidRPr="00C1787A">
        <w:rPr>
          <w:rFonts w:eastAsia="MS Mincho"/>
          <w:lang w:val="en-US"/>
        </w:rPr>
        <w:t>I-5</w:t>
      </w:r>
      <w:r w:rsidRPr="00C1787A">
        <w:rPr>
          <w:rFonts w:eastAsia="MS Mincho"/>
          <w:lang w:val="en-US"/>
        </w:rPr>
        <w:tab/>
        <w:t>Technical contact details</w:t>
      </w:r>
    </w:p>
    <w:p w:rsidR="008C134E" w:rsidRPr="00C1787A" w:rsidRDefault="008C134E" w:rsidP="00ED7CC4">
      <w:pPr>
        <w:snapToGrid w:val="0"/>
        <w:rPr>
          <w:lang w:val="en-US" w:eastAsia="zh-CN"/>
        </w:rPr>
      </w:pPr>
    </w:p>
    <w:tbl>
      <w:tblPr>
        <w:tblStyle w:val="TableGrid"/>
        <w:tblW w:w="9355" w:type="dxa"/>
        <w:tblLook w:val="04A0" w:firstRow="1" w:lastRow="0" w:firstColumn="1" w:lastColumn="0" w:noHBand="0" w:noVBand="1"/>
      </w:tblPr>
      <w:tblGrid>
        <w:gridCol w:w="2785"/>
        <w:gridCol w:w="2610"/>
        <w:gridCol w:w="3960"/>
      </w:tblGrid>
      <w:tr w:rsidR="008C134E" w:rsidRPr="00C1787A" w:rsidTr="000B5B3F">
        <w:tc>
          <w:tcPr>
            <w:tcW w:w="2785" w:type="dxa"/>
          </w:tcPr>
          <w:p w:rsidR="008C134E" w:rsidRPr="001C1BA8" w:rsidRDefault="00DB17FA" w:rsidP="00204881">
            <w:pPr>
              <w:spacing w:before="0" w:line="360" w:lineRule="auto"/>
              <w:ind w:right="95"/>
              <w:rPr>
                <w:b/>
                <w:bCs/>
                <w:sz w:val="22"/>
                <w:szCs w:val="18"/>
                <w:lang w:val="en-US"/>
              </w:rPr>
            </w:pPr>
            <w:hyperlink r:id="rId13" w:history="1">
              <w:r w:rsidR="008C134E" w:rsidRPr="001C1BA8">
                <w:rPr>
                  <w:b/>
                  <w:bCs/>
                  <w:color w:val="000000"/>
                  <w:sz w:val="22"/>
                  <w:szCs w:val="18"/>
                  <w:lang w:val="en-US" w:eastAsia="de-DE"/>
                </w:rPr>
                <w:t>Name</w:t>
              </w:r>
            </w:hyperlink>
          </w:p>
        </w:tc>
        <w:tc>
          <w:tcPr>
            <w:tcW w:w="2610" w:type="dxa"/>
          </w:tcPr>
          <w:p w:rsidR="008C134E" w:rsidRPr="001C1BA8" w:rsidRDefault="008C134E" w:rsidP="00204881">
            <w:pPr>
              <w:spacing w:before="0" w:line="360" w:lineRule="auto"/>
              <w:ind w:right="95"/>
              <w:rPr>
                <w:b/>
                <w:bCs/>
                <w:color w:val="000000"/>
                <w:sz w:val="22"/>
                <w:szCs w:val="18"/>
                <w:lang w:val="en-US"/>
              </w:rPr>
            </w:pPr>
            <w:r w:rsidRPr="001C1BA8">
              <w:rPr>
                <w:b/>
                <w:bCs/>
                <w:color w:val="000000"/>
                <w:sz w:val="22"/>
                <w:szCs w:val="18"/>
                <w:lang w:val="en-US" w:eastAsia="de-DE"/>
              </w:rPr>
              <w:t>Affiliation</w:t>
            </w:r>
          </w:p>
        </w:tc>
        <w:tc>
          <w:tcPr>
            <w:tcW w:w="3960" w:type="dxa"/>
          </w:tcPr>
          <w:p w:rsidR="008C134E" w:rsidRPr="001C1BA8" w:rsidRDefault="008C134E" w:rsidP="00204881">
            <w:pPr>
              <w:spacing w:before="0" w:line="360" w:lineRule="auto"/>
              <w:ind w:right="95"/>
              <w:rPr>
                <w:b/>
                <w:bCs/>
                <w:color w:val="000000"/>
                <w:sz w:val="22"/>
                <w:szCs w:val="18"/>
                <w:lang w:val="en-US" w:eastAsia="de-DE"/>
              </w:rPr>
            </w:pPr>
            <w:r w:rsidRPr="001C1BA8">
              <w:rPr>
                <w:b/>
                <w:bCs/>
                <w:color w:val="000000"/>
                <w:sz w:val="22"/>
                <w:szCs w:val="18"/>
                <w:lang w:val="en-US" w:eastAsia="de-DE"/>
              </w:rPr>
              <w:t>e-mail</w:t>
            </w:r>
          </w:p>
        </w:tc>
      </w:tr>
      <w:tr w:rsidR="008C134E" w:rsidRPr="00C1787A" w:rsidTr="000B5B3F">
        <w:tc>
          <w:tcPr>
            <w:tcW w:w="2785" w:type="dxa"/>
          </w:tcPr>
          <w:p w:rsidR="008C134E" w:rsidRPr="00C1787A" w:rsidRDefault="008C134E" w:rsidP="00204881">
            <w:pPr>
              <w:spacing w:before="0" w:line="360" w:lineRule="auto"/>
              <w:ind w:right="95"/>
              <w:rPr>
                <w:sz w:val="22"/>
                <w:szCs w:val="18"/>
                <w:lang w:val="en-US"/>
              </w:rPr>
            </w:pPr>
            <w:r w:rsidRPr="00C1787A">
              <w:rPr>
                <w:sz w:val="22"/>
                <w:szCs w:val="18"/>
                <w:lang w:val="en-US"/>
              </w:rPr>
              <w:t>Prof. Angeliki Alexiou</w:t>
            </w:r>
          </w:p>
        </w:tc>
        <w:tc>
          <w:tcPr>
            <w:tcW w:w="2610" w:type="dxa"/>
          </w:tcPr>
          <w:p w:rsidR="008C134E" w:rsidRPr="00C1787A" w:rsidRDefault="008C134E" w:rsidP="00204881">
            <w:pPr>
              <w:spacing w:before="0" w:line="360" w:lineRule="auto"/>
              <w:ind w:right="95"/>
              <w:rPr>
                <w:rStyle w:val="Hyperlink"/>
                <w:color w:val="000000" w:themeColor="text1"/>
                <w:sz w:val="22"/>
                <w:szCs w:val="18"/>
                <w:lang w:val="en-US" w:eastAsia="de-DE"/>
              </w:rPr>
            </w:pPr>
            <w:r w:rsidRPr="00C1787A">
              <w:rPr>
                <w:rStyle w:val="Hyperlink"/>
                <w:color w:val="000000" w:themeColor="text1"/>
                <w:sz w:val="22"/>
                <w:szCs w:val="18"/>
                <w:lang w:val="en-US" w:eastAsia="de-DE"/>
              </w:rPr>
              <w:t>University of Piraeus</w:t>
            </w:r>
          </w:p>
        </w:tc>
        <w:tc>
          <w:tcPr>
            <w:tcW w:w="3960" w:type="dxa"/>
          </w:tcPr>
          <w:p w:rsidR="008C134E" w:rsidRPr="00C1787A" w:rsidRDefault="008C134E" w:rsidP="00204881">
            <w:pPr>
              <w:spacing w:before="0" w:line="360" w:lineRule="auto"/>
              <w:ind w:right="95"/>
              <w:rPr>
                <w:sz w:val="22"/>
                <w:szCs w:val="18"/>
                <w:lang w:val="en-US"/>
              </w:rPr>
            </w:pPr>
            <w:r w:rsidRPr="00C1787A">
              <w:rPr>
                <w:sz w:val="22"/>
                <w:szCs w:val="18"/>
                <w:lang w:val="en-US"/>
              </w:rPr>
              <w:t>aalexiou@ieee.org</w:t>
            </w:r>
          </w:p>
        </w:tc>
      </w:tr>
      <w:tr w:rsidR="008C134E" w:rsidRPr="00C1787A" w:rsidTr="000B5B3F">
        <w:tc>
          <w:tcPr>
            <w:tcW w:w="2785" w:type="dxa"/>
          </w:tcPr>
          <w:p w:rsidR="008C134E" w:rsidRPr="00C1787A" w:rsidRDefault="008C134E" w:rsidP="00204881">
            <w:pPr>
              <w:spacing w:before="0" w:line="360" w:lineRule="auto"/>
              <w:ind w:right="95"/>
              <w:rPr>
                <w:sz w:val="22"/>
                <w:szCs w:val="18"/>
                <w:lang w:val="en-US"/>
              </w:rPr>
            </w:pPr>
            <w:r w:rsidRPr="00C1787A">
              <w:rPr>
                <w:sz w:val="22"/>
                <w:szCs w:val="18"/>
                <w:lang w:val="en-US"/>
              </w:rPr>
              <w:t>Dr Antonis Gkotsis</w:t>
            </w:r>
          </w:p>
        </w:tc>
        <w:tc>
          <w:tcPr>
            <w:tcW w:w="2610" w:type="dxa"/>
          </w:tcPr>
          <w:p w:rsidR="008C134E" w:rsidRPr="00C1787A" w:rsidRDefault="008C134E" w:rsidP="00204881">
            <w:pPr>
              <w:spacing w:before="0" w:line="360" w:lineRule="auto"/>
              <w:ind w:right="95"/>
              <w:rPr>
                <w:rStyle w:val="Hyperlink"/>
                <w:color w:val="000000" w:themeColor="text1"/>
                <w:sz w:val="22"/>
                <w:szCs w:val="18"/>
                <w:lang w:val="en-US" w:eastAsia="de-DE"/>
              </w:rPr>
            </w:pPr>
            <w:r w:rsidRPr="00C1787A">
              <w:rPr>
                <w:rStyle w:val="Hyperlink"/>
                <w:color w:val="000000" w:themeColor="text1"/>
                <w:sz w:val="22"/>
                <w:szCs w:val="18"/>
                <w:lang w:val="en-US" w:eastAsia="de-DE"/>
              </w:rPr>
              <w:t>University of Piraeus, Feron Technologies P.C.</w:t>
            </w:r>
          </w:p>
        </w:tc>
        <w:tc>
          <w:tcPr>
            <w:tcW w:w="3960" w:type="dxa"/>
          </w:tcPr>
          <w:p w:rsidR="008C134E" w:rsidRPr="00C1787A" w:rsidRDefault="008C134E" w:rsidP="00204881">
            <w:pPr>
              <w:spacing w:before="0" w:line="360" w:lineRule="auto"/>
              <w:ind w:right="95"/>
              <w:rPr>
                <w:sz w:val="22"/>
                <w:szCs w:val="18"/>
                <w:lang w:val="en-US"/>
              </w:rPr>
            </w:pPr>
            <w:r w:rsidRPr="00C1787A">
              <w:rPr>
                <w:sz w:val="22"/>
                <w:szCs w:val="18"/>
                <w:lang w:val="en-US"/>
              </w:rPr>
              <w:t>antonis.gotsis@feron-tech.com</w:t>
            </w:r>
          </w:p>
        </w:tc>
      </w:tr>
      <w:tr w:rsidR="008C134E" w:rsidRPr="00C1787A" w:rsidTr="000B5B3F">
        <w:tc>
          <w:tcPr>
            <w:tcW w:w="2785" w:type="dxa"/>
          </w:tcPr>
          <w:p w:rsidR="008C134E" w:rsidRPr="00C1787A" w:rsidRDefault="008C134E" w:rsidP="00204881">
            <w:pPr>
              <w:spacing w:before="0" w:line="360" w:lineRule="auto"/>
              <w:ind w:right="95"/>
              <w:rPr>
                <w:sz w:val="22"/>
                <w:szCs w:val="18"/>
                <w:lang w:val="en-US"/>
              </w:rPr>
            </w:pPr>
            <w:r w:rsidRPr="00C1787A">
              <w:rPr>
                <w:sz w:val="22"/>
                <w:szCs w:val="18"/>
                <w:lang w:val="en-US"/>
              </w:rPr>
              <w:t>Dr Konstantinos Maliatsos</w:t>
            </w:r>
          </w:p>
        </w:tc>
        <w:tc>
          <w:tcPr>
            <w:tcW w:w="2610" w:type="dxa"/>
          </w:tcPr>
          <w:p w:rsidR="008C134E" w:rsidRPr="00C1787A" w:rsidRDefault="008C134E" w:rsidP="00204881">
            <w:pPr>
              <w:spacing w:before="0" w:line="360" w:lineRule="auto"/>
              <w:ind w:right="95"/>
              <w:rPr>
                <w:rStyle w:val="Hyperlink"/>
                <w:color w:val="000000" w:themeColor="text1"/>
                <w:sz w:val="22"/>
                <w:szCs w:val="18"/>
                <w:lang w:val="en-US" w:eastAsia="de-DE"/>
              </w:rPr>
            </w:pPr>
            <w:r w:rsidRPr="00C1787A">
              <w:rPr>
                <w:rStyle w:val="Hyperlink"/>
                <w:color w:val="000000" w:themeColor="text1"/>
                <w:sz w:val="22"/>
                <w:szCs w:val="18"/>
                <w:lang w:val="en-US" w:eastAsia="de-DE"/>
              </w:rPr>
              <w:t>University of Piraeus, Feron Technologies P.C.</w:t>
            </w:r>
          </w:p>
        </w:tc>
        <w:tc>
          <w:tcPr>
            <w:tcW w:w="3960" w:type="dxa"/>
          </w:tcPr>
          <w:p w:rsidR="008C134E" w:rsidRPr="00C1787A" w:rsidRDefault="008C134E" w:rsidP="00204881">
            <w:pPr>
              <w:spacing w:before="0" w:line="360" w:lineRule="auto"/>
              <w:ind w:right="95"/>
              <w:rPr>
                <w:sz w:val="22"/>
                <w:szCs w:val="18"/>
                <w:lang w:val="en-US"/>
              </w:rPr>
            </w:pPr>
            <w:r w:rsidRPr="00C1787A">
              <w:rPr>
                <w:sz w:val="22"/>
                <w:szCs w:val="18"/>
                <w:lang w:val="en-US"/>
              </w:rPr>
              <w:t>konstantinos.maliatsos@feron-tech.com</w:t>
            </w:r>
          </w:p>
        </w:tc>
      </w:tr>
    </w:tbl>
    <w:p w:rsidR="008C134E" w:rsidRDefault="008C134E" w:rsidP="00EE7767">
      <w:pPr>
        <w:rPr>
          <w:lang w:val="en-US" w:eastAsia="zh-CN"/>
        </w:rPr>
      </w:pPr>
    </w:p>
    <w:p w:rsidR="008C134E" w:rsidRDefault="008C134E" w:rsidP="00EE7767">
      <w:pPr>
        <w:rPr>
          <w:lang w:val="en-US" w:eastAsia="zh-CN"/>
        </w:rPr>
        <w:sectPr w:rsidR="008C134E" w:rsidSect="00B876C8">
          <w:headerReference w:type="default" r:id="rId14"/>
          <w:footerReference w:type="default" r:id="rId15"/>
          <w:footerReference w:type="first" r:id="rId16"/>
          <w:pgSz w:w="11907" w:h="16834" w:code="9"/>
          <w:pgMar w:top="1418" w:right="1134" w:bottom="1418" w:left="1134" w:header="720" w:footer="720" w:gutter="0"/>
          <w:paperSrc w:first="15" w:other="15"/>
          <w:cols w:space="720"/>
          <w:titlePg/>
          <w:docGrid w:linePitch="326"/>
        </w:sectPr>
      </w:pPr>
    </w:p>
    <w:p w:rsidR="008C134E" w:rsidRPr="00DC0020" w:rsidRDefault="008C134E" w:rsidP="00EE7767">
      <w:pPr>
        <w:pStyle w:val="Heading1"/>
        <w:jc w:val="center"/>
        <w:rPr>
          <w:rFonts w:eastAsia="MS Mincho"/>
          <w:szCs w:val="30"/>
          <w:lang w:val="en-US"/>
        </w:rPr>
      </w:pPr>
      <w:r w:rsidRPr="00DC0020">
        <w:rPr>
          <w:rFonts w:eastAsia="MS Mincho"/>
          <w:szCs w:val="30"/>
          <w:lang w:val="en-US"/>
        </w:rPr>
        <w:t>Part II: Technical aspects of the work of the Independent Evaluation Group</w:t>
      </w:r>
    </w:p>
    <w:p w:rsidR="008C134E" w:rsidRDefault="008C134E" w:rsidP="00EE7767">
      <w:pPr>
        <w:pStyle w:val="Heading1"/>
        <w:rPr>
          <w:rFonts w:eastAsia="MS Mincho"/>
          <w:lang w:val="en-US"/>
        </w:rPr>
      </w:pPr>
      <w:r w:rsidRPr="00C1787A">
        <w:rPr>
          <w:rFonts w:eastAsia="MS Mincho"/>
          <w:lang w:val="en-US"/>
        </w:rPr>
        <w:t>II-A</w:t>
      </w:r>
      <w:r w:rsidRPr="00C1787A">
        <w:rPr>
          <w:rFonts w:eastAsia="MS Mincho"/>
          <w:lang w:val="en-US"/>
        </w:rPr>
        <w:tab/>
        <w:t>What candidate technologies or portions of the candidate technologies this IEG is or might anticipate evaluating?</w:t>
      </w:r>
    </w:p>
    <w:p w:rsidR="008C134E" w:rsidRDefault="008C134E" w:rsidP="00736D4A">
      <w:pPr>
        <w:spacing w:line="276" w:lineRule="auto"/>
        <w:jc w:val="both"/>
        <w:rPr>
          <w:lang w:eastAsia="zh-CN"/>
        </w:rPr>
      </w:pPr>
      <w:r>
        <w:rPr>
          <w:lang w:val="en-US" w:eastAsia="zh-CN"/>
        </w:rPr>
        <w:t>“</w:t>
      </w:r>
      <w:r>
        <w:rPr>
          <w:lang w:eastAsia="zh-CN"/>
        </w:rPr>
        <w:t>ETSI (TC DECT) and DECT Forum” (</w:t>
      </w:r>
      <w:r w:rsidRPr="00CE49EC">
        <w:rPr>
          <w:lang w:val="en-US"/>
        </w:rPr>
        <w:t>IMT-2020/17</w:t>
      </w:r>
      <w:r>
        <w:rPr>
          <w:lang w:val="en-US"/>
        </w:rPr>
        <w:t>)</w:t>
      </w:r>
      <w:r>
        <w:rPr>
          <w:lang w:eastAsia="zh-CN"/>
        </w:rPr>
        <w:t xml:space="preserve"> submission according to the following material:</w:t>
      </w:r>
    </w:p>
    <w:p w:rsidR="008C134E" w:rsidRDefault="008C134E" w:rsidP="000E341F">
      <w:pPr>
        <w:jc w:val="center"/>
        <w:rPr>
          <w:lang w:eastAsia="zh-CN"/>
        </w:rPr>
      </w:pPr>
      <w:r w:rsidRPr="007572F5">
        <w:rPr>
          <w:rFonts w:cstheme="minorHAnsi"/>
          <w:b/>
          <w:noProof/>
          <w:sz w:val="20"/>
          <w:lang w:val="en-US"/>
        </w:rPr>
        <w:drawing>
          <wp:inline distT="0" distB="0" distL="0" distR="0" wp14:anchorId="2AC75524" wp14:editId="3C1A0E76">
            <wp:extent cx="5287992" cy="2164175"/>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2443" cy="2174182"/>
                    </a:xfrm>
                    <a:prstGeom prst="rect">
                      <a:avLst/>
                    </a:prstGeom>
                  </pic:spPr>
                </pic:pic>
              </a:graphicData>
            </a:graphic>
          </wp:inline>
        </w:drawing>
      </w:r>
    </w:p>
    <w:p w:rsidR="008C134E" w:rsidRDefault="008C134E" w:rsidP="00736D4A">
      <w:pPr>
        <w:spacing w:line="276" w:lineRule="auto"/>
        <w:jc w:val="both"/>
        <w:rPr>
          <w:szCs w:val="24"/>
          <w:lang w:val="en-US"/>
        </w:rPr>
      </w:pPr>
      <w:r>
        <w:rPr>
          <w:lang w:eastAsia="zh-CN"/>
        </w:rPr>
        <w:t xml:space="preserve">It is noted that the present evaluation work considers exclusively on the DECT-2020 NR RIT Component, since the 3GPP 5G NR component has been thoroughly evaluated by other Independent Evaluation Groups.  </w:t>
      </w:r>
      <w:r>
        <w:rPr>
          <w:szCs w:val="24"/>
          <w:lang w:val="en-US"/>
        </w:rPr>
        <w:t>T</w:t>
      </w:r>
      <w:r w:rsidRPr="0013432E">
        <w:rPr>
          <w:szCs w:val="24"/>
          <w:lang w:val="en-US"/>
        </w:rPr>
        <w:t>he technical performance requirements</w:t>
      </w:r>
      <w:r>
        <w:rPr>
          <w:szCs w:val="24"/>
          <w:lang w:val="en-US"/>
        </w:rPr>
        <w:t xml:space="preserve"> listed in </w:t>
      </w:r>
      <w:r>
        <w:rPr>
          <w:szCs w:val="24"/>
          <w:lang w:val="en-US"/>
        </w:rPr>
        <w:fldChar w:fldCharType="begin"/>
      </w:r>
      <w:r>
        <w:rPr>
          <w:szCs w:val="24"/>
          <w:lang w:val="en-US"/>
        </w:rPr>
        <w:instrText xml:space="preserve"> REF _Ref72080844 \h  \* MERGEFORMAT </w:instrText>
      </w:r>
      <w:r>
        <w:rPr>
          <w:szCs w:val="24"/>
          <w:lang w:val="en-US"/>
        </w:rPr>
      </w:r>
      <w:r>
        <w:rPr>
          <w:szCs w:val="24"/>
          <w:lang w:val="en-US"/>
        </w:rPr>
        <w:fldChar w:fldCharType="separate"/>
      </w:r>
      <w:r w:rsidRPr="00DA2CF7">
        <w:rPr>
          <w:szCs w:val="24"/>
        </w:rPr>
        <w:t xml:space="preserve">Table </w:t>
      </w:r>
      <w:r>
        <w:rPr>
          <w:noProof/>
          <w:szCs w:val="24"/>
        </w:rPr>
        <w:t>1</w:t>
      </w:r>
      <w:r>
        <w:rPr>
          <w:szCs w:val="24"/>
          <w:lang w:val="en-US"/>
        </w:rPr>
        <w:fldChar w:fldCharType="end"/>
      </w:r>
      <w:r w:rsidRPr="0013432E">
        <w:rPr>
          <w:szCs w:val="24"/>
          <w:lang w:val="en-US"/>
        </w:rPr>
        <w:t xml:space="preserve"> will be assessed (Ref: </w:t>
      </w:r>
      <w:r w:rsidRPr="0013432E">
        <w:rPr>
          <w:szCs w:val="24"/>
        </w:rPr>
        <w:t xml:space="preserve">Report ITU-R </w:t>
      </w:r>
      <w:hyperlink r:id="rId18" w:history="1">
        <w:r w:rsidRPr="00753464">
          <w:rPr>
            <w:rStyle w:val="Hyperlink"/>
            <w:szCs w:val="24"/>
          </w:rPr>
          <w:t>M.2412-0</w:t>
        </w:r>
      </w:hyperlink>
      <w:r w:rsidRPr="0013432E">
        <w:rPr>
          <w:szCs w:val="24"/>
        </w:rPr>
        <w:t>).</w:t>
      </w:r>
      <w:r>
        <w:rPr>
          <w:szCs w:val="24"/>
        </w:rPr>
        <w:t xml:space="preserve"> In </w:t>
      </w:r>
      <w:r>
        <w:rPr>
          <w:szCs w:val="24"/>
          <w:lang w:val="en-US"/>
        </w:rPr>
        <w:fldChar w:fldCharType="begin"/>
      </w:r>
      <w:r>
        <w:rPr>
          <w:szCs w:val="24"/>
          <w:lang w:val="en-US"/>
        </w:rPr>
        <w:instrText xml:space="preserve"> REF _Ref72080844 \h  \* MERGEFORMAT </w:instrText>
      </w:r>
      <w:r>
        <w:rPr>
          <w:szCs w:val="24"/>
          <w:lang w:val="en-US"/>
        </w:rPr>
      </w:r>
      <w:r>
        <w:rPr>
          <w:szCs w:val="24"/>
          <w:lang w:val="en-US"/>
        </w:rPr>
        <w:fldChar w:fldCharType="separate"/>
      </w:r>
      <w:r w:rsidRPr="00DA2CF7">
        <w:rPr>
          <w:szCs w:val="24"/>
        </w:rPr>
        <w:t xml:space="preserve">Table </w:t>
      </w:r>
      <w:r>
        <w:rPr>
          <w:noProof/>
          <w:szCs w:val="24"/>
        </w:rPr>
        <w:t>1</w:t>
      </w:r>
      <w:r>
        <w:rPr>
          <w:szCs w:val="24"/>
          <w:lang w:val="en-US"/>
        </w:rPr>
        <w:fldChar w:fldCharType="end"/>
      </w:r>
      <w:r>
        <w:rPr>
          <w:szCs w:val="24"/>
          <w:lang w:val="en-US"/>
        </w:rPr>
        <w:t xml:space="preserve"> we list for each addressed characteristic the assessment method used (based on ITU evaluation methodology), references to the requirements and exact methodology steps from corresponding ITU </w:t>
      </w:r>
      <w:r w:rsidR="00753464">
        <w:rPr>
          <w:szCs w:val="24"/>
          <w:lang w:val="en-US"/>
        </w:rPr>
        <w:t xml:space="preserve">Documents </w:t>
      </w:r>
      <w:hyperlink r:id="rId19" w:history="1">
        <w:r w:rsidRPr="00753464">
          <w:rPr>
            <w:rStyle w:val="Hyperlink"/>
            <w:szCs w:val="24"/>
            <w:lang w:val="en-US"/>
          </w:rPr>
          <w:t>M.2410-0</w:t>
        </w:r>
      </w:hyperlink>
      <w:r>
        <w:rPr>
          <w:szCs w:val="24"/>
          <w:lang w:val="en-US"/>
        </w:rPr>
        <w:t xml:space="preserve"> and M.2412-0, and references to Sections of this report containing the analysis and results of evaluation.</w:t>
      </w:r>
    </w:p>
    <w:p w:rsidR="00836D52" w:rsidRPr="004F35F4" w:rsidRDefault="008C134E" w:rsidP="00531545">
      <w:pPr>
        <w:pStyle w:val="TableNo"/>
        <w:spacing w:before="360"/>
        <w:rPr>
          <w:color w:val="365F91" w:themeColor="accent1" w:themeShade="BF"/>
        </w:rPr>
      </w:pPr>
      <w:bookmarkStart w:id="11" w:name="_Ref72080844"/>
      <w:r w:rsidRPr="004F35F4">
        <w:rPr>
          <w:color w:val="365F91" w:themeColor="accent1" w:themeShade="BF"/>
        </w:rPr>
        <w:t xml:space="preserve">Table </w:t>
      </w:r>
      <w:r w:rsidRPr="004F35F4">
        <w:rPr>
          <w:color w:val="365F91" w:themeColor="accent1" w:themeShade="BF"/>
        </w:rPr>
        <w:fldChar w:fldCharType="begin"/>
      </w:r>
      <w:r w:rsidRPr="004F35F4">
        <w:rPr>
          <w:color w:val="365F91" w:themeColor="accent1" w:themeShade="BF"/>
        </w:rPr>
        <w:instrText xml:space="preserve"> SEQ Table \* ARABIC </w:instrText>
      </w:r>
      <w:r w:rsidRPr="004F35F4">
        <w:rPr>
          <w:color w:val="365F91" w:themeColor="accent1" w:themeShade="BF"/>
        </w:rPr>
        <w:fldChar w:fldCharType="separate"/>
      </w:r>
      <w:r w:rsidRPr="004F35F4">
        <w:rPr>
          <w:noProof/>
          <w:color w:val="365F91" w:themeColor="accent1" w:themeShade="BF"/>
        </w:rPr>
        <w:t>1</w:t>
      </w:r>
      <w:r w:rsidRPr="004F35F4">
        <w:rPr>
          <w:color w:val="365F91" w:themeColor="accent1" w:themeShade="BF"/>
        </w:rPr>
        <w:fldChar w:fldCharType="end"/>
      </w:r>
      <w:bookmarkEnd w:id="11"/>
    </w:p>
    <w:p w:rsidR="008C134E" w:rsidRPr="004F35F4" w:rsidRDefault="008C134E" w:rsidP="00836D52">
      <w:pPr>
        <w:pStyle w:val="Tabletitle"/>
        <w:rPr>
          <w:color w:val="365F91" w:themeColor="accent1" w:themeShade="BF"/>
        </w:rPr>
      </w:pPr>
      <w:r w:rsidRPr="004F35F4">
        <w:rPr>
          <w:color w:val="365F91" w:themeColor="accent1" w:themeShade="BF"/>
        </w:rPr>
        <w:t xml:space="preserve">Technical performance requirements assessed for DECT-2020 NR RIT component in URLLC </w:t>
      </w:r>
      <w:r w:rsidR="004F35F4">
        <w:rPr>
          <w:color w:val="365F91" w:themeColor="accent1" w:themeShade="BF"/>
        </w:rPr>
        <w:br/>
      </w:r>
      <w:r w:rsidRPr="004F35F4">
        <w:rPr>
          <w:color w:val="365F91" w:themeColor="accent1" w:themeShade="BF"/>
        </w:rPr>
        <w:t>and mMTC test environments</w:t>
      </w:r>
    </w:p>
    <w:tbl>
      <w:tblPr>
        <w:tblOverlap w:val="neve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245"/>
        <w:gridCol w:w="1350"/>
        <w:gridCol w:w="1530"/>
        <w:gridCol w:w="1530"/>
        <w:gridCol w:w="2520"/>
      </w:tblGrid>
      <w:tr w:rsidR="008C134E" w:rsidRPr="00DA2CF7" w:rsidTr="00521BD1">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head"/>
              <w:spacing w:before="0" w:after="0"/>
              <w:rPr>
                <w:rFonts w:eastAsia="TimesNewRoman"/>
                <w:bCs/>
                <w:color w:val="000000" w:themeColor="text1"/>
                <w:sz w:val="22"/>
                <w:szCs w:val="22"/>
                <w:lang w:eastAsia="zh-CN"/>
              </w:rPr>
            </w:pPr>
            <w:r w:rsidRPr="000E341F">
              <w:rPr>
                <w:rFonts w:eastAsia="TimesNewRoman"/>
                <w:color w:val="000000" w:themeColor="text1"/>
                <w:sz w:val="22"/>
                <w:szCs w:val="22"/>
                <w:lang w:eastAsia="zh-CN"/>
              </w:rPr>
              <w:t>Characteristic for evaluation (test-environment)</w:t>
            </w:r>
          </w:p>
        </w:tc>
        <w:tc>
          <w:tcPr>
            <w:tcW w:w="135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head"/>
              <w:spacing w:before="0" w:after="0"/>
              <w:rPr>
                <w:rFonts w:eastAsia="SimSun"/>
                <w:color w:val="000000" w:themeColor="text1"/>
                <w:sz w:val="22"/>
                <w:szCs w:val="22"/>
              </w:rPr>
            </w:pPr>
            <w:r w:rsidRPr="000E341F">
              <w:rPr>
                <w:rFonts w:eastAsia="SimSun"/>
                <w:color w:val="000000" w:themeColor="text1"/>
                <w:sz w:val="22"/>
                <w:szCs w:val="22"/>
              </w:rPr>
              <w:t xml:space="preserve">High-level assessment </w:t>
            </w:r>
            <w:r w:rsidRPr="000E341F">
              <w:rPr>
                <w:color w:val="000000" w:themeColor="text1"/>
                <w:sz w:val="22"/>
                <w:szCs w:val="22"/>
                <w:lang w:eastAsia="zh-CN"/>
              </w:rPr>
              <w:t>m</w:t>
            </w:r>
            <w:r w:rsidRPr="000E341F">
              <w:rPr>
                <w:rFonts w:eastAsia="SimSun"/>
                <w:color w:val="000000" w:themeColor="text1"/>
                <w:sz w:val="22"/>
                <w:szCs w:val="22"/>
              </w:rPr>
              <w:t>ethod</w:t>
            </w:r>
          </w:p>
        </w:tc>
        <w:tc>
          <w:tcPr>
            <w:tcW w:w="153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head"/>
              <w:spacing w:before="0" w:after="0"/>
              <w:rPr>
                <w:rFonts w:eastAsia="SimSun"/>
                <w:color w:val="000000" w:themeColor="text1"/>
                <w:sz w:val="22"/>
                <w:szCs w:val="22"/>
              </w:rPr>
            </w:pPr>
            <w:r w:rsidRPr="000E341F">
              <w:rPr>
                <w:rFonts w:eastAsia="SimSun"/>
                <w:color w:val="000000" w:themeColor="text1"/>
                <w:sz w:val="22"/>
                <w:szCs w:val="22"/>
              </w:rPr>
              <w:t>Reference to M.2410-0 Requirements Document</w:t>
            </w:r>
          </w:p>
        </w:tc>
        <w:tc>
          <w:tcPr>
            <w:tcW w:w="1530"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head"/>
              <w:spacing w:before="0" w:after="0"/>
              <w:rPr>
                <w:rFonts w:eastAsia="SimSun"/>
                <w:color w:val="000000" w:themeColor="text1"/>
                <w:sz w:val="22"/>
                <w:szCs w:val="22"/>
              </w:rPr>
            </w:pPr>
            <w:r w:rsidRPr="000E341F">
              <w:rPr>
                <w:rFonts w:eastAsia="SimSun"/>
                <w:color w:val="000000" w:themeColor="text1"/>
                <w:sz w:val="22"/>
                <w:szCs w:val="22"/>
              </w:rPr>
              <w:t>Reference to M.2412-0 Evaluation Document</w:t>
            </w:r>
          </w:p>
        </w:tc>
        <w:tc>
          <w:tcPr>
            <w:tcW w:w="2520" w:type="dxa"/>
            <w:tcBorders>
              <w:top w:val="single" w:sz="4" w:space="0" w:color="auto"/>
              <w:left w:val="single" w:sz="4" w:space="0" w:color="auto"/>
              <w:bottom w:val="single" w:sz="4" w:space="0" w:color="auto"/>
              <w:right w:val="single" w:sz="4" w:space="0" w:color="auto"/>
            </w:tcBorders>
          </w:tcPr>
          <w:p w:rsidR="008C134E" w:rsidRPr="000E341F" w:rsidRDefault="008C134E" w:rsidP="00522953">
            <w:pPr>
              <w:pStyle w:val="Tablehead"/>
              <w:spacing w:before="0" w:after="0"/>
              <w:rPr>
                <w:rFonts w:eastAsia="SimSun"/>
                <w:color w:val="000000" w:themeColor="text1"/>
                <w:sz w:val="22"/>
                <w:szCs w:val="22"/>
              </w:rPr>
            </w:pPr>
            <w:r w:rsidRPr="000E341F">
              <w:rPr>
                <w:rFonts w:eastAsia="SimSun"/>
                <w:color w:val="000000" w:themeColor="text1"/>
                <w:sz w:val="22"/>
                <w:szCs w:val="22"/>
              </w:rPr>
              <w:t xml:space="preserve">Reference to </w:t>
            </w:r>
            <w:r>
              <w:rPr>
                <w:rFonts w:eastAsia="SimSun"/>
                <w:color w:val="000000" w:themeColor="text1"/>
                <w:sz w:val="22"/>
                <w:szCs w:val="22"/>
              </w:rPr>
              <w:t xml:space="preserve">Evaluation </w:t>
            </w:r>
            <w:r w:rsidRPr="000E341F">
              <w:rPr>
                <w:rFonts w:eastAsia="SimSun"/>
                <w:color w:val="000000" w:themeColor="text1"/>
                <w:sz w:val="22"/>
                <w:szCs w:val="22"/>
              </w:rPr>
              <w:t>Methodology Analysis and Results in this Document</w:t>
            </w:r>
          </w:p>
        </w:tc>
      </w:tr>
      <w:tr w:rsidR="008C134E" w:rsidRPr="00DA2CF7" w:rsidTr="00521BD1">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Malgun Gothic"/>
                <w:color w:val="000000" w:themeColor="text1"/>
                <w:sz w:val="22"/>
                <w:szCs w:val="22"/>
                <w:lang w:eastAsia="ko-KR"/>
              </w:rPr>
            </w:pPr>
            <w:bookmarkStart w:id="12" w:name="_Hlk64265553"/>
            <w:r w:rsidRPr="000E341F">
              <w:rPr>
                <w:rFonts w:eastAsia="Malgun Gothic"/>
                <w:color w:val="000000" w:themeColor="text1"/>
                <w:sz w:val="22"/>
                <w:szCs w:val="22"/>
                <w:lang w:eastAsia="ko-KR"/>
              </w:rPr>
              <w:t>User plane latency (URLLC)</w:t>
            </w:r>
          </w:p>
        </w:tc>
        <w:tc>
          <w:tcPr>
            <w:tcW w:w="135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TimesNewRoman"/>
                <w:sz w:val="22"/>
                <w:szCs w:val="22"/>
                <w:lang w:eastAsia="zh-CN"/>
              </w:rPr>
            </w:pPr>
            <w:r w:rsidRPr="000E341F">
              <w:rPr>
                <w:rFonts w:eastAsia="TimesNewRoman"/>
                <w:sz w:val="22"/>
                <w:szCs w:val="22"/>
                <w:lang w:eastAsia="zh-CN"/>
              </w:rPr>
              <w:t>Analytical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cs="Arial"/>
                <w:sz w:val="22"/>
                <w:szCs w:val="22"/>
                <w:lang w:eastAsia="ko-KR"/>
              </w:rPr>
            </w:pPr>
            <w:r w:rsidRPr="000E341F">
              <w:rPr>
                <w:rFonts w:eastAsia="SimSun"/>
                <w:sz w:val="22"/>
                <w:szCs w:val="22"/>
              </w:rPr>
              <w:t>§ 4.7.1</w:t>
            </w:r>
          </w:p>
        </w:tc>
        <w:tc>
          <w:tcPr>
            <w:tcW w:w="1530"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text"/>
              <w:spacing w:before="0" w:after="0"/>
              <w:jc w:val="center"/>
              <w:rPr>
                <w:rFonts w:eastAsia="SimSun"/>
                <w:sz w:val="22"/>
                <w:szCs w:val="22"/>
              </w:rPr>
            </w:pPr>
            <w:r w:rsidRPr="000E341F">
              <w:rPr>
                <w:rFonts w:eastAsia="SimSun"/>
                <w:sz w:val="22"/>
                <w:szCs w:val="22"/>
              </w:rPr>
              <w:t>§ 7.2.6</w:t>
            </w:r>
          </w:p>
        </w:tc>
        <w:tc>
          <w:tcPr>
            <w:tcW w:w="2520" w:type="dxa"/>
            <w:tcBorders>
              <w:top w:val="single" w:sz="4" w:space="0" w:color="auto"/>
              <w:left w:val="single" w:sz="4" w:space="0" w:color="auto"/>
              <w:bottom w:val="single" w:sz="4" w:space="0" w:color="auto"/>
              <w:right w:val="single" w:sz="4" w:space="0" w:color="auto"/>
            </w:tcBorders>
            <w:vAlign w:val="center"/>
          </w:tcPr>
          <w:p w:rsidR="008C134E" w:rsidRPr="006C54F7" w:rsidRDefault="008C134E" w:rsidP="00522953">
            <w:pPr>
              <w:pStyle w:val="Tabletext"/>
              <w:spacing w:before="0" w:after="0"/>
              <w:jc w:val="center"/>
              <w:rPr>
                <w:rFonts w:eastAsia="SimSun"/>
                <w:sz w:val="22"/>
                <w:szCs w:val="22"/>
              </w:rPr>
            </w:pPr>
            <w:r w:rsidRPr="006C54F7">
              <w:rPr>
                <w:rFonts w:eastAsia="SimSun"/>
                <w:sz w:val="22"/>
                <w:szCs w:val="22"/>
              </w:rPr>
              <w:t>II-E-2-1, Annex I</w:t>
            </w:r>
          </w:p>
        </w:tc>
      </w:tr>
      <w:tr w:rsidR="008C134E" w:rsidRPr="00DA2CF7" w:rsidTr="00521BD1">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Malgun Gothic"/>
                <w:color w:val="000000" w:themeColor="text1"/>
                <w:sz w:val="22"/>
                <w:szCs w:val="22"/>
                <w:lang w:eastAsia="ko-KR"/>
              </w:rPr>
            </w:pPr>
            <w:r w:rsidRPr="000E341F">
              <w:rPr>
                <w:rFonts w:eastAsia="Malgun Gothic"/>
                <w:color w:val="000000" w:themeColor="text1"/>
                <w:sz w:val="22"/>
                <w:szCs w:val="22"/>
                <w:lang w:eastAsia="ko-KR"/>
              </w:rPr>
              <w:t>Control plane latency (URLLC)</w:t>
            </w:r>
          </w:p>
        </w:tc>
        <w:tc>
          <w:tcPr>
            <w:tcW w:w="135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TimesNewRoman"/>
                <w:sz w:val="22"/>
                <w:szCs w:val="22"/>
                <w:lang w:eastAsia="zh-CN"/>
              </w:rPr>
            </w:pPr>
            <w:r w:rsidRPr="000E341F">
              <w:rPr>
                <w:rFonts w:eastAsia="TimesNewRoman"/>
                <w:sz w:val="22"/>
                <w:szCs w:val="22"/>
                <w:lang w:eastAsia="zh-CN"/>
              </w:rPr>
              <w:t>Analytical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cs="Arial"/>
                <w:sz w:val="22"/>
                <w:szCs w:val="22"/>
                <w:lang w:eastAsia="ko-KR"/>
              </w:rPr>
            </w:pPr>
            <w:r w:rsidRPr="000E341F">
              <w:rPr>
                <w:rFonts w:eastAsia="SimSun"/>
                <w:sz w:val="22"/>
                <w:szCs w:val="22"/>
              </w:rPr>
              <w:t>§ 4.7.2</w:t>
            </w:r>
          </w:p>
        </w:tc>
        <w:tc>
          <w:tcPr>
            <w:tcW w:w="1530"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text"/>
              <w:spacing w:before="0" w:after="0"/>
              <w:jc w:val="center"/>
              <w:rPr>
                <w:rFonts w:eastAsia="SimSun"/>
                <w:sz w:val="22"/>
                <w:szCs w:val="22"/>
              </w:rPr>
            </w:pPr>
            <w:r w:rsidRPr="000E341F">
              <w:rPr>
                <w:rFonts w:eastAsia="SimSun"/>
                <w:sz w:val="22"/>
                <w:szCs w:val="22"/>
              </w:rPr>
              <w:t>§ 7.2.5</w:t>
            </w:r>
          </w:p>
        </w:tc>
        <w:tc>
          <w:tcPr>
            <w:tcW w:w="2520" w:type="dxa"/>
            <w:tcBorders>
              <w:top w:val="single" w:sz="4" w:space="0" w:color="auto"/>
              <w:left w:val="single" w:sz="4" w:space="0" w:color="auto"/>
              <w:bottom w:val="single" w:sz="4" w:space="0" w:color="auto"/>
              <w:right w:val="single" w:sz="4" w:space="0" w:color="auto"/>
            </w:tcBorders>
            <w:vAlign w:val="center"/>
          </w:tcPr>
          <w:p w:rsidR="008C134E" w:rsidRPr="006C54F7" w:rsidRDefault="008C134E" w:rsidP="00522953">
            <w:pPr>
              <w:pStyle w:val="Tabletext"/>
              <w:spacing w:before="0" w:after="0"/>
              <w:jc w:val="center"/>
              <w:rPr>
                <w:rFonts w:eastAsia="SimSun"/>
                <w:sz w:val="22"/>
                <w:szCs w:val="22"/>
              </w:rPr>
            </w:pPr>
            <w:r w:rsidRPr="006C54F7">
              <w:rPr>
                <w:rFonts w:eastAsia="SimSun"/>
                <w:sz w:val="22"/>
                <w:szCs w:val="22"/>
              </w:rPr>
              <w:t>II-E-2-2, Annex II</w:t>
            </w:r>
          </w:p>
        </w:tc>
      </w:tr>
      <w:tr w:rsidR="008C134E" w:rsidRPr="00DA2CF7" w:rsidTr="00521BD1">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TimesNewRoman"/>
                <w:color w:val="000000" w:themeColor="text1"/>
                <w:sz w:val="22"/>
                <w:szCs w:val="22"/>
                <w:lang w:eastAsia="zh-CN"/>
              </w:rPr>
            </w:pPr>
            <w:r w:rsidRPr="000E341F">
              <w:rPr>
                <w:rFonts w:eastAsia="TimesNewRoman"/>
                <w:color w:val="000000" w:themeColor="text1"/>
                <w:sz w:val="22"/>
                <w:szCs w:val="22"/>
                <w:lang w:eastAsia="zh-CN"/>
              </w:rPr>
              <w:t>Mobility interruption time (URLLC)</w:t>
            </w:r>
          </w:p>
        </w:tc>
        <w:tc>
          <w:tcPr>
            <w:tcW w:w="135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TimesNewRoman"/>
                <w:sz w:val="22"/>
                <w:szCs w:val="22"/>
                <w:lang w:eastAsia="zh-CN"/>
              </w:rPr>
            </w:pPr>
            <w:r w:rsidRPr="000E341F">
              <w:rPr>
                <w:rFonts w:eastAsia="TimesNewRoman"/>
                <w:sz w:val="22"/>
                <w:szCs w:val="22"/>
                <w:lang w:eastAsia="zh-CN"/>
              </w:rPr>
              <w:t>Analytical</w:t>
            </w:r>
          </w:p>
        </w:tc>
        <w:tc>
          <w:tcPr>
            <w:tcW w:w="153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cs="Arial"/>
                <w:sz w:val="22"/>
                <w:szCs w:val="22"/>
                <w:lang w:eastAsia="ko-KR"/>
              </w:rPr>
            </w:pPr>
            <w:r w:rsidRPr="000E341F">
              <w:rPr>
                <w:rFonts w:eastAsia="SimSun"/>
                <w:sz w:val="22"/>
                <w:szCs w:val="22"/>
              </w:rPr>
              <w:t>§ 4.12</w:t>
            </w:r>
          </w:p>
        </w:tc>
        <w:tc>
          <w:tcPr>
            <w:tcW w:w="1530"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text"/>
              <w:spacing w:before="0" w:after="0"/>
              <w:jc w:val="center"/>
              <w:rPr>
                <w:rFonts w:eastAsia="SimSun"/>
                <w:sz w:val="22"/>
                <w:szCs w:val="22"/>
              </w:rPr>
            </w:pPr>
            <w:r w:rsidRPr="000E341F">
              <w:rPr>
                <w:rFonts w:eastAsia="SimSun"/>
                <w:sz w:val="22"/>
                <w:szCs w:val="22"/>
              </w:rPr>
              <w:t>§ 7.2.7</w:t>
            </w:r>
          </w:p>
        </w:tc>
        <w:tc>
          <w:tcPr>
            <w:tcW w:w="2520" w:type="dxa"/>
            <w:tcBorders>
              <w:top w:val="single" w:sz="4" w:space="0" w:color="auto"/>
              <w:left w:val="single" w:sz="4" w:space="0" w:color="auto"/>
              <w:bottom w:val="single" w:sz="4" w:space="0" w:color="auto"/>
              <w:right w:val="single" w:sz="4" w:space="0" w:color="auto"/>
            </w:tcBorders>
            <w:vAlign w:val="center"/>
          </w:tcPr>
          <w:p w:rsidR="008C134E" w:rsidRPr="006C54F7" w:rsidRDefault="008C134E" w:rsidP="00522953">
            <w:pPr>
              <w:pStyle w:val="Tabletext"/>
              <w:spacing w:before="0" w:after="0"/>
              <w:jc w:val="center"/>
              <w:rPr>
                <w:rFonts w:eastAsia="SimSun"/>
                <w:sz w:val="22"/>
                <w:szCs w:val="22"/>
              </w:rPr>
            </w:pPr>
            <w:r w:rsidRPr="006C54F7">
              <w:rPr>
                <w:rFonts w:eastAsia="SimSun"/>
                <w:sz w:val="22"/>
                <w:szCs w:val="22"/>
              </w:rPr>
              <w:t>II-E-2-3</w:t>
            </w:r>
          </w:p>
        </w:tc>
      </w:tr>
      <w:tr w:rsidR="008C134E" w:rsidRPr="00DA2CF7" w:rsidTr="00521BD1">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TimesNewRoman"/>
                <w:color w:val="000000" w:themeColor="text1"/>
                <w:sz w:val="22"/>
                <w:szCs w:val="22"/>
                <w:lang w:eastAsia="zh-CN"/>
              </w:rPr>
            </w:pPr>
            <w:r w:rsidRPr="000E341F">
              <w:rPr>
                <w:rFonts w:eastAsia="TimesNewRoman"/>
                <w:color w:val="000000" w:themeColor="text1"/>
                <w:sz w:val="22"/>
                <w:szCs w:val="22"/>
                <w:lang w:eastAsia="zh-CN"/>
              </w:rPr>
              <w:t>Reliability (URLLC)</w:t>
            </w:r>
          </w:p>
        </w:tc>
        <w:tc>
          <w:tcPr>
            <w:tcW w:w="135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TimesNewRoman"/>
                <w:sz w:val="22"/>
                <w:szCs w:val="22"/>
                <w:lang w:eastAsia="zh-CN"/>
              </w:rPr>
            </w:pPr>
            <w:r w:rsidRPr="000E341F">
              <w:rPr>
                <w:rFonts w:eastAsia="TimesNewRoman"/>
                <w:sz w:val="22"/>
                <w:szCs w:val="22"/>
                <w:lang w:eastAsia="zh-CN"/>
              </w:rPr>
              <w:t>Simulation</w:t>
            </w:r>
          </w:p>
        </w:tc>
        <w:tc>
          <w:tcPr>
            <w:tcW w:w="153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cs="Arial"/>
                <w:sz w:val="22"/>
                <w:szCs w:val="22"/>
                <w:lang w:eastAsia="ko-KR"/>
              </w:rPr>
            </w:pPr>
            <w:r w:rsidRPr="000E341F">
              <w:rPr>
                <w:rFonts w:eastAsia="SimSun"/>
                <w:sz w:val="22"/>
                <w:szCs w:val="22"/>
              </w:rPr>
              <w:t>§ 4.10</w:t>
            </w:r>
          </w:p>
        </w:tc>
        <w:tc>
          <w:tcPr>
            <w:tcW w:w="1530"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text"/>
              <w:spacing w:before="0" w:after="0"/>
              <w:jc w:val="center"/>
              <w:rPr>
                <w:rFonts w:eastAsia="SimSun"/>
                <w:sz w:val="22"/>
                <w:szCs w:val="22"/>
              </w:rPr>
            </w:pPr>
            <w:r w:rsidRPr="000E341F">
              <w:rPr>
                <w:rFonts w:eastAsia="SimSun"/>
                <w:sz w:val="22"/>
                <w:szCs w:val="22"/>
              </w:rPr>
              <w:t>§ 7.1.5</w:t>
            </w:r>
          </w:p>
        </w:tc>
        <w:tc>
          <w:tcPr>
            <w:tcW w:w="2520" w:type="dxa"/>
            <w:tcBorders>
              <w:top w:val="single" w:sz="4" w:space="0" w:color="auto"/>
              <w:left w:val="single" w:sz="4" w:space="0" w:color="auto"/>
              <w:bottom w:val="single" w:sz="4" w:space="0" w:color="auto"/>
              <w:right w:val="single" w:sz="4" w:space="0" w:color="auto"/>
            </w:tcBorders>
            <w:vAlign w:val="center"/>
          </w:tcPr>
          <w:p w:rsidR="008C134E" w:rsidRPr="006C54F7" w:rsidRDefault="008C134E" w:rsidP="00522953">
            <w:pPr>
              <w:pStyle w:val="Tabletext"/>
              <w:spacing w:before="0" w:after="0"/>
              <w:jc w:val="center"/>
              <w:rPr>
                <w:rFonts w:eastAsia="SimSun"/>
                <w:sz w:val="22"/>
                <w:szCs w:val="22"/>
              </w:rPr>
            </w:pPr>
            <w:r w:rsidRPr="006C54F7">
              <w:rPr>
                <w:rFonts w:eastAsia="SimSun"/>
                <w:sz w:val="22"/>
                <w:szCs w:val="22"/>
              </w:rPr>
              <w:t>II-E-2-4, Annex III</w:t>
            </w:r>
          </w:p>
        </w:tc>
      </w:tr>
      <w:tr w:rsidR="008C134E" w:rsidRPr="00DA2CF7" w:rsidTr="00521BD1">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TimesNewRoman"/>
                <w:color w:val="000000" w:themeColor="text1"/>
                <w:sz w:val="22"/>
                <w:szCs w:val="22"/>
                <w:lang w:eastAsia="zh-CN"/>
              </w:rPr>
            </w:pPr>
            <w:r w:rsidRPr="000E341F">
              <w:rPr>
                <w:rFonts w:eastAsia="TimesNewRoman"/>
                <w:color w:val="000000" w:themeColor="text1"/>
                <w:sz w:val="22"/>
                <w:szCs w:val="22"/>
                <w:lang w:eastAsia="zh-CN"/>
              </w:rPr>
              <w:t>Connection density (mMTC)</w:t>
            </w:r>
          </w:p>
        </w:tc>
        <w:tc>
          <w:tcPr>
            <w:tcW w:w="135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TimesNewRoman"/>
                <w:sz w:val="22"/>
                <w:szCs w:val="22"/>
                <w:lang w:eastAsia="ko-KR"/>
              </w:rPr>
            </w:pPr>
            <w:r w:rsidRPr="000E341F">
              <w:rPr>
                <w:sz w:val="22"/>
                <w:szCs w:val="22"/>
                <w:lang w:eastAsia="zh-CN"/>
              </w:rPr>
              <w:t>Simulation</w:t>
            </w:r>
          </w:p>
        </w:tc>
        <w:tc>
          <w:tcPr>
            <w:tcW w:w="1530" w:type="dxa"/>
            <w:tcBorders>
              <w:top w:val="single" w:sz="4" w:space="0" w:color="auto"/>
              <w:left w:val="single" w:sz="4" w:space="0" w:color="auto"/>
              <w:bottom w:val="single" w:sz="4" w:space="0" w:color="auto"/>
              <w:right w:val="single" w:sz="4" w:space="0" w:color="auto"/>
            </w:tcBorders>
            <w:vAlign w:val="center"/>
            <w:hideMark/>
          </w:tcPr>
          <w:p w:rsidR="008C134E" w:rsidRPr="000E341F" w:rsidRDefault="008C134E" w:rsidP="00522953">
            <w:pPr>
              <w:pStyle w:val="Tabletext"/>
              <w:spacing w:before="0" w:after="0"/>
              <w:jc w:val="center"/>
              <w:rPr>
                <w:rFonts w:eastAsia="Malgun Gothic"/>
                <w:sz w:val="22"/>
                <w:szCs w:val="22"/>
                <w:lang w:eastAsia="ko-KR"/>
              </w:rPr>
            </w:pPr>
            <w:r w:rsidRPr="000E341F">
              <w:rPr>
                <w:rFonts w:eastAsia="SimSun"/>
                <w:sz w:val="22"/>
                <w:szCs w:val="22"/>
              </w:rPr>
              <w:t>§ 4.8</w:t>
            </w:r>
          </w:p>
        </w:tc>
        <w:tc>
          <w:tcPr>
            <w:tcW w:w="1530"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text"/>
              <w:spacing w:before="0" w:after="0"/>
              <w:jc w:val="center"/>
              <w:rPr>
                <w:rFonts w:eastAsia="SimSun"/>
                <w:sz w:val="22"/>
                <w:szCs w:val="22"/>
              </w:rPr>
            </w:pPr>
            <w:r w:rsidRPr="000E341F">
              <w:rPr>
                <w:rFonts w:eastAsia="SimSun"/>
                <w:sz w:val="22"/>
                <w:szCs w:val="22"/>
              </w:rPr>
              <w:t>§ 7.1.3</w:t>
            </w:r>
          </w:p>
        </w:tc>
        <w:tc>
          <w:tcPr>
            <w:tcW w:w="2520" w:type="dxa"/>
            <w:tcBorders>
              <w:top w:val="single" w:sz="4" w:space="0" w:color="auto"/>
              <w:left w:val="single" w:sz="4" w:space="0" w:color="auto"/>
              <w:bottom w:val="single" w:sz="4" w:space="0" w:color="auto"/>
              <w:right w:val="single" w:sz="4" w:space="0" w:color="auto"/>
            </w:tcBorders>
            <w:vAlign w:val="center"/>
          </w:tcPr>
          <w:p w:rsidR="008C134E" w:rsidRPr="006C54F7" w:rsidRDefault="008C134E" w:rsidP="00522953">
            <w:pPr>
              <w:pStyle w:val="Tabletext"/>
              <w:spacing w:before="0" w:after="0"/>
              <w:jc w:val="center"/>
              <w:rPr>
                <w:rFonts w:eastAsia="SimSun"/>
                <w:sz w:val="22"/>
                <w:szCs w:val="22"/>
              </w:rPr>
            </w:pPr>
            <w:r w:rsidRPr="006C54F7">
              <w:rPr>
                <w:rFonts w:eastAsia="SimSun"/>
                <w:sz w:val="22"/>
                <w:szCs w:val="22"/>
              </w:rPr>
              <w:t>II-E-2-5, Annex III</w:t>
            </w:r>
          </w:p>
        </w:tc>
      </w:tr>
      <w:tr w:rsidR="008C134E" w:rsidRPr="00DA2CF7" w:rsidTr="00521BD1">
        <w:trPr>
          <w:trHeight w:val="20"/>
          <w:jc w:val="center"/>
        </w:trPr>
        <w:tc>
          <w:tcPr>
            <w:tcW w:w="2245"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text"/>
              <w:spacing w:before="0" w:after="0"/>
              <w:jc w:val="center"/>
              <w:rPr>
                <w:rFonts w:eastAsia="TimesNewRoman"/>
                <w:color w:val="000000" w:themeColor="text1"/>
                <w:sz w:val="22"/>
                <w:szCs w:val="22"/>
                <w:lang w:eastAsia="zh-CN"/>
              </w:rPr>
            </w:pPr>
            <w:r>
              <w:rPr>
                <w:rFonts w:eastAsia="TimesNewRoman"/>
                <w:color w:val="000000" w:themeColor="text1"/>
                <w:sz w:val="22"/>
                <w:szCs w:val="22"/>
                <w:lang w:eastAsia="zh-CN"/>
              </w:rPr>
              <w:t>Bandwidth</w:t>
            </w:r>
          </w:p>
        </w:tc>
        <w:tc>
          <w:tcPr>
            <w:tcW w:w="1350"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text"/>
              <w:spacing w:before="0" w:after="0"/>
              <w:jc w:val="center"/>
              <w:rPr>
                <w:sz w:val="22"/>
                <w:szCs w:val="22"/>
                <w:lang w:eastAsia="zh-CN"/>
              </w:rPr>
            </w:pPr>
            <w:r>
              <w:rPr>
                <w:sz w:val="22"/>
                <w:szCs w:val="22"/>
                <w:lang w:eastAsia="zh-CN"/>
              </w:rPr>
              <w:t>Inspection</w:t>
            </w:r>
          </w:p>
        </w:tc>
        <w:tc>
          <w:tcPr>
            <w:tcW w:w="1530"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text"/>
              <w:spacing w:before="0" w:after="0"/>
              <w:jc w:val="center"/>
              <w:rPr>
                <w:rFonts w:eastAsia="SimSun"/>
                <w:sz w:val="22"/>
                <w:szCs w:val="22"/>
              </w:rPr>
            </w:pPr>
            <w:r w:rsidRPr="000E341F">
              <w:rPr>
                <w:rFonts w:eastAsia="SimSun"/>
                <w:sz w:val="22"/>
                <w:szCs w:val="22"/>
              </w:rPr>
              <w:t>§ 4.</w:t>
            </w:r>
            <w:r>
              <w:rPr>
                <w:rFonts w:eastAsia="SimSun"/>
                <w:sz w:val="22"/>
                <w:szCs w:val="22"/>
              </w:rPr>
              <w:t>13</w:t>
            </w:r>
          </w:p>
        </w:tc>
        <w:tc>
          <w:tcPr>
            <w:tcW w:w="1530" w:type="dxa"/>
            <w:tcBorders>
              <w:top w:val="single" w:sz="4" w:space="0" w:color="auto"/>
              <w:left w:val="single" w:sz="4" w:space="0" w:color="auto"/>
              <w:bottom w:val="single" w:sz="4" w:space="0" w:color="auto"/>
              <w:right w:val="single" w:sz="4" w:space="0" w:color="auto"/>
            </w:tcBorders>
            <w:vAlign w:val="center"/>
          </w:tcPr>
          <w:p w:rsidR="008C134E" w:rsidRPr="000E341F" w:rsidRDefault="008C134E" w:rsidP="00522953">
            <w:pPr>
              <w:pStyle w:val="Tabletext"/>
              <w:spacing w:before="0" w:after="0"/>
              <w:jc w:val="center"/>
              <w:rPr>
                <w:rFonts w:eastAsia="SimSun"/>
                <w:sz w:val="22"/>
                <w:szCs w:val="22"/>
              </w:rPr>
            </w:pPr>
            <w:r w:rsidRPr="000E341F">
              <w:rPr>
                <w:rFonts w:eastAsia="SimSun"/>
                <w:sz w:val="22"/>
                <w:szCs w:val="22"/>
              </w:rPr>
              <w:t>§ 7.</w:t>
            </w:r>
            <w:r>
              <w:rPr>
                <w:rFonts w:eastAsia="SimSun"/>
                <w:sz w:val="22"/>
                <w:szCs w:val="22"/>
              </w:rPr>
              <w:t>3</w:t>
            </w:r>
            <w:r w:rsidRPr="000E341F">
              <w:rPr>
                <w:rFonts w:eastAsia="SimSun"/>
                <w:sz w:val="22"/>
                <w:szCs w:val="22"/>
              </w:rPr>
              <w:t>.</w:t>
            </w:r>
            <w:r>
              <w:rPr>
                <w:rFonts w:eastAsia="SimSun"/>
                <w:sz w:val="22"/>
                <w:szCs w:val="22"/>
              </w:rPr>
              <w:t>1</w:t>
            </w:r>
          </w:p>
        </w:tc>
        <w:tc>
          <w:tcPr>
            <w:tcW w:w="2520" w:type="dxa"/>
            <w:tcBorders>
              <w:top w:val="single" w:sz="4" w:space="0" w:color="auto"/>
              <w:left w:val="single" w:sz="4" w:space="0" w:color="auto"/>
              <w:bottom w:val="single" w:sz="4" w:space="0" w:color="auto"/>
              <w:right w:val="single" w:sz="4" w:space="0" w:color="auto"/>
            </w:tcBorders>
            <w:vAlign w:val="center"/>
          </w:tcPr>
          <w:p w:rsidR="008C134E" w:rsidRPr="006C54F7" w:rsidRDefault="008C134E" w:rsidP="00522953">
            <w:pPr>
              <w:pStyle w:val="Tabletext"/>
              <w:spacing w:before="0" w:after="0"/>
              <w:jc w:val="center"/>
              <w:rPr>
                <w:rFonts w:eastAsia="SimSun"/>
                <w:sz w:val="22"/>
                <w:szCs w:val="22"/>
              </w:rPr>
            </w:pPr>
            <w:r w:rsidRPr="006C54F7">
              <w:rPr>
                <w:rFonts w:eastAsia="SimSun"/>
                <w:sz w:val="22"/>
                <w:szCs w:val="22"/>
              </w:rPr>
              <w:t>II-E-2-6</w:t>
            </w:r>
          </w:p>
        </w:tc>
      </w:tr>
      <w:bookmarkEnd w:id="12"/>
    </w:tbl>
    <w:p w:rsidR="00836D52" w:rsidRDefault="00836D52" w:rsidP="00836D52">
      <w:pPr>
        <w:pStyle w:val="Tablef"/>
      </w:pPr>
    </w:p>
    <w:p w:rsidR="008C134E" w:rsidRDefault="008C134E" w:rsidP="00EE7767">
      <w:pPr>
        <w:pStyle w:val="Heading1"/>
        <w:rPr>
          <w:rFonts w:eastAsia="MS Mincho"/>
          <w:lang w:val="en-US"/>
        </w:rPr>
      </w:pPr>
      <w:r w:rsidRPr="00C1787A">
        <w:rPr>
          <w:rFonts w:eastAsia="MS Mincho"/>
          <w:lang w:val="en-US"/>
        </w:rPr>
        <w:t>II-B</w:t>
      </w:r>
      <w:r w:rsidRPr="00C1787A">
        <w:rPr>
          <w:rFonts w:eastAsia="MS Mincho"/>
          <w:lang w:val="en-US"/>
        </w:rPr>
        <w:tab/>
        <w:t>Confirmation of utilization of the ITU-R evaluation guidelines in Report ITU</w:t>
      </w:r>
      <w:r w:rsidRPr="00C1787A">
        <w:rPr>
          <w:rFonts w:eastAsia="MS Mincho"/>
          <w:lang w:val="en-US"/>
        </w:rPr>
        <w:noBreakHyphen/>
        <w:t>R M.2412</w:t>
      </w:r>
    </w:p>
    <w:p w:rsidR="008C134E" w:rsidRDefault="008C134E" w:rsidP="00BD2603">
      <w:pPr>
        <w:spacing w:line="276" w:lineRule="auto"/>
        <w:jc w:val="both"/>
        <w:rPr>
          <w:lang w:val="en-US"/>
        </w:rPr>
      </w:pPr>
      <w:r w:rsidRPr="0064423F">
        <w:rPr>
          <w:lang w:val="en-US"/>
        </w:rPr>
        <w:t xml:space="preserve">The </w:t>
      </w:r>
      <w:r>
        <w:rPr>
          <w:lang w:val="en-US"/>
        </w:rPr>
        <w:t>WWRF IEG</w:t>
      </w:r>
      <w:r w:rsidRPr="0064423F">
        <w:rPr>
          <w:lang w:val="en-US"/>
        </w:rPr>
        <w:t xml:space="preserve"> and its members confirm </w:t>
      </w:r>
      <w:r>
        <w:rPr>
          <w:lang w:val="en-US"/>
        </w:rPr>
        <w:t xml:space="preserve">that </w:t>
      </w:r>
      <w:r w:rsidRPr="0064423F">
        <w:rPr>
          <w:lang w:val="en-US"/>
        </w:rPr>
        <w:t>they</w:t>
      </w:r>
      <w:r>
        <w:rPr>
          <w:lang w:val="en-US"/>
        </w:rPr>
        <w:t xml:space="preserve"> have</w:t>
      </w:r>
      <w:r w:rsidRPr="0064423F">
        <w:rPr>
          <w:lang w:val="en-US"/>
        </w:rPr>
        <w:t xml:space="preserve"> </w:t>
      </w:r>
      <w:r>
        <w:rPr>
          <w:lang w:val="en-US"/>
        </w:rPr>
        <w:t xml:space="preserve">followed the ITU-R evaluation guidelines provided in the Report </w:t>
      </w:r>
      <w:r w:rsidRPr="0064423F">
        <w:rPr>
          <w:lang w:val="en-US"/>
        </w:rPr>
        <w:t>ITU-</w:t>
      </w:r>
      <w:r w:rsidRPr="000C7D22">
        <w:rPr>
          <w:lang w:val="en-US"/>
        </w:rPr>
        <w:t xml:space="preserve">R </w:t>
      </w:r>
      <w:hyperlink r:id="rId20">
        <w:r w:rsidRPr="000C7D22">
          <w:rPr>
            <w:rStyle w:val="Hyperlink"/>
            <w:lang w:val="en-US"/>
          </w:rPr>
          <w:t>M.2412</w:t>
        </w:r>
      </w:hyperlink>
      <w:r w:rsidRPr="000C7D22">
        <w:rPr>
          <w:rStyle w:val="Hyperlink"/>
          <w:lang w:val="en-US"/>
        </w:rPr>
        <w:t>-0</w:t>
      </w:r>
      <w:r w:rsidRPr="000C7D22">
        <w:rPr>
          <w:lang w:val="en-US"/>
        </w:rPr>
        <w:t>.</w:t>
      </w:r>
      <w:r>
        <w:rPr>
          <w:lang w:val="en-US"/>
        </w:rPr>
        <w:t xml:space="preserve"> </w:t>
      </w:r>
    </w:p>
    <w:p w:rsidR="008C134E" w:rsidRDefault="008C134E" w:rsidP="00EE7767">
      <w:pPr>
        <w:pStyle w:val="Heading1"/>
        <w:rPr>
          <w:rFonts w:eastAsia="MS Mincho"/>
          <w:lang w:val="en-US"/>
        </w:rPr>
      </w:pPr>
      <w:r w:rsidRPr="00C1787A">
        <w:rPr>
          <w:rFonts w:eastAsia="MS Mincho"/>
          <w:lang w:val="en-US"/>
        </w:rPr>
        <w:t>II-C</w:t>
      </w:r>
      <w:r w:rsidRPr="00C1787A">
        <w:rPr>
          <w:rFonts w:eastAsia="MS Mincho"/>
          <w:lang w:val="en-US"/>
        </w:rPr>
        <w:tab/>
        <w:t>Documentation of any additional evaluation methodologies that are or might be developed by the Independent Evaluation Group to complement the evaluation guidelines</w:t>
      </w:r>
    </w:p>
    <w:p w:rsidR="008C134E" w:rsidRDefault="008C134E" w:rsidP="00EE7767">
      <w:pPr>
        <w:spacing w:after="120"/>
        <w:jc w:val="both"/>
      </w:pPr>
      <w:r>
        <w:t>For assessing characteristics using simulation, i.e., reliability and connection density, we rely on an in-house simulation tool. The developed simulator is decomposed into two main components:</w:t>
      </w:r>
    </w:p>
    <w:p w:rsidR="008C134E" w:rsidRDefault="00836D52" w:rsidP="00836D52">
      <w:pPr>
        <w:pStyle w:val="enumlev1"/>
      </w:pPr>
      <w:r>
        <w:t>•</w:t>
      </w:r>
      <w:r>
        <w:tab/>
      </w:r>
      <w:r w:rsidR="008C134E">
        <w:t>The link level simulator: implementing/simulating the radio transmission between two nodes of the system.</w:t>
      </w:r>
    </w:p>
    <w:p w:rsidR="008C134E" w:rsidRDefault="00836D52" w:rsidP="00836D52">
      <w:pPr>
        <w:pStyle w:val="enumlev1"/>
      </w:pPr>
      <w:r>
        <w:t>•</w:t>
      </w:r>
      <w:r>
        <w:tab/>
      </w:r>
      <w:r w:rsidR="008C134E">
        <w:t>The system level simulator: implementing/simulating the radio access network setup according to the specifications of the ITU evaluation guidelines (</w:t>
      </w:r>
      <w:r w:rsidR="008C134E" w:rsidRPr="0093753B">
        <w:t>ITU-R M.2412 § 8.</w:t>
      </w:r>
      <w:r w:rsidR="008C134E">
        <w:t>4).</w:t>
      </w:r>
    </w:p>
    <w:p w:rsidR="008C134E" w:rsidRDefault="008C134E" w:rsidP="00EE7767">
      <w:pPr>
        <w:spacing w:after="120"/>
        <w:jc w:val="both"/>
      </w:pPr>
      <w:r>
        <w:t>It is noted that:</w:t>
      </w:r>
    </w:p>
    <w:p w:rsidR="008C134E" w:rsidRDefault="00836D52" w:rsidP="00836D52">
      <w:pPr>
        <w:pStyle w:val="enumlev1"/>
      </w:pPr>
      <w:r>
        <w:t>•</w:t>
      </w:r>
      <w:r>
        <w:tab/>
      </w:r>
      <w:r w:rsidR="008C134E">
        <w:t>Both simulator components are developed in MATLAB/Octave.</w:t>
      </w:r>
    </w:p>
    <w:p w:rsidR="008C134E" w:rsidRPr="00431DDD" w:rsidRDefault="00836D52" w:rsidP="00836D52">
      <w:pPr>
        <w:pStyle w:val="enumlev1"/>
      </w:pPr>
      <w:r>
        <w:t>•</w:t>
      </w:r>
      <w:r>
        <w:tab/>
      </w:r>
      <w:r w:rsidR="008C134E" w:rsidRPr="00431DDD">
        <w:t xml:space="preserve">Both simulator components are developed in-house with limited use of MATLAB communication toolbox functions – the latter mainly used for channel modelling purposes. </w:t>
      </w:r>
    </w:p>
    <w:p w:rsidR="008C134E" w:rsidRDefault="00836D52" w:rsidP="00836D52">
      <w:pPr>
        <w:pStyle w:val="enumlev1"/>
      </w:pPr>
      <w:r>
        <w:t>•</w:t>
      </w:r>
      <w:r>
        <w:tab/>
      </w:r>
      <w:r w:rsidR="008C134E">
        <w:t>In order to develop the simulator, the following documents were used as a reference:</w:t>
      </w:r>
    </w:p>
    <w:p w:rsidR="008C134E" w:rsidRDefault="00836D52" w:rsidP="00836D52">
      <w:pPr>
        <w:pStyle w:val="enumlev2"/>
      </w:pPr>
      <w:r>
        <w:t>ͦ</w:t>
      </w:r>
      <w:r>
        <w:tab/>
      </w:r>
      <w:r w:rsidR="008C134E">
        <w:t xml:space="preserve">ITU-R M.2412 </w:t>
      </w:r>
      <w:r w:rsidR="008C134E" w:rsidRPr="0093753B">
        <w:t>Guidelines for evaluation of radio interface technologies for IMT-2020</w:t>
      </w:r>
      <w:r w:rsidR="008C134E">
        <w:t>,</w:t>
      </w:r>
    </w:p>
    <w:p w:rsidR="008C134E" w:rsidRDefault="00836D52" w:rsidP="00836D52">
      <w:pPr>
        <w:pStyle w:val="enumlev2"/>
      </w:pPr>
      <w:r>
        <w:t>ͦ</w:t>
      </w:r>
      <w:r>
        <w:tab/>
      </w:r>
      <w:r w:rsidR="008C134E">
        <w:t xml:space="preserve">ITU-R M.2411 </w:t>
      </w:r>
      <w:r w:rsidR="008C134E" w:rsidRPr="0093753B">
        <w:t>Requirements, evaluation criteria and submission templates for the development of IMT-2020</w:t>
      </w:r>
      <w:r w:rsidR="008C134E">
        <w:t>,</w:t>
      </w:r>
    </w:p>
    <w:p w:rsidR="008C134E" w:rsidRDefault="00836D52" w:rsidP="00836D52">
      <w:pPr>
        <w:pStyle w:val="enumlev2"/>
      </w:pPr>
      <w:r>
        <w:t>ͦ</w:t>
      </w:r>
      <w:r>
        <w:tab/>
      </w:r>
      <w:r w:rsidR="008C134E" w:rsidRPr="008557AA">
        <w:t>TS103.636-1, DECT-2020 New Radio (NR); Part 1: Overview</w:t>
      </w:r>
      <w:r w:rsidR="008C134E">
        <w:t>,</w:t>
      </w:r>
    </w:p>
    <w:p w:rsidR="008C134E" w:rsidRDefault="00836D52" w:rsidP="00836D52">
      <w:pPr>
        <w:pStyle w:val="enumlev2"/>
      </w:pPr>
      <w:r>
        <w:t>ͦ</w:t>
      </w:r>
      <w:r>
        <w:tab/>
      </w:r>
      <w:r w:rsidR="008C134E" w:rsidRPr="008557AA">
        <w:t>TS103.636-2, DECT-2020 New Radio (NR); Part 2: Radio reception and transmission requirements</w:t>
      </w:r>
      <w:r w:rsidR="008C134E">
        <w:t>,</w:t>
      </w:r>
    </w:p>
    <w:p w:rsidR="008C134E" w:rsidRDefault="00836D52" w:rsidP="00836D52">
      <w:pPr>
        <w:pStyle w:val="enumlev2"/>
      </w:pPr>
      <w:r>
        <w:t>ͦ</w:t>
      </w:r>
      <w:r>
        <w:tab/>
      </w:r>
      <w:r w:rsidR="008C134E" w:rsidRPr="008557AA">
        <w:t>TS103.636-3, DECT-2020 New Radio (NR); Part 3: Physical layer</w:t>
      </w:r>
      <w:r w:rsidR="008C134E">
        <w:t>,</w:t>
      </w:r>
    </w:p>
    <w:p w:rsidR="008C134E" w:rsidRDefault="00836D52" w:rsidP="00836D52">
      <w:pPr>
        <w:pStyle w:val="enumlev2"/>
      </w:pPr>
      <w:r>
        <w:t>ͦ</w:t>
      </w:r>
      <w:r>
        <w:tab/>
      </w:r>
      <w:r w:rsidR="008C134E" w:rsidRPr="008557AA">
        <w:t>TS103.636-4,</w:t>
      </w:r>
      <w:r w:rsidR="008C134E">
        <w:t xml:space="preserve"> </w:t>
      </w:r>
      <w:r w:rsidR="008C134E" w:rsidRPr="008557AA">
        <w:t>DECT-2020</w:t>
      </w:r>
      <w:r w:rsidR="008C134E">
        <w:t xml:space="preserve"> </w:t>
      </w:r>
      <w:r w:rsidR="008C134E" w:rsidRPr="008557AA">
        <w:t>New</w:t>
      </w:r>
      <w:r w:rsidR="008C134E">
        <w:t xml:space="preserve"> </w:t>
      </w:r>
      <w:r w:rsidR="008C134E" w:rsidRPr="008557AA">
        <w:t>Radio</w:t>
      </w:r>
      <w:r w:rsidR="008C134E">
        <w:t xml:space="preserve"> </w:t>
      </w:r>
      <w:r w:rsidR="008C134E" w:rsidRPr="008557AA">
        <w:t>(NR);</w:t>
      </w:r>
      <w:r w:rsidR="008C134E">
        <w:t xml:space="preserve"> </w:t>
      </w:r>
      <w:r w:rsidR="008C134E" w:rsidRPr="008557AA">
        <w:t>Part</w:t>
      </w:r>
      <w:r w:rsidR="008C134E">
        <w:t xml:space="preserve"> </w:t>
      </w:r>
      <w:r w:rsidR="008C134E" w:rsidRPr="008557AA">
        <w:t>4:</w:t>
      </w:r>
      <w:r w:rsidR="008C134E">
        <w:t xml:space="preserve"> </w:t>
      </w:r>
      <w:r w:rsidR="008C134E" w:rsidRPr="008557AA">
        <w:t>MAC</w:t>
      </w:r>
      <w:r w:rsidR="008C134E">
        <w:t xml:space="preserve"> </w:t>
      </w:r>
      <w:r w:rsidR="008C134E" w:rsidRPr="008557AA">
        <w:t>layer</w:t>
      </w:r>
    </w:p>
    <w:p w:rsidR="008C134E" w:rsidRDefault="00836D52" w:rsidP="00836D52">
      <w:pPr>
        <w:pStyle w:val="enumlev2"/>
      </w:pPr>
      <w:r>
        <w:t>ͦ</w:t>
      </w:r>
      <w:r>
        <w:tab/>
      </w:r>
      <w:r w:rsidR="008C134E">
        <w:t>5D/1299 Submission Template</w:t>
      </w:r>
    </w:p>
    <w:p w:rsidR="008C134E" w:rsidRPr="00C1787A" w:rsidRDefault="008C134E" w:rsidP="00EE7767">
      <w:pPr>
        <w:pStyle w:val="Heading1"/>
        <w:jc w:val="both"/>
        <w:rPr>
          <w:rFonts w:eastAsia="MS Mincho"/>
          <w:lang w:val="en-US"/>
        </w:rPr>
      </w:pPr>
      <w:r w:rsidRPr="00C1787A">
        <w:rPr>
          <w:rFonts w:eastAsia="MS Mincho"/>
          <w:lang w:val="en-US"/>
        </w:rPr>
        <w:t>II-D</w:t>
      </w:r>
      <w:r w:rsidRPr="00C1787A">
        <w:rPr>
          <w:rFonts w:eastAsia="MS Mincho"/>
          <w:lang w:val="en-US"/>
        </w:rPr>
        <w:tab/>
        <w:t>Verification as per Report ITU-R M.2411 of the compliance templates and the self-evaluation for each candidate technology as indicated in A)</w:t>
      </w:r>
    </w:p>
    <w:p w:rsidR="008C134E" w:rsidRDefault="008C134E" w:rsidP="00EE7767">
      <w:pPr>
        <w:rPr>
          <w:lang w:val="en-US"/>
        </w:rPr>
      </w:pPr>
      <w:r>
        <w:rPr>
          <w:lang w:val="en-US"/>
        </w:rPr>
        <w:t>No</w:t>
      </w:r>
      <w:r w:rsidRPr="0064423F">
        <w:rPr>
          <w:lang w:val="en-US"/>
        </w:rPr>
        <w:t xml:space="preserve"> clarification</w:t>
      </w:r>
      <w:r>
        <w:rPr>
          <w:lang w:val="en-US"/>
        </w:rPr>
        <w:t xml:space="preserve"> on compliance templates or self-evaluation has been requested.</w:t>
      </w:r>
    </w:p>
    <w:p w:rsidR="008C134E" w:rsidRDefault="008C134E" w:rsidP="00EE7767">
      <w:pPr>
        <w:rPr>
          <w:lang w:val="en-US"/>
        </w:rPr>
      </w:pPr>
    </w:p>
    <w:p w:rsidR="008C134E" w:rsidRDefault="008C134E" w:rsidP="00EE7767">
      <w:pPr>
        <w:pStyle w:val="Heading1"/>
        <w:jc w:val="both"/>
        <w:rPr>
          <w:rFonts w:eastAsia="MS Mincho"/>
          <w:lang w:val="en-US"/>
        </w:rPr>
      </w:pPr>
      <w:r w:rsidRPr="00C1787A">
        <w:rPr>
          <w:rFonts w:eastAsia="MS Mincho"/>
          <w:lang w:val="en-US"/>
        </w:rPr>
        <w:t>II-E</w:t>
      </w:r>
      <w:r w:rsidRPr="00C1787A">
        <w:rPr>
          <w:rFonts w:eastAsia="MS Mincho"/>
          <w:lang w:val="en-US"/>
        </w:rPr>
        <w:tab/>
        <w:t>Assessment as per Reports ITU-R M.2410, ITU-R M.2411 and ITU-R M.2412 for each candidate technology as indicated in A)</w:t>
      </w:r>
    </w:p>
    <w:p w:rsidR="008C134E" w:rsidRDefault="008C134E" w:rsidP="008F23D2">
      <w:pPr>
        <w:spacing w:line="276" w:lineRule="auto"/>
        <w:jc w:val="both"/>
        <w:rPr>
          <w:lang w:val="en-US"/>
        </w:rPr>
      </w:pPr>
      <w:r>
        <w:rPr>
          <w:lang w:val="en-US"/>
        </w:rPr>
        <w:t xml:space="preserve">The WWRF IEG evaluated </w:t>
      </w:r>
      <w:r w:rsidRPr="00204881">
        <w:rPr>
          <w:lang w:val="en-US"/>
        </w:rPr>
        <w:t>the DECT-2020 NR RIT component</w:t>
      </w:r>
      <w:r>
        <w:rPr>
          <w:lang w:val="en-US"/>
        </w:rPr>
        <w:t>,</w:t>
      </w:r>
      <w:r w:rsidRPr="00204881">
        <w:t xml:space="preserve"> </w:t>
      </w:r>
      <w:r>
        <w:t xml:space="preserve">as the </w:t>
      </w:r>
      <w:r w:rsidRPr="00204881">
        <w:rPr>
          <w:lang w:val="en-US"/>
        </w:rPr>
        <w:t>3GPP 5G NR component RIT of the proposal was reviewed by other IEGs and already concluded by ITU-R WP 5D to fulfil the requirements.</w:t>
      </w:r>
      <w:r>
        <w:rPr>
          <w:lang w:val="en-US"/>
        </w:rPr>
        <w:t xml:space="preserve"> We provide the compliance templates for services, spectrum and technical performance (Section II-E-1) and then the minimum technical performance requirements analysis</w:t>
      </w:r>
      <w:r>
        <w:rPr>
          <w:lang w:val="en-US"/>
        </w:rPr>
        <w:br/>
        <w:t xml:space="preserve">(Section II-E-2). </w:t>
      </w:r>
      <w:r w:rsidRPr="00204881">
        <w:rPr>
          <w:lang w:val="en-US"/>
        </w:rPr>
        <w:t>Since the DECT-2020 component RIT addresses URLLC and mMTC test environments, the technical performance requirements related to these test environment</w:t>
      </w:r>
      <w:r>
        <w:rPr>
          <w:lang w:val="en-US"/>
        </w:rPr>
        <w:t>s</w:t>
      </w:r>
      <w:r w:rsidRPr="00204881">
        <w:rPr>
          <w:lang w:val="en-US"/>
        </w:rPr>
        <w:t xml:space="preserve"> </w:t>
      </w:r>
      <w:r>
        <w:rPr>
          <w:lang w:val="en-US"/>
        </w:rPr>
        <w:t>were</w:t>
      </w:r>
      <w:r w:rsidRPr="00204881">
        <w:rPr>
          <w:lang w:val="en-US"/>
        </w:rPr>
        <w:t xml:space="preserve"> evaluated</w:t>
      </w:r>
      <w:r>
        <w:rPr>
          <w:lang w:val="en-US"/>
        </w:rPr>
        <w:t xml:space="preserve"> only</w:t>
      </w:r>
      <w:r w:rsidRPr="00204881">
        <w:rPr>
          <w:lang w:val="en-US"/>
        </w:rPr>
        <w:t>.</w:t>
      </w:r>
    </w:p>
    <w:p w:rsidR="008C134E" w:rsidRPr="00077639" w:rsidRDefault="008C134E" w:rsidP="000A763D">
      <w:pPr>
        <w:pStyle w:val="Heading2"/>
        <w:spacing w:line="276" w:lineRule="auto"/>
        <w:rPr>
          <w:rFonts w:eastAsia="MS Mincho"/>
          <w:lang w:val="pt-PT"/>
        </w:rPr>
      </w:pPr>
      <w:r w:rsidRPr="00077639">
        <w:rPr>
          <w:rFonts w:eastAsia="MS Mincho"/>
          <w:lang w:val="pt-PT"/>
        </w:rPr>
        <w:t>II-E-1</w:t>
      </w:r>
      <w:r w:rsidRPr="00077639">
        <w:rPr>
          <w:rFonts w:eastAsia="MS Mincho"/>
          <w:lang w:val="pt-PT"/>
        </w:rPr>
        <w:tab/>
        <w:t>Compliance Templates</w:t>
      </w:r>
    </w:p>
    <w:p w:rsidR="008C134E" w:rsidRPr="00077639" w:rsidRDefault="008C134E" w:rsidP="002F1926">
      <w:pPr>
        <w:pStyle w:val="Heading3"/>
        <w:rPr>
          <w:rFonts w:eastAsia="MS Mincho"/>
          <w:lang w:val="pt-PT"/>
        </w:rPr>
      </w:pPr>
      <w:r w:rsidRPr="00077639">
        <w:rPr>
          <w:rFonts w:eastAsia="MS Mincho"/>
          <w:lang w:val="pt-PT"/>
        </w:rPr>
        <w:t>II-E-1-1</w:t>
      </w:r>
      <w:r w:rsidRPr="00077639">
        <w:rPr>
          <w:rFonts w:eastAsia="MS Mincho"/>
          <w:lang w:val="pt-PT"/>
        </w:rPr>
        <w:tab/>
        <w:t>Services</w:t>
      </w:r>
    </w:p>
    <w:p w:rsidR="008C134E" w:rsidRPr="00077639" w:rsidRDefault="008C134E" w:rsidP="002F1926">
      <w:pPr>
        <w:rPr>
          <w:lang w:val="pt-PT"/>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920"/>
      </w:tblGrid>
      <w:tr w:rsidR="008C134E" w:rsidRPr="00D15643" w:rsidTr="00820974">
        <w:tc>
          <w:tcPr>
            <w:tcW w:w="1435" w:type="dxa"/>
            <w:tcBorders>
              <w:top w:val="single" w:sz="4" w:space="0" w:color="auto"/>
              <w:left w:val="single" w:sz="4" w:space="0" w:color="auto"/>
              <w:bottom w:val="single" w:sz="4" w:space="0" w:color="auto"/>
              <w:right w:val="single" w:sz="4" w:space="0" w:color="auto"/>
            </w:tcBorders>
          </w:tcPr>
          <w:p w:rsidR="008C134E" w:rsidRPr="00077639" w:rsidRDefault="008C134E" w:rsidP="004160DC">
            <w:pPr>
              <w:pStyle w:val="Tablehead"/>
              <w:rPr>
                <w:rFonts w:eastAsia="SimSun"/>
                <w:sz w:val="22"/>
                <w:szCs w:val="22"/>
                <w:lang w:val="pt-PT"/>
              </w:rPr>
            </w:pPr>
          </w:p>
        </w:tc>
        <w:tc>
          <w:tcPr>
            <w:tcW w:w="7920" w:type="dxa"/>
            <w:tcBorders>
              <w:top w:val="single" w:sz="4" w:space="0" w:color="auto"/>
              <w:left w:val="single" w:sz="4" w:space="0" w:color="auto"/>
              <w:bottom w:val="single" w:sz="4" w:space="0" w:color="auto"/>
              <w:right w:val="single" w:sz="4" w:space="0" w:color="auto"/>
            </w:tcBorders>
            <w:hideMark/>
          </w:tcPr>
          <w:p w:rsidR="008C134E" w:rsidRPr="00D15643" w:rsidRDefault="008C134E" w:rsidP="004160DC">
            <w:pPr>
              <w:pStyle w:val="Tablehead"/>
              <w:rPr>
                <w:rFonts w:eastAsia="SimSun"/>
                <w:sz w:val="22"/>
                <w:szCs w:val="22"/>
              </w:rPr>
            </w:pPr>
            <w:r w:rsidRPr="00D15643">
              <w:rPr>
                <w:rFonts w:eastAsia="SimSun"/>
                <w:sz w:val="22"/>
                <w:szCs w:val="22"/>
              </w:rPr>
              <w:t>S</w:t>
            </w:r>
            <w:r w:rsidRPr="00D15643">
              <w:rPr>
                <w:sz w:val="22"/>
                <w:szCs w:val="22"/>
              </w:rPr>
              <w:t>ervice</w:t>
            </w:r>
            <w:r w:rsidRPr="00D15643">
              <w:rPr>
                <w:rFonts w:eastAsia="SimSun"/>
                <w:sz w:val="22"/>
                <w:szCs w:val="22"/>
              </w:rPr>
              <w:t xml:space="preserve"> capability requirements</w:t>
            </w:r>
          </w:p>
        </w:tc>
      </w:tr>
      <w:tr w:rsidR="008C134E" w:rsidRPr="00D15643" w:rsidTr="00820974">
        <w:trPr>
          <w:trHeight w:val="915"/>
        </w:trPr>
        <w:tc>
          <w:tcPr>
            <w:tcW w:w="1435" w:type="dxa"/>
            <w:vMerge w:val="restart"/>
            <w:tcBorders>
              <w:top w:val="single" w:sz="4" w:space="0" w:color="auto"/>
              <w:left w:val="single" w:sz="4" w:space="0" w:color="auto"/>
              <w:right w:val="single" w:sz="4" w:space="0" w:color="auto"/>
            </w:tcBorders>
            <w:hideMark/>
          </w:tcPr>
          <w:p w:rsidR="008C134E" w:rsidRPr="00D15643" w:rsidRDefault="008C134E" w:rsidP="004160DC">
            <w:pPr>
              <w:pStyle w:val="Tabletext"/>
              <w:rPr>
                <w:rFonts w:eastAsia="MS Mincho"/>
                <w:b/>
                <w:bCs/>
                <w:sz w:val="22"/>
                <w:szCs w:val="22"/>
              </w:rPr>
            </w:pPr>
            <w:r w:rsidRPr="00D15643">
              <w:rPr>
                <w:b/>
                <w:bCs/>
                <w:sz w:val="22"/>
                <w:szCs w:val="22"/>
              </w:rPr>
              <w:t>5</w:t>
            </w:r>
            <w:r w:rsidRPr="00D15643">
              <w:rPr>
                <w:rFonts w:eastAsia="SimSun"/>
                <w:b/>
                <w:bCs/>
                <w:sz w:val="22"/>
                <w:szCs w:val="22"/>
              </w:rPr>
              <w:t>.2.4.1</w:t>
            </w:r>
            <w:r w:rsidRPr="00D15643">
              <w:rPr>
                <w:b/>
                <w:bCs/>
                <w:sz w:val="22"/>
                <w:szCs w:val="22"/>
              </w:rPr>
              <w:t>.1</w:t>
            </w:r>
          </w:p>
        </w:tc>
        <w:tc>
          <w:tcPr>
            <w:tcW w:w="7920" w:type="dxa"/>
            <w:tcBorders>
              <w:top w:val="single" w:sz="4" w:space="0" w:color="auto"/>
              <w:left w:val="single" w:sz="4" w:space="0" w:color="auto"/>
              <w:bottom w:val="single" w:sz="4" w:space="0" w:color="auto"/>
              <w:right w:val="single" w:sz="4" w:space="0" w:color="auto"/>
            </w:tcBorders>
            <w:hideMark/>
          </w:tcPr>
          <w:p w:rsidR="008C134E" w:rsidRPr="00D15643" w:rsidRDefault="008C134E" w:rsidP="004160DC">
            <w:pPr>
              <w:pStyle w:val="Tabletext"/>
              <w:rPr>
                <w:rFonts w:eastAsia="SimSun"/>
                <w:b/>
                <w:bCs/>
                <w:sz w:val="22"/>
                <w:szCs w:val="22"/>
              </w:rPr>
            </w:pPr>
            <w:r w:rsidRPr="00D15643">
              <w:rPr>
                <w:b/>
                <w:bCs/>
                <w:sz w:val="22"/>
                <w:szCs w:val="22"/>
              </w:rPr>
              <w:t>Support for wide range of services</w:t>
            </w:r>
          </w:p>
          <w:p w:rsidR="008C134E" w:rsidRPr="00D15643" w:rsidRDefault="008C134E" w:rsidP="004160DC">
            <w:pPr>
              <w:pStyle w:val="Tabletext"/>
              <w:rPr>
                <w:rFonts w:eastAsia="MS Mincho"/>
                <w:sz w:val="22"/>
                <w:szCs w:val="22"/>
              </w:rPr>
            </w:pPr>
            <w:r w:rsidRPr="00D15643">
              <w:rPr>
                <w:sz w:val="22"/>
                <w:szCs w:val="22"/>
              </w:rPr>
              <w:t xml:space="preserve">Is the proposal able to support a range of services across </w:t>
            </w:r>
            <w:r w:rsidRPr="00D15643">
              <w:rPr>
                <w:rFonts w:eastAsia="Malgun Gothic"/>
                <w:sz w:val="22"/>
                <w:szCs w:val="22"/>
              </w:rPr>
              <w:t>different</w:t>
            </w:r>
            <w:r w:rsidRPr="00D15643">
              <w:rPr>
                <w:sz w:val="22"/>
                <w:szCs w:val="22"/>
              </w:rPr>
              <w:t xml:space="preserve"> usage scenarios (eMBB, URLLC, and mMTC)</w:t>
            </w:r>
            <w:r w:rsidRPr="00D15643">
              <w:rPr>
                <w:rFonts w:eastAsia="SimSun"/>
                <w:sz w:val="22"/>
                <w:szCs w:val="22"/>
              </w:rPr>
              <w:t xml:space="preserve">?: </w:t>
            </w:r>
            <w:r w:rsidRPr="00D15643">
              <w:rPr>
                <w:rFonts w:eastAsia="SimSun"/>
                <w:sz w:val="22"/>
                <w:szCs w:val="22"/>
              </w:rPr>
              <w:tab/>
            </w:r>
            <w:r w:rsidRPr="00D15643">
              <w:rPr>
                <w:rFonts w:ascii="Wingdings" w:eastAsia="Wingdings" w:hAnsi="Wingdings" w:cs="Wingdings"/>
                <w:sz w:val="22"/>
                <w:szCs w:val="22"/>
                <w:lang w:val="en-US"/>
              </w:rPr>
              <w:sym w:font="Wingdings" w:char="F0FE"/>
            </w:r>
            <w:r w:rsidRPr="00D15643">
              <w:rPr>
                <w:rFonts w:eastAsia="SimSun"/>
                <w:sz w:val="22"/>
                <w:szCs w:val="22"/>
              </w:rPr>
              <w:t xml:space="preserve">YES / </w:t>
            </w:r>
            <w:r w:rsidRPr="00D15643">
              <w:rPr>
                <w:rFonts w:eastAsia="SimSun"/>
                <w:sz w:val="22"/>
                <w:szCs w:val="22"/>
              </w:rPr>
              <w:sym w:font="Times New Roman" w:char="F072"/>
            </w:r>
            <w:r w:rsidRPr="00D15643">
              <w:rPr>
                <w:rFonts w:eastAsia="SimSun"/>
                <w:sz w:val="22"/>
                <w:szCs w:val="22"/>
              </w:rPr>
              <w:t>NO</w:t>
            </w:r>
          </w:p>
          <w:p w:rsidR="008C134E" w:rsidRPr="00D15643" w:rsidRDefault="008C134E" w:rsidP="004160DC">
            <w:pPr>
              <w:pStyle w:val="Tabletext"/>
              <w:rPr>
                <w:rFonts w:eastAsia="Malgun Gothic"/>
                <w:sz w:val="22"/>
                <w:szCs w:val="22"/>
              </w:rPr>
            </w:pPr>
            <w:r w:rsidRPr="00D15643">
              <w:rPr>
                <w:sz w:val="22"/>
                <w:szCs w:val="22"/>
              </w:rPr>
              <w:t xml:space="preserve">Specify which usage scenarios (eMBB, URLLC, and mMTC) the </w:t>
            </w:r>
            <w:r w:rsidRPr="00D15643">
              <w:rPr>
                <w:rFonts w:eastAsia="SimSun"/>
                <w:sz w:val="22"/>
                <w:szCs w:val="22"/>
              </w:rPr>
              <w:t xml:space="preserve">candidate RIT or candidate SRIT can </w:t>
            </w:r>
            <w:r w:rsidRPr="00D15643">
              <w:rPr>
                <w:sz w:val="22"/>
                <w:szCs w:val="22"/>
              </w:rPr>
              <w:t>support</w:t>
            </w:r>
          </w:p>
        </w:tc>
      </w:tr>
      <w:tr w:rsidR="008C134E" w:rsidRPr="00D15643" w:rsidTr="00820974">
        <w:trPr>
          <w:trHeight w:val="914"/>
        </w:trPr>
        <w:tc>
          <w:tcPr>
            <w:tcW w:w="1435" w:type="dxa"/>
            <w:vMerge/>
            <w:tcBorders>
              <w:left w:val="single" w:sz="4" w:space="0" w:color="auto"/>
              <w:bottom w:val="single" w:sz="4" w:space="0" w:color="auto"/>
              <w:right w:val="single" w:sz="4" w:space="0" w:color="auto"/>
            </w:tcBorders>
          </w:tcPr>
          <w:p w:rsidR="008C134E" w:rsidRPr="00D15643" w:rsidRDefault="008C134E" w:rsidP="004160DC">
            <w:pPr>
              <w:pStyle w:val="Tabletext"/>
              <w:rPr>
                <w:b/>
                <w:bCs/>
                <w:sz w:val="22"/>
                <w:szCs w:val="22"/>
              </w:rPr>
            </w:pPr>
          </w:p>
        </w:tc>
        <w:tc>
          <w:tcPr>
            <w:tcW w:w="7920" w:type="dxa"/>
            <w:tcBorders>
              <w:top w:val="single" w:sz="4" w:space="0" w:color="auto"/>
              <w:left w:val="single" w:sz="4" w:space="0" w:color="auto"/>
              <w:bottom w:val="single" w:sz="4" w:space="0" w:color="auto"/>
              <w:right w:val="single" w:sz="4" w:space="0" w:color="auto"/>
            </w:tcBorders>
          </w:tcPr>
          <w:p w:rsidR="008C134E" w:rsidRPr="00D15643" w:rsidRDefault="008C134E" w:rsidP="004160DC">
            <w:pPr>
              <w:pStyle w:val="Tabletext"/>
              <w:rPr>
                <w:b/>
                <w:bCs/>
                <w:sz w:val="22"/>
                <w:szCs w:val="22"/>
              </w:rPr>
            </w:pPr>
            <w:r w:rsidRPr="00D15643">
              <w:rPr>
                <w:b/>
                <w:bCs/>
                <w:sz w:val="22"/>
                <w:szCs w:val="22"/>
              </w:rPr>
              <w:t>Evaluator’s Comments:</w:t>
            </w:r>
          </w:p>
          <w:p w:rsidR="008C134E" w:rsidRPr="00D15643" w:rsidRDefault="008C134E" w:rsidP="00101439">
            <w:pPr>
              <w:pStyle w:val="Tabletext"/>
              <w:tabs>
                <w:tab w:val="clear" w:pos="284"/>
                <w:tab w:val="clear" w:pos="567"/>
                <w:tab w:val="left" w:pos="254"/>
              </w:tabs>
              <w:spacing w:after="80"/>
              <w:jc w:val="both"/>
              <w:rPr>
                <w:rFonts w:eastAsia="MS Mincho"/>
                <w:sz w:val="22"/>
                <w:szCs w:val="22"/>
              </w:rPr>
            </w:pPr>
            <w:r w:rsidRPr="00D15643">
              <w:rPr>
                <w:rFonts w:eastAsia="MS Mincho"/>
                <w:sz w:val="22"/>
                <w:szCs w:val="22"/>
              </w:rPr>
              <w:t>The DECT NR 2020 RIT supports URLLC and mMTC usage scenarios.</w:t>
            </w:r>
          </w:p>
          <w:p w:rsidR="008C134E" w:rsidRPr="00D15643" w:rsidRDefault="008C134E" w:rsidP="00101439">
            <w:pPr>
              <w:pStyle w:val="Tabletext"/>
              <w:jc w:val="both"/>
              <w:rPr>
                <w:rFonts w:eastAsia="MS Mincho"/>
                <w:sz w:val="22"/>
                <w:szCs w:val="22"/>
              </w:rPr>
            </w:pPr>
            <w:r w:rsidRPr="00D15643">
              <w:rPr>
                <w:rFonts w:eastAsia="MS Mincho"/>
                <w:sz w:val="22"/>
                <w:szCs w:val="22"/>
              </w:rPr>
              <w:t xml:space="preserve">Note: </w:t>
            </w:r>
            <w:r w:rsidRPr="00D15643">
              <w:rPr>
                <w:rFonts w:eastAsia="MS Mincho"/>
                <w:sz w:val="22"/>
                <w:szCs w:val="22"/>
                <w:lang w:val="en-US"/>
              </w:rPr>
              <w:t>The proposed RIT component is part of an SRIT which also includes the</w:t>
            </w:r>
            <w:r w:rsidRPr="00D15643">
              <w:rPr>
                <w:rFonts w:asciiTheme="majorBidi" w:hAnsiTheme="majorBidi" w:cstheme="majorBidi"/>
                <w:sz w:val="22"/>
                <w:szCs w:val="22"/>
                <w:lang w:val="en-US"/>
              </w:rPr>
              <w:t xml:space="preserve"> 3GPP 5G NR component RIT. The </w:t>
            </w:r>
            <w:r w:rsidRPr="00D15643">
              <w:rPr>
                <w:rFonts w:eastAsia="MS Mincho"/>
                <w:sz w:val="22"/>
                <w:szCs w:val="22"/>
                <w:lang w:val="en-US"/>
              </w:rPr>
              <w:t>3GPP 5G NR is identical to the submission by 3GPP, which was concluded by ITU-R WP 5D to support eMBB, URLLC and mMTC usage scenarios.</w:t>
            </w:r>
          </w:p>
        </w:tc>
      </w:tr>
    </w:tbl>
    <w:p w:rsidR="008C134E" w:rsidRDefault="008C134E" w:rsidP="00836D52">
      <w:pPr>
        <w:pStyle w:val="Tablef"/>
      </w:pPr>
    </w:p>
    <w:p w:rsidR="008C134E" w:rsidRDefault="008C134E" w:rsidP="00975FFE">
      <w:pPr>
        <w:pStyle w:val="Heading3"/>
        <w:rPr>
          <w:rFonts w:eastAsia="MS Mincho"/>
          <w:lang w:val="en-US"/>
        </w:rPr>
      </w:pP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E-1-2</w:t>
      </w:r>
      <w:r w:rsidRPr="00C1787A">
        <w:rPr>
          <w:rFonts w:eastAsia="MS Mincho"/>
          <w:lang w:val="en-US"/>
        </w:rPr>
        <w:tab/>
      </w:r>
      <w:r>
        <w:rPr>
          <w:rFonts w:eastAsia="MS Mincho"/>
          <w:lang w:val="en-US"/>
        </w:rPr>
        <w:t>Spectrum</w:t>
      </w:r>
    </w:p>
    <w:p w:rsidR="008C134E" w:rsidRPr="00975FFE" w:rsidRDefault="008C134E" w:rsidP="00975FF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8097"/>
      </w:tblGrid>
      <w:tr w:rsidR="008C134E" w:rsidTr="002A7AEC">
        <w:tc>
          <w:tcPr>
            <w:tcW w:w="1253" w:type="dxa"/>
            <w:tcBorders>
              <w:top w:val="single" w:sz="4" w:space="0" w:color="auto"/>
              <w:left w:val="single" w:sz="4" w:space="0" w:color="auto"/>
              <w:bottom w:val="single" w:sz="4" w:space="0" w:color="auto"/>
              <w:right w:val="single" w:sz="4" w:space="0" w:color="auto"/>
            </w:tcBorders>
          </w:tcPr>
          <w:p w:rsidR="008C134E" w:rsidRPr="00D15643" w:rsidRDefault="008C134E" w:rsidP="004160DC">
            <w:pPr>
              <w:pStyle w:val="Tablehead"/>
              <w:rPr>
                <w:rFonts w:eastAsia="SimSun"/>
                <w:sz w:val="22"/>
                <w:szCs w:val="22"/>
              </w:rPr>
            </w:pPr>
          </w:p>
        </w:tc>
        <w:tc>
          <w:tcPr>
            <w:tcW w:w="8097" w:type="dxa"/>
            <w:tcBorders>
              <w:top w:val="single" w:sz="4" w:space="0" w:color="auto"/>
              <w:left w:val="single" w:sz="4" w:space="0" w:color="auto"/>
              <w:bottom w:val="single" w:sz="4" w:space="0" w:color="auto"/>
              <w:right w:val="single" w:sz="4" w:space="0" w:color="auto"/>
            </w:tcBorders>
            <w:hideMark/>
          </w:tcPr>
          <w:p w:rsidR="008C134E" w:rsidRPr="00D15643" w:rsidRDefault="008C134E" w:rsidP="004160DC">
            <w:pPr>
              <w:pStyle w:val="Tablehead"/>
              <w:rPr>
                <w:rFonts w:eastAsia="SimSun"/>
                <w:sz w:val="22"/>
                <w:szCs w:val="22"/>
              </w:rPr>
            </w:pPr>
            <w:r w:rsidRPr="00D15643">
              <w:rPr>
                <w:rFonts w:eastAsia="SimSun"/>
                <w:sz w:val="22"/>
                <w:szCs w:val="22"/>
              </w:rPr>
              <w:t>Spectrum capability requirements</w:t>
            </w:r>
          </w:p>
        </w:tc>
      </w:tr>
      <w:tr w:rsidR="008C134E" w:rsidRPr="00D20117" w:rsidTr="002A7AEC">
        <w:trPr>
          <w:trHeight w:val="408"/>
        </w:trPr>
        <w:tc>
          <w:tcPr>
            <w:tcW w:w="1253" w:type="dxa"/>
            <w:vMerge w:val="restart"/>
            <w:tcBorders>
              <w:top w:val="single" w:sz="4" w:space="0" w:color="auto"/>
              <w:left w:val="single" w:sz="4" w:space="0" w:color="auto"/>
              <w:right w:val="single" w:sz="4" w:space="0" w:color="auto"/>
            </w:tcBorders>
            <w:hideMark/>
          </w:tcPr>
          <w:p w:rsidR="008C134E" w:rsidRPr="00D15643" w:rsidRDefault="008C134E" w:rsidP="004160DC">
            <w:pPr>
              <w:pStyle w:val="Tabletext"/>
              <w:rPr>
                <w:rFonts w:eastAsia="SimSun"/>
                <w:b/>
                <w:sz w:val="22"/>
                <w:szCs w:val="22"/>
              </w:rPr>
            </w:pPr>
            <w:r w:rsidRPr="00D15643">
              <w:rPr>
                <w:b/>
                <w:sz w:val="22"/>
                <w:szCs w:val="22"/>
              </w:rPr>
              <w:t>5</w:t>
            </w:r>
            <w:r w:rsidRPr="00D15643">
              <w:rPr>
                <w:rFonts w:eastAsia="SimSun"/>
                <w:b/>
                <w:sz w:val="22"/>
                <w:szCs w:val="22"/>
              </w:rPr>
              <w:t>.2.4.2.1</w:t>
            </w:r>
          </w:p>
        </w:tc>
        <w:tc>
          <w:tcPr>
            <w:tcW w:w="8097" w:type="dxa"/>
            <w:tcBorders>
              <w:top w:val="single" w:sz="4" w:space="0" w:color="auto"/>
              <w:left w:val="single" w:sz="4" w:space="0" w:color="auto"/>
              <w:bottom w:val="single" w:sz="4" w:space="0" w:color="auto"/>
              <w:right w:val="single" w:sz="4" w:space="0" w:color="auto"/>
            </w:tcBorders>
            <w:hideMark/>
          </w:tcPr>
          <w:p w:rsidR="008C134E" w:rsidRPr="00D15643" w:rsidRDefault="008C134E" w:rsidP="004160DC">
            <w:pPr>
              <w:pStyle w:val="Tabletext"/>
              <w:rPr>
                <w:rFonts w:eastAsia="SimSun"/>
                <w:b/>
                <w:sz w:val="22"/>
                <w:szCs w:val="22"/>
              </w:rPr>
            </w:pPr>
            <w:r w:rsidRPr="00D15643">
              <w:rPr>
                <w:rFonts w:eastAsia="SimSun"/>
                <w:b/>
                <w:sz w:val="22"/>
                <w:szCs w:val="22"/>
              </w:rPr>
              <w:t>Frequency bands</w:t>
            </w:r>
            <w:r w:rsidRPr="00D15643">
              <w:rPr>
                <w:b/>
                <w:sz w:val="22"/>
                <w:szCs w:val="22"/>
              </w:rPr>
              <w:t xml:space="preserve"> identified for IMT</w:t>
            </w:r>
          </w:p>
          <w:p w:rsidR="008C134E" w:rsidRPr="00D15643" w:rsidRDefault="008C134E" w:rsidP="004160DC">
            <w:pPr>
              <w:pStyle w:val="Tabletext"/>
              <w:rPr>
                <w:rFonts w:eastAsia="SimSun"/>
                <w:sz w:val="22"/>
                <w:szCs w:val="22"/>
              </w:rPr>
            </w:pPr>
            <w:r w:rsidRPr="00D15643">
              <w:rPr>
                <w:rFonts w:eastAsia="SimSun"/>
                <w:sz w:val="22"/>
                <w:szCs w:val="22"/>
              </w:rPr>
              <w:t>Is the proposal able to utilize at least one</w:t>
            </w:r>
            <w:r w:rsidRPr="00D15643">
              <w:rPr>
                <w:sz w:val="22"/>
                <w:szCs w:val="22"/>
              </w:rPr>
              <w:t xml:space="preserve"> frequency</w:t>
            </w:r>
            <w:r w:rsidRPr="00D15643">
              <w:rPr>
                <w:rFonts w:eastAsia="SimSun"/>
                <w:sz w:val="22"/>
                <w:szCs w:val="22"/>
              </w:rPr>
              <w:t xml:space="preserve"> band identified for IMT</w:t>
            </w:r>
            <w:r w:rsidRPr="00D15643">
              <w:rPr>
                <w:sz w:val="22"/>
                <w:szCs w:val="22"/>
              </w:rPr>
              <w:t xml:space="preserve"> in the ITU Radio Regulations</w:t>
            </w:r>
            <w:r w:rsidRPr="00D15643">
              <w:rPr>
                <w:rFonts w:eastAsia="SimSun"/>
                <w:sz w:val="22"/>
                <w:szCs w:val="22"/>
              </w:rPr>
              <w:t xml:space="preserve">?: </w:t>
            </w:r>
            <w:r w:rsidRPr="00D15643">
              <w:rPr>
                <w:rFonts w:eastAsia="SimSun"/>
                <w:sz w:val="22"/>
                <w:szCs w:val="22"/>
              </w:rPr>
              <w:tab/>
            </w:r>
            <w:r w:rsidRPr="00D15643">
              <w:rPr>
                <w:rFonts w:ascii="Wingdings" w:eastAsia="Wingdings" w:hAnsi="Wingdings" w:cs="Wingdings"/>
                <w:sz w:val="22"/>
                <w:szCs w:val="22"/>
                <w:lang w:val="en-US"/>
              </w:rPr>
              <w:sym w:font="Wingdings" w:char="F0FE"/>
            </w:r>
            <w:r w:rsidRPr="00D15643">
              <w:rPr>
                <w:rFonts w:eastAsia="SimSun"/>
                <w:sz w:val="22"/>
                <w:szCs w:val="22"/>
              </w:rPr>
              <w:t xml:space="preserve"> YES / </w:t>
            </w:r>
            <w:r w:rsidRPr="00D15643">
              <w:rPr>
                <w:rFonts w:eastAsia="SimSun"/>
                <w:sz w:val="22"/>
                <w:szCs w:val="22"/>
              </w:rPr>
              <w:sym w:font="Times New Roman" w:char="F072"/>
            </w:r>
            <w:r w:rsidRPr="00D15643">
              <w:rPr>
                <w:rFonts w:eastAsia="SimSun"/>
                <w:sz w:val="22"/>
                <w:szCs w:val="22"/>
              </w:rPr>
              <w:t xml:space="preserve"> NO</w:t>
            </w:r>
          </w:p>
          <w:p w:rsidR="008C134E" w:rsidRPr="00D15643" w:rsidRDefault="008C134E" w:rsidP="004160DC">
            <w:pPr>
              <w:pStyle w:val="Tabletext"/>
              <w:rPr>
                <w:rFonts w:eastAsia="SimSun"/>
                <w:sz w:val="22"/>
                <w:szCs w:val="22"/>
              </w:rPr>
            </w:pPr>
            <w:r w:rsidRPr="00D15643">
              <w:rPr>
                <w:rFonts w:eastAsia="SimSun"/>
                <w:sz w:val="22"/>
                <w:szCs w:val="22"/>
              </w:rPr>
              <w:t>Specify in which band(s) the candidate RIT or candidate SRIT can be deployed.</w:t>
            </w:r>
          </w:p>
        </w:tc>
      </w:tr>
      <w:tr w:rsidR="008C134E" w:rsidRPr="00D20117" w:rsidTr="002A7AEC">
        <w:trPr>
          <w:trHeight w:val="407"/>
        </w:trPr>
        <w:tc>
          <w:tcPr>
            <w:tcW w:w="1253" w:type="dxa"/>
            <w:vMerge/>
            <w:tcBorders>
              <w:left w:val="single" w:sz="4" w:space="0" w:color="auto"/>
              <w:bottom w:val="single" w:sz="4" w:space="0" w:color="auto"/>
              <w:right w:val="single" w:sz="4" w:space="0" w:color="auto"/>
            </w:tcBorders>
          </w:tcPr>
          <w:p w:rsidR="008C134E" w:rsidRPr="00D15643" w:rsidRDefault="008C134E" w:rsidP="004160DC">
            <w:pPr>
              <w:pStyle w:val="Tabletext"/>
              <w:rPr>
                <w:b/>
                <w:sz w:val="22"/>
                <w:szCs w:val="22"/>
              </w:rPr>
            </w:pPr>
          </w:p>
        </w:tc>
        <w:tc>
          <w:tcPr>
            <w:tcW w:w="8097" w:type="dxa"/>
            <w:tcBorders>
              <w:top w:val="single" w:sz="4" w:space="0" w:color="auto"/>
              <w:left w:val="single" w:sz="4" w:space="0" w:color="auto"/>
              <w:bottom w:val="single" w:sz="4" w:space="0" w:color="auto"/>
              <w:right w:val="single" w:sz="4" w:space="0" w:color="auto"/>
            </w:tcBorders>
          </w:tcPr>
          <w:p w:rsidR="008C134E" w:rsidRPr="00D15643" w:rsidRDefault="008C134E" w:rsidP="00B1519B">
            <w:pPr>
              <w:pStyle w:val="Tabletext"/>
              <w:jc w:val="both"/>
              <w:rPr>
                <w:sz w:val="22"/>
                <w:szCs w:val="22"/>
                <w:lang w:val="en-US" w:eastAsia="zh-CN"/>
              </w:rPr>
            </w:pPr>
            <w:r w:rsidRPr="00D15643">
              <w:rPr>
                <w:rFonts w:eastAsia="SimSun"/>
                <w:b/>
                <w:bCs/>
                <w:sz w:val="22"/>
                <w:szCs w:val="22"/>
              </w:rPr>
              <w:t xml:space="preserve">Evaluator’s Comments: </w:t>
            </w:r>
            <w:r w:rsidRPr="00D15643">
              <w:rPr>
                <w:sz w:val="22"/>
                <w:szCs w:val="22"/>
                <w:lang w:val="en-US" w:eastAsia="zh-CN"/>
              </w:rPr>
              <w:t xml:space="preserve">The DECT-2020 NR physical layer is in principle suited to addressing frequency bands below 6 GHz (ETSI TS 103 636-1 V1.1.1 – 4.1). The physical layer employs Cyclic Prefix Orthogonal Frequency Division Multiplexing (CP-OFDM) combined with Time Division Multiple Access (TDMA) and Frequency Division Multiple Access (FDMA) in a Time Division Duplex (TDD) communication manner. Subcarrier spacing is defined by the subcarrier scaling factor μ, resulting either in 27 kHz, 54 kHz, 108 kHz or 216 kHz OFDM subcarriers spacing. In addition, the fourier transform scaling factor β can be set to allow different transmission bandwidths for each configuration of the subcarrier spacing. This results in the support of nominal RF bandwidth from 1,728 MHz up to 221,184 MHz (ETSI TS 103 636-1 V1.1.1 – 6.2.2). The radio channel numbering scheme enables to assign channels from 450 MHz up to 5 875 MHz organized into 17 different operating bands. </w:t>
            </w:r>
          </w:p>
          <w:p w:rsidR="008C134E" w:rsidRPr="00D15643" w:rsidRDefault="008C134E" w:rsidP="00B1519B">
            <w:pPr>
              <w:pStyle w:val="Tabletext"/>
              <w:jc w:val="both"/>
              <w:rPr>
                <w:rFonts w:eastAsia="SimSun"/>
                <w:sz w:val="22"/>
                <w:szCs w:val="22"/>
              </w:rPr>
            </w:pPr>
            <w:r w:rsidRPr="00D15643">
              <w:rPr>
                <w:rFonts w:eastAsia="SimSun"/>
                <w:sz w:val="22"/>
                <w:szCs w:val="22"/>
              </w:rPr>
              <w:t>According to ETSI TS 103 636-2 V1.1.1 – 5.2, the DECT 2020 NR RIT radio devices operate in the following bands:</w:t>
            </w:r>
          </w:p>
          <w:tbl>
            <w:tblPr>
              <w:tblW w:w="7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5"/>
              <w:gridCol w:w="2551"/>
              <w:gridCol w:w="3119"/>
            </w:tblGrid>
            <w:tr w:rsidR="008C134E" w:rsidRPr="00D15643" w:rsidTr="004160DC">
              <w:trPr>
                <w:tblHeader/>
              </w:trPr>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keepNext/>
                    <w:keepLines/>
                    <w:tabs>
                      <w:tab w:val="clear" w:pos="1134"/>
                      <w:tab w:val="clear" w:pos="1871"/>
                      <w:tab w:val="clear" w:pos="2268"/>
                    </w:tabs>
                    <w:overflowPunct/>
                    <w:autoSpaceDE/>
                    <w:autoSpaceDN/>
                    <w:adjustRightInd/>
                    <w:spacing w:before="0"/>
                    <w:jc w:val="center"/>
                    <w:rPr>
                      <w:b/>
                      <w:bCs/>
                      <w:sz w:val="22"/>
                      <w:szCs w:val="22"/>
                      <w:lang w:val="en-US" w:eastAsia="de-DE"/>
                    </w:rPr>
                  </w:pPr>
                  <w:r w:rsidRPr="00D15643">
                    <w:rPr>
                      <w:b/>
                      <w:bCs/>
                      <w:sz w:val="22"/>
                      <w:szCs w:val="22"/>
                      <w:lang w:eastAsia="de-DE"/>
                    </w:rPr>
                    <w:t>Band number</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keepNext/>
                    <w:keepLines/>
                    <w:tabs>
                      <w:tab w:val="clear" w:pos="1134"/>
                      <w:tab w:val="clear" w:pos="1871"/>
                      <w:tab w:val="clear" w:pos="2268"/>
                    </w:tabs>
                    <w:overflowPunct/>
                    <w:autoSpaceDE/>
                    <w:autoSpaceDN/>
                    <w:adjustRightInd/>
                    <w:spacing w:before="0"/>
                    <w:jc w:val="center"/>
                    <w:rPr>
                      <w:b/>
                      <w:bCs/>
                      <w:sz w:val="22"/>
                      <w:szCs w:val="22"/>
                      <w:lang w:val="en-US" w:eastAsia="de-DE"/>
                    </w:rPr>
                  </w:pPr>
                  <w:r w:rsidRPr="00D15643">
                    <w:rPr>
                      <w:b/>
                      <w:bCs/>
                      <w:sz w:val="22"/>
                      <w:szCs w:val="22"/>
                      <w:lang w:eastAsia="de-DE"/>
                    </w:rPr>
                    <w:t>Receiving band (MHz)</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keepNext/>
                    <w:keepLines/>
                    <w:tabs>
                      <w:tab w:val="clear" w:pos="1134"/>
                      <w:tab w:val="clear" w:pos="1871"/>
                      <w:tab w:val="clear" w:pos="2268"/>
                    </w:tabs>
                    <w:overflowPunct/>
                    <w:autoSpaceDE/>
                    <w:autoSpaceDN/>
                    <w:adjustRightInd/>
                    <w:spacing w:before="0"/>
                    <w:jc w:val="center"/>
                    <w:rPr>
                      <w:b/>
                      <w:bCs/>
                      <w:sz w:val="22"/>
                      <w:szCs w:val="22"/>
                      <w:lang w:val="en-US" w:eastAsia="de-DE"/>
                    </w:rPr>
                  </w:pPr>
                  <w:r w:rsidRPr="00D15643">
                    <w:rPr>
                      <w:b/>
                      <w:bCs/>
                      <w:sz w:val="22"/>
                      <w:szCs w:val="22"/>
                      <w:lang w:eastAsia="de-DE"/>
                    </w:rPr>
                    <w:t>Transmitting band (MHz)</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1 880 to 1 900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1 880 to 1 900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2</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1 900 to 1 920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1 900 to 1 920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3</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2 400 to 2 483,5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2 400 to 2 483,5</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4</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902 to 928</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902 to 928</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5</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450 to 470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450 to 470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6</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698 to 806</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698 to 806</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7</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716 to 728</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716 to 728</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8</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1 432 to 1 517</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1 432 to 1 517</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9</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1 910 to 1 930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1 910 to 1 930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10</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2 010 to 2 025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2 010 to 2 025</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11</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2 300 to 2 400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2 300 to 2 400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12</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2 500 to 2 620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2 500 to 2 620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13</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3 300 to 3 400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3 300 to 3 400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14</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3 400 to 3 600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3 400 to 3 600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15</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3 600 to 3 700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3 600 to 3 700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16</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4 800 to 4 990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4 800 to 4 990</w:t>
                  </w:r>
                </w:p>
              </w:tc>
            </w:tr>
            <w:tr w:rsidR="008C134E" w:rsidRPr="00D15643" w:rsidTr="004160DC">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17</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5 725 to 5 875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8C134E" w:rsidRPr="00D15643" w:rsidRDefault="008C134E" w:rsidP="00E50185">
                  <w:pPr>
                    <w:pStyle w:val="Tabletext"/>
                    <w:keepNext/>
                    <w:keepLines/>
                    <w:jc w:val="center"/>
                    <w:rPr>
                      <w:sz w:val="22"/>
                      <w:szCs w:val="22"/>
                      <w:lang w:val="en-US" w:eastAsia="de-DE"/>
                    </w:rPr>
                  </w:pPr>
                  <w:r w:rsidRPr="00D15643">
                    <w:rPr>
                      <w:sz w:val="22"/>
                      <w:szCs w:val="22"/>
                      <w:lang w:eastAsia="de-DE"/>
                    </w:rPr>
                    <w:t>5 725 to 5 875</w:t>
                  </w:r>
                </w:p>
              </w:tc>
            </w:tr>
          </w:tbl>
          <w:p w:rsidR="008C134E" w:rsidRPr="00D15643" w:rsidRDefault="008C134E" w:rsidP="001C7EE2">
            <w:pPr>
              <w:pStyle w:val="Tabletext"/>
              <w:rPr>
                <w:sz w:val="22"/>
                <w:szCs w:val="22"/>
              </w:rPr>
            </w:pPr>
            <w:r w:rsidRPr="00D15643">
              <w:rPr>
                <w:rFonts w:eastAsia="SimSun"/>
                <w:sz w:val="22"/>
                <w:szCs w:val="22"/>
              </w:rPr>
              <w:t xml:space="preserve">Various </w:t>
            </w:r>
            <w:r w:rsidRPr="00D15643">
              <w:rPr>
                <w:sz w:val="22"/>
                <w:szCs w:val="22"/>
              </w:rPr>
              <w:t>frequency</w:t>
            </w:r>
            <w:r w:rsidRPr="00D15643">
              <w:rPr>
                <w:rFonts w:eastAsia="SimSun"/>
                <w:sz w:val="22"/>
                <w:szCs w:val="22"/>
              </w:rPr>
              <w:t xml:space="preserve"> bands identified for IMT in </w:t>
            </w:r>
            <w:r w:rsidRPr="00D15643">
              <w:rPr>
                <w:sz w:val="22"/>
                <w:szCs w:val="22"/>
              </w:rPr>
              <w:t>Rec. ITU-R M.1036-6 are used by the specific RIT</w:t>
            </w:r>
          </w:p>
          <w:p w:rsidR="008C134E" w:rsidRPr="00D15643" w:rsidRDefault="008C134E" w:rsidP="001C7EE2">
            <w:pPr>
              <w:pStyle w:val="Tabletext"/>
              <w:rPr>
                <w:rFonts w:eastAsia="SimSun"/>
                <w:sz w:val="22"/>
                <w:szCs w:val="22"/>
              </w:rPr>
            </w:pPr>
            <w:r w:rsidRPr="00D15643">
              <w:rPr>
                <w:sz w:val="22"/>
                <w:szCs w:val="22"/>
              </w:rPr>
              <w:t>Note: The following frequency bands have been identified for IMT in all three ITU Regions: 450 – 470 MHz, 470 – 698 MHz, 694/98 – 960 MHz, 1427-1518 MHz, 1</w:t>
            </w:r>
            <w:r w:rsidR="0064411C">
              <w:rPr>
                <w:sz w:val="22"/>
                <w:szCs w:val="22"/>
              </w:rPr>
              <w:t> </w:t>
            </w:r>
            <w:r w:rsidRPr="00D15643">
              <w:rPr>
                <w:sz w:val="22"/>
                <w:szCs w:val="22"/>
              </w:rPr>
              <w:t>710-2</w:t>
            </w:r>
            <w:r w:rsidR="0064411C">
              <w:rPr>
                <w:sz w:val="22"/>
                <w:szCs w:val="22"/>
              </w:rPr>
              <w:t> </w:t>
            </w:r>
            <w:r w:rsidRPr="00D15643">
              <w:rPr>
                <w:sz w:val="22"/>
                <w:szCs w:val="22"/>
              </w:rPr>
              <w:t>025 MHz, 2</w:t>
            </w:r>
            <w:r w:rsidR="0064411C">
              <w:rPr>
                <w:sz w:val="22"/>
                <w:szCs w:val="22"/>
              </w:rPr>
              <w:t> </w:t>
            </w:r>
            <w:r w:rsidRPr="00D15643">
              <w:rPr>
                <w:sz w:val="22"/>
                <w:szCs w:val="22"/>
              </w:rPr>
              <w:t>110-2</w:t>
            </w:r>
            <w:r w:rsidR="0064411C">
              <w:rPr>
                <w:sz w:val="22"/>
                <w:szCs w:val="22"/>
              </w:rPr>
              <w:t> </w:t>
            </w:r>
            <w:r w:rsidRPr="00D15643">
              <w:rPr>
                <w:sz w:val="22"/>
                <w:szCs w:val="22"/>
              </w:rPr>
              <w:t>200 MHz, 2</w:t>
            </w:r>
            <w:r w:rsidR="0064411C">
              <w:rPr>
                <w:sz w:val="22"/>
                <w:szCs w:val="22"/>
              </w:rPr>
              <w:t> </w:t>
            </w:r>
            <w:r w:rsidRPr="00D15643">
              <w:rPr>
                <w:sz w:val="22"/>
                <w:szCs w:val="22"/>
              </w:rPr>
              <w:t>300-2</w:t>
            </w:r>
            <w:r w:rsidR="0064411C">
              <w:rPr>
                <w:sz w:val="22"/>
                <w:szCs w:val="22"/>
              </w:rPr>
              <w:t> </w:t>
            </w:r>
            <w:r w:rsidRPr="00D15643">
              <w:rPr>
                <w:sz w:val="22"/>
                <w:szCs w:val="22"/>
              </w:rPr>
              <w:t>400 MHz, 2</w:t>
            </w:r>
            <w:r w:rsidR="0064411C">
              <w:rPr>
                <w:sz w:val="22"/>
                <w:szCs w:val="22"/>
              </w:rPr>
              <w:t> </w:t>
            </w:r>
            <w:r w:rsidRPr="00D15643">
              <w:rPr>
                <w:sz w:val="22"/>
                <w:szCs w:val="22"/>
              </w:rPr>
              <w:t>500-2</w:t>
            </w:r>
            <w:r w:rsidR="0064411C">
              <w:rPr>
                <w:sz w:val="22"/>
                <w:szCs w:val="22"/>
              </w:rPr>
              <w:t> </w:t>
            </w:r>
            <w:r w:rsidRPr="00D15643">
              <w:rPr>
                <w:sz w:val="22"/>
                <w:szCs w:val="22"/>
              </w:rPr>
              <w:t>690 MHz, 3</w:t>
            </w:r>
            <w:r w:rsidR="0064411C">
              <w:rPr>
                <w:sz w:val="22"/>
                <w:szCs w:val="22"/>
              </w:rPr>
              <w:t> </w:t>
            </w:r>
            <w:r w:rsidRPr="00D15643">
              <w:rPr>
                <w:sz w:val="22"/>
                <w:szCs w:val="22"/>
              </w:rPr>
              <w:t>300-3</w:t>
            </w:r>
            <w:r w:rsidR="0064411C">
              <w:rPr>
                <w:sz w:val="22"/>
                <w:szCs w:val="22"/>
              </w:rPr>
              <w:t> </w:t>
            </w:r>
            <w:r w:rsidRPr="00D15643">
              <w:rPr>
                <w:sz w:val="22"/>
                <w:szCs w:val="22"/>
              </w:rPr>
              <w:t>700 MHz, 4</w:t>
            </w:r>
            <w:r w:rsidR="0064411C">
              <w:rPr>
                <w:sz w:val="22"/>
                <w:szCs w:val="22"/>
              </w:rPr>
              <w:t> </w:t>
            </w:r>
            <w:r w:rsidRPr="00D15643">
              <w:rPr>
                <w:sz w:val="22"/>
                <w:szCs w:val="22"/>
              </w:rPr>
              <w:t>800-4</w:t>
            </w:r>
            <w:r w:rsidR="0064411C">
              <w:rPr>
                <w:sz w:val="22"/>
                <w:szCs w:val="22"/>
              </w:rPr>
              <w:t> </w:t>
            </w:r>
            <w:r w:rsidRPr="00D15643">
              <w:rPr>
                <w:sz w:val="22"/>
                <w:szCs w:val="22"/>
              </w:rPr>
              <w:t>990 MHz</w:t>
            </w:r>
          </w:p>
        </w:tc>
      </w:tr>
      <w:tr w:rsidR="008C134E" w:rsidRPr="00D20117" w:rsidTr="002A7AEC">
        <w:trPr>
          <w:trHeight w:val="639"/>
        </w:trPr>
        <w:tc>
          <w:tcPr>
            <w:tcW w:w="1253" w:type="dxa"/>
            <w:vMerge w:val="restart"/>
            <w:tcBorders>
              <w:top w:val="single" w:sz="4" w:space="0" w:color="auto"/>
              <w:left w:val="single" w:sz="4" w:space="0" w:color="auto"/>
              <w:right w:val="single" w:sz="4" w:space="0" w:color="auto"/>
            </w:tcBorders>
            <w:hideMark/>
          </w:tcPr>
          <w:p w:rsidR="008C134E" w:rsidRPr="00D15643" w:rsidRDefault="008C134E" w:rsidP="004160DC">
            <w:pPr>
              <w:pStyle w:val="Tabletext"/>
              <w:rPr>
                <w:rFonts w:eastAsia="SimSun"/>
                <w:b/>
                <w:sz w:val="22"/>
                <w:szCs w:val="22"/>
                <w:highlight w:val="yellow"/>
              </w:rPr>
            </w:pPr>
            <w:r w:rsidRPr="00D15643">
              <w:rPr>
                <w:rFonts w:eastAsia="Malgun Gothic"/>
                <w:b/>
                <w:sz w:val="22"/>
                <w:szCs w:val="22"/>
              </w:rPr>
              <w:t>5</w:t>
            </w:r>
            <w:r w:rsidRPr="00D15643">
              <w:rPr>
                <w:rFonts w:eastAsia="SimSun"/>
                <w:b/>
                <w:sz w:val="22"/>
                <w:szCs w:val="22"/>
              </w:rPr>
              <w:t>.2.4.2.2</w:t>
            </w:r>
          </w:p>
        </w:tc>
        <w:tc>
          <w:tcPr>
            <w:tcW w:w="8097" w:type="dxa"/>
            <w:tcBorders>
              <w:top w:val="single" w:sz="4" w:space="0" w:color="auto"/>
              <w:left w:val="single" w:sz="4" w:space="0" w:color="auto"/>
              <w:bottom w:val="single" w:sz="4" w:space="0" w:color="auto"/>
              <w:right w:val="single" w:sz="4" w:space="0" w:color="auto"/>
            </w:tcBorders>
            <w:hideMark/>
          </w:tcPr>
          <w:p w:rsidR="008C134E" w:rsidRPr="00D15643" w:rsidRDefault="008C134E" w:rsidP="004160DC">
            <w:pPr>
              <w:pStyle w:val="Tabletext"/>
              <w:rPr>
                <w:rFonts w:eastAsia="Malgun Gothic"/>
                <w:b/>
                <w:sz w:val="22"/>
                <w:szCs w:val="22"/>
              </w:rPr>
            </w:pPr>
            <w:r w:rsidRPr="00D15643">
              <w:rPr>
                <w:rFonts w:eastAsia="SimSun"/>
                <w:b/>
                <w:sz w:val="22"/>
                <w:szCs w:val="22"/>
              </w:rPr>
              <w:t>Higher Frequency range/band(s)</w:t>
            </w:r>
          </w:p>
          <w:p w:rsidR="008C134E" w:rsidRPr="00D15643" w:rsidRDefault="008C134E" w:rsidP="004160DC">
            <w:pPr>
              <w:pStyle w:val="Tabletext"/>
              <w:rPr>
                <w:rFonts w:eastAsia="SimSun"/>
                <w:sz w:val="22"/>
                <w:szCs w:val="22"/>
              </w:rPr>
            </w:pPr>
            <w:r w:rsidRPr="00D15643">
              <w:rPr>
                <w:rFonts w:eastAsia="SimSun"/>
                <w:sz w:val="22"/>
                <w:szCs w:val="22"/>
              </w:rPr>
              <w:t>Is the proposal able to utilize</w:t>
            </w:r>
            <w:r w:rsidRPr="00D15643">
              <w:rPr>
                <w:rFonts w:eastAsia="Malgun Gothic"/>
                <w:sz w:val="22"/>
                <w:szCs w:val="22"/>
              </w:rPr>
              <w:t xml:space="preserve"> the higher frequency range/band(s) </w:t>
            </w:r>
            <w:r w:rsidRPr="00D15643">
              <w:rPr>
                <w:sz w:val="22"/>
                <w:szCs w:val="22"/>
              </w:rPr>
              <w:t xml:space="preserve">above </w:t>
            </w:r>
            <w:r w:rsidRPr="00D15643">
              <w:rPr>
                <w:rFonts w:eastAsia="Malgun Gothic"/>
                <w:sz w:val="22"/>
                <w:szCs w:val="22"/>
              </w:rPr>
              <w:t>24.25 GHz</w:t>
            </w:r>
            <w:r w:rsidRPr="00D15643">
              <w:rPr>
                <w:rFonts w:eastAsia="SimSun"/>
                <w:sz w:val="22"/>
                <w:szCs w:val="22"/>
              </w:rPr>
              <w:t>?:</w:t>
            </w:r>
            <w:r w:rsidRPr="00D15643">
              <w:rPr>
                <w:rFonts w:eastAsia="SimSun"/>
                <w:sz w:val="22"/>
                <w:szCs w:val="22"/>
              </w:rPr>
              <w:tab/>
            </w:r>
          </w:p>
          <w:p w:rsidR="008C134E" w:rsidRPr="00D15643" w:rsidRDefault="008C134E" w:rsidP="004160DC">
            <w:pPr>
              <w:pStyle w:val="Tabletext"/>
              <w:rPr>
                <w:rFonts w:eastAsia="SimSun"/>
                <w:sz w:val="22"/>
                <w:szCs w:val="22"/>
              </w:rPr>
            </w:pPr>
            <w:r w:rsidRPr="00D15643">
              <w:rPr>
                <w:rFonts w:ascii="Wingdings" w:eastAsia="Wingdings" w:hAnsi="Wingdings" w:cs="Wingdings"/>
                <w:sz w:val="22"/>
                <w:szCs w:val="22"/>
                <w:lang w:val="en-US"/>
              </w:rPr>
              <w:sym w:font="Wingdings" w:char="F0FE"/>
            </w:r>
            <w:r w:rsidRPr="00D15643">
              <w:rPr>
                <w:rFonts w:eastAsia="SimSun"/>
                <w:sz w:val="22"/>
                <w:szCs w:val="22"/>
              </w:rPr>
              <w:t xml:space="preserve"> YES  / </w:t>
            </w:r>
            <w:r w:rsidRPr="00D15643">
              <w:rPr>
                <w:rFonts w:eastAsia="SimSun"/>
                <w:sz w:val="22"/>
                <w:szCs w:val="22"/>
              </w:rPr>
              <w:sym w:font="Times New Roman" w:char="F072"/>
            </w:r>
            <w:r w:rsidRPr="00D15643">
              <w:rPr>
                <w:rFonts w:eastAsia="SimSun"/>
                <w:sz w:val="22"/>
                <w:szCs w:val="22"/>
              </w:rPr>
              <w:tab/>
              <w:t xml:space="preserve"> NO</w:t>
            </w:r>
          </w:p>
          <w:p w:rsidR="008C134E" w:rsidRPr="00D15643" w:rsidRDefault="008C134E" w:rsidP="004160DC">
            <w:pPr>
              <w:pStyle w:val="Tabletext"/>
              <w:rPr>
                <w:rFonts w:eastAsia="SimSun"/>
                <w:sz w:val="22"/>
                <w:szCs w:val="22"/>
              </w:rPr>
            </w:pPr>
            <w:r w:rsidRPr="00D15643">
              <w:rPr>
                <w:rFonts w:eastAsia="SimSun"/>
                <w:sz w:val="22"/>
                <w:szCs w:val="22"/>
              </w:rPr>
              <w:t>Specify in which band(s) the candidate RIT or candidate SRIT can be deployed.</w:t>
            </w:r>
          </w:p>
          <w:p w:rsidR="008C134E" w:rsidRPr="00D15643" w:rsidRDefault="008C134E" w:rsidP="002A7AEC">
            <w:pPr>
              <w:pStyle w:val="Tabletext"/>
              <w:rPr>
                <w:rFonts w:eastAsia="Malgun Gothic"/>
                <w:sz w:val="22"/>
                <w:szCs w:val="22"/>
                <w:lang w:eastAsia="ko-KR"/>
              </w:rPr>
            </w:pPr>
            <w:r w:rsidRPr="00D15643">
              <w:rPr>
                <w:rFonts w:eastAsia="Malgun Gothic"/>
                <w:sz w:val="22"/>
                <w:szCs w:val="22"/>
                <w:lang w:eastAsia="ko-KR"/>
              </w:rPr>
              <w:t>NOTE 1 – In the case of the candidate SRIT, at least one of the component RITs need to fulfil this requirement.</w:t>
            </w:r>
          </w:p>
        </w:tc>
      </w:tr>
      <w:tr w:rsidR="008C134E" w:rsidRPr="00D20117" w:rsidTr="002A7AEC">
        <w:trPr>
          <w:trHeight w:val="638"/>
        </w:trPr>
        <w:tc>
          <w:tcPr>
            <w:tcW w:w="1253" w:type="dxa"/>
            <w:vMerge/>
            <w:tcBorders>
              <w:left w:val="single" w:sz="4" w:space="0" w:color="auto"/>
              <w:bottom w:val="single" w:sz="4" w:space="0" w:color="auto"/>
              <w:right w:val="single" w:sz="4" w:space="0" w:color="auto"/>
            </w:tcBorders>
          </w:tcPr>
          <w:p w:rsidR="008C134E" w:rsidRPr="00D15643" w:rsidRDefault="008C134E" w:rsidP="004160DC">
            <w:pPr>
              <w:pStyle w:val="Tabletext"/>
              <w:rPr>
                <w:rFonts w:eastAsia="Malgun Gothic"/>
                <w:b/>
                <w:sz w:val="22"/>
                <w:szCs w:val="22"/>
              </w:rPr>
            </w:pPr>
          </w:p>
        </w:tc>
        <w:tc>
          <w:tcPr>
            <w:tcW w:w="8097" w:type="dxa"/>
            <w:tcBorders>
              <w:top w:val="single" w:sz="4" w:space="0" w:color="auto"/>
              <w:left w:val="single" w:sz="4" w:space="0" w:color="auto"/>
              <w:bottom w:val="single" w:sz="4" w:space="0" w:color="auto"/>
              <w:right w:val="single" w:sz="4" w:space="0" w:color="auto"/>
            </w:tcBorders>
          </w:tcPr>
          <w:p w:rsidR="008C134E" w:rsidRPr="00D15643" w:rsidRDefault="008C134E" w:rsidP="00091D7B">
            <w:pPr>
              <w:pStyle w:val="Tabletext"/>
              <w:jc w:val="both"/>
              <w:rPr>
                <w:sz w:val="22"/>
                <w:szCs w:val="22"/>
                <w:lang w:val="en-CA" w:eastAsia="de-DE"/>
              </w:rPr>
            </w:pPr>
            <w:r w:rsidRPr="00D15643">
              <w:rPr>
                <w:rFonts w:eastAsia="SimSun"/>
                <w:b/>
                <w:bCs/>
                <w:sz w:val="22"/>
                <w:szCs w:val="22"/>
              </w:rPr>
              <w:t xml:space="preserve">Evaluator’s Comments: </w:t>
            </w:r>
            <w:r w:rsidRPr="00D15643">
              <w:rPr>
                <w:sz w:val="22"/>
                <w:szCs w:val="22"/>
                <w:lang w:val="en-US" w:eastAsia="zh-CN"/>
              </w:rPr>
              <w:t xml:space="preserve">The DECT-2020 NR physical layer is in principle suited to addressing frequency bands below 6 GHz (ETSI TS 103 636-1 V1.1.1 – 4.1). </w:t>
            </w:r>
            <w:r w:rsidRPr="00D15643">
              <w:rPr>
                <w:rFonts w:eastAsia="SimSun"/>
                <w:sz w:val="22"/>
                <w:szCs w:val="22"/>
              </w:rPr>
              <w:t xml:space="preserve">According to information provided in </w:t>
            </w:r>
            <w:hyperlink r:id="rId21" w:tgtFrame="_blank" w:history="1">
              <w:r w:rsidRPr="00D15643">
                <w:rPr>
                  <w:sz w:val="22"/>
                  <w:szCs w:val="22"/>
                  <w:lang w:val="en-CA" w:eastAsia="de-DE"/>
                </w:rPr>
                <w:t>5D/1299</w:t>
              </w:r>
            </w:hyperlink>
            <w:r w:rsidRPr="00D15643">
              <w:rPr>
                <w:sz w:val="22"/>
                <w:szCs w:val="22"/>
                <w:lang w:val="en-US" w:eastAsia="de-DE"/>
              </w:rPr>
              <w:t>, any</w:t>
            </w:r>
            <w:r w:rsidRPr="00D15643">
              <w:rPr>
                <w:sz w:val="22"/>
                <w:szCs w:val="22"/>
                <w:lang w:val="en-CA" w:eastAsia="de-DE"/>
              </w:rPr>
              <w:t xml:space="preserve"> other frequency band may be allocated in the future to the service, including bands above 24.25 GHz.</w:t>
            </w:r>
          </w:p>
          <w:p w:rsidR="008C134E" w:rsidRPr="00D15643" w:rsidRDefault="008C134E" w:rsidP="00091D7B">
            <w:pPr>
              <w:pStyle w:val="Tabletext"/>
              <w:jc w:val="both"/>
              <w:rPr>
                <w:rFonts w:eastAsia="SimSun"/>
                <w:b/>
                <w:sz w:val="22"/>
                <w:szCs w:val="22"/>
              </w:rPr>
            </w:pPr>
            <w:r w:rsidRPr="00D15643">
              <w:rPr>
                <w:rFonts w:eastAsia="MS Mincho"/>
                <w:sz w:val="22"/>
                <w:szCs w:val="22"/>
              </w:rPr>
              <w:t xml:space="preserve">Note: </w:t>
            </w:r>
            <w:r w:rsidRPr="00D15643">
              <w:rPr>
                <w:rFonts w:eastAsia="MS Mincho"/>
                <w:sz w:val="22"/>
                <w:szCs w:val="22"/>
                <w:lang w:val="en-US"/>
              </w:rPr>
              <w:t>The proposed RIT component is part of an SRIT which also includes the</w:t>
            </w:r>
            <w:r w:rsidRPr="00D15643">
              <w:rPr>
                <w:rFonts w:asciiTheme="majorBidi" w:hAnsiTheme="majorBidi" w:cstheme="majorBidi"/>
                <w:sz w:val="22"/>
                <w:szCs w:val="22"/>
                <w:lang w:val="en-US"/>
              </w:rPr>
              <w:t xml:space="preserve"> 3GPP 5G NR component RIT. The </w:t>
            </w:r>
            <w:r w:rsidRPr="00D15643">
              <w:rPr>
                <w:rFonts w:eastAsia="MS Mincho"/>
                <w:sz w:val="22"/>
                <w:szCs w:val="22"/>
                <w:lang w:val="en-US"/>
              </w:rPr>
              <w:t xml:space="preserve">3GPP 5G NR is identical to the submission by 3GPP, which was concluded by ITU-R WP 5D that is </w:t>
            </w:r>
            <w:r w:rsidRPr="00D15643">
              <w:rPr>
                <w:rFonts w:eastAsia="SimSun"/>
                <w:sz w:val="22"/>
                <w:szCs w:val="22"/>
              </w:rPr>
              <w:t>able to utilize</w:t>
            </w:r>
            <w:r w:rsidRPr="00D15643">
              <w:rPr>
                <w:rFonts w:eastAsia="Malgun Gothic"/>
                <w:sz w:val="22"/>
                <w:szCs w:val="22"/>
              </w:rPr>
              <w:t xml:space="preserve"> the higher frequency range/band(s) </w:t>
            </w:r>
            <w:r w:rsidRPr="00D15643">
              <w:rPr>
                <w:sz w:val="22"/>
                <w:szCs w:val="22"/>
              </w:rPr>
              <w:t xml:space="preserve">above </w:t>
            </w:r>
            <w:r w:rsidRPr="00D15643">
              <w:rPr>
                <w:rFonts w:eastAsia="Malgun Gothic"/>
                <w:sz w:val="22"/>
                <w:szCs w:val="22"/>
              </w:rPr>
              <w:t>24.25 GHz</w:t>
            </w:r>
            <w:r w:rsidRPr="00D15643">
              <w:rPr>
                <w:rFonts w:eastAsia="MS Mincho"/>
                <w:sz w:val="22"/>
                <w:szCs w:val="22"/>
                <w:lang w:val="en-US"/>
              </w:rPr>
              <w:t xml:space="preserve"> </w:t>
            </w:r>
          </w:p>
        </w:tc>
      </w:tr>
    </w:tbl>
    <w:p w:rsidR="008C134E" w:rsidRDefault="008C134E" w:rsidP="00753464">
      <w:pPr>
        <w:pStyle w:val="Tablefin"/>
      </w:pPr>
    </w:p>
    <w:p w:rsidR="008C134E" w:rsidRDefault="008C134E" w:rsidP="00914CEB">
      <w:pPr>
        <w:pStyle w:val="Heading3"/>
        <w:tabs>
          <w:tab w:val="clear" w:pos="2268"/>
        </w:tabs>
        <w:rPr>
          <w:rFonts w:eastAsia="MS Mincho"/>
          <w:lang w:val="en-US"/>
        </w:rPr>
      </w:pP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E-1-3</w:t>
      </w:r>
      <w:r w:rsidRPr="00C1787A">
        <w:rPr>
          <w:rFonts w:eastAsia="MS Mincho"/>
          <w:lang w:val="en-US"/>
        </w:rPr>
        <w:tab/>
      </w:r>
      <w:r>
        <w:rPr>
          <w:rFonts w:eastAsia="MS Mincho"/>
          <w:lang w:val="en-US"/>
        </w:rPr>
        <w:t>Technical Performance</w:t>
      </w:r>
    </w:p>
    <w:p w:rsidR="008C134E" w:rsidRDefault="008C134E" w:rsidP="00975FFE">
      <w:r>
        <w:t>KPIs related to URLLC and mMTC usage scenarios are evaluated only for the DECT 2020 NR component.</w:t>
      </w:r>
    </w:p>
    <w:p w:rsidR="008C134E" w:rsidRPr="00975FFE" w:rsidRDefault="008C134E" w:rsidP="00975FFE"/>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032"/>
        <w:gridCol w:w="1410"/>
        <w:gridCol w:w="1285"/>
        <w:gridCol w:w="1270"/>
        <w:gridCol w:w="1350"/>
        <w:gridCol w:w="854"/>
        <w:gridCol w:w="946"/>
      </w:tblGrid>
      <w:tr w:rsidR="008C134E" w:rsidRPr="003F3E71" w:rsidTr="00716FF7">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head"/>
            </w:pPr>
            <w:r w:rsidRPr="003F3E71">
              <w:t>Minimum technical performance requirements item (5.2.4.3.x), units, and Report</w:t>
            </w:r>
            <w:r w:rsidRPr="003F3E71">
              <w:br/>
              <w:t>ITU-R M.2410-0 section reference</w:t>
            </w:r>
            <w:r w:rsidRPr="003F3E71">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head"/>
            </w:pPr>
            <w:r w:rsidRPr="003F3E71">
              <w:t>Category</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4160DC">
            <w:pPr>
              <w:pStyle w:val="Tablehead"/>
            </w:pPr>
            <w:r w:rsidRPr="003F3E71">
              <w:t>Required value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4160DC">
            <w:pPr>
              <w:pStyle w:val="Tablehead"/>
            </w:pPr>
            <w:r w:rsidRPr="003F3E71">
              <w:t>Value</w:t>
            </w:r>
            <w:r w:rsidRPr="003F3E71">
              <w:rPr>
                <w:vertAlign w:val="superscript"/>
              </w:rPr>
              <w:t>(2)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4160DC">
            <w:pPr>
              <w:pStyle w:val="Tablehead"/>
            </w:pPr>
            <w:r w:rsidRPr="003F3E71">
              <w:t>Requirement met?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4160DC">
            <w:pPr>
              <w:pStyle w:val="Tablehead"/>
            </w:pPr>
            <w:r w:rsidRPr="003F3E71">
              <w:t>Comments</w:t>
            </w:r>
            <w:r w:rsidRPr="003F3E71">
              <w:br/>
            </w:r>
            <w:r w:rsidRPr="003F3E71">
              <w:rPr>
                <w:vertAlign w:val="superscript"/>
              </w:rPr>
              <w:t>(3)</w:t>
            </w:r>
          </w:p>
        </w:tc>
      </w:tr>
      <w:tr w:rsidR="008C134E" w:rsidRPr="003F3E71" w:rsidTr="00716FF7">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4160DC">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head"/>
            </w:pPr>
            <w:r w:rsidRPr="003F3E71">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head"/>
            </w:pPr>
            <w:r w:rsidRPr="003F3E71">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head"/>
            </w:pPr>
            <w:r w:rsidRPr="003F3E71">
              <w:t>Downlink or uplink</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8C134E" w:rsidRPr="003F3E71" w:rsidRDefault="008C134E" w:rsidP="004160DC">
            <w:pPr>
              <w:pStyle w:val="Tablehead"/>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C134E" w:rsidRPr="003F3E71" w:rsidRDefault="008C134E" w:rsidP="004160DC">
            <w:pPr>
              <w:pStyle w:val="Tablehead"/>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8C134E" w:rsidRPr="003F3E71" w:rsidRDefault="008C134E" w:rsidP="004160DC">
            <w:pPr>
              <w:pStyle w:val="Tablehead"/>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8C134E" w:rsidRPr="003F3E71" w:rsidRDefault="008C134E" w:rsidP="004160DC">
            <w:pPr>
              <w:pStyle w:val="Tablehead"/>
            </w:pPr>
          </w:p>
        </w:tc>
      </w:tr>
      <w:tr w:rsidR="008C134E" w:rsidRPr="003F3E71" w:rsidTr="00716FF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rPr>
                <w:b/>
              </w:rPr>
              <w:t>5.2.4.3.7</w:t>
            </w:r>
            <w:r w:rsidRPr="003F3E71">
              <w:br/>
              <w:t>User plane latency</w:t>
            </w:r>
            <w:r w:rsidRPr="003F3E71">
              <w:br/>
              <w:t>(ms)</w:t>
            </w:r>
            <w:r w:rsidRPr="003F3E71">
              <w:br/>
            </w:r>
            <w:r w:rsidRPr="003F3E71">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rPr>
                <w:lang w:eastAsia="ko-KR"/>
              </w:rPr>
              <w:t>Uplink and Downlink</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4160DC">
            <w:pPr>
              <w:pStyle w:val="Tabletext"/>
            </w:pP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sym w:font="Times New Roman" w:char="F072"/>
            </w:r>
            <w:r w:rsidRPr="003F3E71">
              <w:tab/>
              <w:t>Yes</w:t>
            </w:r>
            <w:r w:rsidRPr="003F3E71">
              <w:br/>
            </w:r>
            <w:r w:rsidRPr="003F3E71">
              <w:sym w:font="Times New Roman" w:char="F072"/>
            </w:r>
            <w:r w:rsidRPr="003F3E71">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4160DC">
            <w:pPr>
              <w:pStyle w:val="Tabletext"/>
            </w:pPr>
          </w:p>
        </w:tc>
      </w:tr>
      <w:tr w:rsidR="008C134E" w:rsidRPr="003F3E71" w:rsidTr="00716FF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4160DC">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rPr>
                <w:lang w:eastAsia="ko-KR"/>
              </w:rPr>
              <w:t>Uplink and Downlink</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1</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4160DC">
            <w:pPr>
              <w:pStyle w:val="Tabletext"/>
            </w:pPr>
            <w:r>
              <w:t>0.198-0.975</w:t>
            </w:r>
            <w:r w:rsidR="00531545">
              <w:t> </w:t>
            </w:r>
            <w:r>
              <w:t>ms</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4160DC">
            <w:pPr>
              <w:pStyle w:val="Tabletext"/>
            </w:pPr>
            <w:r w:rsidRPr="00585B70">
              <w:rPr>
                <w:sz w:val="16"/>
                <w:szCs w:val="16"/>
              </w:rPr>
              <w:t>Refer to Annex I for specific conf</w:t>
            </w:r>
            <w:r>
              <w:rPr>
                <w:sz w:val="16"/>
                <w:szCs w:val="16"/>
              </w:rPr>
              <w:t>igu</w:t>
            </w:r>
            <w:r w:rsidRPr="00585B70">
              <w:rPr>
                <w:sz w:val="16"/>
                <w:szCs w:val="16"/>
              </w:rPr>
              <w:t>rations</w:t>
            </w:r>
          </w:p>
        </w:tc>
      </w:tr>
      <w:tr w:rsidR="008C134E" w:rsidRPr="003F3E71" w:rsidTr="00716FF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rPr>
                <w:b/>
              </w:rPr>
              <w:t>5.2.4.3.8</w:t>
            </w:r>
            <w:r w:rsidRPr="003F3E71">
              <w:br/>
              <w:t>Control plane latency (ms)</w:t>
            </w:r>
            <w:r w:rsidRPr="003F3E71">
              <w:br/>
            </w:r>
            <w:r w:rsidRPr="003F3E71">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eMBB</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Not applicable</w:t>
            </w:r>
            <w:r w:rsidRPr="003F3E71">
              <w:rPr>
                <w:lang w:eastAsia="ko-KR"/>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20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4160DC">
            <w:pPr>
              <w:pStyle w:val="Tabletext"/>
            </w:pP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sym w:font="Times New Roman" w:char="F072"/>
            </w:r>
            <w:r w:rsidRPr="003F3E71">
              <w:tab/>
              <w:t>Yes</w:t>
            </w:r>
            <w:r w:rsidRPr="003F3E71">
              <w:br/>
            </w:r>
            <w:r w:rsidRPr="003F3E71">
              <w:sym w:font="Times New Roman" w:char="F072"/>
            </w:r>
            <w:r w:rsidRPr="003F3E71">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4160DC">
            <w:pPr>
              <w:pStyle w:val="Tabletext"/>
            </w:pPr>
          </w:p>
        </w:tc>
      </w:tr>
      <w:tr w:rsidR="008C134E" w:rsidRPr="003F3E71" w:rsidTr="00716FF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4160DC">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Not applicable</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3F3E71">
              <w:t>20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4160DC">
            <w:pPr>
              <w:pStyle w:val="Tabletext"/>
            </w:pPr>
            <w:r>
              <w:t>6.25</w:t>
            </w:r>
            <w:r w:rsidR="00531545">
              <w:t xml:space="preserve"> </w:t>
            </w:r>
            <w:r>
              <w:t>ms</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4160DC">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4160DC">
            <w:pPr>
              <w:pStyle w:val="Tabletext"/>
            </w:pPr>
            <w:r w:rsidRPr="00585B70">
              <w:rPr>
                <w:sz w:val="16"/>
                <w:szCs w:val="16"/>
              </w:rPr>
              <w:t>Refer to Annex I</w:t>
            </w:r>
            <w:r>
              <w:rPr>
                <w:sz w:val="16"/>
                <w:szCs w:val="16"/>
              </w:rPr>
              <w:t>I for configuration details</w:t>
            </w:r>
          </w:p>
        </w:tc>
      </w:tr>
      <w:tr w:rsidR="008C134E" w:rsidRPr="00374280" w:rsidTr="00716FF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8C134E" w:rsidRPr="002351D6" w:rsidRDefault="008C134E" w:rsidP="00716FF7">
            <w:pPr>
              <w:pStyle w:val="Tabletext"/>
            </w:pPr>
            <w:r w:rsidRPr="002351D6">
              <w:rPr>
                <w:b/>
              </w:rPr>
              <w:t>5.2.4.3.9</w:t>
            </w:r>
            <w:r w:rsidRPr="002351D6">
              <w:br/>
              <w:t>Connection density (devices/km</w:t>
            </w:r>
            <w:r w:rsidRPr="002351D6">
              <w:rPr>
                <w:vertAlign w:val="superscript"/>
              </w:rPr>
              <w:t>2</w:t>
            </w:r>
            <w:r w:rsidRPr="002351D6">
              <w:t>)</w:t>
            </w:r>
            <w:r w:rsidRPr="002351D6">
              <w:br/>
            </w:r>
            <w:r w:rsidRPr="002351D6">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C134E" w:rsidRPr="002351D6" w:rsidRDefault="008C134E" w:rsidP="00716FF7">
            <w:pPr>
              <w:pStyle w:val="Tabletext"/>
            </w:pPr>
            <w:r w:rsidRPr="002351D6">
              <w:t>mMTC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8C134E" w:rsidRPr="002351D6" w:rsidRDefault="008C134E" w:rsidP="00716FF7">
            <w:pPr>
              <w:pStyle w:val="Tabletext"/>
            </w:pPr>
            <w:r w:rsidRPr="002351D6">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C134E" w:rsidRPr="002351D6" w:rsidRDefault="008C134E" w:rsidP="00716FF7">
            <w:pPr>
              <w:pStyle w:val="Tabletext"/>
            </w:pPr>
            <w:r w:rsidRPr="002351D6">
              <w:t>Uplink</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985DE1" w:rsidRDefault="008C134E" w:rsidP="00716FF7">
            <w:pPr>
              <w:pStyle w:val="Tabletext"/>
              <w:rPr>
                <w:color w:val="548DD4" w:themeColor="text2" w:themeTint="99"/>
              </w:rPr>
            </w:pPr>
            <w:r w:rsidRPr="00985DE1">
              <w:rPr>
                <w:color w:val="548DD4" w:themeColor="text2" w:themeTint="99"/>
              </w:rPr>
              <w:t>1 000 000 users with less than 1% outage for a) one message per day, b) one message per 2 hours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985DE1" w:rsidRDefault="008C134E" w:rsidP="00716FF7">
            <w:pPr>
              <w:pStyle w:val="Tabletext"/>
              <w:rPr>
                <w:color w:val="548DD4" w:themeColor="text2" w:themeTint="99"/>
              </w:rPr>
            </w:pPr>
            <w:r w:rsidRPr="00985DE1">
              <w:rPr>
                <w:color w:val="548DD4" w:themeColor="text2" w:themeTint="99"/>
              </w:rPr>
              <w:t>More than 1M users with less than 1% outage with message transmission period of less than 10 minutes</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985DE1" w:rsidRDefault="008C134E" w:rsidP="00716FF7">
            <w:pPr>
              <w:pStyle w:val="Tabletext"/>
              <w:rPr>
                <w:color w:val="548DD4" w:themeColor="text2" w:themeTint="99"/>
              </w:rPr>
            </w:pPr>
            <w:r w:rsidRPr="00985DE1">
              <w:rPr>
                <w:rFonts w:ascii="Wingdings" w:eastAsia="Wingdings" w:hAnsi="Wingdings" w:cs="Wingdings"/>
                <w:color w:val="548DD4" w:themeColor="text2" w:themeTint="99"/>
                <w:szCs w:val="18"/>
                <w:lang w:val="en-US"/>
              </w:rPr>
              <w:sym w:font="Wingdings" w:char="F0FE"/>
            </w:r>
            <w:r w:rsidRPr="00985DE1">
              <w:rPr>
                <w:color w:val="548DD4" w:themeColor="text2" w:themeTint="99"/>
              </w:rPr>
              <w:tab/>
              <w:t>Yes</w:t>
            </w:r>
            <w:r w:rsidRPr="00985DE1">
              <w:rPr>
                <w:color w:val="548DD4" w:themeColor="text2" w:themeTint="99"/>
              </w:rPr>
              <w:br/>
            </w:r>
            <w:r w:rsidRPr="00985DE1">
              <w:rPr>
                <w:color w:val="548DD4" w:themeColor="text2" w:themeTint="99"/>
              </w:rPr>
              <w:sym w:font="Times New Roman" w:char="F072"/>
            </w:r>
            <w:r w:rsidRPr="00985DE1">
              <w:rPr>
                <w:color w:val="548DD4" w:themeColor="text2" w:themeTint="99"/>
              </w:rPr>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8C134E" w:rsidRPr="00985DE1" w:rsidRDefault="008C134E" w:rsidP="00716FF7">
            <w:pPr>
              <w:pStyle w:val="Tabletext"/>
              <w:rPr>
                <w:color w:val="548DD4" w:themeColor="text2" w:themeTint="99"/>
                <w:sz w:val="16"/>
                <w:szCs w:val="16"/>
              </w:rPr>
            </w:pPr>
            <w:r w:rsidRPr="00985DE1">
              <w:rPr>
                <w:color w:val="548DD4" w:themeColor="text2" w:themeTint="99"/>
                <w:sz w:val="16"/>
                <w:szCs w:val="16"/>
              </w:rPr>
              <w:t xml:space="preserve">Refer to Section II-E-2-5 for configuration and Annex III for Simulation details </w:t>
            </w:r>
          </w:p>
        </w:tc>
      </w:tr>
      <w:tr w:rsidR="008C134E" w:rsidRPr="003F3E71" w:rsidTr="00716FF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rPr>
                <w:b/>
              </w:rPr>
              <w:t>5.2.4.3.11</w:t>
            </w:r>
            <w:r w:rsidRPr="003F3E71">
              <w:br/>
              <w:t>Reliability</w:t>
            </w:r>
            <w:r w:rsidRPr="003F3E71">
              <w:br/>
            </w:r>
            <w:r w:rsidRPr="003F3E71">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716FF7">
            <w:pPr>
              <w:pStyle w:val="Tabletext"/>
            </w:pPr>
            <w:r w:rsidRPr="000340A7">
              <w:t>Downlink</w:t>
            </w:r>
          </w:p>
          <w:p w:rsidR="008C134E" w:rsidRPr="003F3E71" w:rsidRDefault="008C134E" w:rsidP="00716FF7">
            <w:pPr>
              <w:pStyle w:val="Tabletext"/>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1-10</w:t>
            </w:r>
            <w:r>
              <w:rPr>
                <w:vertAlign w:val="superscript"/>
              </w:rPr>
              <w:t>−</w:t>
            </w:r>
            <w:r w:rsidRPr="003F3E71">
              <w:rPr>
                <w:vertAlign w:val="superscript"/>
              </w:rPr>
              <w:t>5</w:t>
            </w:r>
            <w:r w:rsidRPr="003F3E71">
              <w:t xml:space="preserve"> success probability of transmitting a layer</w:t>
            </w:r>
            <w:r w:rsidRPr="003F3E71">
              <w:rPr>
                <w:lang w:eastAsia="ko-KR"/>
              </w:rPr>
              <w:t xml:space="preserve"> 2 PDU </w:t>
            </w:r>
            <w:r w:rsidRPr="003F3E71">
              <w:rPr>
                <w:rFonts w:eastAsia="Malgun Gothic"/>
                <w:lang w:eastAsia="ko-KR"/>
              </w:rPr>
              <w:t>(protocol data unit)</w:t>
            </w:r>
            <w:r w:rsidRPr="003F3E71">
              <w:t xml:space="preserve"> of size 32 bytes within 1 ms in channel quality of coverage edge</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716FF7">
            <w:pPr>
              <w:pStyle w:val="Tabletext"/>
            </w:pPr>
            <w:r>
              <w:t>&gt;1-</w:t>
            </w:r>
            <w:r w:rsidRPr="00326053">
              <w:t>10</w:t>
            </w:r>
            <w:r w:rsidRPr="00326053">
              <w:rPr>
                <w:vertAlign w:val="superscript"/>
              </w:rPr>
              <w:t>-6</w:t>
            </w:r>
            <w:r w:rsidRPr="00326053">
              <w:t xml:space="preserve"> for both LoS and NLoS</w:t>
            </w:r>
            <w:r>
              <w:t xml:space="preserve"> for Configuration B with 5x4 with 1/7 frequency reuse and 1.728</w:t>
            </w:r>
            <w:r w:rsidR="0030638A">
              <w:t> </w:t>
            </w:r>
            <w:r>
              <w:t>MHz bandwidth</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8C134E" w:rsidRPr="006D05D0" w:rsidRDefault="008C134E" w:rsidP="00716FF7">
            <w:pPr>
              <w:pStyle w:val="Tabletext"/>
              <w:rPr>
                <w:sz w:val="16"/>
                <w:szCs w:val="16"/>
              </w:rPr>
            </w:pPr>
            <w:r w:rsidRPr="00487FA4">
              <w:rPr>
                <w:sz w:val="16"/>
                <w:szCs w:val="16"/>
              </w:rPr>
              <w:t>Refer to Section II-E-2-4 for details in examined configurations and Annex III for simulation details.</w:t>
            </w:r>
          </w:p>
        </w:tc>
      </w:tr>
      <w:tr w:rsidR="008C134E" w:rsidRPr="003F3E71" w:rsidTr="00716FF7">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rPr>
                <w:b/>
              </w:rPr>
              <w:t>5.2.4.3.14</w:t>
            </w:r>
            <w:r w:rsidRPr="003F3E71">
              <w:rPr>
                <w:bCs/>
              </w:rPr>
              <w:br/>
            </w:r>
            <w:r w:rsidRPr="003F3E71">
              <w:t xml:space="preserve">Mobility interruption time (ms) </w:t>
            </w:r>
            <w:r w:rsidRPr="003F3E71">
              <w:br/>
            </w:r>
            <w:r w:rsidRPr="003F3E71">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Not applicable</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716FF7">
            <w:pPr>
              <w:pStyle w:val="Tabletext"/>
            </w:pPr>
            <w:r>
              <w:t>0 ms</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716FF7">
            <w:pPr>
              <w:pStyle w:val="Tabletext"/>
            </w:pPr>
            <w:r w:rsidRPr="00CF70A1">
              <w:rPr>
                <w:sz w:val="18"/>
                <w:szCs w:val="18"/>
              </w:rPr>
              <w:t>Refer to Section II-E-2-3 for complete analysis</w:t>
            </w:r>
          </w:p>
        </w:tc>
      </w:tr>
      <w:tr w:rsidR="008C134E" w:rsidRPr="003F3E71" w:rsidTr="00716FF7">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Not applicable</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t>At least 100</w:t>
            </w:r>
            <w:r>
              <w:t> </w:t>
            </w:r>
            <w:r w:rsidRPr="003F3E71">
              <w:t>MHz</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716FF7">
            <w:pPr>
              <w:pStyle w:val="Tabletext"/>
            </w:pPr>
            <w:r w:rsidRPr="00B36EF4">
              <w:rPr>
                <w:lang w:val="en-US" w:eastAsia="zh-CN"/>
              </w:rPr>
              <w:t>221,184 MHz</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vMerge w:val="restart"/>
            <w:tcBorders>
              <w:top w:val="single" w:sz="4" w:space="0" w:color="auto"/>
              <w:left w:val="single" w:sz="4" w:space="0" w:color="auto"/>
              <w:right w:val="single" w:sz="4" w:space="0" w:color="auto"/>
            </w:tcBorders>
            <w:shd w:val="clear" w:color="auto" w:fill="auto"/>
          </w:tcPr>
          <w:p w:rsidR="008C134E" w:rsidRPr="003F3E71" w:rsidRDefault="008C134E" w:rsidP="00716FF7">
            <w:pPr>
              <w:pStyle w:val="Tabletext"/>
            </w:pPr>
            <w:r>
              <w:t xml:space="preserve">Refer to Section </w:t>
            </w: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E-1-2</w:t>
            </w:r>
          </w:p>
        </w:tc>
      </w:tr>
      <w:tr w:rsidR="008C134E" w:rsidRPr="003F3E71" w:rsidTr="00716FF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716FF7">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716FF7">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716FF7">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716FF7">
            <w:pPr>
              <w:overflowPunct/>
              <w:autoSpaceDE/>
              <w:autoSpaceDN/>
              <w:adjustRightInd/>
              <w:spacing w:before="0"/>
              <w:rPr>
                <w:sz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rPr>
                <w:lang w:eastAsia="ja-JP"/>
              </w:rPr>
            </w:pPr>
            <w:r w:rsidRPr="003F3E71">
              <w:rPr>
                <w:lang w:eastAsia="ja-JP"/>
              </w:rPr>
              <w:t>Up to 1 GHz</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716FF7">
            <w:pPr>
              <w:pStyle w:val="Tabletext"/>
            </w:pPr>
            <w:r>
              <w:t>Multiple Carriers</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vMerge/>
            <w:tcBorders>
              <w:left w:val="single" w:sz="4" w:space="0" w:color="auto"/>
              <w:right w:val="single" w:sz="4" w:space="0" w:color="auto"/>
            </w:tcBorders>
            <w:shd w:val="clear" w:color="auto" w:fill="auto"/>
          </w:tcPr>
          <w:p w:rsidR="008C134E" w:rsidRPr="003F3E71" w:rsidRDefault="008C134E" w:rsidP="00716FF7">
            <w:pPr>
              <w:pStyle w:val="Tabletext"/>
            </w:pPr>
          </w:p>
        </w:tc>
      </w:tr>
      <w:tr w:rsidR="008C134E" w:rsidRPr="003F3E71" w:rsidTr="00716FF7">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716FF7">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716FF7">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716FF7">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34E" w:rsidRPr="003F3E71" w:rsidRDefault="008C134E" w:rsidP="00716FF7">
            <w:pPr>
              <w:overflowPunct/>
              <w:autoSpaceDE/>
              <w:autoSpaceDN/>
              <w:adjustRightInd/>
              <w:spacing w:before="0"/>
              <w:rPr>
                <w:sz w:val="20"/>
              </w:rPr>
            </w:pP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3F3E71">
              <w:rPr>
                <w:rFonts w:ascii="TimesNewRoman" w:hAnsi="TimesNewRoman" w:cs="TimesNewRoman"/>
                <w:lang w:eastAsia="zh-CN"/>
              </w:rPr>
              <w:t>Support of multiple different bandwidth values</w:t>
            </w:r>
            <w:r w:rsidRPr="003F3E71">
              <w:rPr>
                <w:rFonts w:ascii="TimesNewRoman" w:hAnsi="TimesNewRoman" w:cs="TimesNewRoman"/>
                <w:vertAlign w:val="superscript"/>
                <w:lang w:eastAsia="zh-CN"/>
              </w:rPr>
              <w:t>(4)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C134E" w:rsidRPr="003F3E71" w:rsidRDefault="008C134E" w:rsidP="00716FF7">
            <w:pPr>
              <w:pStyle w:val="Tabletext"/>
            </w:pPr>
            <w:r w:rsidRPr="0064423F">
              <w:rPr>
                <w:sz w:val="18"/>
                <w:szCs w:val="18"/>
                <w:lang w:val="en-US"/>
              </w:rPr>
              <w:t>1.728 MHz to</w:t>
            </w:r>
            <w:r w:rsidRPr="0064423F">
              <w:rPr>
                <w:sz w:val="18"/>
                <w:szCs w:val="18"/>
                <w:lang w:val="en-US"/>
              </w:rPr>
              <w:br/>
              <w:t>221.184 MHz.</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rsidR="008C134E" w:rsidRPr="003F3E71" w:rsidRDefault="008C134E" w:rsidP="00716FF7">
            <w:pPr>
              <w:pStyle w:val="Tabletext"/>
            </w:pPr>
            <w:r w:rsidRPr="0064423F">
              <w:rPr>
                <w:rFonts w:ascii="Wingdings" w:eastAsia="Wingdings" w:hAnsi="Wingdings" w:cs="Wingdings"/>
                <w:szCs w:val="18"/>
                <w:lang w:val="en-US"/>
              </w:rPr>
              <w:sym w:font="Wingdings" w:char="F0FE"/>
            </w:r>
            <w:r w:rsidRPr="003F3E71">
              <w:tab/>
              <w:t>Yes</w:t>
            </w:r>
            <w:r w:rsidRPr="003F3E71">
              <w:br/>
            </w:r>
            <w:r w:rsidRPr="003F3E71">
              <w:sym w:font="Times New Roman" w:char="F072"/>
            </w:r>
            <w:r w:rsidRPr="003F3E71">
              <w:tab/>
              <w:t>No</w:t>
            </w:r>
          </w:p>
        </w:tc>
        <w:tc>
          <w:tcPr>
            <w:tcW w:w="946" w:type="dxa"/>
            <w:vMerge/>
            <w:tcBorders>
              <w:left w:val="single" w:sz="4" w:space="0" w:color="auto"/>
              <w:bottom w:val="single" w:sz="4" w:space="0" w:color="auto"/>
              <w:right w:val="single" w:sz="4" w:space="0" w:color="auto"/>
            </w:tcBorders>
            <w:shd w:val="clear" w:color="auto" w:fill="auto"/>
          </w:tcPr>
          <w:p w:rsidR="008C134E" w:rsidRPr="003F3E71" w:rsidRDefault="008C134E" w:rsidP="00716FF7">
            <w:pPr>
              <w:pStyle w:val="Tabletext"/>
            </w:pPr>
          </w:p>
        </w:tc>
      </w:tr>
      <w:tr w:rsidR="008C134E" w:rsidRPr="003F3E71" w:rsidTr="00716FF7">
        <w:trPr>
          <w:cantSplit/>
          <w:jc w:val="center"/>
        </w:trPr>
        <w:tc>
          <w:tcPr>
            <w:tcW w:w="9805" w:type="dxa"/>
            <w:gridSpan w:val="8"/>
            <w:tcBorders>
              <w:top w:val="single" w:sz="4" w:space="0" w:color="auto"/>
              <w:left w:val="nil"/>
              <w:bottom w:val="nil"/>
              <w:right w:val="nil"/>
            </w:tcBorders>
            <w:shd w:val="clear" w:color="auto" w:fill="auto"/>
            <w:hideMark/>
          </w:tcPr>
          <w:p w:rsidR="008C134E" w:rsidRPr="003F3E71" w:rsidRDefault="008C134E" w:rsidP="00716FF7">
            <w:pPr>
              <w:pStyle w:val="Tablelegend"/>
            </w:pPr>
            <w:r w:rsidRPr="003F3E71">
              <w:rPr>
                <w:vertAlign w:val="superscript"/>
              </w:rPr>
              <w:t>(1)</w:t>
            </w:r>
            <w:r w:rsidRPr="003F3E71">
              <w:t xml:space="preserve"> </w:t>
            </w:r>
            <w:r w:rsidRPr="003F3E71">
              <w:tab/>
              <w:t>As defined in Report ITU-R M.2410-0.</w:t>
            </w:r>
          </w:p>
          <w:p w:rsidR="008C134E" w:rsidRPr="003F3E71" w:rsidRDefault="008C134E" w:rsidP="00716FF7">
            <w:pPr>
              <w:pStyle w:val="Tablelegend"/>
            </w:pPr>
            <w:r w:rsidRPr="003F3E71">
              <w:rPr>
                <w:vertAlign w:val="superscript"/>
              </w:rPr>
              <w:t>(2)</w:t>
            </w:r>
            <w:r w:rsidRPr="003F3E71">
              <w:t xml:space="preserve"> </w:t>
            </w:r>
            <w:r w:rsidRPr="003F3E71">
              <w:tab/>
              <w:t>According to the evaluation methodology specified in Report ITU-R M.2412-0.</w:t>
            </w:r>
          </w:p>
          <w:p w:rsidR="008C134E" w:rsidRPr="003F3E71" w:rsidRDefault="008C134E" w:rsidP="00716FF7">
            <w:pPr>
              <w:pStyle w:val="Tablelegend"/>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For details, refer to Report ITU-R M.2412-0, in particular, § 7.1.3 for the evaluation methodologies, § 8.4 for the evaluation configurations per each test environment, and Annex 1 on the channel model variants.</w:t>
            </w:r>
          </w:p>
          <w:p w:rsidR="008C134E" w:rsidRPr="003F3E71" w:rsidRDefault="008C134E" w:rsidP="00716FF7">
            <w:pPr>
              <w:pStyle w:val="Tablelegend"/>
              <w:rPr>
                <w:rFonts w:eastAsia="Malgun Gothic"/>
              </w:rPr>
            </w:pPr>
            <w:r w:rsidRPr="003F3E71">
              <w:rPr>
                <w:rFonts w:eastAsia="Malgun Gothic"/>
                <w:vertAlign w:val="superscript"/>
              </w:rPr>
              <w:t>(4)</w:t>
            </w:r>
            <w:r w:rsidRPr="003F3E71">
              <w:rPr>
                <w:rFonts w:eastAsia="Malgun Gothic"/>
              </w:rPr>
              <w:tab/>
              <w:t>Refer to § 7.3.1 of Report ITU-R M.2412-0.</w:t>
            </w:r>
          </w:p>
        </w:tc>
      </w:tr>
    </w:tbl>
    <w:p w:rsidR="008C134E" w:rsidRDefault="008C134E" w:rsidP="00836D52">
      <w:pPr>
        <w:pStyle w:val="Tablef"/>
      </w:pPr>
    </w:p>
    <w:p w:rsidR="008C134E" w:rsidRDefault="008C134E" w:rsidP="00641CC9">
      <w:pPr>
        <w:pStyle w:val="Heading2"/>
        <w:spacing w:line="276" w:lineRule="auto"/>
        <w:rPr>
          <w:rFonts w:eastAsia="MS Mincho"/>
          <w:lang w:val="en-US"/>
        </w:rPr>
      </w:pP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E-2</w:t>
      </w:r>
      <w:r w:rsidRPr="00C1787A">
        <w:rPr>
          <w:rFonts w:eastAsia="MS Mincho"/>
          <w:lang w:val="en-US"/>
        </w:rPr>
        <w:tab/>
      </w:r>
      <w:r>
        <w:rPr>
          <w:rFonts w:eastAsia="MS Mincho"/>
          <w:lang w:val="en-US"/>
        </w:rPr>
        <w:t>Minimum Technical Performance Requirements Analysis</w:t>
      </w:r>
    </w:p>
    <w:p w:rsidR="008C134E" w:rsidRDefault="008C134E" w:rsidP="00641CC9">
      <w:pPr>
        <w:pStyle w:val="Heading3"/>
        <w:rPr>
          <w:rFonts w:eastAsia="MS Mincho"/>
          <w:lang w:val="en-US"/>
        </w:rPr>
      </w:pP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E-2-1</w:t>
      </w:r>
      <w:r w:rsidRPr="00C1787A">
        <w:rPr>
          <w:rFonts w:eastAsia="MS Mincho"/>
          <w:lang w:val="en-US"/>
        </w:rPr>
        <w:tab/>
      </w:r>
      <w:r>
        <w:rPr>
          <w:rFonts w:eastAsia="MS Mincho"/>
          <w:lang w:val="en-US"/>
        </w:rPr>
        <w:t>User-plane latency (URLLC)</w:t>
      </w:r>
    </w:p>
    <w:p w:rsidR="008C134E" w:rsidRDefault="008C134E" w:rsidP="00641CC9">
      <w:pPr>
        <w:pStyle w:val="Heading4"/>
        <w:rPr>
          <w:lang w:eastAsia="ja-JP"/>
        </w:rPr>
      </w:pPr>
      <w:r w:rsidRPr="006D1386">
        <w:rPr>
          <w:lang w:eastAsia="ja-JP"/>
        </w:rPr>
        <w:t>Conclusion</w:t>
      </w:r>
    </w:p>
    <w:p w:rsidR="008C134E" w:rsidRPr="006D1386" w:rsidRDefault="008C134E" w:rsidP="00582F49">
      <w:pPr>
        <w:spacing w:line="276" w:lineRule="auto"/>
        <w:jc w:val="both"/>
        <w:rPr>
          <w:lang w:eastAsia="ja-JP"/>
        </w:rPr>
      </w:pPr>
      <w:r w:rsidRPr="006D1386">
        <w:rPr>
          <w:lang w:eastAsia="ja-JP"/>
        </w:rPr>
        <w:t>WWRF IEG concluded that the DECT-2020 NR RIT component from ETSI (TC DECT) and DECT Forum  SRIT submission (</w:t>
      </w:r>
      <w:hyperlink r:id="rId22" w:history="1">
        <w:r w:rsidRPr="006D1386">
          <w:rPr>
            <w:lang w:eastAsia="ja-JP"/>
          </w:rPr>
          <w:t>IMT-2020/17(Rev 1)</w:t>
        </w:r>
      </w:hyperlink>
      <w:r w:rsidRPr="006D1386">
        <w:rPr>
          <w:lang w:eastAsia="ja-JP"/>
        </w:rPr>
        <w:t xml:space="preserve"> document) is compliant with the </w:t>
      </w:r>
      <w:r>
        <w:rPr>
          <w:lang w:eastAsia="ja-JP"/>
        </w:rPr>
        <w:t>user-plane latency</w:t>
      </w:r>
      <w:r w:rsidRPr="006D1386">
        <w:rPr>
          <w:lang w:eastAsia="ja-JP"/>
        </w:rPr>
        <w:t xml:space="preserve"> requirement of </w:t>
      </w:r>
      <w:r>
        <w:rPr>
          <w:lang w:eastAsia="ja-JP"/>
        </w:rPr>
        <w:t>1</w:t>
      </w:r>
      <w:r w:rsidRPr="006D1386">
        <w:rPr>
          <w:lang w:eastAsia="ja-JP"/>
        </w:rPr>
        <w:t> ms</w:t>
      </w:r>
      <w:r>
        <w:rPr>
          <w:lang w:eastAsia="ja-JP"/>
        </w:rPr>
        <w:t xml:space="preserve"> for URLLC</w:t>
      </w:r>
      <w:r w:rsidRPr="006D1386">
        <w:rPr>
          <w:lang w:eastAsia="ja-JP"/>
        </w:rPr>
        <w:t xml:space="preserve"> as specified by Report </w:t>
      </w:r>
      <w:hyperlink r:id="rId23" w:history="1">
        <w:r w:rsidRPr="006D1386">
          <w:rPr>
            <w:lang w:eastAsia="ja-JP"/>
          </w:rPr>
          <w:t>ITU</w:t>
        </w:r>
        <w:r w:rsidRPr="006D1386">
          <w:rPr>
            <w:lang w:eastAsia="ja-JP"/>
          </w:rPr>
          <w:noBreakHyphen/>
          <w:t>R M.2410</w:t>
        </w:r>
      </w:hyperlink>
      <w:r w:rsidRPr="004E76BA">
        <w:rPr>
          <w:lang w:val="en-US" w:eastAsia="ja-JP"/>
        </w:rPr>
        <w:t xml:space="preserve">, </w:t>
      </w:r>
      <w:r>
        <w:rPr>
          <w:lang w:val="en-US" w:eastAsia="ja-JP"/>
        </w:rPr>
        <w:t>in Section 4.7.1</w:t>
      </w:r>
      <w:r w:rsidRPr="006D1386">
        <w:rPr>
          <w:lang w:eastAsia="ja-JP"/>
        </w:rPr>
        <w:t>.</w:t>
      </w:r>
      <w:r>
        <w:rPr>
          <w:lang w:eastAsia="ja-JP"/>
        </w:rPr>
        <w:t xml:space="preserve"> </w:t>
      </w:r>
    </w:p>
    <w:p w:rsidR="008C134E" w:rsidRDefault="008C134E" w:rsidP="00641CC9">
      <w:pPr>
        <w:pStyle w:val="Heading4"/>
        <w:rPr>
          <w:lang w:eastAsia="ja-JP"/>
        </w:rPr>
      </w:pPr>
      <w:r w:rsidRPr="006D1386">
        <w:rPr>
          <w:lang w:eastAsia="ja-JP"/>
        </w:rPr>
        <w:t>Verification</w:t>
      </w:r>
    </w:p>
    <w:p w:rsidR="008C134E" w:rsidRPr="00936DBB" w:rsidRDefault="008C134E" w:rsidP="00582F49">
      <w:pPr>
        <w:spacing w:line="276" w:lineRule="auto"/>
        <w:jc w:val="both"/>
        <w:rPr>
          <w:lang w:val="en-US"/>
        </w:rPr>
      </w:pPr>
      <w:r>
        <w:rPr>
          <w:lang w:eastAsia="ja-JP"/>
        </w:rPr>
        <w:t xml:space="preserve">The elements considered in the </w:t>
      </w:r>
      <w:r>
        <w:rPr>
          <w:lang w:val="en-US" w:eastAsia="ja-JP"/>
        </w:rPr>
        <w:t>user</w:t>
      </w:r>
      <w:r>
        <w:rPr>
          <w:lang w:eastAsia="ja-JP"/>
        </w:rPr>
        <w:t xml:space="preserve">-plane latency analysis of the </w:t>
      </w:r>
      <w:r w:rsidRPr="006D1386">
        <w:rPr>
          <w:lang w:eastAsia="ja-JP"/>
        </w:rPr>
        <w:t>DECT-2020 NR RIT</w:t>
      </w:r>
      <w:r>
        <w:rPr>
          <w:lang w:eastAsia="ja-JP"/>
        </w:rPr>
        <w:t xml:space="preserve"> component along with their values for 3 different numerologies (</w:t>
      </w:r>
      <w:r>
        <w:rPr>
          <w:lang w:val="el-GR" w:eastAsia="ja-JP"/>
        </w:rPr>
        <w:t>μ</w:t>
      </w:r>
      <w:r w:rsidRPr="00F55D87">
        <w:rPr>
          <w:lang w:val="en-US" w:eastAsia="ja-JP"/>
        </w:rPr>
        <w:t xml:space="preserve">=1,2,4 </w:t>
      </w:r>
      <w:r>
        <w:rPr>
          <w:lang w:val="en-US" w:eastAsia="ja-JP"/>
        </w:rPr>
        <w:t xml:space="preserve">and </w:t>
      </w:r>
      <w:r>
        <w:rPr>
          <w:lang w:val="el-GR" w:eastAsia="ja-JP"/>
        </w:rPr>
        <w:t>β</w:t>
      </w:r>
      <w:r w:rsidRPr="00F55D87">
        <w:rPr>
          <w:lang w:val="en-US" w:eastAsia="ja-JP"/>
        </w:rPr>
        <w:t>=1)</w:t>
      </w:r>
      <w:r w:rsidRPr="00936DBB">
        <w:rPr>
          <w:lang w:val="en-US" w:eastAsia="ja-JP"/>
        </w:rPr>
        <w:t xml:space="preserve"> </w:t>
      </w:r>
      <w:r>
        <w:rPr>
          <w:lang w:val="en-US" w:eastAsia="ja-JP"/>
        </w:rPr>
        <w:t>are given in</w:t>
      </w:r>
      <w:r w:rsidRPr="00F55D87">
        <w:rPr>
          <w:lang w:val="en-US" w:eastAsia="ja-JP"/>
        </w:rPr>
        <w:t xml:space="preserve"> </w:t>
      </w:r>
      <w:r>
        <w:rPr>
          <w:lang w:val="en-US" w:eastAsia="ja-JP"/>
        </w:rPr>
        <w:fldChar w:fldCharType="begin"/>
      </w:r>
      <w:r>
        <w:rPr>
          <w:lang w:val="en-US" w:eastAsia="ja-JP"/>
        </w:rPr>
        <w:instrText xml:space="preserve"> REF _Ref71988156 \h  \* MERGEFORMAT </w:instrText>
      </w:r>
      <w:r>
        <w:rPr>
          <w:lang w:val="en-US" w:eastAsia="ja-JP"/>
        </w:rPr>
      </w:r>
      <w:r>
        <w:rPr>
          <w:lang w:val="en-US" w:eastAsia="ja-JP"/>
        </w:rPr>
        <w:fldChar w:fldCharType="separate"/>
      </w:r>
      <w:r w:rsidRPr="00EB69E8">
        <w:t xml:space="preserve">Table </w:t>
      </w:r>
      <w:r w:rsidRPr="00EB69E8">
        <w:rPr>
          <w:noProof/>
        </w:rPr>
        <w:t>2</w:t>
      </w:r>
      <w:r>
        <w:rPr>
          <w:lang w:val="en-US" w:eastAsia="ja-JP"/>
        </w:rPr>
        <w:fldChar w:fldCharType="end"/>
      </w:r>
      <w:r>
        <w:rPr>
          <w:lang w:val="en-US" w:eastAsia="ja-JP"/>
        </w:rPr>
        <w:t xml:space="preserve">. </w:t>
      </w:r>
    </w:p>
    <w:p w:rsidR="00836D52" w:rsidRDefault="008C134E" w:rsidP="00836D52">
      <w:pPr>
        <w:pStyle w:val="TableNo"/>
      </w:pPr>
      <w:bookmarkStart w:id="13" w:name="_Ref71988156"/>
      <w:r w:rsidRPr="00E83546">
        <w:t xml:space="preserve">Table </w:t>
      </w:r>
      <w:r w:rsidRPr="00E83546">
        <w:fldChar w:fldCharType="begin"/>
      </w:r>
      <w:r w:rsidRPr="00E83546">
        <w:instrText xml:space="preserve"> SEQ Table \* ARABIC </w:instrText>
      </w:r>
      <w:r w:rsidRPr="00E83546">
        <w:fldChar w:fldCharType="separate"/>
      </w:r>
      <w:r w:rsidRPr="00E83546">
        <w:rPr>
          <w:noProof/>
        </w:rPr>
        <w:t>2</w:t>
      </w:r>
      <w:r w:rsidRPr="00E83546">
        <w:fldChar w:fldCharType="end"/>
      </w:r>
      <w:bookmarkEnd w:id="13"/>
    </w:p>
    <w:p w:rsidR="008C134E" w:rsidRPr="00E83546" w:rsidRDefault="008C134E" w:rsidP="00836D52">
      <w:pPr>
        <w:pStyle w:val="Tabletitle"/>
        <w:rPr>
          <w:lang w:val="en-US"/>
        </w:rPr>
      </w:pPr>
      <w:r w:rsidRPr="00E83546">
        <w:t>User-Plane Latency Analysis Details and Overall Results</w:t>
      </w:r>
      <w:r w:rsidRPr="00E83546">
        <w:rPr>
          <w:lang w:val="en-US"/>
        </w:rPr>
        <w:t>. Scenarios/Configurations which are compliant with ITU requirement of 1 ms are highlighted with green color.</w:t>
      </w:r>
    </w:p>
    <w:tbl>
      <w:tblPr>
        <w:tblW w:w="9175" w:type="dxa"/>
        <w:tblLook w:val="04A0" w:firstRow="1" w:lastRow="0" w:firstColumn="1" w:lastColumn="0" w:noHBand="0" w:noVBand="1"/>
      </w:tblPr>
      <w:tblGrid>
        <w:gridCol w:w="3955"/>
        <w:gridCol w:w="1980"/>
        <w:gridCol w:w="1170"/>
        <w:gridCol w:w="1080"/>
        <w:gridCol w:w="990"/>
      </w:tblGrid>
      <w:tr w:rsidR="008C134E" w:rsidRPr="005E5722" w:rsidTr="004160DC">
        <w:trPr>
          <w:trHeight w:val="375"/>
        </w:trPr>
        <w:tc>
          <w:tcPr>
            <w:tcW w:w="3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34E" w:rsidRPr="005E5722" w:rsidRDefault="008C134E" w:rsidP="00836D52">
            <w:pPr>
              <w:pStyle w:val="Tablehead"/>
              <w:rPr>
                <w:lang w:val="en-US"/>
              </w:rPr>
            </w:pPr>
            <w:r w:rsidRPr="005E5722">
              <w:rPr>
                <w:lang w:val="en-US"/>
              </w:rPr>
              <w:t>Step</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8C134E" w:rsidRPr="005E5722" w:rsidRDefault="008C134E" w:rsidP="00836D52">
            <w:pPr>
              <w:pStyle w:val="Tablehead"/>
              <w:rPr>
                <w:lang w:val="en-US"/>
              </w:rPr>
            </w:pPr>
            <w:r w:rsidRPr="005E5722">
              <w:rPr>
                <w:lang w:val="en-US"/>
              </w:rPr>
              <w:t>EndPoint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8C134E" w:rsidRPr="005E5722" w:rsidRDefault="008C134E" w:rsidP="00836D52">
            <w:pPr>
              <w:pStyle w:val="Tablehead"/>
              <w:rPr>
                <w:lang w:val="en-US"/>
              </w:rPr>
            </w:pPr>
            <w:r w:rsidRPr="005E5722">
              <w:rPr>
                <w:lang w:val="en-US"/>
              </w:rPr>
              <w:t>Delay</w:t>
            </w:r>
            <w:r>
              <w:rPr>
                <w:lang w:val="en-US"/>
              </w:rPr>
              <w:t xml:space="preserve"> </w:t>
            </w:r>
            <w:r>
              <w:rPr>
                <w:lang w:val="el-GR"/>
              </w:rPr>
              <w:t>μ</w:t>
            </w:r>
            <w:r>
              <w:rPr>
                <w:lang w:val="en-US"/>
              </w:rPr>
              <w:t>s</w:t>
            </w:r>
            <w:r w:rsidRPr="005E5722">
              <w:rPr>
                <w:lang w:val="en-US"/>
              </w:rPr>
              <w:t xml:space="preserve"> (μ=1)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C134E" w:rsidRPr="005E5722" w:rsidRDefault="008C134E" w:rsidP="00836D52">
            <w:pPr>
              <w:pStyle w:val="Tablehead"/>
              <w:rPr>
                <w:lang w:val="en-US"/>
              </w:rPr>
            </w:pPr>
            <w:r w:rsidRPr="005E5722">
              <w:rPr>
                <w:lang w:val="en-US"/>
              </w:rPr>
              <w:t xml:space="preserve">Delay </w:t>
            </w:r>
            <w:r>
              <w:rPr>
                <w:lang w:val="el-GR"/>
              </w:rPr>
              <w:t>μ</w:t>
            </w:r>
            <w:r>
              <w:rPr>
                <w:lang w:val="en-US"/>
              </w:rPr>
              <w:t xml:space="preserve">s </w:t>
            </w:r>
            <w:r w:rsidRPr="005E5722">
              <w:rPr>
                <w:lang w:val="en-US"/>
              </w:rPr>
              <w:t>(μ=2)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8C134E" w:rsidRPr="005E5722" w:rsidRDefault="008C134E" w:rsidP="00836D52">
            <w:pPr>
              <w:pStyle w:val="Tablehead"/>
              <w:rPr>
                <w:lang w:val="en-US"/>
              </w:rPr>
            </w:pPr>
            <w:r w:rsidRPr="005E5722">
              <w:rPr>
                <w:lang w:val="en-US"/>
              </w:rPr>
              <w:t xml:space="preserve">Delay </w:t>
            </w:r>
            <w:r>
              <w:rPr>
                <w:lang w:val="el-GR"/>
              </w:rPr>
              <w:t>μ</w:t>
            </w:r>
            <w:r>
              <w:rPr>
                <w:lang w:val="en-US"/>
              </w:rPr>
              <w:t>s</w:t>
            </w:r>
            <w:r w:rsidRPr="005E5722">
              <w:rPr>
                <w:lang w:val="en-US"/>
              </w:rPr>
              <w:t xml:space="preserve"> (μ=4)</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1a : Tx Processing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1b: Alignment with random access start position</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83.33</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41.67</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20.83</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2a: LBT</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83.33</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41.67</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20.83</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2b: Packet Transmission</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3a: Rx Processing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3b (only for ReTx Case): HARQ Feedback Timing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416.67</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Steb 4a: NACK Transmission Processing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4b: NACK Transmission</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4c: NACK Rx Processing &amp; Alignment</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291.67</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5a: LBT &amp; Packet Retransmission</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291.67</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145.83</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72.92</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5b: Re-transmission Rx Processing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216C41">
        <w:trPr>
          <w:trHeight w:val="375"/>
        </w:trPr>
        <w:tc>
          <w:tcPr>
            <w:tcW w:w="3955" w:type="dxa"/>
            <w:vMerge w:val="restart"/>
            <w:tcBorders>
              <w:top w:val="nil"/>
              <w:left w:val="single" w:sz="4" w:space="0" w:color="auto"/>
              <w:right w:val="single" w:sz="4" w:space="0" w:color="auto"/>
            </w:tcBorders>
            <w:shd w:val="clear" w:color="auto" w:fill="auto"/>
            <w:vAlign w:val="center"/>
            <w:hideMark/>
          </w:tcPr>
          <w:p w:rsidR="008C134E" w:rsidRPr="005E5722" w:rsidRDefault="008C134E" w:rsidP="004160DC">
            <w:pPr>
              <w:jc w:val="right"/>
              <w:rPr>
                <w:b/>
                <w:bCs/>
                <w:color w:val="000000"/>
                <w:sz w:val="20"/>
                <w:lang w:val="en-US"/>
              </w:rPr>
            </w:pPr>
            <w:r w:rsidRPr="005E5722">
              <w:rPr>
                <w:b/>
                <w:bCs/>
                <w:color w:val="000000"/>
                <w:sz w:val="20"/>
                <w:lang w:val="en-US"/>
              </w:rPr>
              <w:t>Overall Latency Results (ms)</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jc w:val="right"/>
              <w:rPr>
                <w:b/>
                <w:bCs/>
                <w:color w:val="000000"/>
                <w:sz w:val="20"/>
                <w:lang w:val="en-US"/>
              </w:rPr>
            </w:pPr>
            <w:r w:rsidRPr="005E5722">
              <w:rPr>
                <w:b/>
                <w:bCs/>
                <w:color w:val="000000"/>
                <w:sz w:val="20"/>
                <w:lang w:val="en-US"/>
              </w:rPr>
              <w:t xml:space="preserve">No </w:t>
            </w:r>
            <w:r>
              <w:rPr>
                <w:b/>
                <w:bCs/>
                <w:color w:val="000000"/>
                <w:sz w:val="20"/>
                <w:lang w:val="en-US"/>
              </w:rPr>
              <w:t>HARQ</w:t>
            </w:r>
          </w:p>
        </w:tc>
        <w:tc>
          <w:tcPr>
            <w:tcW w:w="117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454650" w:rsidRDefault="008C134E" w:rsidP="004160DC">
            <w:pPr>
              <w:rPr>
                <w:b/>
                <w:bCs/>
                <w:color w:val="000000"/>
                <w:sz w:val="20"/>
                <w:lang w:val="en-US"/>
              </w:rPr>
            </w:pPr>
            <w:r w:rsidRPr="00454650">
              <w:rPr>
                <w:b/>
                <w:bCs/>
                <w:color w:val="000000"/>
                <w:sz w:val="20"/>
                <w:lang w:val="en-US"/>
              </w:rPr>
              <w:t>0.792</w:t>
            </w:r>
          </w:p>
        </w:tc>
        <w:tc>
          <w:tcPr>
            <w:tcW w:w="108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454650" w:rsidRDefault="008C134E" w:rsidP="004160DC">
            <w:pPr>
              <w:rPr>
                <w:b/>
                <w:bCs/>
                <w:color w:val="000000"/>
                <w:sz w:val="20"/>
                <w:lang w:val="en-US"/>
              </w:rPr>
            </w:pPr>
            <w:r w:rsidRPr="00454650">
              <w:rPr>
                <w:b/>
                <w:bCs/>
                <w:color w:val="000000"/>
                <w:sz w:val="20"/>
                <w:lang w:val="en-US"/>
              </w:rPr>
              <w:t>0.396</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454650" w:rsidRDefault="008C134E" w:rsidP="004160DC">
            <w:pPr>
              <w:rPr>
                <w:b/>
                <w:bCs/>
                <w:color w:val="000000"/>
                <w:sz w:val="20"/>
                <w:lang w:val="en-US"/>
              </w:rPr>
            </w:pPr>
            <w:r w:rsidRPr="00454650">
              <w:rPr>
                <w:b/>
                <w:bCs/>
                <w:color w:val="000000"/>
                <w:sz w:val="20"/>
                <w:lang w:val="en-US"/>
              </w:rPr>
              <w:t>0.198</w:t>
            </w:r>
          </w:p>
        </w:tc>
      </w:tr>
      <w:tr w:rsidR="008C134E" w:rsidRPr="005E5722" w:rsidTr="00216C41">
        <w:trPr>
          <w:trHeight w:val="300"/>
        </w:trPr>
        <w:tc>
          <w:tcPr>
            <w:tcW w:w="3955" w:type="dxa"/>
            <w:vMerge/>
            <w:tcBorders>
              <w:left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jc w:val="right"/>
              <w:rPr>
                <w:b/>
                <w:bCs/>
                <w:color w:val="000000"/>
                <w:sz w:val="20"/>
                <w:lang w:val="en-US"/>
              </w:rPr>
            </w:pPr>
            <w:r w:rsidRPr="005E5722">
              <w:rPr>
                <w:b/>
                <w:bCs/>
                <w:color w:val="000000"/>
                <w:sz w:val="20"/>
                <w:lang w:val="en-US"/>
              </w:rPr>
              <w:t>HARQ (average with 10% Re-Tx)</w:t>
            </w:r>
          </w:p>
        </w:tc>
        <w:tc>
          <w:tcPr>
            <w:tcW w:w="117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454650" w:rsidRDefault="008C134E" w:rsidP="004160DC">
            <w:pPr>
              <w:rPr>
                <w:b/>
                <w:bCs/>
                <w:color w:val="000000"/>
                <w:sz w:val="20"/>
                <w:lang w:val="en-US"/>
              </w:rPr>
            </w:pPr>
            <w:r w:rsidRPr="00454650">
              <w:rPr>
                <w:b/>
                <w:bCs/>
                <w:color w:val="000000"/>
                <w:sz w:val="20"/>
                <w:lang w:val="en-US"/>
              </w:rPr>
              <w:t>0.975</w:t>
            </w:r>
          </w:p>
        </w:tc>
        <w:tc>
          <w:tcPr>
            <w:tcW w:w="108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454650" w:rsidRDefault="008C134E" w:rsidP="004160DC">
            <w:pPr>
              <w:rPr>
                <w:b/>
                <w:bCs/>
                <w:color w:val="000000"/>
                <w:sz w:val="20"/>
                <w:lang w:val="en-US"/>
              </w:rPr>
            </w:pPr>
            <w:r w:rsidRPr="00454650">
              <w:rPr>
                <w:b/>
                <w:bCs/>
                <w:color w:val="000000"/>
                <w:sz w:val="20"/>
                <w:lang w:val="en-US"/>
              </w:rPr>
              <w:t>0.483</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454650" w:rsidRDefault="008C134E" w:rsidP="004160DC">
            <w:pPr>
              <w:rPr>
                <w:b/>
                <w:bCs/>
                <w:color w:val="000000"/>
                <w:sz w:val="20"/>
                <w:lang w:val="en-US"/>
              </w:rPr>
            </w:pPr>
            <w:r w:rsidRPr="00454650">
              <w:rPr>
                <w:b/>
                <w:bCs/>
                <w:color w:val="000000"/>
                <w:sz w:val="20"/>
                <w:lang w:val="en-US"/>
              </w:rPr>
              <w:t>0.242</w:t>
            </w:r>
          </w:p>
        </w:tc>
      </w:tr>
      <w:tr w:rsidR="008C134E" w:rsidRPr="005E5722" w:rsidTr="00216C41">
        <w:trPr>
          <w:trHeight w:val="56"/>
        </w:trPr>
        <w:tc>
          <w:tcPr>
            <w:tcW w:w="3955" w:type="dxa"/>
            <w:vMerge/>
            <w:tcBorders>
              <w:left w:val="single" w:sz="4" w:space="0" w:color="auto"/>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jc w:val="right"/>
              <w:rPr>
                <w:b/>
                <w:bCs/>
                <w:color w:val="000000"/>
                <w:sz w:val="20"/>
                <w:lang w:val="en-US"/>
              </w:rPr>
            </w:pPr>
            <w:r w:rsidRPr="005E5722">
              <w:rPr>
                <w:b/>
                <w:bCs/>
                <w:color w:val="000000"/>
                <w:sz w:val="20"/>
                <w:lang w:val="en-US"/>
              </w:rPr>
              <w:t>HARQ (max with one Re-Tx)</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454650" w:rsidRDefault="008C134E" w:rsidP="004160DC">
            <w:pPr>
              <w:rPr>
                <w:color w:val="000000"/>
                <w:sz w:val="20"/>
                <w:lang w:val="en-US"/>
              </w:rPr>
            </w:pPr>
            <w:r w:rsidRPr="00454650">
              <w:rPr>
                <w:color w:val="000000"/>
                <w:sz w:val="20"/>
                <w:lang w:val="en-US"/>
              </w:rPr>
              <w:t>2.625</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454650" w:rsidRDefault="008C134E" w:rsidP="004160DC">
            <w:pPr>
              <w:rPr>
                <w:color w:val="000000"/>
                <w:sz w:val="20"/>
                <w:lang w:val="en-US"/>
              </w:rPr>
            </w:pPr>
            <w:r w:rsidRPr="00454650">
              <w:rPr>
                <w:color w:val="000000"/>
                <w:sz w:val="20"/>
                <w:lang w:val="en-US"/>
              </w:rPr>
              <w:t>1.271</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454650" w:rsidRDefault="008C134E" w:rsidP="004160DC">
            <w:pPr>
              <w:rPr>
                <w:b/>
                <w:bCs/>
                <w:color w:val="000000"/>
                <w:sz w:val="20"/>
                <w:lang w:val="en-US"/>
              </w:rPr>
            </w:pPr>
            <w:r w:rsidRPr="00454650">
              <w:rPr>
                <w:b/>
                <w:bCs/>
                <w:color w:val="000000"/>
                <w:sz w:val="20"/>
                <w:lang w:val="en-US"/>
              </w:rPr>
              <w:t>0.635</w:t>
            </w:r>
          </w:p>
        </w:tc>
      </w:tr>
    </w:tbl>
    <w:p w:rsidR="0030638A" w:rsidRDefault="0030638A" w:rsidP="0030638A">
      <w:pPr>
        <w:pStyle w:val="Tablefin"/>
        <w:rPr>
          <w:lang w:val="en-US"/>
        </w:rPr>
      </w:pPr>
    </w:p>
    <w:p w:rsidR="008C134E" w:rsidRPr="00936DBB" w:rsidRDefault="008C134E" w:rsidP="00BA4C6C">
      <w:pPr>
        <w:spacing w:line="276" w:lineRule="auto"/>
        <w:jc w:val="both"/>
        <w:rPr>
          <w:lang w:val="en-US"/>
        </w:rPr>
      </w:pPr>
      <w:r>
        <w:rPr>
          <w:lang w:val="en-US" w:eastAsia="ja-JP"/>
        </w:rPr>
        <w:t xml:space="preserve">The overall latency value is also provided with respect to 3 metrics/scenarios: latency under no retransmission, average latency under re-transmission with target packet loss rate of 10%, and worst-case latency with one re-transmission. For the numerology of </w:t>
      </w:r>
      <w:r w:rsidRPr="003C3E35">
        <w:rPr>
          <w:lang w:val="en-US" w:eastAsia="ja-JP"/>
        </w:rPr>
        <w:t>(</w:t>
      </w:r>
      <w:r>
        <w:rPr>
          <w:lang w:val="el-GR" w:eastAsia="ja-JP"/>
        </w:rPr>
        <w:t>μ</w:t>
      </w:r>
      <w:r w:rsidRPr="003C3E35">
        <w:rPr>
          <w:lang w:val="en-US" w:eastAsia="ja-JP"/>
        </w:rPr>
        <w:t>,</w:t>
      </w:r>
      <w:r>
        <w:rPr>
          <w:lang w:val="el-GR" w:eastAsia="ja-JP"/>
        </w:rPr>
        <w:t>β</w:t>
      </w:r>
      <w:r w:rsidRPr="003C3E35">
        <w:rPr>
          <w:lang w:val="en-US" w:eastAsia="ja-JP"/>
        </w:rPr>
        <w:t>)=</w:t>
      </w:r>
      <w:r>
        <w:rPr>
          <w:lang w:val="en-US" w:eastAsia="ja-JP"/>
        </w:rPr>
        <w:t>(</w:t>
      </w:r>
      <w:r w:rsidRPr="003C3E35">
        <w:rPr>
          <w:lang w:val="en-US" w:eastAsia="ja-JP"/>
        </w:rPr>
        <w:t xml:space="preserve">4,1) </w:t>
      </w:r>
      <w:r>
        <w:rPr>
          <w:lang w:val="en-US" w:eastAsia="ja-JP"/>
        </w:rPr>
        <w:t>it is shown that all latency metrics are compliant with the ITU requirement, whereas for (1,1) and (2,1) numerologies latency under no-retransmission or average latency metrics are also compliant.</w:t>
      </w:r>
    </w:p>
    <w:p w:rsidR="008C134E" w:rsidRPr="00F90AD3" w:rsidRDefault="008C134E" w:rsidP="00F90AD3">
      <w:r>
        <w:t>Further details on the analysis and the results are provided in Annex I.</w:t>
      </w:r>
    </w:p>
    <w:p w:rsidR="008C134E" w:rsidRPr="00B26EBB" w:rsidRDefault="008C134E" w:rsidP="00641CC9">
      <w:pPr>
        <w:pStyle w:val="Heading3"/>
        <w:rPr>
          <w:rFonts w:eastAsia="MS Mincho"/>
          <w:lang w:val="it-IT"/>
        </w:rPr>
      </w:pPr>
      <w:r w:rsidRPr="00B26EBB">
        <w:rPr>
          <w:rFonts w:eastAsia="MS Mincho"/>
          <w:lang w:val="it-IT"/>
        </w:rPr>
        <w:t>II-E-2-2</w:t>
      </w:r>
      <w:r w:rsidRPr="00B26EBB">
        <w:rPr>
          <w:rFonts w:eastAsia="MS Mincho"/>
          <w:lang w:val="it-IT"/>
        </w:rPr>
        <w:tab/>
        <w:t>Control-plane latency (URLLC)</w:t>
      </w:r>
    </w:p>
    <w:p w:rsidR="008C134E" w:rsidRDefault="008C134E" w:rsidP="00641CC9">
      <w:pPr>
        <w:pStyle w:val="Heading4"/>
        <w:rPr>
          <w:lang w:eastAsia="ja-JP"/>
        </w:rPr>
      </w:pPr>
      <w:r w:rsidRPr="006D1386">
        <w:rPr>
          <w:lang w:eastAsia="ja-JP"/>
        </w:rPr>
        <w:t>Conclusion</w:t>
      </w:r>
    </w:p>
    <w:p w:rsidR="008C134E" w:rsidRDefault="008C134E" w:rsidP="00430BD3">
      <w:pPr>
        <w:spacing w:line="276" w:lineRule="auto"/>
        <w:jc w:val="both"/>
        <w:rPr>
          <w:lang w:eastAsia="ja-JP"/>
        </w:rPr>
      </w:pPr>
      <w:r w:rsidRPr="006D1386">
        <w:rPr>
          <w:lang w:eastAsia="ja-JP"/>
        </w:rPr>
        <w:t>WWRF IEG concluded that the DECT-2020 NR RIT component from ETSI (TC DECT) and DECT Forum  SRIT submission (</w:t>
      </w:r>
      <w:hyperlink r:id="rId24" w:history="1">
        <w:r w:rsidRPr="006D1386">
          <w:rPr>
            <w:lang w:eastAsia="ja-JP"/>
          </w:rPr>
          <w:t>IMT-2020/17(Rev 1)</w:t>
        </w:r>
      </w:hyperlink>
      <w:r w:rsidRPr="006D1386">
        <w:rPr>
          <w:lang w:eastAsia="ja-JP"/>
        </w:rPr>
        <w:t xml:space="preserve"> document) is compliant with the </w:t>
      </w:r>
      <w:r>
        <w:rPr>
          <w:lang w:eastAsia="ja-JP"/>
        </w:rPr>
        <w:t>control-plane latency</w:t>
      </w:r>
      <w:r w:rsidRPr="006D1386">
        <w:rPr>
          <w:lang w:eastAsia="ja-JP"/>
        </w:rPr>
        <w:t xml:space="preserve"> requirement of </w:t>
      </w:r>
      <w:r>
        <w:rPr>
          <w:lang w:eastAsia="ja-JP"/>
        </w:rPr>
        <w:t>2</w:t>
      </w:r>
      <w:r w:rsidRPr="006D1386">
        <w:rPr>
          <w:lang w:eastAsia="ja-JP"/>
        </w:rPr>
        <w:t xml:space="preserve">0 ms as specified by Report </w:t>
      </w:r>
      <w:hyperlink r:id="rId25" w:history="1">
        <w:r w:rsidRPr="006D1386">
          <w:rPr>
            <w:lang w:eastAsia="ja-JP"/>
          </w:rPr>
          <w:t>ITU</w:t>
        </w:r>
        <w:r w:rsidRPr="006D1386">
          <w:rPr>
            <w:lang w:eastAsia="ja-JP"/>
          </w:rPr>
          <w:noBreakHyphen/>
          <w:t>R M.2410</w:t>
        </w:r>
      </w:hyperlink>
      <w:r w:rsidRPr="004E76BA">
        <w:rPr>
          <w:lang w:val="en-US" w:eastAsia="ja-JP"/>
        </w:rPr>
        <w:t xml:space="preserve">, </w:t>
      </w:r>
      <w:r>
        <w:rPr>
          <w:lang w:val="en-US" w:eastAsia="ja-JP"/>
        </w:rPr>
        <w:t>in Section 4.7.2</w:t>
      </w:r>
      <w:r w:rsidRPr="006D1386">
        <w:rPr>
          <w:lang w:eastAsia="ja-JP"/>
        </w:rPr>
        <w:t>.</w:t>
      </w:r>
    </w:p>
    <w:p w:rsidR="008C134E" w:rsidRDefault="008C134E" w:rsidP="00641CC9">
      <w:pPr>
        <w:pStyle w:val="Heading4"/>
        <w:rPr>
          <w:lang w:eastAsia="ja-JP"/>
        </w:rPr>
      </w:pPr>
      <w:r w:rsidRPr="006D1386">
        <w:rPr>
          <w:lang w:eastAsia="ja-JP"/>
        </w:rPr>
        <w:t>Verification</w:t>
      </w:r>
    </w:p>
    <w:p w:rsidR="008C134E" w:rsidRPr="00936DBB" w:rsidRDefault="008C134E" w:rsidP="00430BD3">
      <w:pPr>
        <w:spacing w:line="276" w:lineRule="auto"/>
        <w:jc w:val="both"/>
        <w:rPr>
          <w:lang w:val="en-US"/>
        </w:rPr>
      </w:pPr>
      <w:r>
        <w:rPr>
          <w:lang w:eastAsia="ja-JP"/>
        </w:rPr>
        <w:t xml:space="preserve">The elements considered in the control-plane latency analysis of the </w:t>
      </w:r>
      <w:r w:rsidRPr="006D1386">
        <w:rPr>
          <w:lang w:eastAsia="ja-JP"/>
        </w:rPr>
        <w:t>DECT-2020 NR RIT</w:t>
      </w:r>
      <w:r>
        <w:rPr>
          <w:lang w:eastAsia="ja-JP"/>
        </w:rPr>
        <w:t xml:space="preserve"> component along with their values for the basic numerology of (</w:t>
      </w:r>
      <w:r>
        <w:rPr>
          <w:lang w:val="el-GR" w:eastAsia="ja-JP"/>
        </w:rPr>
        <w:t>μ</w:t>
      </w:r>
      <w:r w:rsidRPr="00936DBB">
        <w:rPr>
          <w:lang w:val="en-US" w:eastAsia="ja-JP"/>
        </w:rPr>
        <w:t>,</w:t>
      </w:r>
      <w:r>
        <w:rPr>
          <w:lang w:val="el-GR" w:eastAsia="ja-JP"/>
        </w:rPr>
        <w:t>β</w:t>
      </w:r>
      <w:r w:rsidRPr="00936DBB">
        <w:rPr>
          <w:lang w:val="en-US" w:eastAsia="ja-JP"/>
        </w:rPr>
        <w:t xml:space="preserve">)=(1,1) </w:t>
      </w:r>
      <w:r>
        <w:rPr>
          <w:lang w:val="en-US" w:eastAsia="ja-JP"/>
        </w:rPr>
        <w:t xml:space="preserve"> are given in </w:t>
      </w:r>
      <w:r>
        <w:rPr>
          <w:lang w:val="en-US" w:eastAsia="ja-JP"/>
        </w:rPr>
        <w:fldChar w:fldCharType="begin"/>
      </w:r>
      <w:r>
        <w:rPr>
          <w:lang w:val="en-US" w:eastAsia="ja-JP"/>
        </w:rPr>
        <w:instrText xml:space="preserve"> REF _Ref71987957 \h  \* MERGEFORMAT </w:instrText>
      </w:r>
      <w:r>
        <w:rPr>
          <w:lang w:val="en-US" w:eastAsia="ja-JP"/>
        </w:rPr>
      </w:r>
      <w:r>
        <w:rPr>
          <w:lang w:val="en-US" w:eastAsia="ja-JP"/>
        </w:rPr>
        <w:fldChar w:fldCharType="separate"/>
      </w:r>
      <w:r w:rsidRPr="00EB69E8">
        <w:t xml:space="preserve">Table </w:t>
      </w:r>
      <w:r w:rsidRPr="00EB69E8">
        <w:rPr>
          <w:noProof/>
        </w:rPr>
        <w:t>3</w:t>
      </w:r>
      <w:r>
        <w:rPr>
          <w:lang w:val="en-US" w:eastAsia="ja-JP"/>
        </w:rPr>
        <w:fldChar w:fldCharType="end"/>
      </w:r>
      <w:r>
        <w:rPr>
          <w:lang w:val="en-US" w:eastAsia="ja-JP"/>
        </w:rPr>
        <w:t>. The overall latency value is also provided which is shown to be compliant with the ITU requirement.</w:t>
      </w:r>
    </w:p>
    <w:p w:rsidR="0030638A" w:rsidRDefault="008C134E" w:rsidP="0030638A">
      <w:pPr>
        <w:pStyle w:val="TableNo"/>
      </w:pPr>
      <w:bookmarkStart w:id="14" w:name="_Ref71987957"/>
      <w:r w:rsidRPr="00BE3120">
        <w:t xml:space="preserve">Table </w:t>
      </w:r>
      <w:r w:rsidRPr="00BE3120">
        <w:fldChar w:fldCharType="begin"/>
      </w:r>
      <w:r w:rsidRPr="00BE3120">
        <w:instrText xml:space="preserve"> SEQ Table \* ARABIC </w:instrText>
      </w:r>
      <w:r w:rsidRPr="00BE3120">
        <w:fldChar w:fldCharType="separate"/>
      </w:r>
      <w:r w:rsidRPr="00BE3120">
        <w:rPr>
          <w:noProof/>
        </w:rPr>
        <w:t>3</w:t>
      </w:r>
      <w:r w:rsidRPr="00BE3120">
        <w:fldChar w:fldCharType="end"/>
      </w:r>
      <w:bookmarkEnd w:id="14"/>
    </w:p>
    <w:p w:rsidR="008C134E" w:rsidRPr="00BE3120" w:rsidRDefault="008C134E" w:rsidP="0030638A">
      <w:pPr>
        <w:pStyle w:val="Tabletitle"/>
        <w:rPr>
          <w:lang w:val="en-US"/>
        </w:rPr>
      </w:pPr>
      <w:r w:rsidRPr="00BE3120">
        <w:t xml:space="preserve">Control-Plane Latency Analysis for DECT-2020 NR RIT </w:t>
      </w:r>
      <w:r w:rsidRPr="00BE3120">
        <w:rPr>
          <w:lang w:val="en-US"/>
        </w:rPr>
        <w:t>Evaluation</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5"/>
        <w:gridCol w:w="4770"/>
        <w:gridCol w:w="3785"/>
      </w:tblGrid>
      <w:tr w:rsidR="008C134E" w:rsidRPr="00194CF6" w:rsidTr="004160DC">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C134E" w:rsidRPr="00194CF6" w:rsidRDefault="008C134E" w:rsidP="00836D52">
            <w:pPr>
              <w:pStyle w:val="Tablehead"/>
            </w:pPr>
            <w:r w:rsidRPr="00194CF6">
              <w:t>Step</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C134E" w:rsidRPr="00194CF6" w:rsidRDefault="008C134E" w:rsidP="00836D52">
            <w:pPr>
              <w:pStyle w:val="Tablehead"/>
            </w:pPr>
            <w:r w:rsidRPr="00194CF6">
              <w:t>Description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C134E" w:rsidRPr="00194CF6" w:rsidRDefault="008C134E" w:rsidP="00836D52">
            <w:pPr>
              <w:pStyle w:val="Tablehead"/>
            </w:pPr>
            <w:r w:rsidRPr="00194CF6">
              <w:t>Value/Comment</w:t>
            </w:r>
          </w:p>
        </w:tc>
      </w:tr>
      <w:tr w:rsidR="008C134E" w:rsidRPr="00194CF6" w:rsidTr="0052036D">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i/>
                <w:iCs/>
              </w:rPr>
            </w:pPr>
            <w:r w:rsidRPr="00F7539B">
              <w:rPr>
                <w:rFonts w:ascii="Times New Roman" w:hAnsi="Times New Roman" w:cs="Times New Roman"/>
                <w:b w:val="0"/>
                <w:i/>
                <w:iCs/>
              </w:rPr>
              <w:t>0</w:t>
            </w:r>
          </w:p>
        </w:tc>
        <w:tc>
          <w:tcPr>
            <w:tcW w:w="477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i/>
                <w:iCs/>
              </w:rPr>
            </w:pPr>
            <w:r w:rsidRPr="00F7539B">
              <w:rPr>
                <w:rFonts w:ascii="Times New Roman" w:hAnsi="Times New Roman" w:cs="Times New Roman"/>
                <w:b w:val="0"/>
                <w:i/>
                <w:iCs/>
              </w:rPr>
              <w:t>Network/Cluster/Resource Allocation Detection</w:t>
            </w:r>
          </w:p>
        </w:tc>
        <w:tc>
          <w:tcPr>
            <w:tcW w:w="378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i/>
                <w:iCs/>
              </w:rPr>
            </w:pPr>
            <w:r w:rsidRPr="00F7539B">
              <w:rPr>
                <w:rFonts w:ascii="Times New Roman" w:hAnsi="Times New Roman" w:cs="Times New Roman"/>
                <w:b w:val="0"/>
                <w:i/>
                <w:iCs/>
              </w:rPr>
              <w:t>~ 60</w:t>
            </w:r>
            <w:r w:rsidR="00531545">
              <w:rPr>
                <w:rFonts w:ascii="Times New Roman" w:hAnsi="Times New Roman" w:cs="Times New Roman"/>
                <w:b w:val="0"/>
                <w:i/>
                <w:iCs/>
              </w:rPr>
              <w:t> </w:t>
            </w:r>
            <w:r w:rsidRPr="00F7539B">
              <w:rPr>
                <w:rFonts w:ascii="Times New Roman" w:hAnsi="Times New Roman" w:cs="Times New Roman"/>
                <w:b w:val="0"/>
                <w:i/>
                <w:iCs/>
              </w:rPr>
              <w:t>ms-36s</w:t>
            </w:r>
            <w:r w:rsidRPr="00F7539B">
              <w:rPr>
                <w:rFonts w:ascii="Times New Roman" w:hAnsi="Times New Roman" w:cs="Times New Roman"/>
                <w:b w:val="0"/>
                <w:i/>
                <w:iCs/>
                <w:vertAlign w:val="superscript"/>
              </w:rPr>
              <w:t>*</w:t>
            </w:r>
          </w:p>
          <w:p w:rsidR="008C134E" w:rsidRPr="00F7539B" w:rsidRDefault="008C134E" w:rsidP="00430BD3">
            <w:pPr>
              <w:pStyle w:val="Tablehead"/>
              <w:jc w:val="left"/>
              <w:rPr>
                <w:rFonts w:ascii="Times New Roman" w:hAnsi="Times New Roman" w:cs="Times New Roman"/>
                <w:b w:val="0"/>
                <w:i/>
                <w:iCs/>
              </w:rPr>
            </w:pPr>
            <w:r w:rsidRPr="00F7539B">
              <w:rPr>
                <w:rFonts w:ascii="Times New Roman" w:hAnsi="Times New Roman" w:cs="Times New Roman"/>
                <w:b w:val="0"/>
                <w:i/>
                <w:iCs/>
                <w:vertAlign w:val="superscript"/>
              </w:rPr>
              <w:t>*</w:t>
            </w:r>
            <w:r w:rsidRPr="00F7539B">
              <w:rPr>
                <w:rFonts w:ascii="Times New Roman" w:hAnsi="Times New Roman" w:cs="Times New Roman"/>
                <w:b w:val="0"/>
                <w:i/>
                <w:iCs/>
              </w:rPr>
              <w:t xml:space="preserve"> not included in calculations since these procedures can be performed in battery-efficient idle state</w:t>
            </w:r>
          </w:p>
        </w:tc>
      </w:tr>
      <w:tr w:rsidR="008C134E" w:rsidRPr="00194CF6" w:rsidTr="004160DC">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1</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Delay for start using assigned random resources</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1 ms or 5</w:t>
            </w:r>
            <w:r w:rsidR="00836D52" w:rsidRPr="00F7539B">
              <w:rPr>
                <w:rFonts w:ascii="Times New Roman" w:hAnsi="Times New Roman" w:cs="Times New Roman"/>
                <w:b w:val="0"/>
              </w:rPr>
              <w:t xml:space="preserve"> </w:t>
            </w:r>
            <w:r w:rsidRPr="00F7539B">
              <w:rPr>
                <w:rFonts w:ascii="Times New Roman" w:hAnsi="Times New Roman" w:cs="Times New Roman"/>
                <w:b w:val="0"/>
              </w:rPr>
              <w:t xml:space="preserve">ms (Depending on DECT_Delay field (of the Random Access Resource IE): </w:t>
            </w:r>
          </w:p>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Worst-Case: 5</w:t>
            </w:r>
            <w:r w:rsidR="0030638A">
              <w:rPr>
                <w:rFonts w:ascii="Times New Roman" w:hAnsi="Times New Roman" w:cs="Times New Roman"/>
                <w:b w:val="0"/>
              </w:rPr>
              <w:t xml:space="preserve"> </w:t>
            </w:r>
            <w:r w:rsidRPr="00F7539B">
              <w:rPr>
                <w:rFonts w:ascii="Times New Roman" w:hAnsi="Times New Roman" w:cs="Times New Roman"/>
                <w:b w:val="0"/>
              </w:rPr>
              <w:t>ms</w:t>
            </w:r>
          </w:p>
        </w:tc>
      </w:tr>
      <w:tr w:rsidR="008C134E" w:rsidRPr="00194CF6" w:rsidTr="004160DC">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2</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Association Request Transmission &amp;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0.624 ms</w:t>
            </w:r>
          </w:p>
        </w:tc>
      </w:tr>
      <w:tr w:rsidR="008C134E" w:rsidRPr="00194CF6" w:rsidTr="004160DC">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3</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Association Response Transmission &amp;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r w:rsidRPr="00F7539B">
              <w:rPr>
                <w:rFonts w:ascii="Times New Roman" w:hAnsi="Times New Roman" w:cs="Times New Roman"/>
                <w:b w:val="0"/>
              </w:rPr>
              <w:t>0.624 ms</w:t>
            </w:r>
          </w:p>
        </w:tc>
      </w:tr>
      <w:tr w:rsidR="008C134E" w:rsidRPr="00194CF6" w:rsidTr="00430BD3">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 w:val="0"/>
              </w:rPr>
            </w:pP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F7539B" w:rsidRDefault="008C134E" w:rsidP="00753464">
            <w:pPr>
              <w:pStyle w:val="Tablehead"/>
              <w:rPr>
                <w:rFonts w:ascii="Times New Roman" w:hAnsi="Times New Roman" w:cs="Times New Roman"/>
                <w:bCs/>
              </w:rPr>
            </w:pPr>
            <w:r w:rsidRPr="00F7539B">
              <w:rPr>
                <w:rFonts w:ascii="Times New Roman" w:hAnsi="Times New Roman" w:cs="Times New Roman"/>
                <w:bCs/>
              </w:rPr>
              <w:t>Overall latency</w:t>
            </w:r>
          </w:p>
        </w:tc>
        <w:tc>
          <w:tcPr>
            <w:tcW w:w="378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Mar>
              <w:top w:w="0" w:type="dxa"/>
              <w:left w:w="108" w:type="dxa"/>
              <w:bottom w:w="0" w:type="dxa"/>
              <w:right w:w="108" w:type="dxa"/>
            </w:tcMar>
            <w:vAlign w:val="center"/>
          </w:tcPr>
          <w:p w:rsidR="008C134E" w:rsidRPr="00F7539B" w:rsidRDefault="008C134E" w:rsidP="00430BD3">
            <w:pPr>
              <w:pStyle w:val="Tablehead"/>
              <w:jc w:val="left"/>
              <w:rPr>
                <w:rFonts w:ascii="Times New Roman" w:hAnsi="Times New Roman" w:cs="Times New Roman"/>
                <w:bCs/>
              </w:rPr>
            </w:pPr>
            <w:r w:rsidRPr="00F7539B">
              <w:rPr>
                <w:rFonts w:ascii="Times New Roman" w:hAnsi="Times New Roman" w:cs="Times New Roman"/>
                <w:bCs/>
              </w:rPr>
              <w:t>6.25 ms (compliant with 20 ms requirement of ITU)</w:t>
            </w:r>
          </w:p>
        </w:tc>
      </w:tr>
    </w:tbl>
    <w:p w:rsidR="0030638A" w:rsidRDefault="0030638A" w:rsidP="0030638A">
      <w:pPr>
        <w:pStyle w:val="Tablefin"/>
      </w:pPr>
    </w:p>
    <w:p w:rsidR="008C134E" w:rsidRDefault="008C134E" w:rsidP="004062A3">
      <w:r>
        <w:t>Further details on the analysis and the results are provided in Annex II.</w:t>
      </w:r>
    </w:p>
    <w:p w:rsidR="008C134E" w:rsidRDefault="008C134E" w:rsidP="00641CC9">
      <w:pPr>
        <w:pStyle w:val="Heading3"/>
        <w:rPr>
          <w:rFonts w:eastAsia="MS Mincho"/>
          <w:lang w:val="en-US"/>
        </w:rPr>
      </w:pP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E-2-3</w:t>
      </w:r>
      <w:r w:rsidRPr="00C1787A">
        <w:rPr>
          <w:rFonts w:eastAsia="MS Mincho"/>
          <w:lang w:val="en-US"/>
        </w:rPr>
        <w:tab/>
      </w:r>
      <w:r>
        <w:rPr>
          <w:rFonts w:eastAsia="MS Mincho"/>
          <w:lang w:val="en-US"/>
        </w:rPr>
        <w:t>Mobility Interruption Time (URLLC)</w:t>
      </w:r>
    </w:p>
    <w:p w:rsidR="008C134E" w:rsidRDefault="008C134E" w:rsidP="00641CC9">
      <w:pPr>
        <w:pStyle w:val="Heading4"/>
        <w:rPr>
          <w:lang w:eastAsia="ja-JP"/>
        </w:rPr>
      </w:pPr>
      <w:r w:rsidRPr="006D1386">
        <w:rPr>
          <w:lang w:eastAsia="ja-JP"/>
        </w:rPr>
        <w:t>Conclusion</w:t>
      </w:r>
    </w:p>
    <w:p w:rsidR="008C134E" w:rsidRPr="00D818DD" w:rsidRDefault="008C134E" w:rsidP="00D818DD">
      <w:pPr>
        <w:spacing w:line="276" w:lineRule="auto"/>
      </w:pPr>
      <w:r w:rsidRPr="006D1386">
        <w:rPr>
          <w:lang w:eastAsia="ja-JP"/>
        </w:rPr>
        <w:t>WWRF IEG concluded that the DECT-2020 NR RIT component from ETSI (TC DECT) and DECT Forum  SRIT submission (</w:t>
      </w:r>
      <w:hyperlink r:id="rId26" w:history="1">
        <w:r w:rsidRPr="006D1386">
          <w:rPr>
            <w:lang w:eastAsia="ja-JP"/>
          </w:rPr>
          <w:t>IMT-2020/17(Rev 1)</w:t>
        </w:r>
      </w:hyperlink>
      <w:r w:rsidRPr="006D1386">
        <w:rPr>
          <w:lang w:eastAsia="ja-JP"/>
        </w:rPr>
        <w:t xml:space="preserve"> document) is compliant with the mobility interruption time requirement of 0 ms as specified by Report </w:t>
      </w:r>
      <w:hyperlink r:id="rId27" w:history="1">
        <w:r w:rsidRPr="006D1386">
          <w:rPr>
            <w:lang w:eastAsia="ja-JP"/>
          </w:rPr>
          <w:t>ITU</w:t>
        </w:r>
        <w:r w:rsidRPr="006D1386">
          <w:rPr>
            <w:lang w:eastAsia="ja-JP"/>
          </w:rPr>
          <w:noBreakHyphen/>
          <w:t>R M.2410</w:t>
        </w:r>
      </w:hyperlink>
      <w:r w:rsidRPr="004E76BA">
        <w:rPr>
          <w:lang w:val="en-US" w:eastAsia="ja-JP"/>
        </w:rPr>
        <w:t xml:space="preserve">, </w:t>
      </w:r>
      <w:r>
        <w:rPr>
          <w:lang w:val="en-US" w:eastAsia="ja-JP"/>
        </w:rPr>
        <w:t>in Section 4.7.2</w:t>
      </w:r>
      <w:r w:rsidRPr="006D1386">
        <w:rPr>
          <w:lang w:eastAsia="ja-JP"/>
        </w:rPr>
        <w:t>.</w:t>
      </w:r>
    </w:p>
    <w:p w:rsidR="008C134E" w:rsidRDefault="008C134E" w:rsidP="00641CC9">
      <w:pPr>
        <w:pStyle w:val="Heading4"/>
        <w:rPr>
          <w:lang w:eastAsia="ja-JP"/>
        </w:rPr>
      </w:pPr>
      <w:r w:rsidRPr="006D1386">
        <w:rPr>
          <w:lang w:eastAsia="ja-JP"/>
        </w:rPr>
        <w:t>Verification</w:t>
      </w:r>
    </w:p>
    <w:p w:rsidR="008C134E" w:rsidRDefault="008C134E" w:rsidP="00D818DD">
      <w:pPr>
        <w:spacing w:line="276" w:lineRule="auto"/>
        <w:jc w:val="both"/>
        <w:rPr>
          <w:lang w:val="en-US"/>
        </w:rPr>
      </w:pPr>
      <w:r w:rsidRPr="008D06AE">
        <w:rPr>
          <w:lang w:val="en-US"/>
        </w:rPr>
        <w:t>ITU defines</w:t>
      </w:r>
      <w:r>
        <w:rPr>
          <w:lang w:val="en-US"/>
        </w:rPr>
        <w:t>,</w:t>
      </w:r>
      <w:r w:rsidRPr="008D06AE">
        <w:rPr>
          <w:lang w:val="en-US"/>
        </w:rPr>
        <w:t xml:space="preserve"> in</w:t>
      </w:r>
      <w:r>
        <w:rPr>
          <w:lang w:val="en-US"/>
        </w:rPr>
        <w:t xml:space="preserve"> the</w:t>
      </w:r>
      <w:r w:rsidRPr="008D06AE">
        <w:rPr>
          <w:lang w:val="en-US"/>
        </w:rPr>
        <w:t xml:space="preserve"> M.2410 document</w:t>
      </w:r>
      <w:r>
        <w:rPr>
          <w:lang w:val="en-US"/>
        </w:rPr>
        <w:t>, m</w:t>
      </w:r>
      <w:r w:rsidRPr="00D7384D">
        <w:rPr>
          <w:lang w:val="en-US"/>
        </w:rPr>
        <w:t>obility interruption time</w:t>
      </w:r>
      <w:r>
        <w:rPr>
          <w:lang w:val="en-US"/>
        </w:rPr>
        <w:t>,</w:t>
      </w:r>
      <w:r w:rsidRPr="00D7384D">
        <w:rPr>
          <w:lang w:val="en-US"/>
        </w:rPr>
        <w:t xml:space="preserve"> </w:t>
      </w:r>
      <w:r>
        <w:rPr>
          <w:lang w:val="en-US"/>
        </w:rPr>
        <w:t>a</w:t>
      </w:r>
      <w:r w:rsidRPr="00D7384D">
        <w:rPr>
          <w:lang w:val="en-US"/>
        </w:rPr>
        <w:t>s the shortest time duration supported by the system during which a user terminal cannot exchange user plane packets with any base station during transitions.</w:t>
      </w:r>
      <w:r>
        <w:rPr>
          <w:lang w:val="en-US"/>
        </w:rPr>
        <w:t xml:space="preserve"> For the considered </w:t>
      </w:r>
      <w:r w:rsidRPr="00AE0406">
        <w:rPr>
          <w:lang w:val="en-US"/>
        </w:rPr>
        <w:t>URLLC usage scenario</w:t>
      </w:r>
      <w:r>
        <w:rPr>
          <w:lang w:val="en-US"/>
        </w:rPr>
        <w:t>, a requirement of 0</w:t>
      </w:r>
      <w:r w:rsidR="0030638A">
        <w:rPr>
          <w:lang w:val="en-US"/>
        </w:rPr>
        <w:t> </w:t>
      </w:r>
      <w:r>
        <w:rPr>
          <w:lang w:val="en-US"/>
        </w:rPr>
        <w:t>ms</w:t>
      </w:r>
      <w:r w:rsidRPr="00AE0406">
        <w:rPr>
          <w:lang w:val="en-US"/>
        </w:rPr>
        <w:t xml:space="preserve"> </w:t>
      </w:r>
      <w:r>
        <w:rPr>
          <w:lang w:val="en-US"/>
        </w:rPr>
        <w:t>i</w:t>
      </w:r>
      <w:r w:rsidRPr="00AE0406">
        <w:rPr>
          <w:lang w:val="en-US"/>
        </w:rPr>
        <w:t>s defined</w:t>
      </w:r>
      <w:r>
        <w:rPr>
          <w:lang w:val="en-US"/>
        </w:rPr>
        <w:t>.</w:t>
      </w:r>
    </w:p>
    <w:p w:rsidR="008C134E" w:rsidRDefault="008C134E" w:rsidP="00D818DD">
      <w:pPr>
        <w:spacing w:line="276" w:lineRule="auto"/>
        <w:jc w:val="both"/>
        <w:rPr>
          <w:lang w:val="en-US" w:eastAsia="ja-JP"/>
        </w:rPr>
      </w:pPr>
      <w:r>
        <w:rPr>
          <w:lang w:eastAsia="ja-JP"/>
        </w:rPr>
        <w:t xml:space="preserve">In Document </w:t>
      </w:r>
      <w:r w:rsidRPr="00592A1B">
        <w:rPr>
          <w:lang w:eastAsia="ja-JP"/>
        </w:rPr>
        <w:t>ETSI TS 103 636-4 V1.1.1</w:t>
      </w:r>
      <w:r>
        <w:rPr>
          <w:lang w:eastAsia="ja-JP"/>
        </w:rPr>
        <w:t xml:space="preserve">, </w:t>
      </w:r>
      <w:r w:rsidRPr="00592A1B">
        <w:rPr>
          <w:lang w:eastAsia="ja-JP"/>
        </w:rPr>
        <w:t>Medium Access Control (MAC) layer and interaction between MAC layer and physical</w:t>
      </w:r>
      <w:r>
        <w:rPr>
          <w:lang w:eastAsia="ja-JP"/>
        </w:rPr>
        <w:t xml:space="preserve"> </w:t>
      </w:r>
      <w:r w:rsidRPr="00592A1B">
        <w:rPr>
          <w:lang w:eastAsia="ja-JP"/>
        </w:rPr>
        <w:t>layer and higher layers</w:t>
      </w:r>
      <w:r>
        <w:rPr>
          <w:lang w:eastAsia="ja-JP"/>
        </w:rPr>
        <w:t xml:space="preserve">, for the </w:t>
      </w:r>
      <w:r w:rsidRPr="00592A1B">
        <w:rPr>
          <w:lang w:eastAsia="ja-JP"/>
        </w:rPr>
        <w:t>DECT-2020 New Radio (NR)</w:t>
      </w:r>
      <w:r>
        <w:rPr>
          <w:lang w:eastAsia="ja-JP"/>
        </w:rPr>
        <w:t xml:space="preserve">, are specified. </w:t>
      </w:r>
      <w:r w:rsidRPr="002A2D8B">
        <w:rPr>
          <w:lang w:val="en-US" w:eastAsia="ja-JP"/>
        </w:rPr>
        <w:t>In each connection between two Radio Devices (RDs), one RD is in FT-mode and the other RD is in PT-mode (Section 5.1)</w:t>
      </w:r>
      <w:r>
        <w:rPr>
          <w:lang w:val="en-US" w:eastAsia="ja-JP"/>
        </w:rPr>
        <w:t>. RD</w:t>
      </w:r>
      <w:r w:rsidRPr="00DE7399">
        <w:rPr>
          <w:lang w:val="en-US" w:eastAsia="ja-JP"/>
        </w:rPr>
        <w:t xml:space="preserve"> mobility is based on RD reselection decision to change association from previous RD in FT mode to another RD in FT mode</w:t>
      </w:r>
      <w:r>
        <w:rPr>
          <w:lang w:val="en-US" w:eastAsia="ja-JP"/>
        </w:rPr>
        <w:t xml:space="preserve"> (Section 5.7). The re-association procedure (Section 5.8) is facilitated through the following MAC messages:</w:t>
      </w:r>
    </w:p>
    <w:p w:rsidR="008C134E" w:rsidRDefault="00F7539B" w:rsidP="00F7539B">
      <w:pPr>
        <w:pStyle w:val="enumlev1"/>
        <w:rPr>
          <w:lang w:val="en-US" w:eastAsia="ja-JP"/>
        </w:rPr>
      </w:pPr>
      <w:r w:rsidRPr="00F7539B">
        <w:rPr>
          <w:lang w:val="en-US" w:eastAsia="ja-JP"/>
        </w:rPr>
        <w:t>•</w:t>
      </w:r>
      <w:r>
        <w:rPr>
          <w:lang w:val="en-US" w:eastAsia="ja-JP"/>
        </w:rPr>
        <w:tab/>
      </w:r>
      <w:r w:rsidR="008C134E" w:rsidRPr="007A3398">
        <w:rPr>
          <w:lang w:val="en-US" w:eastAsia="ja-JP"/>
        </w:rPr>
        <w:t>The association request message is used by an RD to initiate communication with another RD</w:t>
      </w:r>
      <w:r w:rsidR="008C134E">
        <w:rPr>
          <w:lang w:val="en-US" w:eastAsia="ja-JP"/>
        </w:rPr>
        <w:t xml:space="preserve"> (Section 6.4.2.4). There is a 3-bit field in the message called Setup cause, which </w:t>
      </w:r>
      <w:r w:rsidR="008C134E" w:rsidRPr="007A3398">
        <w:rPr>
          <w:lang w:val="en-US" w:eastAsia="ja-JP"/>
        </w:rPr>
        <w:t>indicates the cause of the association</w:t>
      </w:r>
      <w:r w:rsidR="008C134E">
        <w:rPr>
          <w:lang w:val="en-US" w:eastAsia="ja-JP"/>
        </w:rPr>
        <w:t xml:space="preserve">, where for mobility is coded as </w:t>
      </w:r>
      <w:r w:rsidR="008C134E" w:rsidRPr="007A3398">
        <w:rPr>
          <w:lang w:val="en-US" w:eastAsia="ja-JP"/>
        </w:rPr>
        <w:t>010</w:t>
      </w:r>
      <w:r w:rsidR="008C134E">
        <w:rPr>
          <w:lang w:val="en-US" w:eastAsia="ja-JP"/>
        </w:rPr>
        <w:t xml:space="preserve"> (</w:t>
      </w:r>
      <w:r w:rsidR="008C134E" w:rsidRPr="007A3398">
        <w:rPr>
          <w:lang w:val="en-US" w:eastAsia="ja-JP"/>
        </w:rPr>
        <w:t>Table 6.4.2.4-2</w:t>
      </w:r>
      <w:r w:rsidR="008C134E">
        <w:rPr>
          <w:lang w:val="en-US" w:eastAsia="ja-JP"/>
        </w:rPr>
        <w:t>)</w:t>
      </w:r>
    </w:p>
    <w:p w:rsidR="008C134E" w:rsidRDefault="00F7539B" w:rsidP="00F7539B">
      <w:pPr>
        <w:pStyle w:val="enumlev1"/>
        <w:rPr>
          <w:lang w:val="en-US" w:eastAsia="ja-JP"/>
        </w:rPr>
      </w:pPr>
      <w:r w:rsidRPr="00F7539B">
        <w:rPr>
          <w:lang w:val="en-US" w:eastAsia="ja-JP"/>
        </w:rPr>
        <w:t>•</w:t>
      </w:r>
      <w:r>
        <w:rPr>
          <w:lang w:val="en-US" w:eastAsia="ja-JP"/>
        </w:rPr>
        <w:tab/>
      </w:r>
      <w:r w:rsidR="008C134E">
        <w:rPr>
          <w:lang w:val="en-US" w:eastAsia="ja-JP"/>
        </w:rPr>
        <w:t>For releasing the connection an Association Release message is sent (Section 6.4.2.6), containing a Release Cause field, which defines the cause of the release, i.e. mobility in this case.</w:t>
      </w:r>
    </w:p>
    <w:p w:rsidR="008C134E" w:rsidRPr="00BA41ED" w:rsidRDefault="008C134E" w:rsidP="00D818DD">
      <w:pPr>
        <w:spacing w:line="276" w:lineRule="auto"/>
        <w:jc w:val="both"/>
        <w:rPr>
          <w:lang w:val="en-US" w:eastAsia="ja-JP"/>
        </w:rPr>
      </w:pPr>
      <w:r>
        <w:rPr>
          <w:lang w:val="en-US" w:eastAsia="ja-JP"/>
        </w:rPr>
        <w:t>Regarding re-association the following are noted (Section 5.7):</w:t>
      </w:r>
    </w:p>
    <w:p w:rsidR="008C134E" w:rsidRDefault="00F7539B" w:rsidP="00F7539B">
      <w:pPr>
        <w:pStyle w:val="enumlev1"/>
        <w:rPr>
          <w:lang w:val="en-US" w:eastAsia="ja-JP"/>
        </w:rPr>
      </w:pPr>
      <w:r w:rsidRPr="00F7539B">
        <w:rPr>
          <w:lang w:val="en-US" w:eastAsia="ja-JP"/>
        </w:rPr>
        <w:t>•</w:t>
      </w:r>
      <w:r>
        <w:rPr>
          <w:lang w:val="en-US" w:eastAsia="ja-JP"/>
        </w:rPr>
        <w:tab/>
      </w:r>
      <w:r w:rsidR="008C134E" w:rsidRPr="002A2D8B">
        <w:rPr>
          <w:lang w:val="en-US" w:eastAsia="ja-JP"/>
        </w:rPr>
        <w:t xml:space="preserve">The RD may initiate and complete association to target RD in FT mode before releasing the association from source RD in FT mode. </w:t>
      </w:r>
    </w:p>
    <w:p w:rsidR="008C134E" w:rsidRPr="002A2D8B" w:rsidRDefault="00F7539B" w:rsidP="00F7539B">
      <w:pPr>
        <w:pStyle w:val="enumlev1"/>
        <w:rPr>
          <w:lang w:val="en-US" w:eastAsia="ja-JP"/>
        </w:rPr>
      </w:pPr>
      <w:r w:rsidRPr="00F7539B">
        <w:rPr>
          <w:lang w:val="en-US" w:eastAsia="ja-JP"/>
        </w:rPr>
        <w:t>•</w:t>
      </w:r>
      <w:r>
        <w:rPr>
          <w:lang w:val="en-US" w:eastAsia="ja-JP"/>
        </w:rPr>
        <w:tab/>
      </w:r>
      <w:r w:rsidR="008C134E">
        <w:rPr>
          <w:lang w:val="en-US" w:eastAsia="ja-JP"/>
        </w:rPr>
        <w:t>T</w:t>
      </w:r>
      <w:r w:rsidR="008C134E" w:rsidRPr="002A2D8B">
        <w:rPr>
          <w:lang w:val="en-US" w:eastAsia="ja-JP"/>
        </w:rPr>
        <w:t>he RD may fail to send Association Release message to source due to loss of radio connection.</w:t>
      </w:r>
    </w:p>
    <w:p w:rsidR="008C134E" w:rsidRDefault="00F7539B" w:rsidP="00F7539B">
      <w:pPr>
        <w:pStyle w:val="enumlev1"/>
        <w:rPr>
          <w:lang w:val="en-US" w:eastAsia="ja-JP"/>
        </w:rPr>
      </w:pPr>
      <w:r w:rsidRPr="00F7539B">
        <w:rPr>
          <w:lang w:val="en-US" w:eastAsia="ja-JP"/>
        </w:rPr>
        <w:t>•</w:t>
      </w:r>
      <w:r>
        <w:rPr>
          <w:lang w:val="en-US" w:eastAsia="ja-JP"/>
        </w:rPr>
        <w:tab/>
      </w:r>
      <w:r w:rsidR="008C134E" w:rsidRPr="002A2D8B">
        <w:rPr>
          <w:lang w:val="en-US" w:eastAsia="ja-JP"/>
        </w:rPr>
        <w:t>An RD may maintain association to multiple RDs simultaneously.</w:t>
      </w:r>
    </w:p>
    <w:p w:rsidR="008C134E" w:rsidRPr="00F7539B" w:rsidRDefault="008C134E" w:rsidP="00F7539B">
      <w:pPr>
        <w:spacing w:line="276" w:lineRule="auto"/>
        <w:jc w:val="both"/>
        <w:rPr>
          <w:lang w:val="en-US" w:eastAsia="ja-JP"/>
        </w:rPr>
      </w:pPr>
      <w:r>
        <w:rPr>
          <w:lang w:val="en-US" w:eastAsia="ja-JP"/>
        </w:rPr>
        <w:t xml:space="preserve">Hence, user-plane packets may be exchanged between the RD -in mobility procedure- and multiple other RDs in FT-mode simultaneously (duplicate data transmission resolved at other layers). This means that uninterrupted user-plane communication is supported, i.e. the minimum supported </w:t>
      </w:r>
      <w:r w:rsidRPr="00065489">
        <w:rPr>
          <w:lang w:val="en-US" w:eastAsia="ja-JP"/>
        </w:rPr>
        <w:t xml:space="preserve">interruption time </w:t>
      </w:r>
      <w:r>
        <w:rPr>
          <w:lang w:val="en-US" w:eastAsia="ja-JP"/>
        </w:rPr>
        <w:t xml:space="preserve">is </w:t>
      </w:r>
      <w:r w:rsidRPr="00065489">
        <w:rPr>
          <w:lang w:val="en-US" w:eastAsia="ja-JP"/>
        </w:rPr>
        <w:t>0 ms.</w:t>
      </w:r>
    </w:p>
    <w:p w:rsidR="008C134E" w:rsidRDefault="008C134E" w:rsidP="00641CC9">
      <w:pPr>
        <w:pStyle w:val="Heading3"/>
        <w:rPr>
          <w:rFonts w:eastAsia="MS Mincho"/>
          <w:lang w:val="en-US"/>
        </w:rPr>
      </w:pP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E-2-4</w:t>
      </w:r>
      <w:r w:rsidRPr="00C1787A">
        <w:rPr>
          <w:rFonts w:eastAsia="MS Mincho"/>
          <w:lang w:val="en-US"/>
        </w:rPr>
        <w:tab/>
      </w:r>
      <w:r>
        <w:rPr>
          <w:rFonts w:eastAsia="MS Mincho"/>
          <w:lang w:val="en-US"/>
        </w:rPr>
        <w:t>Reliability (URLLC)</w:t>
      </w:r>
    </w:p>
    <w:p w:rsidR="008C134E" w:rsidRDefault="008C134E" w:rsidP="00641CC9">
      <w:pPr>
        <w:pStyle w:val="Heading4"/>
        <w:rPr>
          <w:lang w:eastAsia="ja-JP"/>
        </w:rPr>
      </w:pPr>
      <w:r w:rsidRPr="006D1386">
        <w:rPr>
          <w:lang w:eastAsia="ja-JP"/>
        </w:rPr>
        <w:t>Conclusion</w:t>
      </w:r>
    </w:p>
    <w:p w:rsidR="008C134E" w:rsidRDefault="008C134E" w:rsidP="00812FA0">
      <w:pPr>
        <w:spacing w:line="276" w:lineRule="auto"/>
        <w:jc w:val="both"/>
        <w:rPr>
          <w:rFonts w:eastAsia="MS Mincho"/>
        </w:rPr>
      </w:pPr>
      <w:r w:rsidRPr="0064423F">
        <w:rPr>
          <w:rFonts w:eastAsia="MS Mincho"/>
        </w:rPr>
        <w:t xml:space="preserve">The </w:t>
      </w:r>
      <w:r>
        <w:rPr>
          <w:rFonts w:eastAsia="MS Mincho"/>
        </w:rPr>
        <w:t>WWRF</w:t>
      </w:r>
      <w:r w:rsidRPr="0064423F">
        <w:rPr>
          <w:rFonts w:eastAsia="MS Mincho"/>
        </w:rPr>
        <w:t xml:space="preserve"> </w:t>
      </w:r>
      <w:r>
        <w:rPr>
          <w:rFonts w:eastAsia="MS Mincho"/>
        </w:rPr>
        <w:t>I</w:t>
      </w:r>
      <w:r w:rsidRPr="0064423F">
        <w:rPr>
          <w:rFonts w:eastAsia="MS Mincho"/>
        </w:rPr>
        <w:t xml:space="preserve">EG </w:t>
      </w:r>
      <w:r>
        <w:rPr>
          <w:rFonts w:eastAsia="MS Mincho"/>
        </w:rPr>
        <w:t xml:space="preserve">has concluded that the </w:t>
      </w:r>
      <w:r w:rsidRPr="006D1386">
        <w:rPr>
          <w:lang w:eastAsia="ja-JP"/>
        </w:rPr>
        <w:t>DECT-2020 NR RIT component from ETSI (TC DECT) and DECT Forum SRIT submission (</w:t>
      </w:r>
      <w:hyperlink r:id="rId28" w:history="1">
        <w:r w:rsidRPr="006D1386">
          <w:rPr>
            <w:lang w:eastAsia="ja-JP"/>
          </w:rPr>
          <w:t>IMT-2020/17(Rev 1)</w:t>
        </w:r>
      </w:hyperlink>
      <w:r w:rsidRPr="006D1386">
        <w:rPr>
          <w:lang w:eastAsia="ja-JP"/>
        </w:rPr>
        <w:t xml:space="preserve"> document)</w:t>
      </w:r>
      <w:r>
        <w:rPr>
          <w:lang w:eastAsia="ja-JP"/>
        </w:rPr>
        <w:t xml:space="preserve"> </w:t>
      </w:r>
      <w:r>
        <w:rPr>
          <w:rFonts w:eastAsia="MS Mincho"/>
        </w:rPr>
        <w:t xml:space="preserve">fulfils the URLLC service requirement. </w:t>
      </w:r>
      <w:r w:rsidRPr="006D1386">
        <w:rPr>
          <w:lang w:eastAsia="ja-JP"/>
        </w:rPr>
        <w:t xml:space="preserve">DECT-2020 NR RIT </w:t>
      </w:r>
      <w:r>
        <w:rPr>
          <w:rFonts w:eastAsia="MS Mincho"/>
        </w:rPr>
        <w:t xml:space="preserve">is able to satisfy the reliability requirements for various configurations, taking into account the guidelines and assumptions described in </w:t>
      </w:r>
      <w:r w:rsidRPr="0064423F">
        <w:rPr>
          <w:rFonts w:eastAsia="MS Mincho"/>
        </w:rPr>
        <w:t>Report ITU-R M.2410</w:t>
      </w:r>
      <w:r>
        <w:rPr>
          <w:rFonts w:eastAsia="MS Mincho"/>
        </w:rPr>
        <w:t>. Validation was performed through extensive simulation.</w:t>
      </w:r>
    </w:p>
    <w:p w:rsidR="008C134E" w:rsidRDefault="008C134E" w:rsidP="00641CC9">
      <w:pPr>
        <w:pStyle w:val="Heading4"/>
        <w:rPr>
          <w:lang w:eastAsia="ja-JP"/>
        </w:rPr>
      </w:pPr>
      <w:r w:rsidRPr="006D1386">
        <w:rPr>
          <w:lang w:eastAsia="ja-JP"/>
        </w:rPr>
        <w:t>Verification</w:t>
      </w:r>
    </w:p>
    <w:p w:rsidR="008C134E" w:rsidRDefault="008C134E" w:rsidP="00812FA0">
      <w:pPr>
        <w:spacing w:line="276" w:lineRule="auto"/>
        <w:jc w:val="both"/>
        <w:rPr>
          <w:szCs w:val="24"/>
        </w:rPr>
      </w:pPr>
      <w:r w:rsidRPr="00812FA0">
        <w:rPr>
          <w:szCs w:val="24"/>
        </w:rPr>
        <w:t xml:space="preserve">An End-to-End Physical Layer simulator of the DECT-2020 NR technology was developed by WWRF in MATLAB, able to perform jointly system-level and link-level experiments. </w:t>
      </w:r>
    </w:p>
    <w:p w:rsidR="008C134E" w:rsidRDefault="008C134E" w:rsidP="00812FA0">
      <w:pPr>
        <w:spacing w:line="276" w:lineRule="auto"/>
        <w:jc w:val="both"/>
        <w:rPr>
          <w:szCs w:val="24"/>
        </w:rPr>
      </w:pPr>
      <w:r>
        <w:rPr>
          <w:szCs w:val="24"/>
        </w:rPr>
        <w:t>Details on the simulator, the implemented configurations and scenarios, as well as on the results can be found in Annex III.</w:t>
      </w:r>
    </w:p>
    <w:p w:rsidR="008C134E" w:rsidRDefault="008C134E" w:rsidP="00812FA0">
      <w:pPr>
        <w:spacing w:line="276" w:lineRule="auto"/>
        <w:jc w:val="both"/>
        <w:rPr>
          <w:szCs w:val="24"/>
        </w:rPr>
      </w:pPr>
      <w:r>
        <w:rPr>
          <w:szCs w:val="24"/>
        </w:rPr>
        <w:t>The following table summarizes the results, indicating several cases that were able to satisfy the requirement for PER lower than 10</w:t>
      </w:r>
      <w:r>
        <w:rPr>
          <w:szCs w:val="24"/>
          <w:vertAlign w:val="superscript"/>
        </w:rPr>
        <w:t>-5</w:t>
      </w:r>
      <w:r>
        <w:rPr>
          <w:szCs w:val="24"/>
        </w:rPr>
        <w:t xml:space="preserve"> for the configurations described in the ITU-R guidelines (Report </w:t>
      </w:r>
      <w:r w:rsidR="00753464">
        <w:rPr>
          <w:szCs w:val="24"/>
        </w:rPr>
        <w:t xml:space="preserve">ITU-R </w:t>
      </w:r>
      <w:r>
        <w:rPr>
          <w:szCs w:val="24"/>
        </w:rPr>
        <w:t>M2412-0).</w:t>
      </w:r>
    </w:p>
    <w:p w:rsidR="00F7539B" w:rsidRDefault="008C134E" w:rsidP="00F7539B">
      <w:pPr>
        <w:pStyle w:val="TableNo"/>
      </w:pPr>
      <w:bookmarkStart w:id="15" w:name="_Ref73009971"/>
      <w:r w:rsidRPr="00BE3120">
        <w:t xml:space="preserve">Table </w:t>
      </w:r>
      <w:r w:rsidRPr="00BE3120">
        <w:fldChar w:fldCharType="begin"/>
      </w:r>
      <w:r w:rsidRPr="00BE3120">
        <w:instrText xml:space="preserve"> SEQ Table \* ARABIC </w:instrText>
      </w:r>
      <w:r w:rsidRPr="00BE3120">
        <w:fldChar w:fldCharType="separate"/>
      </w:r>
      <w:r w:rsidRPr="00BE3120">
        <w:rPr>
          <w:noProof/>
        </w:rPr>
        <w:t>4</w:t>
      </w:r>
      <w:r w:rsidRPr="00BE3120">
        <w:fldChar w:fldCharType="end"/>
      </w:r>
      <w:bookmarkEnd w:id="15"/>
    </w:p>
    <w:p w:rsidR="008C134E" w:rsidRPr="00BE3120" w:rsidRDefault="008C134E" w:rsidP="00F7539B">
      <w:pPr>
        <w:pStyle w:val="Tabletitle"/>
      </w:pPr>
      <w:r w:rsidRPr="00BE3120">
        <w:t xml:space="preserve"> Simulated cases and scenarios for the evaluation of the Reliability KPIs for the DECT-2020 NR component</w:t>
      </w:r>
    </w:p>
    <w:tbl>
      <w:tblPr>
        <w:tblStyle w:val="TableGrid"/>
        <w:tblW w:w="0" w:type="auto"/>
        <w:tblLook w:val="04A0" w:firstRow="1" w:lastRow="0" w:firstColumn="1" w:lastColumn="0" w:noHBand="0" w:noVBand="1"/>
      </w:tblPr>
      <w:tblGrid>
        <w:gridCol w:w="3055"/>
        <w:gridCol w:w="2430"/>
        <w:gridCol w:w="1478"/>
        <w:gridCol w:w="2387"/>
      </w:tblGrid>
      <w:tr w:rsidR="008C134E" w:rsidTr="004160DC">
        <w:tc>
          <w:tcPr>
            <w:tcW w:w="3055" w:type="dxa"/>
          </w:tcPr>
          <w:p w:rsidR="008C134E" w:rsidRDefault="008C134E" w:rsidP="00F7539B">
            <w:pPr>
              <w:pStyle w:val="Tablehead"/>
            </w:pPr>
            <w:r>
              <w:t>Setup</w:t>
            </w:r>
          </w:p>
        </w:tc>
        <w:tc>
          <w:tcPr>
            <w:tcW w:w="2430" w:type="dxa"/>
          </w:tcPr>
          <w:p w:rsidR="008C134E" w:rsidRDefault="008C134E" w:rsidP="00F7539B">
            <w:pPr>
              <w:pStyle w:val="Tablehead"/>
            </w:pPr>
            <w:r>
              <w:t>5</w:t>
            </w:r>
            <w:r w:rsidRPr="00055A30">
              <w:rPr>
                <w:vertAlign w:val="superscript"/>
              </w:rPr>
              <w:t>th</w:t>
            </w:r>
            <w:r>
              <w:t xml:space="preserve"> percentile point packet error probability</w:t>
            </w:r>
          </w:p>
        </w:tc>
        <w:tc>
          <w:tcPr>
            <w:tcW w:w="1478" w:type="dxa"/>
          </w:tcPr>
          <w:p w:rsidR="008C134E" w:rsidRDefault="008C134E" w:rsidP="00F7539B">
            <w:pPr>
              <w:pStyle w:val="Tablehead"/>
            </w:pPr>
            <w:r>
              <w:t>SINR threshold</w:t>
            </w:r>
          </w:p>
        </w:tc>
        <w:tc>
          <w:tcPr>
            <w:tcW w:w="2387" w:type="dxa"/>
          </w:tcPr>
          <w:p w:rsidR="008C134E" w:rsidRDefault="008C134E" w:rsidP="00F7539B">
            <w:pPr>
              <w:pStyle w:val="Tablehead"/>
            </w:pPr>
            <w:r>
              <w:t>Fulfilment of the requirement</w:t>
            </w:r>
          </w:p>
        </w:tc>
      </w:tr>
      <w:tr w:rsidR="008C134E" w:rsidTr="004160DC">
        <w:tc>
          <w:tcPr>
            <w:tcW w:w="3055" w:type="dxa"/>
          </w:tcPr>
          <w:p w:rsidR="008C134E" w:rsidRPr="00986E23" w:rsidRDefault="008C134E" w:rsidP="004160DC">
            <w:pPr>
              <w:rPr>
                <w:sz w:val="20"/>
              </w:rPr>
            </w:pPr>
            <w:r w:rsidRPr="00986E23">
              <w:rPr>
                <w:sz w:val="20"/>
              </w:rPr>
              <w:t>SISO with 1/7 frequency reuse and 1.728</w:t>
            </w:r>
            <w:r w:rsidR="00753464">
              <w:rPr>
                <w:sz w:val="20"/>
              </w:rPr>
              <w:t> </w:t>
            </w:r>
            <w:r w:rsidRPr="00986E23">
              <w:rPr>
                <w:sz w:val="20"/>
              </w:rPr>
              <w:t>MHz bandwidth</w:t>
            </w:r>
          </w:p>
          <w:p w:rsidR="008C134E" w:rsidRPr="00986E23" w:rsidRDefault="008C134E" w:rsidP="004160DC">
            <w:pPr>
              <w:jc w:val="both"/>
              <w:rPr>
                <w:sz w:val="20"/>
              </w:rPr>
            </w:pPr>
            <w:r w:rsidRPr="00986E23">
              <w:rPr>
                <w:sz w:val="20"/>
              </w:rPr>
              <w:t xml:space="preserve"> (Configuration B) </w:t>
            </w:r>
          </w:p>
        </w:tc>
        <w:tc>
          <w:tcPr>
            <w:tcW w:w="2430" w:type="dxa"/>
          </w:tcPr>
          <w:p w:rsidR="008C134E" w:rsidRPr="00986E23" w:rsidRDefault="008C134E" w:rsidP="00753464">
            <w:pPr>
              <w:jc w:val="center"/>
              <w:rPr>
                <w:sz w:val="20"/>
              </w:rPr>
            </w:pPr>
            <w:r w:rsidRPr="00986E23">
              <w:rPr>
                <w:sz w:val="20"/>
              </w:rPr>
              <w:t>approximately 0.05 for LoS</w:t>
            </w:r>
          </w:p>
          <w:p w:rsidR="008C134E" w:rsidRPr="00986E23" w:rsidRDefault="008C134E" w:rsidP="00753464">
            <w:pPr>
              <w:jc w:val="center"/>
              <w:rPr>
                <w:sz w:val="20"/>
              </w:rPr>
            </w:pPr>
            <w:r w:rsidRPr="00986E23">
              <w:rPr>
                <w:sz w:val="20"/>
              </w:rPr>
              <w:t>approximately 0.5 for NLoS</w:t>
            </w:r>
          </w:p>
        </w:tc>
        <w:tc>
          <w:tcPr>
            <w:tcW w:w="1478" w:type="dxa"/>
          </w:tcPr>
          <w:p w:rsidR="008C134E" w:rsidRPr="00986E23" w:rsidRDefault="008C134E" w:rsidP="004160DC">
            <w:pPr>
              <w:jc w:val="both"/>
              <w:rPr>
                <w:sz w:val="20"/>
              </w:rPr>
            </w:pPr>
            <w:r w:rsidRPr="00986E23">
              <w:rPr>
                <w:sz w:val="20"/>
              </w:rPr>
              <w:t>3.2 dB</w:t>
            </w:r>
          </w:p>
        </w:tc>
        <w:tc>
          <w:tcPr>
            <w:tcW w:w="2387" w:type="dxa"/>
          </w:tcPr>
          <w:p w:rsidR="008C134E" w:rsidRPr="00986E23" w:rsidRDefault="008C134E" w:rsidP="004160DC">
            <w:pPr>
              <w:jc w:val="both"/>
              <w:rPr>
                <w:sz w:val="20"/>
              </w:rPr>
            </w:pPr>
            <w:r w:rsidRPr="00986E23">
              <w:rPr>
                <w:sz w:val="20"/>
              </w:rPr>
              <w:t>NO</w:t>
            </w:r>
          </w:p>
        </w:tc>
      </w:tr>
      <w:tr w:rsidR="008C134E" w:rsidTr="00EB69E8">
        <w:tc>
          <w:tcPr>
            <w:tcW w:w="3055" w:type="dxa"/>
          </w:tcPr>
          <w:p w:rsidR="008C134E" w:rsidRPr="00986E23" w:rsidRDefault="008C134E" w:rsidP="004160DC">
            <w:pPr>
              <w:rPr>
                <w:sz w:val="20"/>
              </w:rPr>
            </w:pPr>
            <w:r w:rsidRPr="00986E23">
              <w:rPr>
                <w:sz w:val="20"/>
              </w:rPr>
              <w:t>2x2 with 1/7 frequency reuse and 1.728</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B)</w:t>
            </w:r>
          </w:p>
        </w:tc>
        <w:tc>
          <w:tcPr>
            <w:tcW w:w="2430" w:type="dxa"/>
          </w:tcPr>
          <w:p w:rsidR="008C134E" w:rsidRPr="00986E23" w:rsidRDefault="008C134E" w:rsidP="00753464">
            <w:pPr>
              <w:jc w:val="center"/>
              <w:rPr>
                <w:sz w:val="20"/>
              </w:rPr>
            </w:pPr>
            <w:r w:rsidRPr="00986E23">
              <w:rPr>
                <w:sz w:val="20"/>
              </w:rPr>
              <w:t>&lt;10</w:t>
            </w:r>
            <w:r w:rsidRPr="00986E23">
              <w:rPr>
                <w:sz w:val="20"/>
                <w:vertAlign w:val="superscript"/>
              </w:rPr>
              <w:t>-6</w:t>
            </w:r>
            <w:r w:rsidRPr="00986E23">
              <w:rPr>
                <w:sz w:val="20"/>
              </w:rPr>
              <w:t xml:space="preserve"> for LoS</w:t>
            </w:r>
          </w:p>
          <w:p w:rsidR="008C134E" w:rsidRPr="00986E23" w:rsidRDefault="008C134E" w:rsidP="00753464">
            <w:pPr>
              <w:jc w:val="center"/>
              <w:rPr>
                <w:sz w:val="20"/>
              </w:rPr>
            </w:pPr>
            <w:r w:rsidRPr="00986E23">
              <w:rPr>
                <w:sz w:val="20"/>
              </w:rPr>
              <w:t>approximately 0.05 for NLoS</w:t>
            </w:r>
          </w:p>
        </w:tc>
        <w:tc>
          <w:tcPr>
            <w:tcW w:w="1478" w:type="dxa"/>
          </w:tcPr>
          <w:p w:rsidR="008C134E" w:rsidRPr="00986E23" w:rsidRDefault="008C134E" w:rsidP="004160DC">
            <w:pPr>
              <w:jc w:val="both"/>
              <w:rPr>
                <w:sz w:val="20"/>
              </w:rPr>
            </w:pPr>
            <w:r w:rsidRPr="00986E23">
              <w:rPr>
                <w:sz w:val="20"/>
              </w:rPr>
              <w:t>3.2 dB</w:t>
            </w:r>
          </w:p>
        </w:tc>
        <w:tc>
          <w:tcPr>
            <w:tcW w:w="2387" w:type="dxa"/>
            <w:shd w:val="clear" w:color="auto" w:fill="C2D69B" w:themeFill="accent3" w:themeFillTint="99"/>
          </w:tcPr>
          <w:p w:rsidR="008C134E" w:rsidRPr="00986E23" w:rsidRDefault="008C134E" w:rsidP="004160DC">
            <w:pPr>
              <w:jc w:val="both"/>
              <w:rPr>
                <w:sz w:val="20"/>
              </w:rPr>
            </w:pPr>
            <w:r w:rsidRPr="00986E23">
              <w:rPr>
                <w:sz w:val="20"/>
              </w:rPr>
              <w:t>YES (for LoS)</w:t>
            </w:r>
          </w:p>
        </w:tc>
      </w:tr>
      <w:tr w:rsidR="008C134E" w:rsidTr="00EB69E8">
        <w:tc>
          <w:tcPr>
            <w:tcW w:w="3055" w:type="dxa"/>
          </w:tcPr>
          <w:p w:rsidR="008C134E" w:rsidRPr="00986E23" w:rsidRDefault="008C134E" w:rsidP="004160DC">
            <w:pPr>
              <w:rPr>
                <w:sz w:val="20"/>
              </w:rPr>
            </w:pPr>
            <w:bookmarkStart w:id="16" w:name="_Hlk73018170"/>
            <w:r w:rsidRPr="00986E23">
              <w:rPr>
                <w:sz w:val="20"/>
              </w:rPr>
              <w:t>5x4 with 1/7 frequency reuse and 1.728</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B)</w:t>
            </w:r>
          </w:p>
        </w:tc>
        <w:tc>
          <w:tcPr>
            <w:tcW w:w="2430" w:type="dxa"/>
          </w:tcPr>
          <w:p w:rsidR="008C134E" w:rsidRPr="00986E23" w:rsidRDefault="008C134E" w:rsidP="00753464">
            <w:pPr>
              <w:jc w:val="center"/>
              <w:rPr>
                <w:sz w:val="20"/>
              </w:rPr>
            </w:pPr>
            <w:r w:rsidRPr="00986E23">
              <w:rPr>
                <w:sz w:val="20"/>
              </w:rPr>
              <w:t>&lt;10</w:t>
            </w:r>
            <w:r w:rsidRPr="00986E23">
              <w:rPr>
                <w:sz w:val="20"/>
                <w:vertAlign w:val="superscript"/>
              </w:rPr>
              <w:t>-6</w:t>
            </w:r>
            <w:r w:rsidRPr="00986E23">
              <w:rPr>
                <w:sz w:val="20"/>
              </w:rPr>
              <w:t xml:space="preserve"> for LoS (10</w:t>
            </w:r>
            <w:r w:rsidRPr="00986E23">
              <w:rPr>
                <w:sz w:val="20"/>
                <w:vertAlign w:val="superscript"/>
              </w:rPr>
              <w:t>-5</w:t>
            </w:r>
            <w:r w:rsidRPr="00986E23">
              <w:rPr>
                <w:sz w:val="20"/>
              </w:rPr>
              <w:t xml:space="preserve"> is achieved at appr. -8 dB)</w:t>
            </w:r>
          </w:p>
          <w:p w:rsidR="008C134E" w:rsidRPr="00986E23" w:rsidRDefault="008C134E" w:rsidP="00753464">
            <w:pPr>
              <w:jc w:val="center"/>
              <w:rPr>
                <w:sz w:val="20"/>
              </w:rPr>
            </w:pPr>
            <w:r w:rsidRPr="00986E23">
              <w:rPr>
                <w:sz w:val="20"/>
              </w:rPr>
              <w:t>&lt;10</w:t>
            </w:r>
            <w:r w:rsidRPr="00986E23">
              <w:rPr>
                <w:sz w:val="20"/>
                <w:vertAlign w:val="superscript"/>
              </w:rPr>
              <w:t>-6</w:t>
            </w:r>
            <w:r w:rsidRPr="00986E23">
              <w:rPr>
                <w:sz w:val="20"/>
              </w:rPr>
              <w:t xml:space="preserve"> for NLoS</w:t>
            </w:r>
          </w:p>
        </w:tc>
        <w:tc>
          <w:tcPr>
            <w:tcW w:w="1478" w:type="dxa"/>
          </w:tcPr>
          <w:p w:rsidR="008C134E" w:rsidRPr="00986E23" w:rsidRDefault="008C134E" w:rsidP="004160DC">
            <w:pPr>
              <w:jc w:val="both"/>
              <w:rPr>
                <w:sz w:val="20"/>
              </w:rPr>
            </w:pPr>
            <w:r w:rsidRPr="00986E23">
              <w:rPr>
                <w:sz w:val="20"/>
              </w:rPr>
              <w:t>3.2 dB</w:t>
            </w:r>
          </w:p>
        </w:tc>
        <w:tc>
          <w:tcPr>
            <w:tcW w:w="2387" w:type="dxa"/>
            <w:shd w:val="clear" w:color="auto" w:fill="C2D69B" w:themeFill="accent3" w:themeFillTint="99"/>
          </w:tcPr>
          <w:p w:rsidR="008C134E" w:rsidRPr="00986E23" w:rsidRDefault="008C134E" w:rsidP="004160DC">
            <w:pPr>
              <w:jc w:val="both"/>
              <w:rPr>
                <w:sz w:val="20"/>
              </w:rPr>
            </w:pPr>
            <w:r w:rsidRPr="00986E23">
              <w:rPr>
                <w:sz w:val="20"/>
              </w:rPr>
              <w:t>YES</w:t>
            </w:r>
          </w:p>
        </w:tc>
      </w:tr>
      <w:bookmarkEnd w:id="16"/>
      <w:tr w:rsidR="008C134E" w:rsidTr="00EB69E8">
        <w:tc>
          <w:tcPr>
            <w:tcW w:w="3055" w:type="dxa"/>
          </w:tcPr>
          <w:p w:rsidR="008C134E" w:rsidRPr="00986E23" w:rsidRDefault="008C134E" w:rsidP="004160DC">
            <w:pPr>
              <w:rPr>
                <w:sz w:val="20"/>
              </w:rPr>
            </w:pPr>
            <w:r w:rsidRPr="00986E23">
              <w:rPr>
                <w:sz w:val="20"/>
              </w:rPr>
              <w:t>5x4x1x2 with 1/7 frequency reuse and 1.728</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B)</w:t>
            </w:r>
          </w:p>
        </w:tc>
        <w:tc>
          <w:tcPr>
            <w:tcW w:w="2430" w:type="dxa"/>
          </w:tcPr>
          <w:p w:rsidR="008C134E" w:rsidRPr="00986E23" w:rsidRDefault="008C134E" w:rsidP="004160DC">
            <w:pPr>
              <w:jc w:val="both"/>
              <w:rPr>
                <w:sz w:val="20"/>
              </w:rPr>
            </w:pPr>
            <w:r w:rsidRPr="00986E23">
              <w:rPr>
                <w:sz w:val="20"/>
              </w:rPr>
              <w:t>&lt;10</w:t>
            </w:r>
            <w:r w:rsidRPr="00986E23">
              <w:rPr>
                <w:sz w:val="20"/>
                <w:vertAlign w:val="superscript"/>
              </w:rPr>
              <w:t>-6</w:t>
            </w:r>
            <w:r w:rsidRPr="00986E23">
              <w:rPr>
                <w:sz w:val="20"/>
              </w:rPr>
              <w:t xml:space="preserve"> for LoS (10</w:t>
            </w:r>
            <w:r w:rsidRPr="00986E23">
              <w:rPr>
                <w:sz w:val="20"/>
                <w:vertAlign w:val="superscript"/>
              </w:rPr>
              <w:t>-5</w:t>
            </w:r>
            <w:r w:rsidRPr="00986E23">
              <w:rPr>
                <w:sz w:val="20"/>
              </w:rPr>
              <w:t xml:space="preserve"> is achieved at appr. -12 dB)</w:t>
            </w:r>
          </w:p>
          <w:p w:rsidR="008C134E" w:rsidRPr="00986E23" w:rsidRDefault="008C134E" w:rsidP="004160DC">
            <w:pPr>
              <w:jc w:val="both"/>
              <w:rPr>
                <w:sz w:val="20"/>
              </w:rPr>
            </w:pPr>
            <w:r w:rsidRPr="00986E23">
              <w:rPr>
                <w:sz w:val="20"/>
              </w:rPr>
              <w:t>&lt;10</w:t>
            </w:r>
            <w:r w:rsidRPr="00986E23">
              <w:rPr>
                <w:sz w:val="20"/>
                <w:vertAlign w:val="superscript"/>
              </w:rPr>
              <w:t>-6</w:t>
            </w:r>
            <w:r w:rsidRPr="00986E23">
              <w:rPr>
                <w:sz w:val="20"/>
              </w:rPr>
              <w:t xml:space="preserve"> for NLoS</w:t>
            </w:r>
          </w:p>
        </w:tc>
        <w:tc>
          <w:tcPr>
            <w:tcW w:w="1478" w:type="dxa"/>
          </w:tcPr>
          <w:p w:rsidR="008C134E" w:rsidRPr="00986E23" w:rsidRDefault="008C134E" w:rsidP="004160DC">
            <w:pPr>
              <w:jc w:val="both"/>
              <w:rPr>
                <w:sz w:val="20"/>
              </w:rPr>
            </w:pPr>
            <w:r w:rsidRPr="00986E23">
              <w:rPr>
                <w:sz w:val="20"/>
              </w:rPr>
              <w:t>3.2 dB</w:t>
            </w:r>
          </w:p>
        </w:tc>
        <w:tc>
          <w:tcPr>
            <w:tcW w:w="2387" w:type="dxa"/>
            <w:shd w:val="clear" w:color="auto" w:fill="C2D69B" w:themeFill="accent3" w:themeFillTint="99"/>
          </w:tcPr>
          <w:p w:rsidR="008C134E" w:rsidRPr="00986E23" w:rsidRDefault="008C134E" w:rsidP="004160DC">
            <w:pPr>
              <w:jc w:val="both"/>
              <w:rPr>
                <w:sz w:val="20"/>
              </w:rPr>
            </w:pPr>
            <w:r w:rsidRPr="00986E23">
              <w:rPr>
                <w:sz w:val="20"/>
              </w:rPr>
              <w:t>YES</w:t>
            </w:r>
          </w:p>
        </w:tc>
      </w:tr>
      <w:tr w:rsidR="008C134E" w:rsidTr="004160DC">
        <w:tc>
          <w:tcPr>
            <w:tcW w:w="3055" w:type="dxa"/>
          </w:tcPr>
          <w:p w:rsidR="008C134E" w:rsidRPr="00986E23" w:rsidRDefault="008C134E" w:rsidP="004160DC">
            <w:pPr>
              <w:rPr>
                <w:sz w:val="20"/>
              </w:rPr>
            </w:pPr>
            <w:r w:rsidRPr="00986E23">
              <w:rPr>
                <w:sz w:val="20"/>
              </w:rPr>
              <w:t>SISO with 1/3 frequency reuse and 1.728</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B)</w:t>
            </w:r>
          </w:p>
        </w:tc>
        <w:tc>
          <w:tcPr>
            <w:tcW w:w="2430" w:type="dxa"/>
          </w:tcPr>
          <w:p w:rsidR="008C134E" w:rsidRPr="00986E23" w:rsidRDefault="008C134E" w:rsidP="004160DC">
            <w:pPr>
              <w:jc w:val="both"/>
              <w:rPr>
                <w:sz w:val="20"/>
              </w:rPr>
            </w:pPr>
            <w:r w:rsidRPr="00986E23">
              <w:rPr>
                <w:sz w:val="20"/>
              </w:rPr>
              <w:t>Nonfunctional at this SNR</w:t>
            </w:r>
          </w:p>
        </w:tc>
        <w:tc>
          <w:tcPr>
            <w:tcW w:w="1478" w:type="dxa"/>
          </w:tcPr>
          <w:p w:rsidR="008C134E" w:rsidRPr="00986E23" w:rsidRDefault="008C134E" w:rsidP="004160DC">
            <w:pPr>
              <w:jc w:val="both"/>
              <w:rPr>
                <w:sz w:val="20"/>
              </w:rPr>
            </w:pPr>
            <w:r w:rsidRPr="00986E23">
              <w:rPr>
                <w:sz w:val="20"/>
              </w:rPr>
              <w:t>-5.1 dB</w:t>
            </w:r>
          </w:p>
        </w:tc>
        <w:tc>
          <w:tcPr>
            <w:tcW w:w="2387" w:type="dxa"/>
          </w:tcPr>
          <w:p w:rsidR="008C134E" w:rsidRPr="00986E23" w:rsidRDefault="008C134E" w:rsidP="004160DC">
            <w:pPr>
              <w:jc w:val="both"/>
              <w:rPr>
                <w:sz w:val="20"/>
              </w:rPr>
            </w:pPr>
            <w:r w:rsidRPr="00986E23">
              <w:rPr>
                <w:sz w:val="20"/>
              </w:rPr>
              <w:t>NO</w:t>
            </w:r>
          </w:p>
        </w:tc>
      </w:tr>
      <w:tr w:rsidR="008C134E" w:rsidTr="004160DC">
        <w:tc>
          <w:tcPr>
            <w:tcW w:w="3055" w:type="dxa"/>
          </w:tcPr>
          <w:p w:rsidR="008C134E" w:rsidRPr="00986E23" w:rsidRDefault="008C134E" w:rsidP="004160DC">
            <w:pPr>
              <w:rPr>
                <w:sz w:val="20"/>
              </w:rPr>
            </w:pPr>
            <w:r w:rsidRPr="00986E23">
              <w:rPr>
                <w:sz w:val="20"/>
              </w:rPr>
              <w:t>2x2 with 1/3 frequency reuse and 1.728</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B)</w:t>
            </w:r>
          </w:p>
        </w:tc>
        <w:tc>
          <w:tcPr>
            <w:tcW w:w="2430" w:type="dxa"/>
          </w:tcPr>
          <w:p w:rsidR="008C134E" w:rsidRPr="00986E23" w:rsidRDefault="008C134E" w:rsidP="004160DC">
            <w:pPr>
              <w:jc w:val="both"/>
              <w:rPr>
                <w:sz w:val="20"/>
              </w:rPr>
            </w:pPr>
            <w:r w:rsidRPr="00986E23">
              <w:rPr>
                <w:sz w:val="20"/>
              </w:rPr>
              <w:t>approximately 0.02 for LoS</w:t>
            </w:r>
          </w:p>
          <w:p w:rsidR="008C134E" w:rsidRPr="00986E23" w:rsidRDefault="008C134E" w:rsidP="004160DC">
            <w:pPr>
              <w:jc w:val="both"/>
              <w:rPr>
                <w:sz w:val="20"/>
              </w:rPr>
            </w:pPr>
          </w:p>
          <w:p w:rsidR="008C134E" w:rsidRPr="00986E23" w:rsidRDefault="008C134E" w:rsidP="004160DC">
            <w:pPr>
              <w:jc w:val="both"/>
              <w:rPr>
                <w:sz w:val="20"/>
              </w:rPr>
            </w:pPr>
            <w:r w:rsidRPr="00986E23">
              <w:rPr>
                <w:sz w:val="20"/>
              </w:rPr>
              <w:t>Nonfunctional at this SNR for NLoS</w:t>
            </w:r>
          </w:p>
        </w:tc>
        <w:tc>
          <w:tcPr>
            <w:tcW w:w="1478" w:type="dxa"/>
          </w:tcPr>
          <w:p w:rsidR="008C134E" w:rsidRPr="00986E23" w:rsidRDefault="008C134E" w:rsidP="004160DC">
            <w:pPr>
              <w:jc w:val="both"/>
              <w:rPr>
                <w:sz w:val="20"/>
              </w:rPr>
            </w:pPr>
            <w:r w:rsidRPr="00986E23">
              <w:rPr>
                <w:sz w:val="20"/>
              </w:rPr>
              <w:t>-5.1 dB</w:t>
            </w:r>
          </w:p>
        </w:tc>
        <w:tc>
          <w:tcPr>
            <w:tcW w:w="2387" w:type="dxa"/>
          </w:tcPr>
          <w:p w:rsidR="008C134E" w:rsidRPr="00986E23" w:rsidRDefault="008C134E" w:rsidP="004160DC">
            <w:pPr>
              <w:jc w:val="both"/>
              <w:rPr>
                <w:sz w:val="20"/>
              </w:rPr>
            </w:pPr>
            <w:r w:rsidRPr="00986E23">
              <w:rPr>
                <w:sz w:val="20"/>
              </w:rPr>
              <w:t>NO</w:t>
            </w:r>
          </w:p>
        </w:tc>
      </w:tr>
      <w:tr w:rsidR="008C134E" w:rsidTr="00EB69E8">
        <w:tc>
          <w:tcPr>
            <w:tcW w:w="3055" w:type="dxa"/>
          </w:tcPr>
          <w:p w:rsidR="008C134E" w:rsidRPr="00986E23" w:rsidRDefault="008C134E" w:rsidP="004160DC">
            <w:pPr>
              <w:rPr>
                <w:sz w:val="20"/>
              </w:rPr>
            </w:pPr>
            <w:r w:rsidRPr="00986E23">
              <w:rPr>
                <w:sz w:val="20"/>
              </w:rPr>
              <w:t>5x4 with 1/3 frequency reuse and 1.728</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B)</w:t>
            </w:r>
          </w:p>
        </w:tc>
        <w:tc>
          <w:tcPr>
            <w:tcW w:w="2430" w:type="dxa"/>
          </w:tcPr>
          <w:p w:rsidR="008C134E" w:rsidRPr="00986E23" w:rsidRDefault="008C134E" w:rsidP="004160DC">
            <w:pPr>
              <w:jc w:val="both"/>
              <w:rPr>
                <w:sz w:val="20"/>
              </w:rPr>
            </w:pPr>
            <w:r w:rsidRPr="00986E23">
              <w:rPr>
                <w:sz w:val="20"/>
              </w:rPr>
              <w:t>&lt;10</w:t>
            </w:r>
            <w:r w:rsidRPr="00986E23">
              <w:rPr>
                <w:sz w:val="20"/>
                <w:vertAlign w:val="superscript"/>
              </w:rPr>
              <w:t>-6</w:t>
            </w:r>
            <w:r w:rsidRPr="00986E23">
              <w:rPr>
                <w:sz w:val="20"/>
              </w:rPr>
              <w:t xml:space="preserve"> for LoS (10</w:t>
            </w:r>
            <w:r w:rsidRPr="00986E23">
              <w:rPr>
                <w:sz w:val="20"/>
                <w:vertAlign w:val="superscript"/>
              </w:rPr>
              <w:t>-5</w:t>
            </w:r>
            <w:r w:rsidRPr="00986E23">
              <w:rPr>
                <w:sz w:val="20"/>
              </w:rPr>
              <w:t xml:space="preserve"> is achieved at appr. -8 dB)</w:t>
            </w:r>
          </w:p>
          <w:p w:rsidR="008C134E" w:rsidRPr="00986E23" w:rsidRDefault="008C134E" w:rsidP="004160DC">
            <w:pPr>
              <w:jc w:val="both"/>
              <w:rPr>
                <w:sz w:val="20"/>
              </w:rPr>
            </w:pPr>
            <w:r w:rsidRPr="00986E23">
              <w:rPr>
                <w:sz w:val="20"/>
              </w:rPr>
              <w:t>approximately 0.005 for NLoS</w:t>
            </w:r>
          </w:p>
        </w:tc>
        <w:tc>
          <w:tcPr>
            <w:tcW w:w="1478" w:type="dxa"/>
          </w:tcPr>
          <w:p w:rsidR="008C134E" w:rsidRPr="00986E23" w:rsidRDefault="008C134E" w:rsidP="004160DC">
            <w:pPr>
              <w:jc w:val="both"/>
              <w:rPr>
                <w:sz w:val="20"/>
              </w:rPr>
            </w:pPr>
            <w:r w:rsidRPr="00986E23">
              <w:rPr>
                <w:sz w:val="20"/>
              </w:rPr>
              <w:t>-5.1 dB</w:t>
            </w:r>
          </w:p>
        </w:tc>
        <w:tc>
          <w:tcPr>
            <w:tcW w:w="2387" w:type="dxa"/>
            <w:shd w:val="clear" w:color="auto" w:fill="C2D69B" w:themeFill="accent3" w:themeFillTint="99"/>
          </w:tcPr>
          <w:p w:rsidR="008C134E" w:rsidRPr="00986E23" w:rsidRDefault="008C134E" w:rsidP="004160DC">
            <w:pPr>
              <w:jc w:val="both"/>
              <w:rPr>
                <w:sz w:val="20"/>
              </w:rPr>
            </w:pPr>
            <w:r w:rsidRPr="00986E23">
              <w:rPr>
                <w:sz w:val="20"/>
              </w:rPr>
              <w:t>YES (for LoS)</w:t>
            </w:r>
          </w:p>
        </w:tc>
      </w:tr>
      <w:tr w:rsidR="008C134E" w:rsidTr="00EB69E8">
        <w:tc>
          <w:tcPr>
            <w:tcW w:w="3055" w:type="dxa"/>
          </w:tcPr>
          <w:p w:rsidR="008C134E" w:rsidRPr="00986E23" w:rsidRDefault="008C134E" w:rsidP="004160DC">
            <w:pPr>
              <w:rPr>
                <w:sz w:val="20"/>
              </w:rPr>
            </w:pPr>
            <w:r w:rsidRPr="00986E23">
              <w:rPr>
                <w:sz w:val="20"/>
              </w:rPr>
              <w:t>5x4x1x2 with 1/3 frequency reuse and 1.728</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B)</w:t>
            </w:r>
          </w:p>
        </w:tc>
        <w:tc>
          <w:tcPr>
            <w:tcW w:w="2430" w:type="dxa"/>
          </w:tcPr>
          <w:p w:rsidR="008C134E" w:rsidRPr="00986E23" w:rsidRDefault="008C134E" w:rsidP="004160DC">
            <w:pPr>
              <w:jc w:val="both"/>
              <w:rPr>
                <w:sz w:val="20"/>
              </w:rPr>
            </w:pPr>
            <w:r w:rsidRPr="00986E23">
              <w:rPr>
                <w:sz w:val="20"/>
              </w:rPr>
              <w:t>&lt;10</w:t>
            </w:r>
            <w:r w:rsidRPr="00986E23">
              <w:rPr>
                <w:sz w:val="20"/>
                <w:vertAlign w:val="superscript"/>
              </w:rPr>
              <w:t>-6</w:t>
            </w:r>
            <w:r w:rsidRPr="00986E23">
              <w:rPr>
                <w:sz w:val="20"/>
              </w:rPr>
              <w:t xml:space="preserve"> for LoS (10</w:t>
            </w:r>
            <w:r w:rsidRPr="00986E23">
              <w:rPr>
                <w:sz w:val="20"/>
                <w:vertAlign w:val="superscript"/>
              </w:rPr>
              <w:t>-5</w:t>
            </w:r>
            <w:r w:rsidRPr="00986E23">
              <w:rPr>
                <w:sz w:val="20"/>
              </w:rPr>
              <w:t xml:space="preserve"> is achieved at appr. -12 dB)</w:t>
            </w:r>
          </w:p>
          <w:p w:rsidR="008C134E" w:rsidRPr="00986E23" w:rsidRDefault="008C134E" w:rsidP="004160DC">
            <w:pPr>
              <w:jc w:val="both"/>
              <w:rPr>
                <w:sz w:val="20"/>
              </w:rPr>
            </w:pPr>
            <w:r w:rsidRPr="00986E23">
              <w:rPr>
                <w:sz w:val="20"/>
              </w:rPr>
              <w:t>approximately 10</w:t>
            </w:r>
            <w:r w:rsidRPr="00986E23">
              <w:rPr>
                <w:sz w:val="20"/>
                <w:vertAlign w:val="superscript"/>
              </w:rPr>
              <w:t>-6</w:t>
            </w:r>
            <w:r w:rsidRPr="00986E23">
              <w:rPr>
                <w:sz w:val="20"/>
              </w:rPr>
              <w:t xml:space="preserve"> for NLoS</w:t>
            </w:r>
          </w:p>
        </w:tc>
        <w:tc>
          <w:tcPr>
            <w:tcW w:w="1478" w:type="dxa"/>
          </w:tcPr>
          <w:p w:rsidR="008C134E" w:rsidRPr="00986E23" w:rsidRDefault="008C134E" w:rsidP="004160DC">
            <w:pPr>
              <w:jc w:val="both"/>
              <w:rPr>
                <w:sz w:val="20"/>
              </w:rPr>
            </w:pPr>
            <w:r w:rsidRPr="00986E23">
              <w:rPr>
                <w:sz w:val="20"/>
              </w:rPr>
              <w:t>-5.1 dB</w:t>
            </w:r>
          </w:p>
        </w:tc>
        <w:tc>
          <w:tcPr>
            <w:tcW w:w="2387" w:type="dxa"/>
            <w:shd w:val="clear" w:color="auto" w:fill="C2D69B" w:themeFill="accent3" w:themeFillTint="99"/>
          </w:tcPr>
          <w:p w:rsidR="008C134E" w:rsidRPr="00986E23" w:rsidRDefault="008C134E" w:rsidP="004160DC">
            <w:pPr>
              <w:jc w:val="both"/>
              <w:rPr>
                <w:sz w:val="20"/>
              </w:rPr>
            </w:pPr>
            <w:r w:rsidRPr="00986E23">
              <w:rPr>
                <w:sz w:val="20"/>
              </w:rPr>
              <w:t>YES</w:t>
            </w:r>
          </w:p>
        </w:tc>
      </w:tr>
      <w:tr w:rsidR="008C134E" w:rsidTr="004160DC">
        <w:tc>
          <w:tcPr>
            <w:tcW w:w="3055" w:type="dxa"/>
          </w:tcPr>
          <w:p w:rsidR="008C134E" w:rsidRPr="00986E23" w:rsidRDefault="008C134E" w:rsidP="004160DC">
            <w:pPr>
              <w:rPr>
                <w:sz w:val="20"/>
              </w:rPr>
            </w:pPr>
            <w:r w:rsidRPr="00986E23">
              <w:rPr>
                <w:sz w:val="20"/>
              </w:rPr>
              <w:t>SISO with 1/7 frequency reuse and 3.456</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A)</w:t>
            </w:r>
          </w:p>
        </w:tc>
        <w:tc>
          <w:tcPr>
            <w:tcW w:w="2430" w:type="dxa"/>
          </w:tcPr>
          <w:p w:rsidR="008C134E" w:rsidRPr="00986E23" w:rsidRDefault="008C134E" w:rsidP="004160DC">
            <w:pPr>
              <w:jc w:val="both"/>
              <w:rPr>
                <w:sz w:val="20"/>
              </w:rPr>
            </w:pPr>
            <w:r w:rsidRPr="00986E23">
              <w:rPr>
                <w:sz w:val="20"/>
              </w:rPr>
              <w:t>Nonfunctional at this SNR</w:t>
            </w:r>
          </w:p>
        </w:tc>
        <w:tc>
          <w:tcPr>
            <w:tcW w:w="1478" w:type="dxa"/>
          </w:tcPr>
          <w:p w:rsidR="008C134E" w:rsidRPr="00986E23" w:rsidRDefault="008C134E" w:rsidP="0030638A">
            <w:pPr>
              <w:pStyle w:val="Tabletext"/>
            </w:pPr>
            <w:r w:rsidRPr="00986E23">
              <w:t>-11.1 dB</w:t>
            </w:r>
          </w:p>
        </w:tc>
        <w:tc>
          <w:tcPr>
            <w:tcW w:w="2387" w:type="dxa"/>
          </w:tcPr>
          <w:p w:rsidR="008C134E" w:rsidRPr="00986E23" w:rsidRDefault="008C134E" w:rsidP="004160DC">
            <w:pPr>
              <w:jc w:val="both"/>
              <w:rPr>
                <w:sz w:val="20"/>
              </w:rPr>
            </w:pPr>
            <w:r w:rsidRPr="00986E23">
              <w:rPr>
                <w:sz w:val="20"/>
              </w:rPr>
              <w:t>NO</w:t>
            </w:r>
          </w:p>
        </w:tc>
      </w:tr>
      <w:tr w:rsidR="008C134E" w:rsidTr="004160DC">
        <w:tc>
          <w:tcPr>
            <w:tcW w:w="3055" w:type="dxa"/>
          </w:tcPr>
          <w:p w:rsidR="008C134E" w:rsidRPr="00986E23" w:rsidRDefault="008C134E" w:rsidP="004160DC">
            <w:pPr>
              <w:rPr>
                <w:sz w:val="20"/>
              </w:rPr>
            </w:pPr>
            <w:r w:rsidRPr="00986E23">
              <w:rPr>
                <w:sz w:val="20"/>
              </w:rPr>
              <w:t>2x2 with 1/7 frequency reuse and 3.456</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A)</w:t>
            </w:r>
          </w:p>
        </w:tc>
        <w:tc>
          <w:tcPr>
            <w:tcW w:w="2430" w:type="dxa"/>
          </w:tcPr>
          <w:p w:rsidR="008C134E" w:rsidRPr="00986E23" w:rsidRDefault="008C134E" w:rsidP="004160DC">
            <w:pPr>
              <w:jc w:val="both"/>
              <w:rPr>
                <w:sz w:val="20"/>
              </w:rPr>
            </w:pPr>
            <w:r w:rsidRPr="00986E23">
              <w:rPr>
                <w:sz w:val="20"/>
              </w:rPr>
              <w:t>Nonfunctional at this SNR</w:t>
            </w:r>
          </w:p>
        </w:tc>
        <w:tc>
          <w:tcPr>
            <w:tcW w:w="1478" w:type="dxa"/>
          </w:tcPr>
          <w:p w:rsidR="008C134E" w:rsidRPr="00986E23" w:rsidRDefault="008C134E" w:rsidP="0030638A">
            <w:pPr>
              <w:pStyle w:val="Tabletext"/>
            </w:pPr>
            <w:r w:rsidRPr="00986E23">
              <w:t>-11.1 dB</w:t>
            </w:r>
          </w:p>
        </w:tc>
        <w:tc>
          <w:tcPr>
            <w:tcW w:w="2387" w:type="dxa"/>
          </w:tcPr>
          <w:p w:rsidR="008C134E" w:rsidRPr="00986E23" w:rsidRDefault="008C134E" w:rsidP="004160DC">
            <w:pPr>
              <w:jc w:val="both"/>
              <w:rPr>
                <w:sz w:val="20"/>
              </w:rPr>
            </w:pPr>
            <w:r w:rsidRPr="00986E23">
              <w:rPr>
                <w:sz w:val="20"/>
              </w:rPr>
              <w:t>NO</w:t>
            </w:r>
          </w:p>
        </w:tc>
      </w:tr>
      <w:tr w:rsidR="008C134E" w:rsidTr="004160DC">
        <w:tc>
          <w:tcPr>
            <w:tcW w:w="3055" w:type="dxa"/>
          </w:tcPr>
          <w:p w:rsidR="008C134E" w:rsidRPr="00986E23" w:rsidRDefault="008C134E" w:rsidP="004160DC">
            <w:pPr>
              <w:rPr>
                <w:sz w:val="20"/>
              </w:rPr>
            </w:pPr>
            <w:r w:rsidRPr="00986E23">
              <w:rPr>
                <w:sz w:val="20"/>
              </w:rPr>
              <w:t>5x4 with 1/7 frequency reuse and 3.456</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A)</w:t>
            </w:r>
          </w:p>
        </w:tc>
        <w:tc>
          <w:tcPr>
            <w:tcW w:w="2430" w:type="dxa"/>
          </w:tcPr>
          <w:p w:rsidR="008C134E" w:rsidRPr="00986E23" w:rsidRDefault="008C134E" w:rsidP="004160DC">
            <w:pPr>
              <w:jc w:val="both"/>
              <w:rPr>
                <w:sz w:val="20"/>
              </w:rPr>
            </w:pPr>
            <w:r w:rsidRPr="00986E23">
              <w:rPr>
                <w:sz w:val="20"/>
              </w:rPr>
              <w:t>approximately 0.001 for LoS</w:t>
            </w:r>
          </w:p>
          <w:p w:rsidR="008C134E" w:rsidRPr="00986E23" w:rsidRDefault="008C134E" w:rsidP="004160DC">
            <w:pPr>
              <w:jc w:val="both"/>
              <w:rPr>
                <w:sz w:val="20"/>
              </w:rPr>
            </w:pPr>
            <w:r w:rsidRPr="00986E23">
              <w:rPr>
                <w:sz w:val="20"/>
              </w:rPr>
              <w:t>approximately 0.2 for NLoS</w:t>
            </w:r>
          </w:p>
        </w:tc>
        <w:tc>
          <w:tcPr>
            <w:tcW w:w="1478" w:type="dxa"/>
          </w:tcPr>
          <w:p w:rsidR="008C134E" w:rsidRPr="00986E23" w:rsidRDefault="008C134E" w:rsidP="0030638A">
            <w:pPr>
              <w:pStyle w:val="Tabletext"/>
            </w:pPr>
            <w:r w:rsidRPr="00986E23">
              <w:t>-11.1 dB</w:t>
            </w:r>
          </w:p>
        </w:tc>
        <w:tc>
          <w:tcPr>
            <w:tcW w:w="2387" w:type="dxa"/>
          </w:tcPr>
          <w:p w:rsidR="008C134E" w:rsidRPr="00986E23" w:rsidRDefault="008C134E" w:rsidP="004160DC">
            <w:pPr>
              <w:jc w:val="both"/>
              <w:rPr>
                <w:sz w:val="20"/>
              </w:rPr>
            </w:pPr>
            <w:r w:rsidRPr="00986E23">
              <w:rPr>
                <w:sz w:val="20"/>
              </w:rPr>
              <w:t>NO</w:t>
            </w:r>
          </w:p>
        </w:tc>
      </w:tr>
      <w:tr w:rsidR="008C134E" w:rsidTr="00EB69E8">
        <w:tc>
          <w:tcPr>
            <w:tcW w:w="3055" w:type="dxa"/>
          </w:tcPr>
          <w:p w:rsidR="008C134E" w:rsidRPr="00986E23" w:rsidRDefault="008C134E" w:rsidP="004160DC">
            <w:pPr>
              <w:rPr>
                <w:sz w:val="20"/>
              </w:rPr>
            </w:pPr>
            <w:r w:rsidRPr="00986E23">
              <w:rPr>
                <w:sz w:val="20"/>
              </w:rPr>
              <w:t>5x4x1x2 with 1/7 frequency reuse 3.456</w:t>
            </w:r>
            <w:r w:rsidR="00753464">
              <w:rPr>
                <w:sz w:val="20"/>
              </w:rPr>
              <w:t> </w:t>
            </w:r>
            <w:r w:rsidRPr="00986E23">
              <w:rPr>
                <w:sz w:val="20"/>
              </w:rPr>
              <w:t>MHz bandwidth</w:t>
            </w:r>
          </w:p>
          <w:p w:rsidR="008C134E" w:rsidRPr="00986E23" w:rsidRDefault="008C134E" w:rsidP="004160DC">
            <w:pPr>
              <w:jc w:val="both"/>
              <w:rPr>
                <w:sz w:val="20"/>
              </w:rPr>
            </w:pPr>
            <w:r w:rsidRPr="00986E23">
              <w:rPr>
                <w:sz w:val="20"/>
              </w:rPr>
              <w:t>(Configuration A)</w:t>
            </w:r>
          </w:p>
        </w:tc>
        <w:tc>
          <w:tcPr>
            <w:tcW w:w="2430" w:type="dxa"/>
          </w:tcPr>
          <w:p w:rsidR="008C134E" w:rsidRPr="00986E23" w:rsidRDefault="008C134E" w:rsidP="004160DC">
            <w:pPr>
              <w:jc w:val="both"/>
              <w:rPr>
                <w:sz w:val="20"/>
              </w:rPr>
            </w:pPr>
            <w:r w:rsidRPr="00986E23">
              <w:rPr>
                <w:sz w:val="20"/>
              </w:rPr>
              <w:t>&lt;10</w:t>
            </w:r>
            <w:r w:rsidRPr="00986E23">
              <w:rPr>
                <w:sz w:val="20"/>
                <w:vertAlign w:val="superscript"/>
              </w:rPr>
              <w:t>-6</w:t>
            </w:r>
            <w:r w:rsidRPr="00986E23">
              <w:rPr>
                <w:sz w:val="20"/>
              </w:rPr>
              <w:t xml:space="preserve"> for LoS (10</w:t>
            </w:r>
            <w:r w:rsidRPr="00986E23">
              <w:rPr>
                <w:sz w:val="20"/>
                <w:vertAlign w:val="superscript"/>
              </w:rPr>
              <w:t>-5</w:t>
            </w:r>
            <w:r w:rsidRPr="00986E23">
              <w:rPr>
                <w:sz w:val="20"/>
              </w:rPr>
              <w:t xml:space="preserve"> is achieved at appr. -12 dB)</w:t>
            </w:r>
          </w:p>
          <w:p w:rsidR="008C134E" w:rsidRPr="00986E23" w:rsidRDefault="008C134E" w:rsidP="004160DC">
            <w:pPr>
              <w:jc w:val="both"/>
              <w:rPr>
                <w:sz w:val="20"/>
              </w:rPr>
            </w:pPr>
            <w:r w:rsidRPr="00986E23">
              <w:rPr>
                <w:sz w:val="20"/>
              </w:rPr>
              <w:t>approximately 0.04 for NLoS</w:t>
            </w:r>
          </w:p>
        </w:tc>
        <w:tc>
          <w:tcPr>
            <w:tcW w:w="1478" w:type="dxa"/>
          </w:tcPr>
          <w:p w:rsidR="008C134E" w:rsidRPr="00986E23" w:rsidRDefault="008C134E" w:rsidP="0030638A">
            <w:pPr>
              <w:pStyle w:val="Tabletext"/>
            </w:pPr>
            <w:r w:rsidRPr="00986E23">
              <w:t>-11.1 dB</w:t>
            </w:r>
          </w:p>
        </w:tc>
        <w:tc>
          <w:tcPr>
            <w:tcW w:w="2387" w:type="dxa"/>
            <w:shd w:val="clear" w:color="auto" w:fill="C2D69B" w:themeFill="accent3" w:themeFillTint="99"/>
          </w:tcPr>
          <w:p w:rsidR="008C134E" w:rsidRPr="00986E23" w:rsidRDefault="008C134E" w:rsidP="004160DC">
            <w:pPr>
              <w:jc w:val="both"/>
              <w:rPr>
                <w:sz w:val="20"/>
              </w:rPr>
            </w:pPr>
            <w:r w:rsidRPr="00986E23">
              <w:rPr>
                <w:sz w:val="20"/>
              </w:rPr>
              <w:t>YES (for LoS)</w:t>
            </w:r>
          </w:p>
        </w:tc>
      </w:tr>
    </w:tbl>
    <w:p w:rsidR="008C134E" w:rsidRDefault="008C134E" w:rsidP="00F7539B">
      <w:pPr>
        <w:pStyle w:val="Tablef"/>
      </w:pPr>
    </w:p>
    <w:p w:rsidR="008C134E" w:rsidRDefault="008C134E" w:rsidP="00EB69E8">
      <w:pPr>
        <w:spacing w:line="276" w:lineRule="auto"/>
        <w:jc w:val="both"/>
      </w:pPr>
      <w:r>
        <w:t>All details, as well as the SINR distributions and the Link-Level analysis for the aforementioned setups can be found in Annex III.</w:t>
      </w:r>
    </w:p>
    <w:p w:rsidR="008C134E" w:rsidRDefault="008C134E" w:rsidP="00641CC9">
      <w:pPr>
        <w:pStyle w:val="Heading3"/>
        <w:rPr>
          <w:rFonts w:eastAsia="MS Mincho"/>
          <w:lang w:val="en-US"/>
        </w:rPr>
      </w:pP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E-2-5</w:t>
      </w:r>
      <w:r w:rsidRPr="00C1787A">
        <w:rPr>
          <w:rFonts w:eastAsia="MS Mincho"/>
          <w:lang w:val="en-US"/>
        </w:rPr>
        <w:tab/>
      </w:r>
      <w:r>
        <w:rPr>
          <w:rFonts w:eastAsia="MS Mincho"/>
          <w:lang w:val="en-US"/>
        </w:rPr>
        <w:t>Connection Density (mMTC)</w:t>
      </w:r>
    </w:p>
    <w:p w:rsidR="008C134E" w:rsidRDefault="008C134E" w:rsidP="00641CC9">
      <w:pPr>
        <w:pStyle w:val="Heading4"/>
        <w:rPr>
          <w:lang w:eastAsia="ja-JP"/>
        </w:rPr>
      </w:pPr>
      <w:r w:rsidRPr="006D1386">
        <w:rPr>
          <w:lang w:eastAsia="ja-JP"/>
        </w:rPr>
        <w:t>Conclusion</w:t>
      </w:r>
    </w:p>
    <w:p w:rsidR="008C134E" w:rsidRPr="00BE3120" w:rsidRDefault="008C134E" w:rsidP="00C313FB">
      <w:pPr>
        <w:spacing w:line="276" w:lineRule="auto"/>
        <w:jc w:val="both"/>
        <w:rPr>
          <w:rFonts w:eastAsia="MS Mincho"/>
          <w:color w:val="548DD4" w:themeColor="text2" w:themeTint="99"/>
        </w:rPr>
      </w:pPr>
      <w:r w:rsidRPr="00BE3120">
        <w:rPr>
          <w:rFonts w:eastAsia="MS Mincho"/>
          <w:color w:val="548DD4" w:themeColor="text2" w:themeTint="99"/>
        </w:rPr>
        <w:t>The WWRF IEG investigations have concluded that the DECT-2020 NR RIT component from ETSI (TC DECT) and DECT Forum SRIT submission (IMT-2020/17(Rev 1) document) fulfils the mMTC service requirement. DECT-2020 NR RIT is able to satisfy the connection density requirements for various configurations, taking into account the guidelines and assumptions described in Report ITU-R M.2410. Validation was performed through extensive simulation.</w:t>
      </w:r>
    </w:p>
    <w:p w:rsidR="008C134E" w:rsidRPr="00BE3120" w:rsidRDefault="008C134E" w:rsidP="00C313FB">
      <w:pPr>
        <w:spacing w:line="276" w:lineRule="auto"/>
        <w:jc w:val="both"/>
        <w:rPr>
          <w:rFonts w:eastAsia="MS Mincho"/>
          <w:color w:val="548DD4" w:themeColor="text2" w:themeTint="99"/>
        </w:rPr>
      </w:pPr>
      <w:r w:rsidRPr="00BE3120">
        <w:rPr>
          <w:rFonts w:eastAsia="MS Mincho"/>
          <w:color w:val="548DD4" w:themeColor="text2" w:themeTint="99"/>
        </w:rPr>
        <w:t xml:space="preserve">Following the ITU Evaluation Methodology, the targeted KPI is the: </w:t>
      </w:r>
    </w:p>
    <w:p w:rsidR="008C134E" w:rsidRPr="00986E23" w:rsidRDefault="00986E23" w:rsidP="00986E23">
      <w:pPr>
        <w:pStyle w:val="enumlev1"/>
        <w:rPr>
          <w:rFonts w:eastAsia="MS Mincho"/>
          <w:color w:val="548DD4" w:themeColor="text2" w:themeTint="99"/>
        </w:rPr>
      </w:pPr>
      <w:r w:rsidRPr="00986E23">
        <w:rPr>
          <w:rFonts w:eastAsia="MS Mincho"/>
          <w:color w:val="548DD4" w:themeColor="text2" w:themeTint="99"/>
        </w:rPr>
        <w:t>•</w:t>
      </w:r>
      <w:r w:rsidRPr="00986E23">
        <w:rPr>
          <w:rFonts w:eastAsia="MS Mincho"/>
          <w:color w:val="548DD4" w:themeColor="text2" w:themeTint="99"/>
        </w:rPr>
        <w:tab/>
      </w:r>
      <w:r w:rsidR="008C134E" w:rsidRPr="00986E23">
        <w:rPr>
          <w:rFonts w:eastAsia="MS Mincho"/>
          <w:color w:val="548DD4" w:themeColor="text2" w:themeTint="99"/>
        </w:rPr>
        <w:t>service of a million devices deployed in 1 km</w:t>
      </w:r>
      <w:r w:rsidR="008C134E" w:rsidRPr="00753464">
        <w:rPr>
          <w:rFonts w:eastAsia="MS Mincho"/>
          <w:color w:val="548DD4" w:themeColor="text2" w:themeTint="99"/>
          <w:vertAlign w:val="superscript"/>
        </w:rPr>
        <w:t>2</w:t>
      </w:r>
      <w:r w:rsidR="008C134E" w:rsidRPr="00986E23">
        <w:rPr>
          <w:rFonts w:eastAsia="MS Mincho"/>
          <w:color w:val="548DD4" w:themeColor="text2" w:themeTint="99"/>
        </w:rPr>
        <w:t xml:space="preserve"> with the transmission of one message every a) 24 hours or preferably every b) 2 hours. </w:t>
      </w:r>
    </w:p>
    <w:p w:rsidR="008C134E" w:rsidRPr="00BE3120" w:rsidRDefault="00986E23" w:rsidP="00986E23">
      <w:pPr>
        <w:pStyle w:val="enumlev1"/>
        <w:rPr>
          <w:rFonts w:eastAsia="MS Mincho"/>
        </w:rPr>
      </w:pPr>
      <w:r w:rsidRPr="00986E23">
        <w:rPr>
          <w:rFonts w:eastAsia="MS Mincho"/>
          <w:color w:val="548DD4" w:themeColor="text2" w:themeTint="99"/>
        </w:rPr>
        <w:t>•</w:t>
      </w:r>
      <w:r w:rsidRPr="00986E23">
        <w:rPr>
          <w:rFonts w:eastAsia="MS Mincho"/>
          <w:color w:val="548DD4" w:themeColor="text2" w:themeTint="99"/>
        </w:rPr>
        <w:tab/>
      </w:r>
      <w:r w:rsidR="008C134E" w:rsidRPr="00986E23">
        <w:rPr>
          <w:rFonts w:eastAsia="MS Mincho"/>
          <w:color w:val="548DD4" w:themeColor="text2" w:themeTint="99"/>
        </w:rPr>
        <w:t>with QoS requirements of less than 1% outage and less than 10s latency.</w:t>
      </w:r>
    </w:p>
    <w:p w:rsidR="008C134E" w:rsidRPr="003E7FE9" w:rsidRDefault="008C134E" w:rsidP="00C313FB">
      <w:pPr>
        <w:spacing w:line="276" w:lineRule="auto"/>
        <w:jc w:val="both"/>
        <w:rPr>
          <w:rFonts w:eastAsia="MS Mincho"/>
          <w:color w:val="FF0000"/>
        </w:rPr>
      </w:pPr>
      <w:r w:rsidRPr="00BE3120">
        <w:rPr>
          <w:rFonts w:eastAsia="MS Mincho"/>
          <w:color w:val="548DD4" w:themeColor="text2" w:themeTint="99"/>
        </w:rPr>
        <w:t xml:space="preserve">The updated final results clearly indicate that the DECT-2020 NR Component is able to satisfy the Connection Density requirements for both configurations A and B of </w:t>
      </w:r>
      <w:r w:rsidRPr="00BE3120">
        <w:rPr>
          <w:rFonts w:eastAsia="MS Mincho"/>
          <w:color w:val="548DD4" w:themeColor="text2" w:themeTint="99"/>
          <w:lang w:val="en-US"/>
        </w:rPr>
        <w:t>M.2412</w:t>
      </w:r>
      <w:r w:rsidRPr="00BE3120">
        <w:rPr>
          <w:rFonts w:eastAsia="MS Mincho"/>
          <w:color w:val="548DD4" w:themeColor="text2" w:themeTint="99"/>
        </w:rPr>
        <w:t xml:space="preserve"> with the use of multi-hop communications and a properly defined simple but effective relay protocol/strategy</w:t>
      </w:r>
      <w:r>
        <w:rPr>
          <w:rFonts w:eastAsia="MS Mincho"/>
          <w:color w:val="FF0000"/>
        </w:rPr>
        <w:t>.</w:t>
      </w:r>
    </w:p>
    <w:p w:rsidR="008C134E" w:rsidRDefault="008C134E" w:rsidP="00915E7C">
      <w:pPr>
        <w:pStyle w:val="Heading4"/>
        <w:rPr>
          <w:lang w:eastAsia="ja-JP"/>
        </w:rPr>
      </w:pPr>
      <w:r w:rsidRPr="006D1386">
        <w:rPr>
          <w:lang w:eastAsia="ja-JP"/>
        </w:rPr>
        <w:t>Verification</w:t>
      </w:r>
    </w:p>
    <w:p w:rsidR="008C134E" w:rsidRDefault="008C134E" w:rsidP="00C313FB">
      <w:pPr>
        <w:spacing w:line="276" w:lineRule="auto"/>
        <w:jc w:val="both"/>
      </w:pPr>
      <w:r>
        <w:t xml:space="preserve">An End-to-End Physical Layer simulator of the DECT-2020 NR technology was developed by WWRF IEG in MATLAB, able to perform jointly system-level and link-level experiments. </w:t>
      </w:r>
    </w:p>
    <w:p w:rsidR="008C134E" w:rsidRDefault="008C134E" w:rsidP="00C313FB">
      <w:pPr>
        <w:spacing w:line="276" w:lineRule="auto"/>
        <w:jc w:val="both"/>
      </w:pPr>
      <w:r>
        <w:t>WWRF IEG addressed the following issues:</w:t>
      </w:r>
    </w:p>
    <w:p w:rsidR="008C134E" w:rsidRPr="009042BB" w:rsidRDefault="00986E23" w:rsidP="00986E23">
      <w:pPr>
        <w:pStyle w:val="enumlev1"/>
      </w:pPr>
      <w:r w:rsidRPr="00986E23">
        <w:rPr>
          <w:rFonts w:eastAsia="MS Mincho"/>
        </w:rPr>
        <w:t>•</w:t>
      </w:r>
      <w:r>
        <w:rPr>
          <w:rFonts w:eastAsia="MS Mincho"/>
        </w:rPr>
        <w:tab/>
      </w:r>
      <w:r w:rsidR="008C134E">
        <w:t xml:space="preserve">System model definition/extension including relay/forwarding nodes in addition to standard </w:t>
      </w:r>
      <w:r w:rsidR="008C134E" w:rsidRPr="0033642B">
        <w:rPr>
          <w:rFonts w:eastAsia="MS Mincho"/>
        </w:rPr>
        <w:t>cellular UEs.</w:t>
      </w:r>
    </w:p>
    <w:p w:rsidR="008C134E" w:rsidRPr="009042BB" w:rsidRDefault="00986E23" w:rsidP="00986E23">
      <w:pPr>
        <w:pStyle w:val="enumlev1"/>
      </w:pPr>
      <w:r w:rsidRPr="00986E23">
        <w:rPr>
          <w:rFonts w:eastAsia="MS Mincho"/>
        </w:rPr>
        <w:t>•</w:t>
      </w:r>
      <w:r>
        <w:rPr>
          <w:rFonts w:eastAsia="MS Mincho"/>
        </w:rPr>
        <w:tab/>
      </w:r>
      <w:r w:rsidR="008C134E">
        <w:rPr>
          <w:rFonts w:eastAsia="MS Mincho"/>
        </w:rPr>
        <w:t>Introduction of a simple but effective protocol for multi-hop communications</w:t>
      </w:r>
    </w:p>
    <w:p w:rsidR="008C134E" w:rsidRPr="009042BB" w:rsidRDefault="00986E23" w:rsidP="00986E23">
      <w:pPr>
        <w:pStyle w:val="enumlev1"/>
      </w:pPr>
      <w:r w:rsidRPr="00986E23">
        <w:rPr>
          <w:rFonts w:eastAsia="MS Mincho"/>
        </w:rPr>
        <w:t>•</w:t>
      </w:r>
      <w:r>
        <w:rPr>
          <w:rFonts w:eastAsia="MS Mincho"/>
        </w:rPr>
        <w:tab/>
      </w:r>
      <w:r w:rsidR="008C134E">
        <w:t xml:space="preserve">Definition of a relay selection </w:t>
      </w:r>
      <w:r w:rsidR="008C134E" w:rsidRPr="0033642B">
        <w:rPr>
          <w:rFonts w:eastAsia="MS Mincho"/>
        </w:rPr>
        <w:t>scheme based on channel quality conditions.</w:t>
      </w:r>
    </w:p>
    <w:p w:rsidR="008C134E" w:rsidRDefault="00986E23" w:rsidP="00986E23">
      <w:pPr>
        <w:pStyle w:val="enumlev1"/>
      </w:pPr>
      <w:r w:rsidRPr="00986E23">
        <w:rPr>
          <w:rFonts w:eastAsia="MS Mincho"/>
        </w:rPr>
        <w:t>•</w:t>
      </w:r>
      <w:r>
        <w:rPr>
          <w:rFonts w:eastAsia="MS Mincho"/>
        </w:rPr>
        <w:tab/>
      </w:r>
      <w:r w:rsidR="008C134E">
        <w:t>Consideration of device-to-device channel models for relay communication, not previously considered in cellular technologies evaluation.</w:t>
      </w:r>
    </w:p>
    <w:p w:rsidR="008C134E" w:rsidRPr="00E91A38" w:rsidRDefault="008C134E" w:rsidP="00C313FB">
      <w:pPr>
        <w:spacing w:line="276" w:lineRule="auto"/>
        <w:jc w:val="both"/>
        <w:rPr>
          <w:rFonts w:eastAsia="MS Mincho"/>
          <w:color w:val="548DD4" w:themeColor="text2" w:themeTint="99"/>
        </w:rPr>
      </w:pPr>
      <w:r w:rsidRPr="00E91A38">
        <w:rPr>
          <w:rFonts w:eastAsia="MS Mincho"/>
          <w:color w:val="548DD4" w:themeColor="text2" w:themeTint="99"/>
        </w:rPr>
        <w:t>The developed system model simulator was able to take into account the particularities of the DECT-2020 NR RIT, while remaining aligned with the evaluation guidelines defined in ITU-R M.2412-0 Report.</w:t>
      </w:r>
    </w:p>
    <w:p w:rsidR="008C134E" w:rsidRPr="00E91A38" w:rsidRDefault="008C134E" w:rsidP="00C313FB">
      <w:pPr>
        <w:spacing w:line="276" w:lineRule="auto"/>
        <w:jc w:val="both"/>
        <w:rPr>
          <w:rFonts w:eastAsia="MS Mincho"/>
          <w:color w:val="548DD4" w:themeColor="text2" w:themeTint="99"/>
        </w:rPr>
      </w:pPr>
      <w:r w:rsidRPr="00E91A38">
        <w:rPr>
          <w:rFonts w:eastAsia="MS Mincho"/>
          <w:color w:val="548DD4" w:themeColor="text2" w:themeTint="99"/>
        </w:rPr>
        <w:t>The description of the simulator can be found in Annex III. Results are presented in the Table:</w:t>
      </w:r>
    </w:p>
    <w:p w:rsidR="00986E23" w:rsidRPr="00986E23" w:rsidRDefault="008C134E" w:rsidP="00986E23">
      <w:pPr>
        <w:pStyle w:val="TableNo"/>
        <w:rPr>
          <w:color w:val="548DD4" w:themeColor="text2" w:themeTint="99"/>
        </w:rPr>
      </w:pPr>
      <w:r w:rsidRPr="00986E23">
        <w:rPr>
          <w:color w:val="548DD4" w:themeColor="text2" w:themeTint="99"/>
        </w:rPr>
        <w:t xml:space="preserve">Table </w:t>
      </w:r>
      <w:r w:rsidRPr="00986E23">
        <w:rPr>
          <w:color w:val="548DD4" w:themeColor="text2" w:themeTint="99"/>
        </w:rPr>
        <w:fldChar w:fldCharType="begin"/>
      </w:r>
      <w:r w:rsidRPr="00986E23">
        <w:rPr>
          <w:color w:val="548DD4" w:themeColor="text2" w:themeTint="99"/>
        </w:rPr>
        <w:instrText xml:space="preserve"> SEQ Table \* ARABIC </w:instrText>
      </w:r>
      <w:r w:rsidRPr="00986E23">
        <w:rPr>
          <w:color w:val="548DD4" w:themeColor="text2" w:themeTint="99"/>
        </w:rPr>
        <w:fldChar w:fldCharType="separate"/>
      </w:r>
      <w:r w:rsidRPr="00986E23">
        <w:rPr>
          <w:noProof/>
          <w:color w:val="548DD4" w:themeColor="text2" w:themeTint="99"/>
        </w:rPr>
        <w:t>5</w:t>
      </w:r>
      <w:r w:rsidRPr="00986E23">
        <w:rPr>
          <w:color w:val="548DD4" w:themeColor="text2" w:themeTint="99"/>
        </w:rPr>
        <w:fldChar w:fldCharType="end"/>
      </w:r>
    </w:p>
    <w:p w:rsidR="008C134E" w:rsidRPr="00986E23" w:rsidRDefault="008C134E" w:rsidP="00986E23">
      <w:pPr>
        <w:pStyle w:val="Tabletitle"/>
        <w:rPr>
          <w:color w:val="548DD4" w:themeColor="text2" w:themeTint="99"/>
        </w:rPr>
      </w:pPr>
      <w:r w:rsidRPr="00986E23">
        <w:rPr>
          <w:color w:val="548DD4" w:themeColor="text2" w:themeTint="99"/>
        </w:rPr>
        <w:t>Simulated cases and scenarios for the evaluation of the connection density KPIs for</w:t>
      </w:r>
      <w:r w:rsidR="006E0CDD">
        <w:rPr>
          <w:color w:val="548DD4" w:themeColor="text2" w:themeTint="99"/>
        </w:rPr>
        <w:br/>
      </w:r>
      <w:r w:rsidRPr="00986E23">
        <w:rPr>
          <w:color w:val="548DD4" w:themeColor="text2" w:themeTint="99"/>
        </w:rPr>
        <w:t xml:space="preserve"> the DECT-2020 NR component</w:t>
      </w:r>
    </w:p>
    <w:tbl>
      <w:tblPr>
        <w:tblStyle w:val="TableGrid"/>
        <w:tblW w:w="0" w:type="auto"/>
        <w:tblLook w:val="04A0" w:firstRow="1" w:lastRow="0" w:firstColumn="1" w:lastColumn="0" w:noHBand="0" w:noVBand="1"/>
      </w:tblPr>
      <w:tblGrid>
        <w:gridCol w:w="2337"/>
        <w:gridCol w:w="2337"/>
        <w:gridCol w:w="2338"/>
        <w:gridCol w:w="2338"/>
      </w:tblGrid>
      <w:tr w:rsidR="008C134E" w:rsidRPr="00E91A38" w:rsidTr="004F4D3D">
        <w:tc>
          <w:tcPr>
            <w:tcW w:w="2337" w:type="dxa"/>
          </w:tcPr>
          <w:p w:rsidR="008C134E" w:rsidRPr="00986E23" w:rsidRDefault="008C134E" w:rsidP="00986E23">
            <w:pPr>
              <w:pStyle w:val="Tablehead"/>
              <w:rPr>
                <w:rFonts w:eastAsia="Times New Roman" w:cs="Times New Roman"/>
                <w:color w:val="548DD4" w:themeColor="text2" w:themeTint="99"/>
              </w:rPr>
            </w:pPr>
            <w:r w:rsidRPr="00986E23">
              <w:rPr>
                <w:rFonts w:eastAsia="Times New Roman" w:cs="Times New Roman"/>
                <w:color w:val="548DD4" w:themeColor="text2" w:themeTint="99"/>
              </w:rPr>
              <w:t>Setup</w:t>
            </w:r>
          </w:p>
        </w:tc>
        <w:tc>
          <w:tcPr>
            <w:tcW w:w="2337" w:type="dxa"/>
          </w:tcPr>
          <w:p w:rsidR="008C134E" w:rsidRPr="00986E23" w:rsidRDefault="008C134E" w:rsidP="00986E23">
            <w:pPr>
              <w:pStyle w:val="Tablehead"/>
              <w:rPr>
                <w:rFonts w:eastAsia="Times New Roman" w:cs="Times New Roman"/>
                <w:color w:val="548DD4" w:themeColor="text2" w:themeTint="99"/>
              </w:rPr>
            </w:pPr>
            <w:r w:rsidRPr="00986E23">
              <w:rPr>
                <w:rFonts w:eastAsia="Times New Roman" w:cs="Times New Roman"/>
                <w:color w:val="548DD4" w:themeColor="text2" w:themeTint="99"/>
              </w:rPr>
              <w:t xml:space="preserve">Message Periodicity </w:t>
            </w:r>
          </w:p>
        </w:tc>
        <w:tc>
          <w:tcPr>
            <w:tcW w:w="2338" w:type="dxa"/>
          </w:tcPr>
          <w:p w:rsidR="008C134E" w:rsidRPr="00986E23" w:rsidRDefault="008C134E" w:rsidP="00986E23">
            <w:pPr>
              <w:pStyle w:val="Tablehead"/>
              <w:rPr>
                <w:rFonts w:eastAsia="Times New Roman" w:cs="Times New Roman"/>
                <w:color w:val="548DD4" w:themeColor="text2" w:themeTint="99"/>
              </w:rPr>
            </w:pPr>
            <w:r w:rsidRPr="00986E23">
              <w:rPr>
                <w:rFonts w:eastAsia="Times New Roman" w:cs="Times New Roman"/>
                <w:color w:val="548DD4" w:themeColor="text2" w:themeTint="99"/>
              </w:rPr>
              <w:t>Outage</w:t>
            </w:r>
          </w:p>
        </w:tc>
        <w:tc>
          <w:tcPr>
            <w:tcW w:w="2338" w:type="dxa"/>
          </w:tcPr>
          <w:p w:rsidR="008C134E" w:rsidRPr="00986E23" w:rsidRDefault="008C134E" w:rsidP="00986E23">
            <w:pPr>
              <w:pStyle w:val="Tablehead"/>
              <w:rPr>
                <w:rFonts w:eastAsia="Times New Roman" w:cs="Times New Roman"/>
                <w:color w:val="548DD4" w:themeColor="text2" w:themeTint="99"/>
              </w:rPr>
            </w:pPr>
            <w:r w:rsidRPr="00986E23">
              <w:rPr>
                <w:rFonts w:eastAsia="Times New Roman" w:cs="Times New Roman"/>
                <w:color w:val="548DD4" w:themeColor="text2" w:themeTint="99"/>
              </w:rPr>
              <w:t>Fulfilment of the requirement</w:t>
            </w:r>
          </w:p>
        </w:tc>
      </w:tr>
      <w:tr w:rsidR="008C134E" w:rsidRPr="00E91A38" w:rsidTr="004F4D3D">
        <w:tc>
          <w:tcPr>
            <w:tcW w:w="2337" w:type="dxa"/>
          </w:tcPr>
          <w:p w:rsidR="008C134E" w:rsidRPr="00986E23" w:rsidRDefault="008C134E" w:rsidP="00753464">
            <w:pPr>
              <w:spacing w:line="276" w:lineRule="auto"/>
              <w:rPr>
                <w:color w:val="548DD4" w:themeColor="text2" w:themeTint="99"/>
                <w:sz w:val="20"/>
              </w:rPr>
            </w:pPr>
            <w:r w:rsidRPr="00986E23">
              <w:rPr>
                <w:color w:val="548DD4" w:themeColor="text2" w:themeTint="99"/>
                <w:sz w:val="20"/>
              </w:rPr>
              <w:t>2x2 with 1/3 frequency reuse and 1.728 MHz bandwidth. Transmit Diversity</w:t>
            </w:r>
          </w:p>
          <w:p w:rsidR="008C134E" w:rsidRPr="00986E23" w:rsidRDefault="008C134E" w:rsidP="00753464">
            <w:pPr>
              <w:spacing w:line="276" w:lineRule="auto"/>
              <w:rPr>
                <w:color w:val="548DD4" w:themeColor="text2" w:themeTint="99"/>
                <w:sz w:val="20"/>
              </w:rPr>
            </w:pPr>
            <w:r w:rsidRPr="00986E23">
              <w:rPr>
                <w:color w:val="548DD4" w:themeColor="text2" w:themeTint="99"/>
                <w:sz w:val="20"/>
              </w:rPr>
              <w:t>(ISD=500</w:t>
            </w:r>
            <w:r w:rsidR="0030638A">
              <w:rPr>
                <w:color w:val="548DD4" w:themeColor="text2" w:themeTint="99"/>
                <w:sz w:val="20"/>
              </w:rPr>
              <w:t xml:space="preserve"> </w:t>
            </w:r>
            <w:r w:rsidRPr="00986E23">
              <w:rPr>
                <w:color w:val="548DD4" w:themeColor="text2" w:themeTint="99"/>
                <w:sz w:val="20"/>
              </w:rPr>
              <w:t>m Configuration A)</w:t>
            </w:r>
          </w:p>
        </w:tc>
        <w:tc>
          <w:tcPr>
            <w:tcW w:w="2337" w:type="dxa"/>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6 min</w:t>
            </w:r>
          </w:p>
        </w:tc>
        <w:tc>
          <w:tcPr>
            <w:tcW w:w="2338" w:type="dxa"/>
          </w:tcPr>
          <w:p w:rsidR="008C134E" w:rsidRPr="00986E23" w:rsidRDefault="008C134E" w:rsidP="00C313FB">
            <w:pPr>
              <w:spacing w:line="276" w:lineRule="auto"/>
              <w:jc w:val="both"/>
              <w:rPr>
                <w:color w:val="548DD4" w:themeColor="text2" w:themeTint="99"/>
                <w:sz w:val="20"/>
              </w:rPr>
            </w:pPr>
            <w:r w:rsidRPr="00986E23">
              <w:rPr>
                <w:color w:val="548DD4" w:themeColor="text2" w:themeTint="99"/>
                <w:sz w:val="20"/>
              </w:rPr>
              <w:t>0.05%</w:t>
            </w:r>
          </w:p>
        </w:tc>
        <w:tc>
          <w:tcPr>
            <w:tcW w:w="2338" w:type="dxa"/>
            <w:shd w:val="clear" w:color="auto" w:fill="C2D69B" w:themeFill="accent3" w:themeFillTint="99"/>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YES</w:t>
            </w:r>
          </w:p>
        </w:tc>
      </w:tr>
      <w:tr w:rsidR="008C134E" w:rsidRPr="00E91A38" w:rsidTr="004F4D3D">
        <w:tc>
          <w:tcPr>
            <w:tcW w:w="2337" w:type="dxa"/>
          </w:tcPr>
          <w:p w:rsidR="008C134E" w:rsidRPr="00986E23" w:rsidRDefault="008C134E" w:rsidP="00753464">
            <w:pPr>
              <w:spacing w:line="276" w:lineRule="auto"/>
              <w:rPr>
                <w:color w:val="548DD4" w:themeColor="text2" w:themeTint="99"/>
                <w:sz w:val="20"/>
              </w:rPr>
            </w:pPr>
            <w:r w:rsidRPr="00986E23">
              <w:rPr>
                <w:color w:val="548DD4" w:themeColor="text2" w:themeTint="99"/>
                <w:sz w:val="20"/>
              </w:rPr>
              <w:t>2x2 with 1/3 frequency reuse and 1.728 MHz bandwidth. MRT beamforming</w:t>
            </w:r>
          </w:p>
          <w:p w:rsidR="008C134E" w:rsidRPr="00986E23" w:rsidRDefault="008C134E" w:rsidP="00753464">
            <w:pPr>
              <w:spacing w:line="276" w:lineRule="auto"/>
              <w:rPr>
                <w:color w:val="548DD4" w:themeColor="text2" w:themeTint="99"/>
                <w:sz w:val="20"/>
              </w:rPr>
            </w:pPr>
            <w:r w:rsidRPr="00986E23">
              <w:rPr>
                <w:color w:val="548DD4" w:themeColor="text2" w:themeTint="99"/>
                <w:sz w:val="20"/>
              </w:rPr>
              <w:t>(ISD=500</w:t>
            </w:r>
            <w:r w:rsidR="0030638A">
              <w:rPr>
                <w:color w:val="548DD4" w:themeColor="text2" w:themeTint="99"/>
                <w:sz w:val="20"/>
              </w:rPr>
              <w:t xml:space="preserve"> </w:t>
            </w:r>
            <w:r w:rsidRPr="00986E23">
              <w:rPr>
                <w:color w:val="548DD4" w:themeColor="text2" w:themeTint="99"/>
                <w:sz w:val="20"/>
              </w:rPr>
              <w:t>m Configuration A)</w:t>
            </w:r>
          </w:p>
        </w:tc>
        <w:tc>
          <w:tcPr>
            <w:tcW w:w="2337" w:type="dxa"/>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6 min</w:t>
            </w:r>
          </w:p>
        </w:tc>
        <w:tc>
          <w:tcPr>
            <w:tcW w:w="2338" w:type="dxa"/>
          </w:tcPr>
          <w:p w:rsidR="008C134E" w:rsidRPr="00986E23" w:rsidRDefault="008C134E" w:rsidP="00C313FB">
            <w:pPr>
              <w:spacing w:line="276" w:lineRule="auto"/>
              <w:jc w:val="both"/>
              <w:rPr>
                <w:color w:val="548DD4" w:themeColor="text2" w:themeTint="99"/>
                <w:sz w:val="20"/>
              </w:rPr>
            </w:pPr>
            <w:r w:rsidRPr="00986E23">
              <w:rPr>
                <w:color w:val="548DD4" w:themeColor="text2" w:themeTint="99"/>
                <w:sz w:val="20"/>
              </w:rPr>
              <w:t>0.1%</w:t>
            </w:r>
          </w:p>
        </w:tc>
        <w:tc>
          <w:tcPr>
            <w:tcW w:w="2338" w:type="dxa"/>
            <w:shd w:val="clear" w:color="auto" w:fill="C2D69B" w:themeFill="accent3" w:themeFillTint="99"/>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YES</w:t>
            </w:r>
          </w:p>
        </w:tc>
      </w:tr>
      <w:tr w:rsidR="008C134E" w:rsidRPr="00E91A38" w:rsidTr="004F4D3D">
        <w:tc>
          <w:tcPr>
            <w:tcW w:w="2337" w:type="dxa"/>
          </w:tcPr>
          <w:p w:rsidR="008C134E" w:rsidRPr="00986E23" w:rsidRDefault="008C134E" w:rsidP="006E0CDD">
            <w:pPr>
              <w:spacing w:line="276" w:lineRule="auto"/>
              <w:rPr>
                <w:color w:val="548DD4" w:themeColor="text2" w:themeTint="99"/>
                <w:sz w:val="20"/>
              </w:rPr>
            </w:pPr>
            <w:r w:rsidRPr="00986E23">
              <w:rPr>
                <w:color w:val="548DD4" w:themeColor="text2" w:themeTint="99"/>
                <w:sz w:val="20"/>
              </w:rPr>
              <w:t>2x1 with 1/3 frequency reuse and 1.728 MHz bandwidth. MRT beamforming</w:t>
            </w:r>
          </w:p>
          <w:p w:rsidR="008C134E" w:rsidRPr="00986E23" w:rsidRDefault="008C134E" w:rsidP="006E0CDD">
            <w:pPr>
              <w:spacing w:line="276" w:lineRule="auto"/>
              <w:rPr>
                <w:color w:val="548DD4" w:themeColor="text2" w:themeTint="99"/>
                <w:sz w:val="20"/>
              </w:rPr>
            </w:pPr>
            <w:r w:rsidRPr="00986E23">
              <w:rPr>
                <w:color w:val="548DD4" w:themeColor="text2" w:themeTint="99"/>
                <w:sz w:val="20"/>
              </w:rPr>
              <w:t>(ISD=500</w:t>
            </w:r>
            <w:r w:rsidR="0030638A">
              <w:rPr>
                <w:color w:val="548DD4" w:themeColor="text2" w:themeTint="99"/>
                <w:sz w:val="20"/>
              </w:rPr>
              <w:t xml:space="preserve"> </w:t>
            </w:r>
            <w:r w:rsidRPr="00986E23">
              <w:rPr>
                <w:color w:val="548DD4" w:themeColor="text2" w:themeTint="99"/>
                <w:sz w:val="20"/>
              </w:rPr>
              <w:t>m Configuration A)</w:t>
            </w:r>
          </w:p>
        </w:tc>
        <w:tc>
          <w:tcPr>
            <w:tcW w:w="2337" w:type="dxa"/>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8 min</w:t>
            </w:r>
          </w:p>
        </w:tc>
        <w:tc>
          <w:tcPr>
            <w:tcW w:w="2338" w:type="dxa"/>
          </w:tcPr>
          <w:p w:rsidR="008C134E" w:rsidRPr="00986E23" w:rsidRDefault="008C134E" w:rsidP="00C313FB">
            <w:pPr>
              <w:spacing w:line="276" w:lineRule="auto"/>
              <w:jc w:val="both"/>
              <w:rPr>
                <w:color w:val="548DD4" w:themeColor="text2" w:themeTint="99"/>
                <w:sz w:val="20"/>
              </w:rPr>
            </w:pPr>
            <w:r w:rsidRPr="00986E23">
              <w:rPr>
                <w:color w:val="548DD4" w:themeColor="text2" w:themeTint="99"/>
                <w:sz w:val="20"/>
              </w:rPr>
              <w:t>0.1%</w:t>
            </w:r>
          </w:p>
        </w:tc>
        <w:tc>
          <w:tcPr>
            <w:tcW w:w="2338" w:type="dxa"/>
            <w:shd w:val="clear" w:color="auto" w:fill="C2D69B" w:themeFill="accent3" w:themeFillTint="99"/>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YES</w:t>
            </w:r>
          </w:p>
        </w:tc>
      </w:tr>
      <w:tr w:rsidR="008C134E" w:rsidRPr="00E91A38" w:rsidTr="004F4D3D">
        <w:tc>
          <w:tcPr>
            <w:tcW w:w="2337" w:type="dxa"/>
          </w:tcPr>
          <w:p w:rsidR="008C134E" w:rsidRPr="00986E23" w:rsidRDefault="008C134E" w:rsidP="006E0CDD">
            <w:pPr>
              <w:spacing w:line="276" w:lineRule="auto"/>
              <w:rPr>
                <w:color w:val="548DD4" w:themeColor="text2" w:themeTint="99"/>
                <w:sz w:val="20"/>
              </w:rPr>
            </w:pPr>
            <w:r w:rsidRPr="00986E23">
              <w:rPr>
                <w:color w:val="548DD4" w:themeColor="text2" w:themeTint="99"/>
                <w:sz w:val="20"/>
              </w:rPr>
              <w:t>2x2 with 1/3 frequency reuse and 1.728 MHz bandwidth. Transmit Diversity</w:t>
            </w:r>
          </w:p>
          <w:p w:rsidR="008C134E" w:rsidRPr="00986E23" w:rsidRDefault="008C134E" w:rsidP="006E0CDD">
            <w:pPr>
              <w:spacing w:line="276" w:lineRule="auto"/>
              <w:rPr>
                <w:color w:val="548DD4" w:themeColor="text2" w:themeTint="99"/>
                <w:sz w:val="20"/>
              </w:rPr>
            </w:pPr>
            <w:r w:rsidRPr="00986E23">
              <w:rPr>
                <w:color w:val="548DD4" w:themeColor="text2" w:themeTint="99"/>
                <w:sz w:val="20"/>
              </w:rPr>
              <w:t>(ISD=1</w:t>
            </w:r>
            <w:r w:rsidR="0030638A">
              <w:rPr>
                <w:color w:val="548DD4" w:themeColor="text2" w:themeTint="99"/>
                <w:sz w:val="20"/>
              </w:rPr>
              <w:t xml:space="preserve"> </w:t>
            </w:r>
            <w:r w:rsidRPr="00986E23">
              <w:rPr>
                <w:color w:val="548DD4" w:themeColor="text2" w:themeTint="99"/>
                <w:sz w:val="20"/>
              </w:rPr>
              <w:t>732</w:t>
            </w:r>
            <w:r w:rsidR="0030638A">
              <w:rPr>
                <w:color w:val="548DD4" w:themeColor="text2" w:themeTint="99"/>
                <w:sz w:val="20"/>
              </w:rPr>
              <w:t xml:space="preserve"> </w:t>
            </w:r>
            <w:r w:rsidRPr="00986E23">
              <w:rPr>
                <w:color w:val="548DD4" w:themeColor="text2" w:themeTint="99"/>
                <w:sz w:val="20"/>
              </w:rPr>
              <w:t>m Configuration B)</w:t>
            </w:r>
          </w:p>
        </w:tc>
        <w:tc>
          <w:tcPr>
            <w:tcW w:w="2337" w:type="dxa"/>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14 min</w:t>
            </w:r>
          </w:p>
        </w:tc>
        <w:tc>
          <w:tcPr>
            <w:tcW w:w="2338" w:type="dxa"/>
          </w:tcPr>
          <w:p w:rsidR="008C134E" w:rsidRPr="00986E23" w:rsidRDefault="008C134E" w:rsidP="004F4D3D">
            <w:pPr>
              <w:spacing w:line="276" w:lineRule="auto"/>
              <w:jc w:val="both"/>
              <w:rPr>
                <w:color w:val="548DD4" w:themeColor="text2" w:themeTint="99"/>
                <w:sz w:val="20"/>
              </w:rPr>
            </w:pPr>
            <w:r w:rsidRPr="00986E23">
              <w:rPr>
                <w:color w:val="548DD4" w:themeColor="text2" w:themeTint="99"/>
                <w:sz w:val="20"/>
              </w:rPr>
              <w:t>0.14%</w:t>
            </w:r>
          </w:p>
        </w:tc>
        <w:tc>
          <w:tcPr>
            <w:tcW w:w="2338" w:type="dxa"/>
            <w:shd w:val="clear" w:color="auto" w:fill="C2D69B" w:themeFill="accent3" w:themeFillTint="99"/>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YES</w:t>
            </w:r>
          </w:p>
        </w:tc>
      </w:tr>
      <w:tr w:rsidR="008C134E" w:rsidRPr="00E91A38" w:rsidTr="004F4D3D">
        <w:tc>
          <w:tcPr>
            <w:tcW w:w="2337" w:type="dxa"/>
          </w:tcPr>
          <w:p w:rsidR="008C134E" w:rsidRPr="00986E23" w:rsidRDefault="008C134E" w:rsidP="006E0CDD">
            <w:pPr>
              <w:spacing w:line="276" w:lineRule="auto"/>
              <w:rPr>
                <w:color w:val="548DD4" w:themeColor="text2" w:themeTint="99"/>
                <w:sz w:val="20"/>
              </w:rPr>
            </w:pPr>
            <w:r w:rsidRPr="00986E23">
              <w:rPr>
                <w:color w:val="548DD4" w:themeColor="text2" w:themeTint="99"/>
                <w:sz w:val="20"/>
              </w:rPr>
              <w:t>2x2 with 1/3 frequency reuse and 1.728 MHz bandwidth. MRT beamforming</w:t>
            </w:r>
          </w:p>
          <w:p w:rsidR="008C134E" w:rsidRPr="00986E23" w:rsidRDefault="008C134E" w:rsidP="006E0CDD">
            <w:pPr>
              <w:spacing w:line="276" w:lineRule="auto"/>
              <w:rPr>
                <w:color w:val="548DD4" w:themeColor="text2" w:themeTint="99"/>
                <w:sz w:val="20"/>
              </w:rPr>
            </w:pPr>
            <w:r w:rsidRPr="00986E23">
              <w:rPr>
                <w:color w:val="548DD4" w:themeColor="text2" w:themeTint="99"/>
                <w:sz w:val="20"/>
              </w:rPr>
              <w:t>(ISD=1</w:t>
            </w:r>
            <w:r w:rsidR="0030638A">
              <w:rPr>
                <w:color w:val="548DD4" w:themeColor="text2" w:themeTint="99"/>
                <w:sz w:val="20"/>
              </w:rPr>
              <w:t xml:space="preserve"> </w:t>
            </w:r>
            <w:r w:rsidRPr="00986E23">
              <w:rPr>
                <w:color w:val="548DD4" w:themeColor="text2" w:themeTint="99"/>
                <w:sz w:val="20"/>
              </w:rPr>
              <w:t>732</w:t>
            </w:r>
            <w:r w:rsidR="0030638A">
              <w:rPr>
                <w:color w:val="548DD4" w:themeColor="text2" w:themeTint="99"/>
                <w:sz w:val="20"/>
              </w:rPr>
              <w:t xml:space="preserve"> </w:t>
            </w:r>
            <w:r w:rsidRPr="00986E23">
              <w:rPr>
                <w:color w:val="548DD4" w:themeColor="text2" w:themeTint="99"/>
                <w:sz w:val="20"/>
              </w:rPr>
              <w:t>m Configuration B)</w:t>
            </w:r>
          </w:p>
        </w:tc>
        <w:tc>
          <w:tcPr>
            <w:tcW w:w="2337" w:type="dxa"/>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12 min</w:t>
            </w:r>
          </w:p>
        </w:tc>
        <w:tc>
          <w:tcPr>
            <w:tcW w:w="2338" w:type="dxa"/>
          </w:tcPr>
          <w:p w:rsidR="008C134E" w:rsidRPr="00986E23" w:rsidRDefault="008C134E" w:rsidP="004F4D3D">
            <w:pPr>
              <w:spacing w:line="276" w:lineRule="auto"/>
              <w:jc w:val="both"/>
              <w:rPr>
                <w:color w:val="548DD4" w:themeColor="text2" w:themeTint="99"/>
                <w:sz w:val="20"/>
              </w:rPr>
            </w:pPr>
            <w:r w:rsidRPr="00986E23">
              <w:rPr>
                <w:color w:val="548DD4" w:themeColor="text2" w:themeTint="99"/>
                <w:sz w:val="20"/>
              </w:rPr>
              <w:t>0.12%</w:t>
            </w:r>
          </w:p>
        </w:tc>
        <w:tc>
          <w:tcPr>
            <w:tcW w:w="2338" w:type="dxa"/>
            <w:shd w:val="clear" w:color="auto" w:fill="C2D69B" w:themeFill="accent3" w:themeFillTint="99"/>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YES</w:t>
            </w:r>
          </w:p>
        </w:tc>
      </w:tr>
      <w:tr w:rsidR="008C134E" w:rsidRPr="00E91A38" w:rsidTr="004F4D3D">
        <w:tc>
          <w:tcPr>
            <w:tcW w:w="2337" w:type="dxa"/>
          </w:tcPr>
          <w:p w:rsidR="008C134E" w:rsidRPr="00986E23" w:rsidRDefault="008C134E" w:rsidP="006E0CDD">
            <w:pPr>
              <w:spacing w:line="276" w:lineRule="auto"/>
              <w:rPr>
                <w:color w:val="548DD4" w:themeColor="text2" w:themeTint="99"/>
                <w:sz w:val="20"/>
              </w:rPr>
            </w:pPr>
            <w:r w:rsidRPr="00986E23">
              <w:rPr>
                <w:color w:val="548DD4" w:themeColor="text2" w:themeTint="99"/>
                <w:sz w:val="20"/>
              </w:rPr>
              <w:t>2x1 with 1/3 frequency reuse and 1.728 MHz bandwidth. MRT beamforming</w:t>
            </w:r>
          </w:p>
          <w:p w:rsidR="008C134E" w:rsidRPr="00986E23" w:rsidRDefault="008C134E" w:rsidP="006E0CDD">
            <w:pPr>
              <w:spacing w:line="276" w:lineRule="auto"/>
              <w:rPr>
                <w:color w:val="548DD4" w:themeColor="text2" w:themeTint="99"/>
                <w:sz w:val="20"/>
              </w:rPr>
            </w:pPr>
            <w:r w:rsidRPr="00986E23">
              <w:rPr>
                <w:color w:val="548DD4" w:themeColor="text2" w:themeTint="99"/>
                <w:sz w:val="20"/>
              </w:rPr>
              <w:t>(ISD=1</w:t>
            </w:r>
            <w:r w:rsidR="0030638A">
              <w:rPr>
                <w:color w:val="548DD4" w:themeColor="text2" w:themeTint="99"/>
                <w:sz w:val="20"/>
              </w:rPr>
              <w:t xml:space="preserve"> </w:t>
            </w:r>
            <w:r w:rsidRPr="00986E23">
              <w:rPr>
                <w:color w:val="548DD4" w:themeColor="text2" w:themeTint="99"/>
                <w:sz w:val="20"/>
              </w:rPr>
              <w:t>732</w:t>
            </w:r>
            <w:r w:rsidR="0030638A">
              <w:rPr>
                <w:color w:val="548DD4" w:themeColor="text2" w:themeTint="99"/>
                <w:sz w:val="20"/>
              </w:rPr>
              <w:t xml:space="preserve"> </w:t>
            </w:r>
            <w:r w:rsidRPr="00986E23">
              <w:rPr>
                <w:color w:val="548DD4" w:themeColor="text2" w:themeTint="99"/>
                <w:sz w:val="20"/>
              </w:rPr>
              <w:t>m Configuration B)</w:t>
            </w:r>
          </w:p>
        </w:tc>
        <w:tc>
          <w:tcPr>
            <w:tcW w:w="2337" w:type="dxa"/>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15 min</w:t>
            </w:r>
          </w:p>
        </w:tc>
        <w:tc>
          <w:tcPr>
            <w:tcW w:w="2338" w:type="dxa"/>
          </w:tcPr>
          <w:p w:rsidR="008C134E" w:rsidRPr="00986E23" w:rsidRDefault="008C134E" w:rsidP="004F4D3D">
            <w:pPr>
              <w:spacing w:line="276" w:lineRule="auto"/>
              <w:jc w:val="both"/>
              <w:rPr>
                <w:color w:val="548DD4" w:themeColor="text2" w:themeTint="99"/>
                <w:sz w:val="20"/>
              </w:rPr>
            </w:pPr>
            <w:r w:rsidRPr="00986E23">
              <w:rPr>
                <w:color w:val="548DD4" w:themeColor="text2" w:themeTint="99"/>
                <w:sz w:val="20"/>
              </w:rPr>
              <w:t>0.21%</w:t>
            </w:r>
          </w:p>
        </w:tc>
        <w:tc>
          <w:tcPr>
            <w:tcW w:w="2338" w:type="dxa"/>
            <w:shd w:val="clear" w:color="auto" w:fill="C2D69B" w:themeFill="accent3" w:themeFillTint="99"/>
          </w:tcPr>
          <w:p w:rsidR="008C134E" w:rsidRPr="00986E23" w:rsidRDefault="008C134E" w:rsidP="004F4D3D">
            <w:pPr>
              <w:spacing w:line="276" w:lineRule="auto"/>
              <w:jc w:val="center"/>
              <w:rPr>
                <w:color w:val="548DD4" w:themeColor="text2" w:themeTint="99"/>
                <w:sz w:val="20"/>
              </w:rPr>
            </w:pPr>
            <w:r w:rsidRPr="00986E23">
              <w:rPr>
                <w:color w:val="548DD4" w:themeColor="text2" w:themeTint="99"/>
                <w:sz w:val="20"/>
              </w:rPr>
              <w:t>YES</w:t>
            </w:r>
          </w:p>
        </w:tc>
      </w:tr>
    </w:tbl>
    <w:p w:rsidR="008C134E" w:rsidRPr="003E7FE9" w:rsidRDefault="008C134E" w:rsidP="00986E23">
      <w:pPr>
        <w:pStyle w:val="Tablefin"/>
        <w:rPr>
          <w:rFonts w:eastAsia="MS Mincho"/>
        </w:rPr>
      </w:pPr>
    </w:p>
    <w:p w:rsidR="008C134E" w:rsidRDefault="008C134E" w:rsidP="00182FAC">
      <w:pPr>
        <w:pStyle w:val="Heading3"/>
        <w:rPr>
          <w:rFonts w:eastAsia="MS Mincho"/>
          <w:lang w:val="en-US"/>
        </w:rPr>
      </w:pP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E-2-6</w:t>
      </w:r>
      <w:r w:rsidRPr="00C1787A">
        <w:rPr>
          <w:rFonts w:eastAsia="MS Mincho"/>
          <w:lang w:val="en-US"/>
        </w:rPr>
        <w:tab/>
      </w:r>
      <w:r>
        <w:rPr>
          <w:rFonts w:eastAsia="MS Mincho"/>
          <w:lang w:val="en-US"/>
        </w:rPr>
        <w:t>Bandwidth</w:t>
      </w:r>
    </w:p>
    <w:p w:rsidR="008C134E" w:rsidRDefault="008C134E" w:rsidP="00161235">
      <w:pPr>
        <w:pStyle w:val="Heading4"/>
        <w:rPr>
          <w:lang w:eastAsia="ja-JP"/>
        </w:rPr>
      </w:pPr>
      <w:r w:rsidRPr="006D1386">
        <w:rPr>
          <w:lang w:eastAsia="ja-JP"/>
        </w:rPr>
        <w:t>Conclusion</w:t>
      </w:r>
    </w:p>
    <w:p w:rsidR="008C134E" w:rsidRPr="00D818DD" w:rsidRDefault="008C134E" w:rsidP="00DF5098">
      <w:pPr>
        <w:spacing w:line="276" w:lineRule="auto"/>
        <w:jc w:val="both"/>
      </w:pPr>
      <w:r w:rsidRPr="006D1386">
        <w:rPr>
          <w:lang w:eastAsia="ja-JP"/>
        </w:rPr>
        <w:t>WWRF IEG concluded that the DECT-2020 NR RIT component from ETSI (TC DECT) and DECT Forum  SRIT submission (</w:t>
      </w:r>
      <w:hyperlink r:id="rId29" w:history="1">
        <w:r w:rsidRPr="006D1386">
          <w:rPr>
            <w:lang w:eastAsia="ja-JP"/>
          </w:rPr>
          <w:t>IMT-2020/17(Rev 1)</w:t>
        </w:r>
      </w:hyperlink>
      <w:r w:rsidRPr="006D1386">
        <w:rPr>
          <w:lang w:eastAsia="ja-JP"/>
        </w:rPr>
        <w:t xml:space="preserve"> document) is compliant with the </w:t>
      </w:r>
      <w:r>
        <w:rPr>
          <w:lang w:eastAsia="ja-JP"/>
        </w:rPr>
        <w:t>bandwidth requirement</w:t>
      </w:r>
      <w:r w:rsidRPr="006D1386">
        <w:rPr>
          <w:lang w:eastAsia="ja-JP"/>
        </w:rPr>
        <w:t xml:space="preserve"> as specified by Report </w:t>
      </w:r>
      <w:hyperlink r:id="rId30" w:history="1">
        <w:r w:rsidRPr="006D1386">
          <w:rPr>
            <w:lang w:eastAsia="ja-JP"/>
          </w:rPr>
          <w:t>ITU</w:t>
        </w:r>
        <w:r w:rsidRPr="006D1386">
          <w:rPr>
            <w:lang w:eastAsia="ja-JP"/>
          </w:rPr>
          <w:noBreakHyphen/>
          <w:t>R M.2410</w:t>
        </w:r>
      </w:hyperlink>
      <w:r w:rsidRPr="004E76BA">
        <w:rPr>
          <w:lang w:val="en-US" w:eastAsia="ja-JP"/>
        </w:rPr>
        <w:t xml:space="preserve">, </w:t>
      </w:r>
      <w:r>
        <w:rPr>
          <w:lang w:val="en-US" w:eastAsia="ja-JP"/>
        </w:rPr>
        <w:t>in Section 4.13.</w:t>
      </w:r>
    </w:p>
    <w:p w:rsidR="008C134E" w:rsidRDefault="008C134E" w:rsidP="00161235">
      <w:pPr>
        <w:pStyle w:val="Heading4"/>
        <w:rPr>
          <w:lang w:eastAsia="ja-JP"/>
        </w:rPr>
      </w:pPr>
      <w:r w:rsidRPr="006D1386">
        <w:rPr>
          <w:lang w:eastAsia="ja-JP"/>
        </w:rPr>
        <w:t>Verification</w:t>
      </w:r>
    </w:p>
    <w:p w:rsidR="008C134E" w:rsidRDefault="008C134E" w:rsidP="00161235">
      <w:pPr>
        <w:spacing w:line="276" w:lineRule="auto"/>
        <w:jc w:val="both"/>
        <w:rPr>
          <w:lang w:val="en-US"/>
        </w:rPr>
      </w:pPr>
      <w:r w:rsidRPr="008D06AE">
        <w:rPr>
          <w:lang w:val="en-US"/>
        </w:rPr>
        <w:t xml:space="preserve">ITU </w:t>
      </w:r>
      <w:r>
        <w:rPr>
          <w:lang w:val="en-US"/>
        </w:rPr>
        <w:t>denotes,</w:t>
      </w:r>
      <w:r w:rsidRPr="008D06AE">
        <w:rPr>
          <w:lang w:val="en-US"/>
        </w:rPr>
        <w:t xml:space="preserve"> in</w:t>
      </w:r>
      <w:r>
        <w:rPr>
          <w:lang w:val="en-US"/>
        </w:rPr>
        <w:t xml:space="preserve"> the</w:t>
      </w:r>
      <w:r w:rsidRPr="008D06AE">
        <w:rPr>
          <w:lang w:val="en-US"/>
        </w:rPr>
        <w:t xml:space="preserve"> M.2410 document</w:t>
      </w:r>
      <w:r>
        <w:rPr>
          <w:lang w:val="en-US"/>
        </w:rPr>
        <w:t>, that t</w:t>
      </w:r>
      <w:r w:rsidRPr="00161235">
        <w:rPr>
          <w:lang w:val="en-US"/>
        </w:rPr>
        <w:t>he requirement for bandwidth is</w:t>
      </w:r>
      <w:r>
        <w:rPr>
          <w:lang w:val="en-US"/>
        </w:rPr>
        <w:t xml:space="preserve"> to be</w:t>
      </w:r>
      <w:r w:rsidRPr="00161235">
        <w:rPr>
          <w:lang w:val="en-US"/>
        </w:rPr>
        <w:t xml:space="preserve"> at least 100 MHz</w:t>
      </w:r>
      <w:r>
        <w:rPr>
          <w:lang w:val="en-US"/>
        </w:rPr>
        <w:t xml:space="preserve">, </w:t>
      </w:r>
      <w:r w:rsidRPr="00DF5098">
        <w:rPr>
          <w:lang w:val="en-US"/>
        </w:rPr>
        <w:t>support</w:t>
      </w:r>
      <w:r>
        <w:rPr>
          <w:lang w:val="en-US"/>
        </w:rPr>
        <w:t xml:space="preserve"> larger </w:t>
      </w:r>
      <w:r w:rsidRPr="00DF5098">
        <w:rPr>
          <w:lang w:val="en-US"/>
        </w:rPr>
        <w:t xml:space="preserve">bandwidths up to 1 GHz for operation in higher frequency bands </w:t>
      </w:r>
      <w:r>
        <w:rPr>
          <w:lang w:val="en-US"/>
        </w:rPr>
        <w:t>and be scalable (i.e.be able to operate with different bandwidths).</w:t>
      </w:r>
    </w:p>
    <w:p w:rsidR="008C134E" w:rsidRDefault="008C134E" w:rsidP="00347D66">
      <w:pPr>
        <w:spacing w:line="276" w:lineRule="auto"/>
        <w:jc w:val="both"/>
        <w:rPr>
          <w:lang w:val="en-US"/>
        </w:rPr>
      </w:pPr>
      <w:r>
        <w:rPr>
          <w:lang w:val="en-US" w:eastAsia="zh-CN"/>
        </w:rPr>
        <w:t>The DECT-2020 NR physical layer is in principle suited to addressing frequency bands below 6 GHz (</w:t>
      </w:r>
      <w:r w:rsidRPr="004E2314">
        <w:rPr>
          <w:lang w:val="en-US" w:eastAsia="zh-CN"/>
        </w:rPr>
        <w:t>ETSI TS 103 636-1 V1.1.1</w:t>
      </w:r>
      <w:r>
        <w:rPr>
          <w:lang w:val="en-US" w:eastAsia="zh-CN"/>
        </w:rPr>
        <w:t xml:space="preserve"> – 4.1). </w:t>
      </w:r>
      <w:r w:rsidRPr="00563A34">
        <w:rPr>
          <w:lang w:val="en-US" w:eastAsia="zh-CN"/>
        </w:rPr>
        <w:t>The physical layer employs Cyclic Prefix Orthogonal Frequency Division Multiplexing (CP-OFDM) combined with Time Division Multiple Access (TDMA) and Frequency Division Multiple Access (FDMA) in a Time Division Duplex (TDD) communication manner. Subcarrier spacing is defined by the subcarrier scaling factor μ, resulting either in 27 kHz, 54 kHz, 108 kHz or 216 kHz OFDM subcarriers spacing. In addition, the fourier transform scaling factor β can be set to allow different transmission bandwidths for each configuration of the subcarrier spacing. This results in the support of nominal RF bandwidth up to 221,184 MHz</w:t>
      </w:r>
      <w:r>
        <w:rPr>
          <w:lang w:val="en-US" w:eastAsia="zh-CN"/>
        </w:rPr>
        <w:t>, which fulfils</w:t>
      </w:r>
      <w:r w:rsidRPr="00563A34">
        <w:rPr>
          <w:lang w:val="en-US" w:eastAsia="zh-CN"/>
        </w:rPr>
        <w:t xml:space="preserve"> </w:t>
      </w:r>
      <w:r>
        <w:rPr>
          <w:lang w:val="en-US" w:eastAsia="zh-CN"/>
        </w:rPr>
        <w:t xml:space="preserve">the minimum requirement of 100 MHz and the scalability requirement </w:t>
      </w:r>
      <w:r w:rsidRPr="00DF4430">
        <w:rPr>
          <w:lang w:val="en-US" w:eastAsia="zh-CN"/>
        </w:rPr>
        <w:t>(</w:t>
      </w:r>
      <w:r w:rsidRPr="004E2314">
        <w:rPr>
          <w:lang w:val="en-US" w:eastAsia="zh-CN"/>
        </w:rPr>
        <w:t>ETSI TS 103 636-1 V1.1.1</w:t>
      </w:r>
      <w:r>
        <w:rPr>
          <w:lang w:val="en-US" w:eastAsia="zh-CN"/>
        </w:rPr>
        <w:t xml:space="preserve"> – </w:t>
      </w:r>
      <w:r w:rsidRPr="00DF4430">
        <w:rPr>
          <w:lang w:val="en-US" w:eastAsia="zh-CN"/>
        </w:rPr>
        <w:t>6</w:t>
      </w:r>
      <w:r>
        <w:rPr>
          <w:lang w:val="en-US" w:eastAsia="zh-CN"/>
        </w:rPr>
        <w:t>.</w:t>
      </w:r>
      <w:r w:rsidRPr="00DF4430">
        <w:rPr>
          <w:lang w:val="en-US" w:eastAsia="zh-CN"/>
        </w:rPr>
        <w:t>2.</w:t>
      </w:r>
      <w:r w:rsidRPr="00B36EF4">
        <w:rPr>
          <w:lang w:val="en-US" w:eastAsia="zh-CN"/>
        </w:rPr>
        <w:t>2</w:t>
      </w:r>
      <w:r>
        <w:rPr>
          <w:lang w:val="en-US" w:eastAsia="zh-CN"/>
        </w:rPr>
        <w:t>). With the use of multiple carriers higher bandwidths may be supported.</w:t>
      </w:r>
    </w:p>
    <w:p w:rsidR="008C134E" w:rsidRDefault="008C134E" w:rsidP="00EE7767">
      <w:pPr>
        <w:pStyle w:val="Heading1"/>
      </w:pPr>
      <w:r>
        <w:rPr>
          <w:rFonts w:eastAsia="MS Mincho"/>
          <w:lang w:val="en-US"/>
        </w:rPr>
        <w:t>II-F</w:t>
      </w:r>
      <w:r w:rsidRPr="00C1787A">
        <w:rPr>
          <w:rFonts w:eastAsia="MS Mincho"/>
          <w:lang w:val="en-US"/>
        </w:rPr>
        <w:tab/>
      </w:r>
      <w:r w:rsidRPr="002B3875">
        <w:t xml:space="preserve">Questions and </w:t>
      </w:r>
      <w:r>
        <w:t>f</w:t>
      </w:r>
      <w:r w:rsidRPr="002B3875">
        <w:t xml:space="preserve">eedback to WP 5D and/or the proponents or other </w:t>
      </w:r>
      <w:r>
        <w:t>IEG</w:t>
      </w:r>
      <w:r w:rsidRPr="002B3875">
        <w:t>s</w:t>
      </w:r>
    </w:p>
    <w:p w:rsidR="008C134E" w:rsidRDefault="008C134E" w:rsidP="00EE7767">
      <w:pPr>
        <w:spacing w:after="120" w:line="276" w:lineRule="auto"/>
        <w:jc w:val="both"/>
      </w:pPr>
      <w:r w:rsidRPr="00EE7767">
        <w:t>During the evaluation</w:t>
      </w:r>
      <w:r>
        <w:t xml:space="preserve">, the following </w:t>
      </w:r>
      <w:r w:rsidRPr="00EE7767">
        <w:t xml:space="preserve">communication </w:t>
      </w:r>
      <w:r>
        <w:t>has been performed:</w:t>
      </w:r>
    </w:p>
    <w:p w:rsidR="008C134E" w:rsidRDefault="00986E23" w:rsidP="00986E23">
      <w:pPr>
        <w:pStyle w:val="enumlev1"/>
      </w:pPr>
      <w:r>
        <w:t>•</w:t>
      </w:r>
      <w:r>
        <w:tab/>
      </w:r>
      <w:r w:rsidR="008C134E">
        <w:t xml:space="preserve">With </w:t>
      </w:r>
      <w:r w:rsidR="008C134E" w:rsidRPr="00EE7767">
        <w:t>other IEGs, in particular CEG and ETSI EG through telcos and e-mail</w:t>
      </w:r>
      <w:r w:rsidR="008C134E">
        <w:t xml:space="preserve">, and </w:t>
      </w:r>
    </w:p>
    <w:p w:rsidR="008C134E" w:rsidRDefault="00986E23" w:rsidP="00986E23">
      <w:pPr>
        <w:pStyle w:val="enumlev1"/>
      </w:pPr>
      <w:r>
        <w:t>•</w:t>
      </w:r>
      <w:r>
        <w:tab/>
      </w:r>
      <w:r w:rsidR="008C134E">
        <w:t xml:space="preserve">With </w:t>
      </w:r>
      <w:r w:rsidR="008C134E" w:rsidRPr="00EE7767">
        <w:t>the proponent through e-mail</w:t>
      </w:r>
      <w:r w:rsidR="008C134E">
        <w:t>.</w:t>
      </w:r>
    </w:p>
    <w:p w:rsidR="008C134E" w:rsidRPr="00EE7767" w:rsidRDefault="008C134E" w:rsidP="00EE7767">
      <w:pPr>
        <w:spacing w:after="120"/>
        <w:jc w:val="both"/>
      </w:pPr>
    </w:p>
    <w:p w:rsidR="008C134E" w:rsidRPr="00D72F34" w:rsidRDefault="008C134E" w:rsidP="00EE7767">
      <w:pPr>
        <w:rPr>
          <w:lang w:val="en-US"/>
        </w:rPr>
        <w:sectPr w:rsidR="008C134E" w:rsidRPr="00D72F34" w:rsidSect="00EE7767">
          <w:pgSz w:w="12240" w:h="15840"/>
          <w:pgMar w:top="1152" w:right="1440" w:bottom="1152" w:left="1440" w:header="720" w:footer="720" w:gutter="0"/>
          <w:cols w:space="720"/>
          <w:docGrid w:linePitch="360"/>
        </w:sectPr>
      </w:pPr>
    </w:p>
    <w:p w:rsidR="008C134E" w:rsidRPr="00C1787A" w:rsidRDefault="008C134E" w:rsidP="00EE7767">
      <w:pPr>
        <w:pStyle w:val="Heading1"/>
        <w:jc w:val="center"/>
        <w:rPr>
          <w:rFonts w:eastAsia="MS Mincho"/>
          <w:b w:val="0"/>
          <w:lang w:val="en-US"/>
        </w:rPr>
      </w:pPr>
      <w:r w:rsidRPr="00C1787A">
        <w:rPr>
          <w:rFonts w:eastAsia="MS Mincho"/>
          <w:lang w:val="en-US"/>
        </w:rPr>
        <w:t>Part III: Conclusion</w:t>
      </w:r>
    </w:p>
    <w:p w:rsidR="008C134E" w:rsidRDefault="008C134E" w:rsidP="00986E23">
      <w:pPr>
        <w:tabs>
          <w:tab w:val="clear" w:pos="1134"/>
          <w:tab w:val="clear" w:pos="1871"/>
          <w:tab w:val="clear" w:pos="2268"/>
        </w:tabs>
        <w:overflowPunct/>
        <w:spacing w:line="276" w:lineRule="auto"/>
        <w:jc w:val="both"/>
        <w:textAlignment w:val="auto"/>
        <w:rPr>
          <w:lang w:eastAsia="ja-JP"/>
        </w:rPr>
      </w:pPr>
      <w:r w:rsidRPr="006D1386">
        <w:rPr>
          <w:lang w:eastAsia="ja-JP"/>
        </w:rPr>
        <w:t xml:space="preserve">WWRF IEG </w:t>
      </w:r>
      <w:r>
        <w:rPr>
          <w:lang w:val="en-US" w:eastAsia="ja-JP"/>
        </w:rPr>
        <w:t>performs a complete evaluation of</w:t>
      </w:r>
      <w:r w:rsidRPr="006D1386">
        <w:rPr>
          <w:lang w:eastAsia="ja-JP"/>
        </w:rPr>
        <w:t xml:space="preserve"> the DECT-2020 NR RIT component from ETSI (TC DECT) and DECT Forum SRIT submission (</w:t>
      </w:r>
      <w:hyperlink r:id="rId31" w:history="1">
        <w:r w:rsidRPr="006D1386">
          <w:rPr>
            <w:lang w:eastAsia="ja-JP"/>
          </w:rPr>
          <w:t>IMT-2020/17(Rev 1)</w:t>
        </w:r>
      </w:hyperlink>
      <w:r w:rsidRPr="006D1386">
        <w:rPr>
          <w:lang w:eastAsia="ja-JP"/>
        </w:rPr>
        <w:t xml:space="preserve"> document)</w:t>
      </w:r>
      <w:r>
        <w:rPr>
          <w:lang w:eastAsia="ja-JP"/>
        </w:rPr>
        <w:t xml:space="preserve">, as part of the re-engagement in Step 4 evaluation. </w:t>
      </w:r>
    </w:p>
    <w:p w:rsidR="008C134E" w:rsidRDefault="008C134E" w:rsidP="005E47B7">
      <w:pPr>
        <w:tabs>
          <w:tab w:val="clear" w:pos="1134"/>
          <w:tab w:val="clear" w:pos="1871"/>
          <w:tab w:val="clear" w:pos="2268"/>
        </w:tabs>
        <w:overflowPunct/>
        <w:spacing w:before="0" w:line="276" w:lineRule="auto"/>
        <w:jc w:val="both"/>
        <w:textAlignment w:val="auto"/>
        <w:rPr>
          <w:lang w:eastAsia="ja-JP"/>
        </w:rPr>
      </w:pPr>
      <w:r>
        <w:rPr>
          <w:lang w:eastAsia="ja-JP"/>
        </w:rPr>
        <w:t>The main conclusions are:</w:t>
      </w:r>
    </w:p>
    <w:p w:rsidR="008C134E" w:rsidRPr="005E47B7" w:rsidRDefault="00986E23" w:rsidP="00986E23">
      <w:pPr>
        <w:pStyle w:val="enumlev1"/>
        <w:rPr>
          <w:rFonts w:eastAsia="Arial"/>
        </w:rPr>
      </w:pPr>
      <w:r>
        <w:rPr>
          <w:rFonts w:eastAsia="Arial"/>
        </w:rPr>
        <w:t>1)</w:t>
      </w:r>
      <w:r>
        <w:rPr>
          <w:rFonts w:eastAsia="Arial"/>
        </w:rPr>
        <w:tab/>
      </w:r>
      <w:r w:rsidR="008C134E" w:rsidRPr="005E47B7">
        <w:rPr>
          <w:rFonts w:eastAsia="Arial"/>
        </w:rPr>
        <w:t>The proposed RIT component is part of an SRIT which also includes the 3GPP 5G NR component RIT. The 3GPP 5G NR is identical to the submission by 3GPP, which was concluded by ITU-R WP 5D to support eMBB, URLLC and mMTC usage scenarios.</w:t>
      </w:r>
      <w:r w:rsidR="008C134E">
        <w:rPr>
          <w:rFonts w:eastAsia="Arial"/>
        </w:rPr>
        <w:t xml:space="preserve"> Therefore for the RIT evaluation considered only</w:t>
      </w:r>
      <w:r w:rsidR="008C134E" w:rsidRPr="005E47B7">
        <w:rPr>
          <w:rFonts w:eastAsia="Arial"/>
        </w:rPr>
        <w:t xml:space="preserve"> URLLC and mMTC </w:t>
      </w:r>
      <w:r w:rsidR="008C134E">
        <w:rPr>
          <w:rFonts w:eastAsia="Arial"/>
        </w:rPr>
        <w:t>test environments.</w:t>
      </w:r>
    </w:p>
    <w:p w:rsidR="008C134E" w:rsidRDefault="00986E23" w:rsidP="00986E23">
      <w:pPr>
        <w:pStyle w:val="enumlev1"/>
        <w:rPr>
          <w:rFonts w:eastAsia="Arial"/>
        </w:rPr>
      </w:pPr>
      <w:r>
        <w:rPr>
          <w:rFonts w:eastAsia="Arial"/>
        </w:rPr>
        <w:t>2)</w:t>
      </w:r>
      <w:r>
        <w:rPr>
          <w:rFonts w:eastAsia="Arial"/>
        </w:rPr>
        <w:tab/>
      </w:r>
      <w:r w:rsidR="008C134E" w:rsidRPr="00370797">
        <w:rPr>
          <w:rFonts w:eastAsia="Arial"/>
        </w:rPr>
        <w:t xml:space="preserve">Assessment was based on the RIT submission documents (5D/1299) and published technology specifications </w:t>
      </w:r>
      <w:r w:rsidR="008C134E" w:rsidRPr="00370797">
        <w:rPr>
          <w:lang w:val="en-US" w:eastAsia="zh-CN"/>
        </w:rPr>
        <w:t>ETSI TS 103 636-1 to ETSI TS 103 636-1 V1.1.1), following</w:t>
      </w:r>
      <w:r w:rsidR="008C134E" w:rsidRPr="00370797">
        <w:rPr>
          <w:rFonts w:eastAsia="Arial"/>
        </w:rPr>
        <w:t xml:space="preserve"> ITU-R M.2410, ITU-R M.2411 and ITU R M.2412 </w:t>
      </w:r>
      <w:r w:rsidR="008C134E">
        <w:rPr>
          <w:rFonts w:eastAsia="Arial"/>
        </w:rPr>
        <w:t>guidelines.</w:t>
      </w:r>
    </w:p>
    <w:p w:rsidR="008C134E" w:rsidRDefault="00986E23" w:rsidP="00986E23">
      <w:pPr>
        <w:pStyle w:val="enumlev1"/>
        <w:rPr>
          <w:rFonts w:eastAsia="Arial"/>
        </w:rPr>
      </w:pPr>
      <w:r>
        <w:rPr>
          <w:rFonts w:eastAsia="Arial"/>
        </w:rPr>
        <w:t>3)</w:t>
      </w:r>
      <w:r>
        <w:rPr>
          <w:rFonts w:eastAsia="Arial"/>
        </w:rPr>
        <w:tab/>
      </w:r>
      <w:r w:rsidR="008C134E" w:rsidRPr="00EC0E1A">
        <w:rPr>
          <w:rFonts w:eastAsia="Arial"/>
        </w:rPr>
        <w:t>The DECT NR 2020 RIT supports URLLC and mMTC usage scenarios.</w:t>
      </w:r>
    </w:p>
    <w:p w:rsidR="008C134E" w:rsidRPr="00113AC8" w:rsidRDefault="00986E23" w:rsidP="00986E23">
      <w:pPr>
        <w:pStyle w:val="enumlev1"/>
        <w:rPr>
          <w:rFonts w:eastAsia="Arial"/>
        </w:rPr>
      </w:pPr>
      <w:r>
        <w:rPr>
          <w:rFonts w:eastAsia="Arial"/>
        </w:rPr>
        <w:t>4)</w:t>
      </w:r>
      <w:r>
        <w:rPr>
          <w:rFonts w:eastAsia="Arial"/>
        </w:rPr>
        <w:tab/>
      </w:r>
      <w:r w:rsidR="008C134E" w:rsidRPr="00EC0E1A">
        <w:rPr>
          <w:rFonts w:eastAsia="Arial"/>
        </w:rPr>
        <w:t>The DECT NR 2020 RIT</w:t>
      </w:r>
      <w:r w:rsidR="008C134E" w:rsidRPr="0064423F">
        <w:rPr>
          <w:lang w:val="en-US"/>
        </w:rPr>
        <w:t xml:space="preserve"> </w:t>
      </w:r>
      <w:r w:rsidR="008C134E">
        <w:rPr>
          <w:lang w:val="en-US"/>
        </w:rPr>
        <w:t>fulfils the r</w:t>
      </w:r>
      <w:r w:rsidR="008C134E" w:rsidRPr="0064423F">
        <w:rPr>
          <w:lang w:val="en-US"/>
        </w:rPr>
        <w:t>equirements and parameters</w:t>
      </w:r>
      <w:r w:rsidR="008C134E">
        <w:rPr>
          <w:lang w:val="en-US"/>
        </w:rPr>
        <w:t xml:space="preserve"> that are evaluated by</w:t>
      </w:r>
      <w:r w:rsidR="008C134E" w:rsidRPr="0064423F">
        <w:rPr>
          <w:lang w:val="en-US"/>
        </w:rPr>
        <w:t xml:space="preserve"> inspection</w:t>
      </w:r>
      <w:r w:rsidR="008C134E">
        <w:rPr>
          <w:lang w:val="en-US"/>
        </w:rPr>
        <w:t>, i.e. b</w:t>
      </w:r>
      <w:r w:rsidR="008C134E" w:rsidRPr="0064423F">
        <w:rPr>
          <w:lang w:val="en-US"/>
        </w:rPr>
        <w:t xml:space="preserve">andwidth, </w:t>
      </w:r>
      <w:r w:rsidR="008C134E">
        <w:rPr>
          <w:lang w:val="en-US"/>
        </w:rPr>
        <w:t>s</w:t>
      </w:r>
      <w:r w:rsidR="008C134E" w:rsidRPr="0064423F">
        <w:rPr>
          <w:lang w:val="en-US"/>
        </w:rPr>
        <w:t xml:space="preserve">pectrum, </w:t>
      </w:r>
      <w:r w:rsidR="008C134E">
        <w:rPr>
          <w:lang w:val="en-US"/>
        </w:rPr>
        <w:t>and s</w:t>
      </w:r>
      <w:r w:rsidR="008C134E" w:rsidRPr="0064423F">
        <w:rPr>
          <w:lang w:val="en-US"/>
        </w:rPr>
        <w:t>ervices</w:t>
      </w:r>
      <w:r w:rsidR="008C134E">
        <w:rPr>
          <w:lang w:val="en-US"/>
        </w:rPr>
        <w:t>.</w:t>
      </w:r>
    </w:p>
    <w:p w:rsidR="008C134E" w:rsidRPr="007E09F9" w:rsidRDefault="00986E23" w:rsidP="00986E23">
      <w:pPr>
        <w:pStyle w:val="enumlev1"/>
        <w:rPr>
          <w:rFonts w:eastAsia="Arial"/>
        </w:rPr>
      </w:pPr>
      <w:r>
        <w:rPr>
          <w:rFonts w:eastAsia="Arial"/>
        </w:rPr>
        <w:t>5)</w:t>
      </w:r>
      <w:r>
        <w:rPr>
          <w:rFonts w:eastAsia="Arial"/>
        </w:rPr>
        <w:tab/>
      </w:r>
      <w:r w:rsidR="008C134E" w:rsidRPr="00EC0E1A">
        <w:rPr>
          <w:rFonts w:eastAsia="Arial"/>
        </w:rPr>
        <w:t>The DECT NR 2020 RIT</w:t>
      </w:r>
      <w:r w:rsidR="008C134E" w:rsidRPr="0064423F">
        <w:rPr>
          <w:lang w:val="en-US"/>
        </w:rPr>
        <w:t xml:space="preserve"> </w:t>
      </w:r>
      <w:r w:rsidR="008C134E">
        <w:rPr>
          <w:lang w:val="en-US"/>
        </w:rPr>
        <w:t>fulfils the r</w:t>
      </w:r>
      <w:r w:rsidR="008C134E" w:rsidRPr="0064423F">
        <w:rPr>
          <w:lang w:val="en-US"/>
        </w:rPr>
        <w:t>equirements</w:t>
      </w:r>
      <w:r w:rsidR="008C134E">
        <w:rPr>
          <w:lang w:val="en-US"/>
        </w:rPr>
        <w:t xml:space="preserve"> that are evaluated by</w:t>
      </w:r>
      <w:r w:rsidR="008C134E" w:rsidRPr="0064423F">
        <w:rPr>
          <w:lang w:val="en-US"/>
        </w:rPr>
        <w:t xml:space="preserve"> </w:t>
      </w:r>
      <w:r w:rsidR="008C134E">
        <w:rPr>
          <w:lang w:val="en-US"/>
        </w:rPr>
        <w:t>analysis, i.e. user-plane latency, control-plane latency and mobility interruption time.</w:t>
      </w:r>
    </w:p>
    <w:p w:rsidR="008C134E" w:rsidRPr="00BC13CF" w:rsidRDefault="00986E23" w:rsidP="00986E23">
      <w:pPr>
        <w:pStyle w:val="enumlev1"/>
        <w:rPr>
          <w:rFonts w:eastAsia="Arial"/>
        </w:rPr>
      </w:pPr>
      <w:r>
        <w:t>6)</w:t>
      </w:r>
      <w:r>
        <w:tab/>
      </w:r>
      <w:r w:rsidR="008C134E">
        <w:t xml:space="preserve">The </w:t>
      </w:r>
      <w:r w:rsidR="008C134E" w:rsidRPr="006D1386">
        <w:rPr>
          <w:lang w:eastAsia="ja-JP"/>
        </w:rPr>
        <w:t xml:space="preserve">DECT-2020 NR RIT </w:t>
      </w:r>
      <w:r w:rsidR="008C134E" w:rsidRPr="007E09F9">
        <w:rPr>
          <w:rFonts w:eastAsia="MS Mincho"/>
        </w:rPr>
        <w:t xml:space="preserve">is able to satisfy the reliability requirements for various </w:t>
      </w:r>
      <w:r w:rsidR="008C134E" w:rsidRPr="00BC13CF">
        <w:rPr>
          <w:rFonts w:eastAsia="MS Mincho"/>
        </w:rPr>
        <w:t>configurations, as demonstrated through simulation.</w:t>
      </w:r>
    </w:p>
    <w:p w:rsidR="008C134E" w:rsidRPr="00E91A38" w:rsidRDefault="00986E23" w:rsidP="00986E23">
      <w:pPr>
        <w:pStyle w:val="enumlev1"/>
        <w:rPr>
          <w:rFonts w:eastAsia="Arial"/>
        </w:rPr>
        <w:sectPr w:rsidR="008C134E" w:rsidRPr="00E91A38" w:rsidSect="006E0CDD">
          <w:pgSz w:w="12240" w:h="15840" w:code="1"/>
          <w:pgMar w:top="1440" w:right="1440" w:bottom="1440" w:left="1440" w:header="709" w:footer="709" w:gutter="0"/>
          <w:cols w:space="720"/>
          <w:docGrid w:linePitch="360"/>
        </w:sectPr>
      </w:pPr>
      <w:r w:rsidRPr="00986E23">
        <w:rPr>
          <w:color w:val="548DD4" w:themeColor="text2" w:themeTint="99"/>
        </w:rPr>
        <w:t>7)</w:t>
      </w:r>
      <w:r w:rsidRPr="00986E23">
        <w:rPr>
          <w:color w:val="548DD4" w:themeColor="text2" w:themeTint="99"/>
        </w:rPr>
        <w:tab/>
      </w:r>
      <w:r w:rsidR="008C134E" w:rsidRPr="00986E23">
        <w:rPr>
          <w:color w:val="548DD4" w:themeColor="text2" w:themeTint="99"/>
        </w:rPr>
        <w:t xml:space="preserve">The </w:t>
      </w:r>
      <w:r w:rsidR="008C134E" w:rsidRPr="00986E23">
        <w:rPr>
          <w:color w:val="548DD4" w:themeColor="text2" w:themeTint="99"/>
          <w:lang w:eastAsia="ja-JP"/>
        </w:rPr>
        <w:t xml:space="preserve">DECT-2020 NR RIT </w:t>
      </w:r>
      <w:r w:rsidR="008C134E" w:rsidRPr="00986E23">
        <w:rPr>
          <w:rFonts w:eastAsia="MS Mincho"/>
          <w:color w:val="548DD4" w:themeColor="text2" w:themeTint="99"/>
        </w:rPr>
        <w:t xml:space="preserve">is able to satisfy the connection density requirements for various configurations, as demonstrated through simulation </w:t>
      </w:r>
      <w:r w:rsidR="008C134E" w:rsidRPr="00986E23">
        <w:rPr>
          <w:rFonts w:eastAsia="Arial"/>
          <w:color w:val="548DD4" w:themeColor="text2" w:themeTint="99"/>
        </w:rPr>
        <w:t>with the use of multi-hop communications and a properly defined relay protocol.</w:t>
      </w:r>
    </w:p>
    <w:p w:rsidR="008C134E" w:rsidRDefault="008C134E" w:rsidP="00582F49">
      <w:pPr>
        <w:pStyle w:val="Heading1"/>
        <w:jc w:val="center"/>
        <w:rPr>
          <w:rFonts w:eastAsia="MS Mincho"/>
          <w:lang w:val="en-US"/>
        </w:rPr>
      </w:pPr>
      <w:r>
        <w:rPr>
          <w:rFonts w:eastAsia="MS Mincho"/>
          <w:lang w:val="en-US"/>
        </w:rPr>
        <w:t>Annex</w:t>
      </w:r>
      <w:r w:rsidRPr="00C1787A">
        <w:rPr>
          <w:rFonts w:eastAsia="MS Mincho"/>
          <w:lang w:val="en-US"/>
        </w:rPr>
        <w:t xml:space="preserve"> I: </w:t>
      </w:r>
      <w:r w:rsidRPr="00582F49">
        <w:rPr>
          <w:rFonts w:eastAsia="MS Mincho"/>
          <w:lang w:val="en-US"/>
        </w:rPr>
        <w:t>Additional IMT-2020 evaluation details for User-Plane Latency</w:t>
      </w:r>
    </w:p>
    <w:p w:rsidR="008C134E" w:rsidRDefault="008C134E" w:rsidP="00BE3CF8">
      <w:pPr>
        <w:spacing w:line="276" w:lineRule="auto"/>
        <w:jc w:val="both"/>
        <w:rPr>
          <w:lang w:val="en-US"/>
        </w:rPr>
      </w:pPr>
      <w:r w:rsidRPr="008D06AE">
        <w:rPr>
          <w:lang w:val="en-US"/>
        </w:rPr>
        <w:t>ITU defines in</w:t>
      </w:r>
      <w:r>
        <w:rPr>
          <w:lang w:val="en-US"/>
        </w:rPr>
        <w:t xml:space="preserve"> the</w:t>
      </w:r>
      <w:r w:rsidRPr="008D06AE">
        <w:rPr>
          <w:lang w:val="en-US"/>
        </w:rPr>
        <w:t xml:space="preserve"> M.2410 document user</w:t>
      </w:r>
      <w:r>
        <w:rPr>
          <w:lang w:val="en-US"/>
        </w:rPr>
        <w:t>-</w:t>
      </w:r>
      <w:r w:rsidRPr="008D06AE">
        <w:rPr>
          <w:lang w:val="en-US"/>
        </w:rPr>
        <w:t>plane latency as the contribution of the radio network to the time from when the source sends a packet to when the destination receives it (in ms). It is one-way time it takes to successfully deliver an application layer packet/message from the radio protocol layer 2/3 SDU ingress point to the radio protocol layer 2/3 SDU egress point of the radio for a given service in unloaded conditions, assuming the mobile station is in the active state.</w:t>
      </w:r>
      <w:r>
        <w:rPr>
          <w:lang w:val="en-US"/>
        </w:rPr>
        <w:t xml:space="preserve"> </w:t>
      </w:r>
    </w:p>
    <w:p w:rsidR="008C134E" w:rsidRPr="00FC3398" w:rsidRDefault="008C134E" w:rsidP="00BE3CF8">
      <w:pPr>
        <w:spacing w:line="276" w:lineRule="auto"/>
        <w:jc w:val="both"/>
        <w:rPr>
          <w:lang w:val="en-US"/>
        </w:rPr>
      </w:pPr>
      <w:r>
        <w:rPr>
          <w:lang w:val="en-US"/>
        </w:rPr>
        <w:t>The following baseline considerations hold through the analysis:</w:t>
      </w:r>
    </w:p>
    <w:p w:rsidR="008C134E" w:rsidRDefault="00A10EA3" w:rsidP="00A10EA3">
      <w:pPr>
        <w:pStyle w:val="enumlev1"/>
        <w:rPr>
          <w:lang w:val="en-US"/>
        </w:rPr>
      </w:pPr>
      <w:r>
        <w:t>•</w:t>
      </w:r>
      <w:r>
        <w:tab/>
      </w:r>
      <w:r w:rsidR="008C134E" w:rsidRPr="00FC3398">
        <w:rPr>
          <w:lang w:val="en-US"/>
        </w:rPr>
        <w:t xml:space="preserve">The </w:t>
      </w:r>
      <w:r w:rsidR="008C134E">
        <w:rPr>
          <w:lang w:val="en-US"/>
        </w:rPr>
        <w:t xml:space="preserve">baseline </w:t>
      </w:r>
      <w:r w:rsidR="008C134E" w:rsidRPr="00FC3398">
        <w:rPr>
          <w:lang w:val="en-US"/>
        </w:rPr>
        <w:t xml:space="preserve">numerology </w:t>
      </w:r>
      <w:r w:rsidR="008C134E">
        <w:rPr>
          <w:lang w:val="en-US"/>
        </w:rPr>
        <w:t>is</w:t>
      </w:r>
      <w:r w:rsidR="008C134E" w:rsidRPr="00FC3398">
        <w:rPr>
          <w:lang w:val="en-US"/>
        </w:rPr>
        <w:t xml:space="preserve"> (μ,β)=(1,1)</w:t>
      </w:r>
      <w:r w:rsidR="008C134E">
        <w:rPr>
          <w:lang w:val="en-US"/>
        </w:rPr>
        <w:t>, but also (</w:t>
      </w:r>
      <w:r w:rsidR="008C134E" w:rsidRPr="00FC3398">
        <w:rPr>
          <w:lang w:val="en-US"/>
        </w:rPr>
        <w:t xml:space="preserve">2,1) </w:t>
      </w:r>
      <w:r w:rsidR="008C134E">
        <w:rPr>
          <w:lang w:val="en-US"/>
        </w:rPr>
        <w:t>and (4,1) numerologies are considered.</w:t>
      </w:r>
    </w:p>
    <w:p w:rsidR="008C134E" w:rsidRDefault="00A10EA3" w:rsidP="00A10EA3">
      <w:pPr>
        <w:pStyle w:val="enumlev1"/>
        <w:rPr>
          <w:lang w:val="en-US"/>
        </w:rPr>
      </w:pPr>
      <w:r>
        <w:t>•</w:t>
      </w:r>
      <w:r>
        <w:tab/>
      </w:r>
      <w:r w:rsidR="008C134E">
        <w:rPr>
          <w:lang w:val="en-US"/>
        </w:rPr>
        <w:t>A 32-byte</w:t>
      </w:r>
      <w:r w:rsidR="008C134E" w:rsidRPr="00FC3398">
        <w:rPr>
          <w:lang w:val="en-US"/>
        </w:rPr>
        <w:t xml:space="preserve"> Transport Block </w:t>
      </w:r>
      <w:r w:rsidR="008C134E">
        <w:rPr>
          <w:lang w:val="en-US"/>
        </w:rPr>
        <w:t xml:space="preserve">is considered to be transmitted with </w:t>
      </w:r>
      <w:r w:rsidR="008C134E" w:rsidRPr="00FC3398">
        <w:rPr>
          <w:lang w:val="en-US"/>
        </w:rPr>
        <w:t xml:space="preserve">the most robust MCS that fits </w:t>
      </w:r>
      <w:r w:rsidR="008C134E">
        <w:rPr>
          <w:lang w:val="en-US"/>
        </w:rPr>
        <w:t>to the payload</w:t>
      </w:r>
      <w:r w:rsidR="008C134E" w:rsidRPr="00FC3398">
        <w:rPr>
          <w:lang w:val="en-US"/>
        </w:rPr>
        <w:t>, based on ETSI TS 103 636-3 V1.1.1 Table C.1-1.</w:t>
      </w:r>
    </w:p>
    <w:p w:rsidR="008C134E" w:rsidRDefault="00A10EA3" w:rsidP="00A10EA3">
      <w:pPr>
        <w:pStyle w:val="enumlev1"/>
        <w:rPr>
          <w:lang w:val="en-US"/>
        </w:rPr>
      </w:pPr>
      <w:r>
        <w:t>•</w:t>
      </w:r>
      <w:r>
        <w:tab/>
      </w:r>
      <w:r w:rsidR="008C134E" w:rsidRPr="00FC3398">
        <w:rPr>
          <w:lang w:val="en-US"/>
        </w:rPr>
        <w:t xml:space="preserve">The </w:t>
      </w:r>
      <w:r w:rsidR="008C134E">
        <w:rPr>
          <w:lang w:val="en-US"/>
        </w:rPr>
        <w:t>Tx</w:t>
      </w:r>
      <w:r w:rsidR="008C134E" w:rsidRPr="00FC3398">
        <w:rPr>
          <w:lang w:val="en-US"/>
        </w:rPr>
        <w:t xml:space="preserve"> processing delay </w:t>
      </w:r>
      <w:r w:rsidR="008C134E">
        <w:rPr>
          <w:lang w:val="en-US"/>
        </w:rPr>
        <w:t xml:space="preserve">(time required </w:t>
      </w:r>
      <w:r w:rsidR="008C134E" w:rsidRPr="00FC3398">
        <w:rPr>
          <w:lang w:val="en-US"/>
        </w:rPr>
        <w:t xml:space="preserve">for </w:t>
      </w:r>
      <w:r w:rsidR="008C134E">
        <w:rPr>
          <w:lang w:val="en-US"/>
        </w:rPr>
        <w:t xml:space="preserve">generating) </w:t>
      </w:r>
      <w:r w:rsidR="008C134E" w:rsidRPr="00FC3398">
        <w:rPr>
          <w:lang w:val="en-US"/>
        </w:rPr>
        <w:t xml:space="preserve">a single Transport Block is </w:t>
      </w:r>
      <w:r w:rsidR="008C134E">
        <w:rPr>
          <w:lang w:val="en-US"/>
        </w:rPr>
        <w:t>one subslot (the specifications consider transmissions possible on a subslot or a slot basis).</w:t>
      </w:r>
    </w:p>
    <w:p w:rsidR="008C134E" w:rsidRDefault="00A10EA3" w:rsidP="00A10EA3">
      <w:pPr>
        <w:pStyle w:val="enumlev1"/>
        <w:rPr>
          <w:lang w:val="en-US"/>
        </w:rPr>
      </w:pPr>
      <w:r>
        <w:t>•</w:t>
      </w:r>
      <w:r>
        <w:tab/>
      </w:r>
      <w:r w:rsidR="008C134E">
        <w:rPr>
          <w:lang w:val="en-US"/>
        </w:rPr>
        <w:t>Given the Tx processing delay, the total time to generate and transmit a packet is one slot.</w:t>
      </w:r>
    </w:p>
    <w:p w:rsidR="008C134E" w:rsidRDefault="00A10EA3" w:rsidP="00A10EA3">
      <w:pPr>
        <w:pStyle w:val="enumlev1"/>
        <w:rPr>
          <w:lang w:val="en-US"/>
        </w:rPr>
      </w:pPr>
      <w:r>
        <w:t>•</w:t>
      </w:r>
      <w:r>
        <w:tab/>
      </w:r>
      <w:r w:rsidR="008C134E" w:rsidRPr="00FC3398">
        <w:rPr>
          <w:lang w:val="en-US"/>
        </w:rPr>
        <w:t xml:space="preserve">The Rx processing delay for a single Transport Block is </w:t>
      </w:r>
      <w:r w:rsidR="008C134E">
        <w:rPr>
          <w:lang w:val="en-US"/>
        </w:rPr>
        <w:t>one subslot.</w:t>
      </w:r>
    </w:p>
    <w:p w:rsidR="008C134E" w:rsidRDefault="008C134E" w:rsidP="00BE3CF8">
      <w:pPr>
        <w:spacing w:line="276" w:lineRule="auto"/>
        <w:jc w:val="both"/>
        <w:rPr>
          <w:lang w:val="en-US"/>
        </w:rPr>
      </w:pPr>
      <w:r w:rsidRPr="00C40A4A">
        <w:t xml:space="preserve">For the analysis we consider random access based transmission as introduced in </w:t>
      </w:r>
      <w:r w:rsidRPr="00C40A4A">
        <w:rPr>
          <w:lang w:val="en-US"/>
        </w:rPr>
        <w:t>ETSI TS 103 636-4, Section 5.3</w:t>
      </w:r>
      <w:r>
        <w:rPr>
          <w:rStyle w:val="FootnoteReference"/>
          <w:lang w:val="en-US"/>
        </w:rPr>
        <w:footnoteReference w:id="1"/>
      </w:r>
      <w:r w:rsidRPr="00C40A4A">
        <w:rPr>
          <w:lang w:val="en-US"/>
        </w:rPr>
        <w:t>. Resources for random access transmission</w:t>
      </w:r>
      <w:r>
        <w:rPr>
          <w:lang w:val="en-US"/>
        </w:rPr>
        <w:t xml:space="preserve"> (RACH)</w:t>
      </w:r>
      <w:r w:rsidRPr="00C40A4A">
        <w:rPr>
          <w:lang w:val="en-US"/>
        </w:rPr>
        <w:t xml:space="preserve"> per operating channel are broadcasted in beacons by RDs</w:t>
      </w:r>
      <w:r>
        <w:rPr>
          <w:lang w:val="en-US"/>
        </w:rPr>
        <w:t xml:space="preserve">. We consider the following key assumptions based on the specifications: </w:t>
      </w:r>
    </w:p>
    <w:p w:rsidR="008C134E" w:rsidRPr="009E795A" w:rsidRDefault="00A10EA3" w:rsidP="00A10EA3">
      <w:pPr>
        <w:pStyle w:val="enumlev1"/>
        <w:rPr>
          <w:lang w:val="en-US"/>
        </w:rPr>
      </w:pPr>
      <w:r>
        <w:t>•</w:t>
      </w:r>
      <w:r>
        <w:tab/>
      </w:r>
      <w:r w:rsidR="008C134E" w:rsidRPr="009E795A">
        <w:rPr>
          <w:lang w:val="en-US"/>
        </w:rPr>
        <w:t xml:space="preserve">The source RD has obtained random access parameters from a corresponding random access resource assignment </w:t>
      </w:r>
      <w:r w:rsidR="008C134E">
        <w:rPr>
          <w:lang w:val="en-US"/>
        </w:rPr>
        <w:t xml:space="preserve">through an announcement </w:t>
      </w:r>
      <w:r w:rsidR="008C134E" w:rsidRPr="009E795A">
        <w:rPr>
          <w:lang w:val="en-US"/>
        </w:rPr>
        <w:t>(ETSI TS 103 636-4, Section 5.3.2).</w:t>
      </w:r>
    </w:p>
    <w:p w:rsidR="008C134E" w:rsidRPr="00915540" w:rsidRDefault="00A10EA3" w:rsidP="00A10EA3">
      <w:pPr>
        <w:pStyle w:val="enumlev1"/>
        <w:rPr>
          <w:lang w:val="en-US"/>
        </w:rPr>
      </w:pPr>
      <w:r>
        <w:t>•</w:t>
      </w:r>
      <w:r>
        <w:tab/>
      </w:r>
      <w:r w:rsidR="008C134E" w:rsidRPr="00915540">
        <w:rPr>
          <w:lang w:val="en-US"/>
        </w:rPr>
        <w:t xml:space="preserve">After performing random access transmission the RD should receive a response </w:t>
      </w:r>
      <w:r w:rsidR="008C134E">
        <w:rPr>
          <w:lang w:val="en-US"/>
        </w:rPr>
        <w:t>within a</w:t>
      </w:r>
      <w:r w:rsidR="008C134E" w:rsidRPr="00915540">
        <w:rPr>
          <w:lang w:val="en-US"/>
        </w:rPr>
        <w:t xml:space="preserve"> random access response window (this is considered for receiving ACK/NACK from the destination RD). </w:t>
      </w:r>
    </w:p>
    <w:p w:rsidR="008C134E" w:rsidRPr="009E795A" w:rsidRDefault="00A10EA3" w:rsidP="00A10EA3">
      <w:pPr>
        <w:pStyle w:val="enumlev1"/>
        <w:rPr>
          <w:lang w:val="en-US"/>
        </w:rPr>
      </w:pPr>
      <w:r>
        <w:t>•</w:t>
      </w:r>
      <w:r>
        <w:tab/>
      </w:r>
      <w:r w:rsidR="008C134E" w:rsidRPr="009E795A">
        <w:rPr>
          <w:lang w:val="en-US"/>
        </w:rPr>
        <w:t xml:space="preserve">After transmitting to </w:t>
      </w:r>
      <w:r w:rsidR="008C134E">
        <w:rPr>
          <w:lang w:val="en-US"/>
        </w:rPr>
        <w:t xml:space="preserve">a </w:t>
      </w:r>
      <w:r w:rsidR="008C134E" w:rsidRPr="009E795A">
        <w:rPr>
          <w:lang w:val="en-US"/>
        </w:rPr>
        <w:t>random access</w:t>
      </w:r>
      <w:r w:rsidR="008C134E">
        <w:rPr>
          <w:lang w:val="en-US"/>
        </w:rPr>
        <w:t xml:space="preserve"> resource</w:t>
      </w:r>
      <w:r w:rsidR="008C134E" w:rsidRPr="009E795A">
        <w:rPr>
          <w:lang w:val="en-US"/>
        </w:rPr>
        <w:t xml:space="preserve"> the RD may re-initiate random access transmission procedure to</w:t>
      </w:r>
      <w:r w:rsidR="008C134E" w:rsidRPr="00AA2922">
        <w:t xml:space="preserve"> </w:t>
      </w:r>
      <w:r w:rsidR="008C134E" w:rsidRPr="009E795A">
        <w:rPr>
          <w:lang w:val="en-US"/>
        </w:rPr>
        <w:t xml:space="preserve">same random access resources (this is considered in case of re-transmissions). </w:t>
      </w:r>
    </w:p>
    <w:p w:rsidR="008C134E" w:rsidRPr="009E795A" w:rsidRDefault="00A10EA3" w:rsidP="00A10EA3">
      <w:pPr>
        <w:pStyle w:val="enumlev1"/>
        <w:rPr>
          <w:lang w:val="en-US"/>
        </w:rPr>
      </w:pPr>
      <w:r>
        <w:t>•</w:t>
      </w:r>
      <w:r>
        <w:tab/>
      </w:r>
      <w:r w:rsidR="008C134E" w:rsidRPr="009E795A">
        <w:rPr>
          <w:lang w:val="en-US"/>
        </w:rPr>
        <w:t xml:space="preserve">In addition, following (ETSI TS 103 636-4, Section 5.3.1, slots indicated as random access resources are divided into multiple start positions where the transmission can be initiated. Start positions are counted from the beginning of a random access slot, and are 0, 1, 2, 3… times the duration of STF and GI field (which is </w:t>
      </w:r>
      <m:oMath>
        <m:r>
          <w:rPr>
            <w:rFonts w:ascii="Cambria Math" w:hAnsi="Cambria Math"/>
            <w:lang w:val="en-US"/>
          </w:rPr>
          <m:t>2×</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symb</m:t>
            </m:r>
          </m:sub>
          <m:sup>
            <m:r>
              <w:rPr>
                <w:rFonts w:ascii="Cambria Math" w:hAnsi="Cambria Math"/>
                <w:lang w:val="el-GR"/>
              </w:rPr>
              <m:t>μ</m:t>
            </m:r>
          </m:sup>
        </m:sSubSup>
      </m:oMath>
      <w:r w:rsidR="008C134E" w:rsidRPr="009E795A">
        <w:rPr>
          <w:lang w:val="en-US"/>
        </w:rPr>
        <w:t xml:space="preserve">, where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symb</m:t>
            </m:r>
          </m:sub>
          <m:sup>
            <m:r>
              <w:rPr>
                <w:rFonts w:ascii="Cambria Math" w:hAnsi="Cambria Math"/>
                <w:lang w:val="el-GR"/>
              </w:rPr>
              <m:t>μ</m:t>
            </m:r>
          </m:sup>
        </m:sSubSup>
      </m:oMath>
      <w:r w:rsidR="008C134E" w:rsidRPr="009E795A">
        <w:rPr>
          <w:lang w:val="en-US"/>
        </w:rPr>
        <w:t xml:space="preserve"> is the OFDM symbol time, depending on numerology). Transmissions to random access resources are controlled by Listen Before Talk (LBT) protocol, with exponential back off delay. An LBT period of 2 symbols is considered and no backoff delay (“free” resources have been selected). In addition, the first slot of a frame is available for RACH transmission (no special RACH resource slots configuration excluding any slot is employed). </w:t>
      </w:r>
    </w:p>
    <w:p w:rsidR="008C134E" w:rsidRPr="009E795A" w:rsidRDefault="00A10EA3" w:rsidP="00A10EA3">
      <w:pPr>
        <w:pStyle w:val="enumlev1"/>
        <w:rPr>
          <w:lang w:val="en-US"/>
        </w:rPr>
      </w:pPr>
      <w:r>
        <w:t>•</w:t>
      </w:r>
      <w:r>
        <w:tab/>
      </w:r>
      <w:r w:rsidR="008C134E" w:rsidRPr="009E795A">
        <w:rPr>
          <w:lang w:val="en-US"/>
        </w:rPr>
        <w:t>RD shall support HARQ combining based on physical layer control field signalling (ETSI TS 103 636-4, Section 5.3.2). Based on packet coding result an RD sends ACK or NACK feedback in physical control field of the frame. The processing time for creating the feedback is two subslots, resulting that feedback shall be included in transmission at subslot n+3 or next transmitted packet after that, where n indicates the subslot where the reception of the packet ended. High layer signalling can be used to delay HARQ feedback signalling.</w:t>
      </w:r>
    </w:p>
    <w:p w:rsidR="008C134E" w:rsidRDefault="008C134E" w:rsidP="00BE3CF8">
      <w:pPr>
        <w:spacing w:line="276" w:lineRule="auto"/>
        <w:jc w:val="both"/>
        <w:rPr>
          <w:lang w:val="en-US"/>
        </w:rPr>
      </w:pPr>
      <w:r>
        <w:rPr>
          <w:lang w:val="en-US"/>
        </w:rPr>
        <w:t xml:space="preserve">In </w:t>
      </w:r>
      <w:r>
        <w:rPr>
          <w:lang w:val="en-US"/>
        </w:rPr>
        <w:fldChar w:fldCharType="begin"/>
      </w:r>
      <w:r>
        <w:rPr>
          <w:lang w:val="en-US"/>
        </w:rPr>
        <w:instrText xml:space="preserve"> REF _Ref71804281 \h  \* MERGEFORMAT </w:instrText>
      </w:r>
      <w:r>
        <w:rPr>
          <w:lang w:val="en-US"/>
        </w:rPr>
      </w:r>
      <w:r>
        <w:rPr>
          <w:lang w:val="en-US"/>
        </w:rPr>
        <w:fldChar w:fldCharType="separate"/>
      </w:r>
      <w:r w:rsidRPr="00EB69E8">
        <w:t xml:space="preserve">Figure </w:t>
      </w:r>
      <w:r w:rsidRPr="00EB69E8">
        <w:rPr>
          <w:noProof/>
        </w:rPr>
        <w:t>1</w:t>
      </w:r>
      <w:r>
        <w:rPr>
          <w:lang w:val="en-US"/>
        </w:rPr>
        <w:fldChar w:fldCharType="end"/>
      </w:r>
      <w:r>
        <w:rPr>
          <w:lang w:val="en-US"/>
        </w:rPr>
        <w:t xml:space="preserve"> we provide a sequential diagram of the user-plane communication steps in case of a single successful transmission and one re-transmission through HARQ, which is step-by-step elaborated below.</w:t>
      </w:r>
    </w:p>
    <w:p w:rsidR="00A10EA3" w:rsidRPr="009967A8" w:rsidRDefault="00A10EA3" w:rsidP="00A10EA3">
      <w:pPr>
        <w:pStyle w:val="FigureNo"/>
        <w:rPr>
          <w:color w:val="244061" w:themeColor="accent1" w:themeShade="80"/>
        </w:rPr>
      </w:pPr>
      <w:bookmarkStart w:id="17" w:name="_Ref71804281"/>
      <w:r w:rsidRPr="009967A8">
        <w:rPr>
          <w:color w:val="244061" w:themeColor="accent1" w:themeShade="80"/>
        </w:rPr>
        <w:t xml:space="preserve">Figure </w:t>
      </w:r>
      <w:r w:rsidRPr="009967A8">
        <w:rPr>
          <w:color w:val="244061" w:themeColor="accent1" w:themeShade="80"/>
        </w:rPr>
        <w:fldChar w:fldCharType="begin"/>
      </w:r>
      <w:r w:rsidRPr="009967A8">
        <w:rPr>
          <w:color w:val="244061" w:themeColor="accent1" w:themeShade="80"/>
        </w:rPr>
        <w:instrText xml:space="preserve"> SEQ Figure \* ARABIC </w:instrText>
      </w:r>
      <w:r w:rsidRPr="009967A8">
        <w:rPr>
          <w:color w:val="244061" w:themeColor="accent1" w:themeShade="80"/>
        </w:rPr>
        <w:fldChar w:fldCharType="separate"/>
      </w:r>
      <w:r w:rsidRPr="009967A8">
        <w:rPr>
          <w:noProof/>
          <w:color w:val="244061" w:themeColor="accent1" w:themeShade="80"/>
        </w:rPr>
        <w:t>1</w:t>
      </w:r>
      <w:r w:rsidRPr="009967A8">
        <w:rPr>
          <w:color w:val="244061" w:themeColor="accent1" w:themeShade="80"/>
        </w:rPr>
        <w:fldChar w:fldCharType="end"/>
      </w:r>
      <w:bookmarkEnd w:id="17"/>
    </w:p>
    <w:p w:rsidR="00A10EA3" w:rsidRPr="00C47906" w:rsidRDefault="00A10EA3" w:rsidP="00A10EA3">
      <w:pPr>
        <w:pStyle w:val="Figuretitle"/>
        <w:rPr>
          <w:lang w:val="en-US"/>
        </w:rPr>
      </w:pPr>
      <w:r w:rsidRPr="009967A8">
        <w:rPr>
          <w:color w:val="244061" w:themeColor="accent1" w:themeShade="80"/>
        </w:rPr>
        <w:t>User-plane communication description for random-access based transmission</w:t>
      </w:r>
    </w:p>
    <w:p w:rsidR="00A10EA3" w:rsidRDefault="00A10EA3" w:rsidP="00BE3CF8">
      <w:pPr>
        <w:spacing w:line="276" w:lineRule="auto"/>
        <w:jc w:val="both"/>
        <w:rPr>
          <w:lang w:val="en-US"/>
        </w:rPr>
      </w:pPr>
    </w:p>
    <w:p w:rsidR="008C134E" w:rsidRDefault="008C134E" w:rsidP="00BE3CF8">
      <w:pPr>
        <w:keepNext/>
        <w:jc w:val="center"/>
      </w:pPr>
      <w:r>
        <w:rPr>
          <w:noProof/>
          <w:lang w:val="en-US"/>
        </w:rPr>
        <w:drawing>
          <wp:inline distT="0" distB="0" distL="0" distR="0" wp14:anchorId="4EA98A2D" wp14:editId="5926BADC">
            <wp:extent cx="5780598" cy="2361411"/>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5370" cy="2379701"/>
                    </a:xfrm>
                    <a:prstGeom prst="rect">
                      <a:avLst/>
                    </a:prstGeom>
                  </pic:spPr>
                </pic:pic>
              </a:graphicData>
            </a:graphic>
          </wp:inline>
        </w:drawing>
      </w:r>
    </w:p>
    <w:p w:rsidR="008C134E" w:rsidRPr="00F668FE" w:rsidRDefault="008C134E" w:rsidP="0030638A">
      <w:pPr>
        <w:spacing w:before="240" w:line="276" w:lineRule="auto"/>
        <w:jc w:val="both"/>
        <w:rPr>
          <w:lang w:val="en-US"/>
        </w:rPr>
      </w:pPr>
      <w:r w:rsidRPr="00855391">
        <w:rPr>
          <w:i/>
          <w:iCs/>
          <w:lang w:val="en-US"/>
        </w:rPr>
        <w:t>Step 1 (Tx Processing &amp; Alignment)</w:t>
      </w:r>
      <w:r>
        <w:rPr>
          <w:lang w:val="en-US"/>
        </w:rPr>
        <w:t>: An SDU arrives at MAC Layer of the source RD for transmission to the destination RD. The physical layer transport block is prepared with a delay of 1 subslot (5 symbols), while an additional 2-symbol delay is regarded for aligning with the beginning of the RACH resource slot start position. Note that since the alignment delay is 2-symbols long, it could be absorbed in the Tx processing time of 5 symbols. The total delay of Step 1 is 7 symbols.</w:t>
      </w:r>
    </w:p>
    <w:p w:rsidR="008C134E" w:rsidRPr="008D06AE" w:rsidRDefault="008C134E" w:rsidP="00BE3CF8">
      <w:pPr>
        <w:spacing w:line="276" w:lineRule="auto"/>
        <w:jc w:val="both"/>
        <w:rPr>
          <w:lang w:val="en-US"/>
        </w:rPr>
      </w:pPr>
      <w:r w:rsidRPr="00855391">
        <w:rPr>
          <w:i/>
          <w:iCs/>
          <w:lang w:val="en-US"/>
        </w:rPr>
        <w:t>Step</w:t>
      </w:r>
      <w:r>
        <w:rPr>
          <w:i/>
          <w:iCs/>
          <w:lang w:val="en-US"/>
        </w:rPr>
        <w:t xml:space="preserve"> 2</w:t>
      </w:r>
      <w:r w:rsidRPr="00855391">
        <w:rPr>
          <w:i/>
          <w:iCs/>
          <w:lang w:val="en-US"/>
        </w:rPr>
        <w:t xml:space="preserve"> (</w:t>
      </w:r>
      <w:r>
        <w:rPr>
          <w:i/>
          <w:iCs/>
          <w:lang w:val="en-US"/>
        </w:rPr>
        <w:t>Packet transmission</w:t>
      </w:r>
      <w:r w:rsidRPr="00855391">
        <w:rPr>
          <w:i/>
          <w:iCs/>
          <w:lang w:val="en-US"/>
        </w:rPr>
        <w:t>)</w:t>
      </w:r>
      <w:r>
        <w:rPr>
          <w:lang w:val="en-US"/>
        </w:rPr>
        <w:t>: The transport block is transmitted into a RACH resource with a delay of 2 symbols due to LBT and an additional 1 subslot (5 symbols) for actual transmission., i.e. 7 symbols in total.</w:t>
      </w:r>
    </w:p>
    <w:p w:rsidR="008C134E" w:rsidRDefault="008C134E" w:rsidP="00BE3CF8">
      <w:pPr>
        <w:spacing w:line="276" w:lineRule="auto"/>
        <w:jc w:val="both"/>
        <w:rPr>
          <w:lang w:val="en-US"/>
        </w:rPr>
      </w:pPr>
      <w:r w:rsidRPr="00855391">
        <w:rPr>
          <w:i/>
          <w:iCs/>
          <w:lang w:val="en-US"/>
        </w:rPr>
        <w:t>Step</w:t>
      </w:r>
      <w:r>
        <w:rPr>
          <w:i/>
          <w:iCs/>
          <w:lang w:val="en-US"/>
        </w:rPr>
        <w:t xml:space="preserve"> 3</w:t>
      </w:r>
      <w:r w:rsidRPr="00855391">
        <w:rPr>
          <w:i/>
          <w:iCs/>
          <w:lang w:val="en-US"/>
        </w:rPr>
        <w:t xml:space="preserve"> (</w:t>
      </w:r>
      <w:r>
        <w:rPr>
          <w:i/>
          <w:iCs/>
          <w:lang w:val="en-US"/>
        </w:rPr>
        <w:t>Packet reception and recovery</w:t>
      </w:r>
      <w:r w:rsidRPr="00855391">
        <w:rPr>
          <w:i/>
          <w:iCs/>
          <w:lang w:val="en-US"/>
        </w:rPr>
        <w:t>)</w:t>
      </w:r>
      <w:r>
        <w:rPr>
          <w:lang w:val="en-US"/>
        </w:rPr>
        <w:t xml:space="preserve">: The packet arrives at the destination RD (zero propagation delay is assumed) and decoded with 1 subslot (5 symbols) delay. In case the packet is successfully recovered (Case A in </w:t>
      </w:r>
      <w:r>
        <w:rPr>
          <w:lang w:val="en-US"/>
        </w:rPr>
        <w:fldChar w:fldCharType="begin"/>
      </w:r>
      <w:r>
        <w:rPr>
          <w:lang w:val="en-US"/>
        </w:rPr>
        <w:instrText xml:space="preserve"> REF _Ref71804281 \h  \* MERGEFORMAT </w:instrText>
      </w:r>
      <w:r>
        <w:rPr>
          <w:lang w:val="en-US"/>
        </w:rPr>
      </w:r>
      <w:r>
        <w:rPr>
          <w:lang w:val="en-US"/>
        </w:rPr>
        <w:fldChar w:fldCharType="separate"/>
      </w:r>
      <w:r w:rsidRPr="00EB69E8">
        <w:t xml:space="preserve">Figure </w:t>
      </w:r>
      <w:r w:rsidRPr="00EB69E8">
        <w:rPr>
          <w:noProof/>
        </w:rPr>
        <w:t>1</w:t>
      </w:r>
      <w:r>
        <w:rPr>
          <w:lang w:val="en-US"/>
        </w:rPr>
        <w:fldChar w:fldCharType="end"/>
      </w:r>
      <w:r>
        <w:rPr>
          <w:lang w:val="en-US"/>
        </w:rPr>
        <w:t xml:space="preserve">), it is forwarded to the MAC layer of the destination RD and the procedure completes. In case the packet is erroneously decoded the retransmission procedure based on </w:t>
      </w:r>
      <w:r w:rsidRPr="009E795A">
        <w:rPr>
          <w:lang w:val="en-US"/>
        </w:rPr>
        <w:t>ETSI TS 103 636-4, Section 5.</w:t>
      </w:r>
      <w:r>
        <w:rPr>
          <w:lang w:val="en-US"/>
        </w:rPr>
        <w:t>5) is launched. According to that, a NACK packet will be sent by the destination RD within the random access response window. This requires alignment with HARQ feedback timing of 2 subslots (10 symbols). The total delay of Step 3 is thus 5 symbols for Case A and 15 symbols for Case B.</w:t>
      </w:r>
    </w:p>
    <w:p w:rsidR="008C134E" w:rsidRDefault="008C134E" w:rsidP="00BE3CF8">
      <w:pPr>
        <w:spacing w:line="276" w:lineRule="auto"/>
        <w:jc w:val="both"/>
        <w:rPr>
          <w:lang w:val="en-US"/>
        </w:rPr>
      </w:pPr>
      <w:r w:rsidRPr="00855391">
        <w:rPr>
          <w:i/>
          <w:iCs/>
          <w:lang w:val="en-US"/>
        </w:rPr>
        <w:t>Step</w:t>
      </w:r>
      <w:r>
        <w:rPr>
          <w:i/>
          <w:iCs/>
          <w:lang w:val="en-US"/>
        </w:rPr>
        <w:t xml:space="preserve"> 4</w:t>
      </w:r>
      <w:r w:rsidRPr="00855391">
        <w:rPr>
          <w:i/>
          <w:iCs/>
          <w:lang w:val="en-US"/>
        </w:rPr>
        <w:t xml:space="preserve"> (</w:t>
      </w:r>
      <w:r>
        <w:rPr>
          <w:i/>
          <w:iCs/>
          <w:lang w:val="en-US"/>
        </w:rPr>
        <w:t>NACK Transmission and Recovery</w:t>
      </w:r>
      <w:r w:rsidRPr="00855391">
        <w:rPr>
          <w:i/>
          <w:iCs/>
          <w:lang w:val="en-US"/>
        </w:rPr>
        <w:t>)</w:t>
      </w:r>
      <w:r>
        <w:rPr>
          <w:lang w:val="en-US"/>
        </w:rPr>
        <w:t>: The negative feedback message (NACK) is processed at the destination RD side, with a delay of 1 subslot-5 symbols), then transmitted (with an additional delay of 1 subslot-5 symbols), recovered at the source RD (1 subslot-5 symbols delay) and aligned with the start position of the next RACH resource for re-transmission (2 symbols). The total delay is 17 symbols (or 15 in case Rx processing and feedback timing are synchronized).</w:t>
      </w:r>
    </w:p>
    <w:p w:rsidR="008C134E" w:rsidRDefault="008C134E" w:rsidP="00BE3CF8">
      <w:pPr>
        <w:spacing w:line="276" w:lineRule="auto"/>
        <w:jc w:val="both"/>
        <w:rPr>
          <w:lang w:val="en-US"/>
        </w:rPr>
      </w:pPr>
      <w:r w:rsidRPr="00917935">
        <w:rPr>
          <w:i/>
          <w:iCs/>
          <w:lang w:val="en-US"/>
        </w:rPr>
        <w:t>Step 5 (Packet Retransmission</w:t>
      </w:r>
      <w:r>
        <w:rPr>
          <w:i/>
          <w:iCs/>
          <w:lang w:val="en-US"/>
        </w:rPr>
        <w:t xml:space="preserve"> &amp; Recovery</w:t>
      </w:r>
      <w:r w:rsidRPr="00917935">
        <w:rPr>
          <w:i/>
          <w:iCs/>
          <w:lang w:val="en-US"/>
        </w:rPr>
        <w:t>):</w:t>
      </w:r>
      <w:r>
        <w:rPr>
          <w:lang w:val="en-US"/>
        </w:rPr>
        <w:t xml:space="preserve"> The re-transmitted packet is loaded into a RACH resource as the original packet and transmitted with a delay of 1 subslot (5 symbols) after an LBT period of 2 symbols, thus with a total delay of 7 symbols. The re-transmitted packet is decoded at the destination RD side and combined with the original packet within 1 subslot (5 symbols) and forwarded to MAC layer. Thus Step 5 total delay is 12 symbols.</w:t>
      </w:r>
    </w:p>
    <w:p w:rsidR="008C134E" w:rsidRDefault="008C134E" w:rsidP="00BE3CF8">
      <w:pPr>
        <w:spacing w:line="276" w:lineRule="auto"/>
        <w:jc w:val="both"/>
        <w:rPr>
          <w:lang w:val="en-US"/>
        </w:rPr>
      </w:pPr>
      <w:r>
        <w:rPr>
          <w:lang w:val="en-US"/>
        </w:rPr>
        <w:t xml:space="preserve">In </w:t>
      </w:r>
      <w:r>
        <w:rPr>
          <w:lang w:val="en-US"/>
        </w:rPr>
        <w:fldChar w:fldCharType="begin"/>
      </w:r>
      <w:r>
        <w:rPr>
          <w:lang w:val="en-US"/>
        </w:rPr>
        <w:instrText xml:space="preserve"> REF _Ref71820895 \h  \* MERGEFORMAT </w:instrText>
      </w:r>
      <w:r>
        <w:rPr>
          <w:lang w:val="en-US"/>
        </w:rPr>
      </w:r>
      <w:r>
        <w:rPr>
          <w:lang w:val="en-US"/>
        </w:rPr>
        <w:fldChar w:fldCharType="separate"/>
      </w:r>
      <w:r w:rsidRPr="00EB69E8">
        <w:t xml:space="preserve">Table </w:t>
      </w:r>
      <w:r w:rsidRPr="00EB69E8">
        <w:rPr>
          <w:noProof/>
        </w:rPr>
        <w:t>5</w:t>
      </w:r>
      <w:r>
        <w:rPr>
          <w:lang w:val="en-US"/>
        </w:rPr>
        <w:fldChar w:fldCharType="end"/>
      </w:r>
      <w:r>
        <w:rPr>
          <w:lang w:val="en-US"/>
        </w:rPr>
        <w:t>, we provide the step-by-step and the overall user-plane latency evaluation results based on the prior assumptions and analysis for 3 different configurations of the subcarrier scaling factor  (</w:t>
      </w:r>
      <w:r>
        <w:rPr>
          <w:lang w:val="en-US"/>
        </w:rPr>
        <w:fldChar w:fldCharType="begin"/>
      </w:r>
      <w:r>
        <w:rPr>
          <w:lang w:val="en-US"/>
        </w:rPr>
        <w:instrText xml:space="preserve"> REF _Ref71820898 \h  \* MERGEFORMAT </w:instrText>
      </w:r>
      <w:r>
        <w:rPr>
          <w:lang w:val="en-US"/>
        </w:rPr>
      </w:r>
      <w:r>
        <w:rPr>
          <w:lang w:val="en-US"/>
        </w:rPr>
        <w:fldChar w:fldCharType="separate"/>
      </w:r>
      <w:r w:rsidRPr="00EB69E8">
        <w:t xml:space="preserve">Table </w:t>
      </w:r>
      <w:r w:rsidRPr="00EB69E8">
        <w:rPr>
          <w:noProof/>
        </w:rPr>
        <w:t>6</w:t>
      </w:r>
      <w:r>
        <w:rPr>
          <w:lang w:val="en-US"/>
        </w:rPr>
        <w:fldChar w:fldCharType="end"/>
      </w:r>
      <w:r>
        <w:rPr>
          <w:lang w:val="en-US"/>
        </w:rPr>
        <w:t xml:space="preserve"> provides the respective configuration parametrization). </w:t>
      </w:r>
    </w:p>
    <w:p w:rsidR="00A10EA3" w:rsidRPr="009967A8" w:rsidRDefault="008C134E" w:rsidP="00A10EA3">
      <w:pPr>
        <w:pStyle w:val="TableNo"/>
        <w:rPr>
          <w:color w:val="244061" w:themeColor="accent1" w:themeShade="80"/>
        </w:rPr>
      </w:pPr>
      <w:bookmarkStart w:id="18" w:name="_Ref71820895"/>
      <w:r w:rsidRPr="009967A8">
        <w:rPr>
          <w:color w:val="244061" w:themeColor="accent1" w:themeShade="80"/>
        </w:rPr>
        <w:t xml:space="preserve">Table </w:t>
      </w:r>
      <w:r w:rsidRPr="009967A8">
        <w:rPr>
          <w:color w:val="244061" w:themeColor="accent1" w:themeShade="80"/>
        </w:rPr>
        <w:fldChar w:fldCharType="begin"/>
      </w:r>
      <w:r w:rsidRPr="009967A8">
        <w:rPr>
          <w:color w:val="244061" w:themeColor="accent1" w:themeShade="80"/>
        </w:rPr>
        <w:instrText xml:space="preserve"> SEQ Table \* ARABIC </w:instrText>
      </w:r>
      <w:r w:rsidRPr="009967A8">
        <w:rPr>
          <w:color w:val="244061" w:themeColor="accent1" w:themeShade="80"/>
        </w:rPr>
        <w:fldChar w:fldCharType="separate"/>
      </w:r>
      <w:r w:rsidRPr="009967A8">
        <w:rPr>
          <w:noProof/>
          <w:color w:val="244061" w:themeColor="accent1" w:themeShade="80"/>
        </w:rPr>
        <w:t>6</w:t>
      </w:r>
      <w:r w:rsidRPr="009967A8">
        <w:rPr>
          <w:color w:val="244061" w:themeColor="accent1" w:themeShade="80"/>
        </w:rPr>
        <w:fldChar w:fldCharType="end"/>
      </w:r>
      <w:bookmarkEnd w:id="18"/>
    </w:p>
    <w:p w:rsidR="008C134E" w:rsidRPr="00A10EA3" w:rsidRDefault="008C134E" w:rsidP="00A10EA3">
      <w:pPr>
        <w:pStyle w:val="Tabletitle"/>
        <w:rPr>
          <w:color w:val="548DD4" w:themeColor="text2" w:themeTint="99"/>
          <w:lang w:val="en-US"/>
        </w:rPr>
      </w:pPr>
      <w:r w:rsidRPr="009967A8">
        <w:rPr>
          <w:color w:val="244061" w:themeColor="accent1" w:themeShade="80"/>
        </w:rPr>
        <w:t xml:space="preserve"> User-Plane Latency Analysis Details and Overall Results</w:t>
      </w:r>
      <w:r w:rsidRPr="009967A8">
        <w:rPr>
          <w:color w:val="244061" w:themeColor="accent1" w:themeShade="80"/>
          <w:lang w:val="en-US"/>
        </w:rPr>
        <w:t>. Scenarios/Configurations which are compliant with ITU requirement of 1 ms are highlighted with green color.</w:t>
      </w:r>
    </w:p>
    <w:tbl>
      <w:tblPr>
        <w:tblW w:w="9175" w:type="dxa"/>
        <w:tblLook w:val="04A0" w:firstRow="1" w:lastRow="0" w:firstColumn="1" w:lastColumn="0" w:noHBand="0" w:noVBand="1"/>
      </w:tblPr>
      <w:tblGrid>
        <w:gridCol w:w="3955"/>
        <w:gridCol w:w="1980"/>
        <w:gridCol w:w="1170"/>
        <w:gridCol w:w="1080"/>
        <w:gridCol w:w="990"/>
      </w:tblGrid>
      <w:tr w:rsidR="008C134E" w:rsidRPr="005E5722" w:rsidTr="004160DC">
        <w:trPr>
          <w:trHeight w:val="375"/>
        </w:trPr>
        <w:tc>
          <w:tcPr>
            <w:tcW w:w="3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34E" w:rsidRPr="005E5722" w:rsidRDefault="008C134E" w:rsidP="00A10EA3">
            <w:pPr>
              <w:pStyle w:val="Tablehead"/>
              <w:rPr>
                <w:lang w:val="en-US"/>
              </w:rPr>
            </w:pPr>
            <w:r w:rsidRPr="005E5722">
              <w:rPr>
                <w:lang w:val="en-US"/>
              </w:rPr>
              <w:t>Step</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8C134E" w:rsidRPr="005E5722" w:rsidRDefault="008C134E" w:rsidP="00A10EA3">
            <w:pPr>
              <w:pStyle w:val="Tablehead"/>
              <w:rPr>
                <w:lang w:val="en-US"/>
              </w:rPr>
            </w:pPr>
            <w:r w:rsidRPr="005E5722">
              <w:rPr>
                <w:lang w:val="en-US"/>
              </w:rPr>
              <w:t>EndPoint</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8C134E" w:rsidRPr="005E5722" w:rsidRDefault="008C134E" w:rsidP="00A10EA3">
            <w:pPr>
              <w:pStyle w:val="Tablehead"/>
              <w:rPr>
                <w:lang w:val="en-US"/>
              </w:rPr>
            </w:pPr>
            <w:r w:rsidRPr="005E5722">
              <w:rPr>
                <w:lang w:val="en-US"/>
              </w:rPr>
              <w:t>Delay</w:t>
            </w:r>
            <w:r>
              <w:rPr>
                <w:lang w:val="en-US"/>
              </w:rPr>
              <w:t xml:space="preserve"> </w:t>
            </w:r>
            <w:r>
              <w:rPr>
                <w:lang w:val="el-GR"/>
              </w:rPr>
              <w:t>μ</w:t>
            </w:r>
            <w:r>
              <w:rPr>
                <w:lang w:val="en-US"/>
              </w:rPr>
              <w:t>s</w:t>
            </w:r>
            <w:r w:rsidRPr="005E5722">
              <w:rPr>
                <w:lang w:val="en-US"/>
              </w:rPr>
              <w:t xml:space="preserve"> (μ=1)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C134E" w:rsidRPr="005E5722" w:rsidRDefault="008C134E" w:rsidP="00A10EA3">
            <w:pPr>
              <w:pStyle w:val="Tablehead"/>
              <w:rPr>
                <w:lang w:val="en-US"/>
              </w:rPr>
            </w:pPr>
            <w:r w:rsidRPr="005E5722">
              <w:rPr>
                <w:lang w:val="en-US"/>
              </w:rPr>
              <w:t xml:space="preserve">Delay </w:t>
            </w:r>
            <w:r>
              <w:rPr>
                <w:lang w:val="el-GR"/>
              </w:rPr>
              <w:t>μ</w:t>
            </w:r>
            <w:r>
              <w:rPr>
                <w:lang w:val="en-US"/>
              </w:rPr>
              <w:t xml:space="preserve">s </w:t>
            </w:r>
            <w:r w:rsidRPr="005E5722">
              <w:rPr>
                <w:lang w:val="en-US"/>
              </w:rPr>
              <w:t>(μ=2)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8C134E" w:rsidRPr="005E5722" w:rsidRDefault="008C134E" w:rsidP="00A10EA3">
            <w:pPr>
              <w:pStyle w:val="Tablehead"/>
              <w:rPr>
                <w:lang w:val="en-US"/>
              </w:rPr>
            </w:pPr>
            <w:r w:rsidRPr="005E5722">
              <w:rPr>
                <w:lang w:val="en-US"/>
              </w:rPr>
              <w:t xml:space="preserve">Delay </w:t>
            </w:r>
            <w:r>
              <w:rPr>
                <w:lang w:val="el-GR"/>
              </w:rPr>
              <w:t>μ</w:t>
            </w:r>
            <w:r>
              <w:rPr>
                <w:lang w:val="en-US"/>
              </w:rPr>
              <w:t>s</w:t>
            </w:r>
            <w:r w:rsidRPr="005E5722">
              <w:rPr>
                <w:lang w:val="en-US"/>
              </w:rPr>
              <w:t xml:space="preserve"> (μ=4)</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1a : Tx Processing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1b: Alignment with random access start position</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83.33</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41.67</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20.83</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2a: LBT</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83.33</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41.67</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20.83</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2b: Packet Transmission</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3a: Rx Processing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3b (only for ReTx Case): HARQ Feedback Timing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416.67</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Steb 4a: NACK Transmission Processing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4b: NACK Transmission</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4c: NACK Rx Processing &amp; Alignment</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291.67</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5a: LBT &amp; Packet Retransmission</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TX-RD (Source)</w:t>
            </w:r>
          </w:p>
        </w:tc>
        <w:tc>
          <w:tcPr>
            <w:tcW w:w="117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291.67</w:t>
            </w:r>
          </w:p>
        </w:tc>
        <w:tc>
          <w:tcPr>
            <w:tcW w:w="10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145.83</w:t>
            </w:r>
          </w:p>
        </w:tc>
        <w:tc>
          <w:tcPr>
            <w:tcW w:w="99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72.92</w:t>
            </w:r>
          </w:p>
        </w:tc>
      </w:tr>
      <w:tr w:rsidR="008C134E" w:rsidRPr="005E5722" w:rsidTr="004160DC">
        <w:trPr>
          <w:trHeight w:val="300"/>
        </w:trPr>
        <w:tc>
          <w:tcPr>
            <w:tcW w:w="3955" w:type="dxa"/>
            <w:tcBorders>
              <w:top w:val="nil"/>
              <w:left w:val="single" w:sz="4" w:space="0" w:color="auto"/>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Step 5b: Re-transmission Rx Processing</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rPr>
                <w:color w:val="000000"/>
                <w:sz w:val="20"/>
                <w:lang w:val="en-US"/>
              </w:rPr>
            </w:pPr>
            <w:r w:rsidRPr="005E5722">
              <w:rPr>
                <w:color w:val="000000"/>
                <w:sz w:val="20"/>
                <w:lang w:val="en-US"/>
              </w:rPr>
              <w:t>RX-RD (Destination)</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208.34</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104.17</w:t>
            </w:r>
          </w:p>
        </w:tc>
        <w:tc>
          <w:tcPr>
            <w:tcW w:w="99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r w:rsidRPr="005E5722">
              <w:rPr>
                <w:color w:val="000000"/>
                <w:sz w:val="20"/>
                <w:lang w:val="en-US"/>
              </w:rPr>
              <w:t>52.08</w:t>
            </w:r>
          </w:p>
        </w:tc>
      </w:tr>
      <w:tr w:rsidR="008C134E" w:rsidRPr="005E5722" w:rsidTr="00BD2603">
        <w:trPr>
          <w:trHeight w:val="375"/>
        </w:trPr>
        <w:tc>
          <w:tcPr>
            <w:tcW w:w="3955" w:type="dxa"/>
            <w:vMerge w:val="restart"/>
            <w:tcBorders>
              <w:top w:val="nil"/>
              <w:left w:val="single" w:sz="4" w:space="0" w:color="auto"/>
              <w:right w:val="single" w:sz="4" w:space="0" w:color="auto"/>
            </w:tcBorders>
            <w:shd w:val="clear" w:color="auto" w:fill="auto"/>
            <w:vAlign w:val="center"/>
            <w:hideMark/>
          </w:tcPr>
          <w:p w:rsidR="008C134E" w:rsidRPr="005E5722" w:rsidRDefault="008C134E" w:rsidP="004160DC">
            <w:pPr>
              <w:jc w:val="right"/>
              <w:rPr>
                <w:b/>
                <w:bCs/>
                <w:color w:val="000000"/>
                <w:sz w:val="20"/>
                <w:lang w:val="en-US"/>
              </w:rPr>
            </w:pPr>
            <w:r w:rsidRPr="005E5722">
              <w:rPr>
                <w:b/>
                <w:bCs/>
                <w:color w:val="000000"/>
                <w:sz w:val="20"/>
                <w:lang w:val="en-US"/>
              </w:rPr>
              <w:t>Overall Latency Results (ms)</w:t>
            </w: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jc w:val="right"/>
              <w:rPr>
                <w:b/>
                <w:bCs/>
                <w:color w:val="000000"/>
                <w:sz w:val="20"/>
                <w:lang w:val="en-US"/>
              </w:rPr>
            </w:pPr>
            <w:r w:rsidRPr="005E5722">
              <w:rPr>
                <w:b/>
                <w:bCs/>
                <w:color w:val="000000"/>
                <w:sz w:val="20"/>
                <w:lang w:val="en-US"/>
              </w:rPr>
              <w:t xml:space="preserve">No </w:t>
            </w:r>
            <w:r>
              <w:rPr>
                <w:b/>
                <w:bCs/>
                <w:color w:val="000000"/>
                <w:sz w:val="20"/>
                <w:lang w:val="en-US"/>
              </w:rPr>
              <w:t>HARQ</w:t>
            </w:r>
          </w:p>
        </w:tc>
        <w:tc>
          <w:tcPr>
            <w:tcW w:w="117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BD2603" w:rsidRDefault="008C134E" w:rsidP="004160DC">
            <w:pPr>
              <w:rPr>
                <w:b/>
                <w:bCs/>
                <w:color w:val="000000"/>
                <w:sz w:val="20"/>
                <w:lang w:val="en-US"/>
              </w:rPr>
            </w:pPr>
            <w:r w:rsidRPr="00BD2603">
              <w:rPr>
                <w:b/>
                <w:bCs/>
                <w:color w:val="000000"/>
                <w:sz w:val="20"/>
                <w:lang w:val="en-US"/>
              </w:rPr>
              <w:t>0.792</w:t>
            </w:r>
          </w:p>
        </w:tc>
        <w:tc>
          <w:tcPr>
            <w:tcW w:w="108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BD2603" w:rsidRDefault="008C134E" w:rsidP="004160DC">
            <w:pPr>
              <w:rPr>
                <w:b/>
                <w:bCs/>
                <w:color w:val="000000"/>
                <w:sz w:val="20"/>
                <w:lang w:val="en-US"/>
              </w:rPr>
            </w:pPr>
            <w:r w:rsidRPr="00BD2603">
              <w:rPr>
                <w:b/>
                <w:bCs/>
                <w:color w:val="000000"/>
                <w:sz w:val="20"/>
                <w:lang w:val="en-US"/>
              </w:rPr>
              <w:t>0.396</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BD2603" w:rsidRDefault="008C134E" w:rsidP="004160DC">
            <w:pPr>
              <w:rPr>
                <w:b/>
                <w:bCs/>
                <w:color w:val="000000"/>
                <w:sz w:val="20"/>
                <w:lang w:val="en-US"/>
              </w:rPr>
            </w:pPr>
            <w:r w:rsidRPr="00BD2603">
              <w:rPr>
                <w:b/>
                <w:bCs/>
                <w:color w:val="000000"/>
                <w:sz w:val="20"/>
                <w:lang w:val="en-US"/>
              </w:rPr>
              <w:t>0.198</w:t>
            </w:r>
          </w:p>
        </w:tc>
      </w:tr>
      <w:tr w:rsidR="008C134E" w:rsidRPr="005E5722" w:rsidTr="00BD2603">
        <w:trPr>
          <w:trHeight w:val="300"/>
        </w:trPr>
        <w:tc>
          <w:tcPr>
            <w:tcW w:w="3955" w:type="dxa"/>
            <w:vMerge/>
            <w:tcBorders>
              <w:left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jc w:val="right"/>
              <w:rPr>
                <w:b/>
                <w:bCs/>
                <w:color w:val="000000"/>
                <w:sz w:val="20"/>
                <w:lang w:val="en-US"/>
              </w:rPr>
            </w:pPr>
            <w:r w:rsidRPr="005E5722">
              <w:rPr>
                <w:b/>
                <w:bCs/>
                <w:color w:val="000000"/>
                <w:sz w:val="20"/>
                <w:lang w:val="en-US"/>
              </w:rPr>
              <w:t>HARQ (average with 10% Re-Tx)</w:t>
            </w:r>
          </w:p>
        </w:tc>
        <w:tc>
          <w:tcPr>
            <w:tcW w:w="117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BD2603" w:rsidRDefault="008C134E" w:rsidP="004160DC">
            <w:pPr>
              <w:rPr>
                <w:b/>
                <w:bCs/>
                <w:color w:val="000000"/>
                <w:sz w:val="20"/>
                <w:lang w:val="en-US"/>
              </w:rPr>
            </w:pPr>
            <w:r w:rsidRPr="00BD2603">
              <w:rPr>
                <w:b/>
                <w:bCs/>
                <w:color w:val="000000"/>
                <w:sz w:val="20"/>
                <w:lang w:val="en-US"/>
              </w:rPr>
              <w:t>0.975</w:t>
            </w:r>
          </w:p>
        </w:tc>
        <w:tc>
          <w:tcPr>
            <w:tcW w:w="108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BD2603" w:rsidRDefault="008C134E" w:rsidP="004160DC">
            <w:pPr>
              <w:rPr>
                <w:b/>
                <w:bCs/>
                <w:color w:val="000000"/>
                <w:sz w:val="20"/>
                <w:lang w:val="en-US"/>
              </w:rPr>
            </w:pPr>
            <w:r w:rsidRPr="00BD2603">
              <w:rPr>
                <w:b/>
                <w:bCs/>
                <w:color w:val="000000"/>
                <w:sz w:val="20"/>
                <w:lang w:val="en-US"/>
              </w:rPr>
              <w:t>0.483</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BD2603" w:rsidRDefault="008C134E" w:rsidP="004160DC">
            <w:pPr>
              <w:rPr>
                <w:b/>
                <w:bCs/>
                <w:color w:val="000000"/>
                <w:sz w:val="20"/>
                <w:lang w:val="en-US"/>
              </w:rPr>
            </w:pPr>
            <w:r w:rsidRPr="00BD2603">
              <w:rPr>
                <w:b/>
                <w:bCs/>
                <w:color w:val="000000"/>
                <w:sz w:val="20"/>
                <w:lang w:val="en-US"/>
              </w:rPr>
              <w:t>0.242</w:t>
            </w:r>
          </w:p>
        </w:tc>
      </w:tr>
      <w:tr w:rsidR="008C134E" w:rsidRPr="005E5722" w:rsidTr="00BD2603">
        <w:trPr>
          <w:trHeight w:val="56"/>
        </w:trPr>
        <w:tc>
          <w:tcPr>
            <w:tcW w:w="3955" w:type="dxa"/>
            <w:vMerge/>
            <w:tcBorders>
              <w:left w:val="single" w:sz="4" w:space="0" w:color="auto"/>
              <w:bottom w:val="single" w:sz="4" w:space="0" w:color="auto"/>
              <w:right w:val="single" w:sz="4" w:space="0" w:color="auto"/>
            </w:tcBorders>
            <w:shd w:val="clear" w:color="auto" w:fill="auto"/>
            <w:noWrap/>
            <w:vAlign w:val="bottom"/>
            <w:hideMark/>
          </w:tcPr>
          <w:p w:rsidR="008C134E" w:rsidRPr="005E5722" w:rsidRDefault="008C134E" w:rsidP="004160DC">
            <w:pPr>
              <w:rPr>
                <w:color w:val="000000"/>
                <w:sz w:val="20"/>
                <w:lang w:val="en-US"/>
              </w:rPr>
            </w:pPr>
          </w:p>
        </w:tc>
        <w:tc>
          <w:tcPr>
            <w:tcW w:w="1980" w:type="dxa"/>
            <w:tcBorders>
              <w:top w:val="nil"/>
              <w:left w:val="nil"/>
              <w:bottom w:val="single" w:sz="4" w:space="0" w:color="auto"/>
              <w:right w:val="single" w:sz="4" w:space="0" w:color="auto"/>
            </w:tcBorders>
            <w:shd w:val="clear" w:color="auto" w:fill="auto"/>
            <w:vAlign w:val="center"/>
            <w:hideMark/>
          </w:tcPr>
          <w:p w:rsidR="008C134E" w:rsidRPr="005E5722" w:rsidRDefault="008C134E" w:rsidP="004160DC">
            <w:pPr>
              <w:jc w:val="right"/>
              <w:rPr>
                <w:b/>
                <w:bCs/>
                <w:color w:val="000000"/>
                <w:sz w:val="20"/>
                <w:lang w:val="en-US"/>
              </w:rPr>
            </w:pPr>
            <w:r w:rsidRPr="005E5722">
              <w:rPr>
                <w:b/>
                <w:bCs/>
                <w:color w:val="000000"/>
                <w:sz w:val="20"/>
                <w:lang w:val="en-US"/>
              </w:rPr>
              <w:t>HARQ (max with one Re-Tx)</w:t>
            </w:r>
          </w:p>
        </w:tc>
        <w:tc>
          <w:tcPr>
            <w:tcW w:w="1170" w:type="dxa"/>
            <w:tcBorders>
              <w:top w:val="nil"/>
              <w:left w:val="nil"/>
              <w:bottom w:val="single" w:sz="4" w:space="0" w:color="auto"/>
              <w:right w:val="single" w:sz="4" w:space="0" w:color="auto"/>
            </w:tcBorders>
            <w:shd w:val="clear" w:color="auto" w:fill="auto"/>
            <w:noWrap/>
            <w:vAlign w:val="bottom"/>
            <w:hideMark/>
          </w:tcPr>
          <w:p w:rsidR="008C134E" w:rsidRPr="00BD2603" w:rsidRDefault="008C134E" w:rsidP="004160DC">
            <w:pPr>
              <w:rPr>
                <w:b/>
                <w:bCs/>
                <w:color w:val="000000"/>
                <w:sz w:val="20"/>
                <w:lang w:val="en-US"/>
              </w:rPr>
            </w:pPr>
            <w:r w:rsidRPr="00BD2603">
              <w:rPr>
                <w:b/>
                <w:bCs/>
                <w:color w:val="000000"/>
                <w:sz w:val="20"/>
                <w:lang w:val="en-US"/>
              </w:rPr>
              <w:t>2.625</w:t>
            </w:r>
          </w:p>
        </w:tc>
        <w:tc>
          <w:tcPr>
            <w:tcW w:w="1080" w:type="dxa"/>
            <w:tcBorders>
              <w:top w:val="nil"/>
              <w:left w:val="nil"/>
              <w:bottom w:val="single" w:sz="4" w:space="0" w:color="auto"/>
              <w:right w:val="single" w:sz="4" w:space="0" w:color="auto"/>
            </w:tcBorders>
            <w:shd w:val="clear" w:color="auto" w:fill="auto"/>
            <w:noWrap/>
            <w:vAlign w:val="bottom"/>
            <w:hideMark/>
          </w:tcPr>
          <w:p w:rsidR="008C134E" w:rsidRPr="00BD2603" w:rsidRDefault="008C134E" w:rsidP="004160DC">
            <w:pPr>
              <w:rPr>
                <w:b/>
                <w:bCs/>
                <w:color w:val="000000"/>
                <w:sz w:val="20"/>
                <w:lang w:val="en-US"/>
              </w:rPr>
            </w:pPr>
            <w:r w:rsidRPr="00BD2603">
              <w:rPr>
                <w:b/>
                <w:bCs/>
                <w:color w:val="000000"/>
                <w:sz w:val="20"/>
                <w:lang w:val="en-US"/>
              </w:rPr>
              <w:t>1.271</w:t>
            </w:r>
          </w:p>
        </w:tc>
        <w:tc>
          <w:tcPr>
            <w:tcW w:w="990" w:type="dxa"/>
            <w:tcBorders>
              <w:top w:val="nil"/>
              <w:left w:val="nil"/>
              <w:bottom w:val="single" w:sz="4" w:space="0" w:color="auto"/>
              <w:right w:val="single" w:sz="4" w:space="0" w:color="auto"/>
            </w:tcBorders>
            <w:shd w:val="clear" w:color="auto" w:fill="D6E3BC" w:themeFill="accent3" w:themeFillTint="66"/>
            <w:noWrap/>
            <w:vAlign w:val="bottom"/>
            <w:hideMark/>
          </w:tcPr>
          <w:p w:rsidR="008C134E" w:rsidRPr="00BD2603" w:rsidRDefault="008C134E" w:rsidP="004160DC">
            <w:pPr>
              <w:rPr>
                <w:b/>
                <w:bCs/>
                <w:color w:val="000000"/>
                <w:sz w:val="20"/>
                <w:lang w:val="en-US"/>
              </w:rPr>
            </w:pPr>
            <w:r w:rsidRPr="00BD2603">
              <w:rPr>
                <w:b/>
                <w:bCs/>
                <w:color w:val="000000"/>
                <w:sz w:val="20"/>
                <w:lang w:val="en-US"/>
              </w:rPr>
              <w:t>0.635</w:t>
            </w:r>
          </w:p>
        </w:tc>
      </w:tr>
    </w:tbl>
    <w:p w:rsidR="00A10EA3" w:rsidRDefault="00A10EA3" w:rsidP="00A10EA3">
      <w:pPr>
        <w:pStyle w:val="Tablefin"/>
      </w:pPr>
      <w:bookmarkStart w:id="19" w:name="_Ref71820898"/>
    </w:p>
    <w:p w:rsidR="00A10EA3" w:rsidRPr="009967A8" w:rsidRDefault="008C134E" w:rsidP="00A10EA3">
      <w:pPr>
        <w:pStyle w:val="TableNo"/>
        <w:rPr>
          <w:color w:val="244061" w:themeColor="accent1" w:themeShade="80"/>
        </w:rPr>
      </w:pPr>
      <w:r w:rsidRPr="009967A8">
        <w:rPr>
          <w:color w:val="244061" w:themeColor="accent1" w:themeShade="80"/>
        </w:rPr>
        <w:t xml:space="preserve">Table </w:t>
      </w:r>
      <w:r w:rsidRPr="009967A8">
        <w:rPr>
          <w:color w:val="244061" w:themeColor="accent1" w:themeShade="80"/>
        </w:rPr>
        <w:fldChar w:fldCharType="begin"/>
      </w:r>
      <w:r w:rsidRPr="009967A8">
        <w:rPr>
          <w:color w:val="244061" w:themeColor="accent1" w:themeShade="80"/>
        </w:rPr>
        <w:instrText xml:space="preserve"> SEQ Table \* ARABIC </w:instrText>
      </w:r>
      <w:r w:rsidRPr="009967A8">
        <w:rPr>
          <w:color w:val="244061" w:themeColor="accent1" w:themeShade="80"/>
        </w:rPr>
        <w:fldChar w:fldCharType="separate"/>
      </w:r>
      <w:r w:rsidRPr="009967A8">
        <w:rPr>
          <w:noProof/>
          <w:color w:val="244061" w:themeColor="accent1" w:themeShade="80"/>
        </w:rPr>
        <w:t>7</w:t>
      </w:r>
      <w:r w:rsidRPr="009967A8">
        <w:rPr>
          <w:color w:val="244061" w:themeColor="accent1" w:themeShade="80"/>
        </w:rPr>
        <w:fldChar w:fldCharType="end"/>
      </w:r>
      <w:bookmarkEnd w:id="19"/>
    </w:p>
    <w:p w:rsidR="008C134E" w:rsidRPr="00A10EA3" w:rsidRDefault="008C134E" w:rsidP="00A10EA3">
      <w:pPr>
        <w:pStyle w:val="Tabletitle"/>
        <w:rPr>
          <w:color w:val="548DD4" w:themeColor="text2" w:themeTint="99"/>
        </w:rPr>
      </w:pPr>
      <w:r w:rsidRPr="009967A8">
        <w:rPr>
          <w:color w:val="244061" w:themeColor="accent1" w:themeShade="80"/>
        </w:rPr>
        <w:t>Configuration Settings for User-Plane Latency Analysis</w:t>
      </w:r>
    </w:p>
    <w:tbl>
      <w:tblPr>
        <w:tblW w:w="5797" w:type="dxa"/>
        <w:jc w:val="center"/>
        <w:tblLook w:val="04A0" w:firstRow="1" w:lastRow="0" w:firstColumn="1" w:lastColumn="0" w:noHBand="0" w:noVBand="1"/>
      </w:tblPr>
      <w:tblGrid>
        <w:gridCol w:w="2965"/>
        <w:gridCol w:w="900"/>
        <w:gridCol w:w="966"/>
        <w:gridCol w:w="966"/>
      </w:tblGrid>
      <w:tr w:rsidR="008C134E" w:rsidRPr="005E5722" w:rsidTr="004160DC">
        <w:trPr>
          <w:trHeight w:val="375"/>
          <w:jc w:val="center"/>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134E" w:rsidRPr="005E5722" w:rsidRDefault="008C134E" w:rsidP="006E0CDD">
            <w:pPr>
              <w:pStyle w:val="Tabletext"/>
              <w:rPr>
                <w:lang w:val="en-US"/>
              </w:rPr>
            </w:pPr>
            <w:r w:rsidRPr="005E5722">
              <w:rPr>
                <w:lang w:val="en-US"/>
              </w:rPr>
              <w:t>Subcarrier Scaling Factor (μ)</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C134E" w:rsidRPr="005E5722" w:rsidRDefault="008C134E" w:rsidP="006E0CDD">
            <w:pPr>
              <w:pStyle w:val="Tabletext"/>
              <w:rPr>
                <w:lang w:val="en-US"/>
              </w:rPr>
            </w:pPr>
            <w:r w:rsidRPr="005E5722">
              <w:rPr>
                <w:lang w:val="en-US"/>
              </w:rPr>
              <w:t>1</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8C134E" w:rsidRPr="005E5722" w:rsidRDefault="008C134E" w:rsidP="006E0CDD">
            <w:pPr>
              <w:pStyle w:val="Tabletext"/>
              <w:rPr>
                <w:lang w:val="en-US"/>
              </w:rPr>
            </w:pPr>
            <w:r w:rsidRPr="005E5722">
              <w:rPr>
                <w:lang w:val="en-US"/>
              </w:rPr>
              <w:t>2</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8C134E" w:rsidRPr="005E5722" w:rsidRDefault="008C134E" w:rsidP="006E0CDD">
            <w:pPr>
              <w:pStyle w:val="Tabletext"/>
              <w:rPr>
                <w:lang w:val="en-US"/>
              </w:rPr>
            </w:pPr>
            <w:r w:rsidRPr="005E5722">
              <w:rPr>
                <w:lang w:val="en-US"/>
              </w:rPr>
              <w:t>4</w:t>
            </w:r>
          </w:p>
        </w:tc>
      </w:tr>
      <w:tr w:rsidR="008C134E" w:rsidRPr="005E5722" w:rsidTr="004160DC">
        <w:trPr>
          <w:trHeight w:val="375"/>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Symbol Length (us)</w:t>
            </w:r>
          </w:p>
        </w:tc>
        <w:tc>
          <w:tcPr>
            <w:tcW w:w="90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41.667</w:t>
            </w:r>
          </w:p>
        </w:tc>
        <w:tc>
          <w:tcPr>
            <w:tcW w:w="966"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20.8335</w:t>
            </w:r>
          </w:p>
        </w:tc>
        <w:tc>
          <w:tcPr>
            <w:tcW w:w="966"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10.41675</w:t>
            </w:r>
          </w:p>
        </w:tc>
      </w:tr>
      <w:tr w:rsidR="008C134E" w:rsidRPr="005E5722" w:rsidTr="004160DC">
        <w:trPr>
          <w:trHeight w:val="375"/>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Subslot length (us)</w:t>
            </w:r>
          </w:p>
        </w:tc>
        <w:tc>
          <w:tcPr>
            <w:tcW w:w="90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208.335</w:t>
            </w:r>
          </w:p>
        </w:tc>
        <w:tc>
          <w:tcPr>
            <w:tcW w:w="966"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104.1675</w:t>
            </w:r>
          </w:p>
        </w:tc>
        <w:tc>
          <w:tcPr>
            <w:tcW w:w="966"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52.08375</w:t>
            </w:r>
          </w:p>
        </w:tc>
      </w:tr>
      <w:tr w:rsidR="008C134E" w:rsidRPr="005E5722" w:rsidTr="004160DC">
        <w:trPr>
          <w:trHeight w:val="375"/>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STF+GI (RACH alignment) (us)</w:t>
            </w:r>
          </w:p>
        </w:tc>
        <w:tc>
          <w:tcPr>
            <w:tcW w:w="90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83.334</w:t>
            </w:r>
          </w:p>
        </w:tc>
        <w:tc>
          <w:tcPr>
            <w:tcW w:w="966"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41.667</w:t>
            </w:r>
          </w:p>
        </w:tc>
        <w:tc>
          <w:tcPr>
            <w:tcW w:w="966"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20.8335</w:t>
            </w:r>
          </w:p>
        </w:tc>
      </w:tr>
      <w:tr w:rsidR="008C134E" w:rsidRPr="005E5722" w:rsidTr="004160DC">
        <w:trPr>
          <w:trHeight w:val="375"/>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TX/RX processing (us)</w:t>
            </w:r>
          </w:p>
        </w:tc>
        <w:tc>
          <w:tcPr>
            <w:tcW w:w="90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208.335</w:t>
            </w:r>
          </w:p>
        </w:tc>
        <w:tc>
          <w:tcPr>
            <w:tcW w:w="966"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104.1675</w:t>
            </w:r>
          </w:p>
        </w:tc>
        <w:tc>
          <w:tcPr>
            <w:tcW w:w="966"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6E0CDD">
            <w:pPr>
              <w:pStyle w:val="Tabletext"/>
              <w:rPr>
                <w:lang w:val="en-US"/>
              </w:rPr>
            </w:pPr>
            <w:r w:rsidRPr="005E5722">
              <w:rPr>
                <w:lang w:val="en-US"/>
              </w:rPr>
              <w:t>52.08375</w:t>
            </w:r>
          </w:p>
        </w:tc>
      </w:tr>
    </w:tbl>
    <w:p w:rsidR="008C134E" w:rsidRDefault="008C134E" w:rsidP="00A10EA3">
      <w:pPr>
        <w:pStyle w:val="Tablefin"/>
        <w:rPr>
          <w:lang w:val="en-US"/>
        </w:rPr>
      </w:pPr>
    </w:p>
    <w:p w:rsidR="008C134E" w:rsidRDefault="008C134E" w:rsidP="00BE3CF8">
      <w:pPr>
        <w:spacing w:line="276" w:lineRule="auto"/>
        <w:jc w:val="both"/>
        <w:rPr>
          <w:lang w:val="en-US"/>
        </w:rPr>
      </w:pPr>
      <w:r>
        <w:rPr>
          <w:lang w:val="en-US"/>
        </w:rPr>
        <w:t>For the overall latency evaluation we consider 3 metrics/scenarios:</w:t>
      </w:r>
    </w:p>
    <w:p w:rsidR="008C134E" w:rsidRDefault="00A10EA3" w:rsidP="00A10EA3">
      <w:pPr>
        <w:pStyle w:val="enumlev1"/>
        <w:rPr>
          <w:lang w:val="en-US"/>
        </w:rPr>
      </w:pPr>
      <w:r>
        <w:t>•</w:t>
      </w:r>
      <w:r>
        <w:tab/>
      </w:r>
      <w:r w:rsidR="008C134E">
        <w:rPr>
          <w:lang w:val="en-US"/>
        </w:rPr>
        <w:t xml:space="preserve">No HARQ: A scenario with idealized channel conditions, where no packet is lost, therefore user-plane latency is calculated on the basis of a single transmission by the source RD (Steps 1-3a). Based on  </w:t>
      </w:r>
      <w:r w:rsidR="008C134E">
        <w:rPr>
          <w:lang w:val="en-US"/>
        </w:rPr>
        <w:fldChar w:fldCharType="begin"/>
      </w:r>
      <w:r w:rsidR="008C134E">
        <w:rPr>
          <w:lang w:val="en-US"/>
        </w:rPr>
        <w:instrText xml:space="preserve"> REF _Ref71820895 \h  \* MERGEFORMAT </w:instrText>
      </w:r>
      <w:r w:rsidR="008C134E">
        <w:rPr>
          <w:lang w:val="en-US"/>
        </w:rPr>
      </w:r>
      <w:r w:rsidR="008C134E">
        <w:rPr>
          <w:lang w:val="en-US"/>
        </w:rPr>
        <w:fldChar w:fldCharType="separate"/>
      </w:r>
      <w:r w:rsidR="008C134E" w:rsidRPr="00EB69E8">
        <w:t xml:space="preserve">Table </w:t>
      </w:r>
      <w:r w:rsidR="008C134E" w:rsidRPr="00EB69E8">
        <w:rPr>
          <w:noProof/>
        </w:rPr>
        <w:t>5</w:t>
      </w:r>
      <w:r w:rsidR="008C134E">
        <w:rPr>
          <w:lang w:val="en-US"/>
        </w:rPr>
        <w:fldChar w:fldCharType="end"/>
      </w:r>
      <w:r w:rsidR="008C134E">
        <w:rPr>
          <w:lang w:val="en-US"/>
        </w:rPr>
        <w:t xml:space="preserve">, even in the configuration with the baseline subcarrier scaling factor </w:t>
      </w:r>
      <w:r w:rsidR="008C134E" w:rsidRPr="00154B93">
        <w:rPr>
          <w:lang w:val="en-US"/>
        </w:rPr>
        <w:t>(</w:t>
      </w:r>
      <w:r w:rsidR="008C134E">
        <w:rPr>
          <w:lang w:val="el-GR"/>
        </w:rPr>
        <w:t>μ</w:t>
      </w:r>
      <w:r w:rsidR="008C134E" w:rsidRPr="00154B93">
        <w:rPr>
          <w:lang w:val="en-US"/>
        </w:rPr>
        <w:t>=1)</w:t>
      </w:r>
      <w:r w:rsidR="008C134E">
        <w:rPr>
          <w:lang w:val="en-US"/>
        </w:rPr>
        <w:t>, the ITU requirement of 1 ms is satisfied.</w:t>
      </w:r>
    </w:p>
    <w:p w:rsidR="008C134E" w:rsidRDefault="00A10EA3" w:rsidP="00A10EA3">
      <w:pPr>
        <w:pStyle w:val="enumlev1"/>
        <w:rPr>
          <w:lang w:val="en-US"/>
        </w:rPr>
      </w:pPr>
      <w:r>
        <w:t>•</w:t>
      </w:r>
      <w:r>
        <w:tab/>
      </w:r>
      <w:r w:rsidR="008C134E">
        <w:rPr>
          <w:lang w:val="en-US"/>
        </w:rPr>
        <w:t xml:space="preserve">HARQ-average: In this scenario re-transmissions are also considered and an averaged latency for a target packet re-transmission rate of 10% is calculated. This metric is computed as: {Latency due to Steps 1/2/3b} + 10%×{Latency due to Steps 4/5}. For this metric also even in the configuration with the baseline subcarrier scaling factor </w:t>
      </w:r>
      <w:r w:rsidR="008C134E" w:rsidRPr="00154B93">
        <w:rPr>
          <w:lang w:val="en-US"/>
        </w:rPr>
        <w:t>(</w:t>
      </w:r>
      <w:r w:rsidR="008C134E">
        <w:rPr>
          <w:lang w:val="el-GR"/>
        </w:rPr>
        <w:t>μ</w:t>
      </w:r>
      <w:r w:rsidR="008C134E" w:rsidRPr="00154B93">
        <w:rPr>
          <w:lang w:val="en-US"/>
        </w:rPr>
        <w:t>=1)</w:t>
      </w:r>
      <w:r w:rsidR="008C134E">
        <w:rPr>
          <w:lang w:val="en-US"/>
        </w:rPr>
        <w:t>, the ITU requirement of 1 ms is satisfied.</w:t>
      </w:r>
    </w:p>
    <w:p w:rsidR="008C134E" w:rsidRPr="00166009" w:rsidRDefault="00A10EA3" w:rsidP="00A10EA3">
      <w:pPr>
        <w:pStyle w:val="enumlev1"/>
        <w:rPr>
          <w:lang w:val="en-US"/>
        </w:rPr>
      </w:pPr>
      <w:r>
        <w:t>•</w:t>
      </w:r>
      <w:r>
        <w:tab/>
      </w:r>
      <w:r w:rsidR="008C134E" w:rsidRPr="00166009">
        <w:rPr>
          <w:lang w:val="en-US"/>
        </w:rPr>
        <w:t xml:space="preserve">HARQ-max with 1 re-transmission: In this scenario the maximum latency for 1 retransmission is computed, as {Latency due to Steps 1/2/3b} + {Latency due to Steps 4/5}. As seen from </w:t>
      </w:r>
      <w:r w:rsidR="008C134E" w:rsidRPr="00166009">
        <w:rPr>
          <w:lang w:val="en-US"/>
        </w:rPr>
        <w:fldChar w:fldCharType="begin"/>
      </w:r>
      <w:r w:rsidR="008C134E" w:rsidRPr="00166009">
        <w:rPr>
          <w:lang w:val="en-US"/>
        </w:rPr>
        <w:instrText xml:space="preserve"> REF _Ref71820895 \h </w:instrText>
      </w:r>
      <w:r w:rsidR="008C134E">
        <w:rPr>
          <w:lang w:val="en-US"/>
        </w:rPr>
        <w:instrText xml:space="preserve"> \* MERGEFORMAT </w:instrText>
      </w:r>
      <w:r w:rsidR="008C134E" w:rsidRPr="00166009">
        <w:rPr>
          <w:lang w:val="en-US"/>
        </w:rPr>
      </w:r>
      <w:r w:rsidR="008C134E" w:rsidRPr="00166009">
        <w:rPr>
          <w:lang w:val="en-US"/>
        </w:rPr>
        <w:fldChar w:fldCharType="separate"/>
      </w:r>
      <w:r w:rsidR="008C134E" w:rsidRPr="00EB69E8">
        <w:t xml:space="preserve">Table </w:t>
      </w:r>
      <w:r w:rsidR="008C134E" w:rsidRPr="00EB69E8">
        <w:rPr>
          <w:noProof/>
        </w:rPr>
        <w:t>5</w:t>
      </w:r>
      <w:r w:rsidR="008C134E" w:rsidRPr="00166009">
        <w:rPr>
          <w:lang w:val="en-US"/>
        </w:rPr>
        <w:fldChar w:fldCharType="end"/>
      </w:r>
      <w:r w:rsidR="008C134E" w:rsidRPr="00166009">
        <w:rPr>
          <w:lang w:val="en-US"/>
        </w:rPr>
        <w:t xml:space="preserve">, the ITU requirement for the specific scenario is fulfilled </w:t>
      </w:r>
      <w:r w:rsidR="008C134E">
        <w:rPr>
          <w:lang w:val="en-US"/>
        </w:rPr>
        <w:t xml:space="preserve">subcarrier for a subcarrier scaling factor of </w:t>
      </w:r>
      <w:r w:rsidR="008C134E">
        <w:rPr>
          <w:lang w:val="el-GR"/>
        </w:rPr>
        <w:t>μ</w:t>
      </w:r>
      <w:r w:rsidR="008C134E" w:rsidRPr="00154B93">
        <w:rPr>
          <w:lang w:val="en-US"/>
        </w:rPr>
        <w:t>=</w:t>
      </w:r>
      <w:r w:rsidR="008C134E">
        <w:rPr>
          <w:lang w:val="en-US"/>
        </w:rPr>
        <w:t xml:space="preserve">4 only. </w:t>
      </w:r>
    </w:p>
    <w:p w:rsidR="008C134E" w:rsidRPr="00D72F34" w:rsidRDefault="008C134E" w:rsidP="003C13C4">
      <w:pPr>
        <w:rPr>
          <w:lang w:val="en-US"/>
        </w:rPr>
      </w:pPr>
    </w:p>
    <w:p w:rsidR="008C134E" w:rsidRPr="00D72F34" w:rsidRDefault="008C134E" w:rsidP="003C13C4">
      <w:pPr>
        <w:rPr>
          <w:lang w:val="en-US"/>
        </w:rPr>
        <w:sectPr w:rsidR="008C134E" w:rsidRPr="00D72F34" w:rsidSect="00EE7767">
          <w:pgSz w:w="12240" w:h="15840"/>
          <w:pgMar w:top="1440" w:right="1440" w:bottom="1440" w:left="1440" w:header="720" w:footer="720" w:gutter="0"/>
          <w:cols w:space="720"/>
          <w:docGrid w:linePitch="360"/>
        </w:sectPr>
      </w:pPr>
    </w:p>
    <w:p w:rsidR="008C134E" w:rsidRDefault="008C134E" w:rsidP="003C13C4">
      <w:pPr>
        <w:pStyle w:val="Heading1"/>
        <w:jc w:val="center"/>
        <w:rPr>
          <w:rFonts w:eastAsia="MS Mincho"/>
          <w:lang w:val="en-US"/>
        </w:rPr>
      </w:pPr>
      <w:r>
        <w:rPr>
          <w:rFonts w:eastAsia="MS Mincho"/>
          <w:lang w:val="en-US"/>
        </w:rPr>
        <w:t>Annex</w:t>
      </w:r>
      <w:r w:rsidRPr="00C1787A">
        <w:rPr>
          <w:rFonts w:eastAsia="MS Mincho"/>
          <w:lang w:val="en-US"/>
        </w:rPr>
        <w:t xml:space="preserve"> I</w:t>
      </w:r>
      <w:r>
        <w:rPr>
          <w:rFonts w:eastAsia="MS Mincho"/>
          <w:lang w:val="en-US"/>
        </w:rPr>
        <w:t>I</w:t>
      </w:r>
      <w:r w:rsidRPr="00C1787A">
        <w:rPr>
          <w:rFonts w:eastAsia="MS Mincho"/>
          <w:lang w:val="en-US"/>
        </w:rPr>
        <w:t xml:space="preserve">: </w:t>
      </w:r>
      <w:r w:rsidRPr="00582F49">
        <w:rPr>
          <w:rFonts w:eastAsia="MS Mincho"/>
          <w:lang w:val="en-US"/>
        </w:rPr>
        <w:t xml:space="preserve">Additional IMT-2020 evaluation details for </w:t>
      </w:r>
      <w:r>
        <w:rPr>
          <w:rFonts w:eastAsia="MS Mincho"/>
          <w:lang w:val="en-US"/>
        </w:rPr>
        <w:t>Control</w:t>
      </w:r>
      <w:r w:rsidRPr="00582F49">
        <w:rPr>
          <w:rFonts w:eastAsia="MS Mincho"/>
          <w:lang w:val="en-US"/>
        </w:rPr>
        <w:t>-Plane Latency</w:t>
      </w:r>
    </w:p>
    <w:p w:rsidR="008C134E" w:rsidRDefault="008C134E" w:rsidP="007C7B73">
      <w:pPr>
        <w:spacing w:line="276" w:lineRule="auto"/>
        <w:jc w:val="both"/>
        <w:rPr>
          <w:lang w:val="en-US"/>
        </w:rPr>
      </w:pPr>
      <w:r w:rsidRPr="008D06AE">
        <w:rPr>
          <w:lang w:val="en-US"/>
        </w:rPr>
        <w:t>ITU defines in</w:t>
      </w:r>
      <w:r>
        <w:rPr>
          <w:lang w:val="en-US"/>
        </w:rPr>
        <w:t xml:space="preserve"> the</w:t>
      </w:r>
      <w:r w:rsidRPr="008D06AE">
        <w:rPr>
          <w:lang w:val="en-US"/>
        </w:rPr>
        <w:t xml:space="preserve"> M.2410 document</w:t>
      </w:r>
      <w:r>
        <w:rPr>
          <w:lang w:val="en-US"/>
        </w:rPr>
        <w:t>, c</w:t>
      </w:r>
      <w:r w:rsidRPr="00AE0406">
        <w:rPr>
          <w:lang w:val="en-US"/>
        </w:rPr>
        <w:t>ontrol</w:t>
      </w:r>
      <w:r>
        <w:rPr>
          <w:lang w:val="en-US"/>
        </w:rPr>
        <w:t>-</w:t>
      </w:r>
      <w:r w:rsidRPr="00AE0406">
        <w:rPr>
          <w:lang w:val="en-US"/>
        </w:rPr>
        <w:t xml:space="preserve">plane latency </w:t>
      </w:r>
      <w:r>
        <w:rPr>
          <w:lang w:val="en-US"/>
        </w:rPr>
        <w:t>as</w:t>
      </w:r>
      <w:r w:rsidRPr="00AE0406">
        <w:rPr>
          <w:lang w:val="en-US"/>
        </w:rPr>
        <w:t xml:space="preserve"> the transition time from a most “battery efficient” state (e.g. Idle state) to the start of continuous data transfer (e.g. Active state)</w:t>
      </w:r>
      <w:r>
        <w:rPr>
          <w:lang w:val="en-US"/>
        </w:rPr>
        <w:t xml:space="preserve">. For the considered </w:t>
      </w:r>
      <w:r w:rsidRPr="00AE0406">
        <w:rPr>
          <w:lang w:val="en-US"/>
        </w:rPr>
        <w:t>URLLC usage scenario</w:t>
      </w:r>
      <w:r>
        <w:rPr>
          <w:lang w:val="en-US"/>
        </w:rPr>
        <w:t>, a requirement of 20 ms</w:t>
      </w:r>
      <w:r w:rsidRPr="00AE0406">
        <w:rPr>
          <w:lang w:val="en-US"/>
        </w:rPr>
        <w:t xml:space="preserve"> </w:t>
      </w:r>
      <w:r>
        <w:rPr>
          <w:lang w:val="en-US"/>
        </w:rPr>
        <w:t>i</w:t>
      </w:r>
      <w:r w:rsidRPr="00AE0406">
        <w:rPr>
          <w:lang w:val="en-US"/>
        </w:rPr>
        <w:t>s defined</w:t>
      </w:r>
      <w:r>
        <w:rPr>
          <w:lang w:val="en-US"/>
        </w:rPr>
        <w:t>.</w:t>
      </w:r>
    </w:p>
    <w:p w:rsidR="008C134E" w:rsidRPr="00AE0406" w:rsidRDefault="008C134E" w:rsidP="007C7B73">
      <w:pPr>
        <w:pStyle w:val="Heading3"/>
      </w:pPr>
      <w:r>
        <w:t>Assumptions</w:t>
      </w:r>
    </w:p>
    <w:p w:rsidR="008C134E" w:rsidRPr="00FC3398" w:rsidRDefault="008C134E" w:rsidP="007C7B73">
      <w:pPr>
        <w:spacing w:line="276" w:lineRule="auto"/>
        <w:jc w:val="both"/>
        <w:rPr>
          <w:lang w:val="en-US"/>
        </w:rPr>
      </w:pPr>
      <w:r>
        <w:rPr>
          <w:lang w:val="en-US"/>
        </w:rPr>
        <w:t>The following baseline considerations hold through the analysis:</w:t>
      </w:r>
    </w:p>
    <w:p w:rsidR="008C134E" w:rsidRPr="00AE0406" w:rsidRDefault="00A10EA3" w:rsidP="00A10EA3">
      <w:pPr>
        <w:pStyle w:val="enumlev1"/>
        <w:rPr>
          <w:lang w:val="en-US"/>
        </w:rPr>
      </w:pPr>
      <w:r>
        <w:t>•</w:t>
      </w:r>
      <w:r>
        <w:tab/>
      </w:r>
      <w:r w:rsidR="008C134E">
        <w:rPr>
          <w:lang w:val="en-US"/>
        </w:rPr>
        <w:t>The baseline numerology of (</w:t>
      </w:r>
      <w:r w:rsidR="008C134E" w:rsidRPr="00AE0406">
        <w:rPr>
          <w:lang w:val="en-US"/>
        </w:rPr>
        <w:t>μ</w:t>
      </w:r>
      <w:r w:rsidR="008C134E">
        <w:rPr>
          <w:lang w:val="en-US"/>
        </w:rPr>
        <w:t>,</w:t>
      </w:r>
      <w:r w:rsidR="008C134E" w:rsidRPr="00AE0406">
        <w:rPr>
          <w:lang w:val="en-US"/>
        </w:rPr>
        <w:t>β</w:t>
      </w:r>
      <w:r w:rsidR="008C134E" w:rsidRPr="008248C5">
        <w:rPr>
          <w:lang w:val="en-US"/>
        </w:rPr>
        <w:t>)</w:t>
      </w:r>
      <w:r w:rsidR="008C134E">
        <w:rPr>
          <w:lang w:val="en-US"/>
        </w:rPr>
        <w:t>=(1,1) is employed</w:t>
      </w:r>
    </w:p>
    <w:p w:rsidR="008C134E" w:rsidRPr="00AE0406" w:rsidRDefault="00A10EA3" w:rsidP="00A10EA3">
      <w:pPr>
        <w:pStyle w:val="enumlev1"/>
        <w:rPr>
          <w:lang w:val="en-US"/>
        </w:rPr>
      </w:pPr>
      <w:r>
        <w:t>•</w:t>
      </w:r>
      <w:r>
        <w:tab/>
      </w:r>
      <w:r w:rsidR="008C134E">
        <w:rPr>
          <w:lang w:val="en-US"/>
        </w:rPr>
        <w:t>The time to transmit a single Transport Block is 1 slot (10 symbols), accounting for the random packet arrival alignment with respect to starting position of a slot/subslot (1 subslot) and an extra subslot for Tx processing (note that the specifications consider transmissions possible on a subslot or a slot basis).</w:t>
      </w:r>
    </w:p>
    <w:p w:rsidR="008C134E" w:rsidRPr="00AE0406" w:rsidRDefault="00A10EA3" w:rsidP="00A10EA3">
      <w:pPr>
        <w:pStyle w:val="enumlev1"/>
        <w:rPr>
          <w:lang w:val="en-US"/>
        </w:rPr>
      </w:pPr>
      <w:r>
        <w:t>•</w:t>
      </w:r>
      <w:r>
        <w:tab/>
      </w:r>
      <w:r w:rsidR="008C134E">
        <w:rPr>
          <w:lang w:val="en-US"/>
        </w:rPr>
        <w:t>The Rx processing delay for a single Transport Block is 1 sublot (5 symbols)</w:t>
      </w:r>
    </w:p>
    <w:p w:rsidR="008C134E" w:rsidRPr="00AE0406" w:rsidRDefault="00A10EA3" w:rsidP="00A10EA3">
      <w:pPr>
        <w:pStyle w:val="enumlev1"/>
        <w:rPr>
          <w:lang w:val="en-US"/>
        </w:rPr>
      </w:pPr>
      <w:r>
        <w:t>•</w:t>
      </w:r>
      <w:r>
        <w:tab/>
      </w:r>
      <w:r w:rsidR="008C134E" w:rsidRPr="00AE0406">
        <w:rPr>
          <w:lang w:val="en-US"/>
        </w:rPr>
        <w:t>Security is used</w:t>
      </w:r>
      <w:r w:rsidR="008C134E">
        <w:rPr>
          <w:lang w:val="en-US"/>
        </w:rPr>
        <w:t xml:space="preserve"> in transmission</w:t>
      </w:r>
      <w:r w:rsidR="008C134E" w:rsidRPr="00AE0406">
        <w:rPr>
          <w:lang w:val="en-US"/>
        </w:rPr>
        <w:t>, i.e. i) the PDU content is ciphered; ii) for beacon message or unicast MAC PDU transmission, the security Info IE is added; iii) an additional MIC field with 5 octets size is calculated and amends the PDU.</w:t>
      </w:r>
    </w:p>
    <w:p w:rsidR="008C134E" w:rsidRPr="00AE0406" w:rsidRDefault="00A10EA3" w:rsidP="00A10EA3">
      <w:pPr>
        <w:pStyle w:val="enumlev1"/>
        <w:rPr>
          <w:lang w:val="en-US"/>
        </w:rPr>
      </w:pPr>
      <w:r>
        <w:t>•</w:t>
      </w:r>
      <w:r>
        <w:tab/>
      </w:r>
      <w:r w:rsidR="008C134E" w:rsidRPr="00AE0406">
        <w:rPr>
          <w:lang w:val="en-US"/>
        </w:rPr>
        <w:t>Information is encoded in a single Transport Block and the most robust MCS that fits the bit payload is selected, based on ETSI TS 103 636-3 V1.1.1 Table C.1-1.</w:t>
      </w:r>
    </w:p>
    <w:p w:rsidR="008C134E" w:rsidRDefault="008C134E" w:rsidP="007C7B73">
      <w:pPr>
        <w:spacing w:line="276" w:lineRule="auto"/>
      </w:pPr>
      <w:r>
        <w:t xml:space="preserve">In </w:t>
      </w:r>
      <w:r>
        <w:fldChar w:fldCharType="begin"/>
      </w:r>
      <w:r>
        <w:instrText xml:space="preserve"> REF _Ref71987780 \h  \* MERGEFORMAT </w:instrText>
      </w:r>
      <w:r>
        <w:fldChar w:fldCharType="separate"/>
      </w:r>
      <w:r w:rsidRPr="00EB69E8">
        <w:t xml:space="preserve">Table </w:t>
      </w:r>
      <w:r w:rsidRPr="00EB69E8">
        <w:rPr>
          <w:noProof/>
        </w:rPr>
        <w:t>7</w:t>
      </w:r>
      <w:r>
        <w:fldChar w:fldCharType="end"/>
      </w:r>
      <w:r>
        <w:t xml:space="preserve"> we provide the physical layer parametrization applied for control-plane analysis. </w:t>
      </w:r>
    </w:p>
    <w:p w:rsidR="00A10EA3" w:rsidRPr="00E41B4C" w:rsidRDefault="008C134E" w:rsidP="00A10EA3">
      <w:pPr>
        <w:pStyle w:val="TableNo"/>
        <w:rPr>
          <w:color w:val="244061" w:themeColor="accent1" w:themeShade="80"/>
        </w:rPr>
      </w:pPr>
      <w:bookmarkStart w:id="20" w:name="_Ref71987780"/>
      <w:r w:rsidRPr="00E41B4C">
        <w:rPr>
          <w:color w:val="244061" w:themeColor="accent1" w:themeShade="80"/>
        </w:rPr>
        <w:t xml:space="preserve">Table </w:t>
      </w:r>
      <w:r w:rsidRPr="00E41B4C">
        <w:rPr>
          <w:color w:val="244061" w:themeColor="accent1" w:themeShade="80"/>
        </w:rPr>
        <w:fldChar w:fldCharType="begin"/>
      </w:r>
      <w:r w:rsidRPr="00E41B4C">
        <w:rPr>
          <w:color w:val="244061" w:themeColor="accent1" w:themeShade="80"/>
        </w:rPr>
        <w:instrText xml:space="preserve"> SEQ Table \* ARABIC </w:instrText>
      </w:r>
      <w:r w:rsidRPr="00E41B4C">
        <w:rPr>
          <w:color w:val="244061" w:themeColor="accent1" w:themeShade="80"/>
        </w:rPr>
        <w:fldChar w:fldCharType="separate"/>
      </w:r>
      <w:r w:rsidRPr="00E41B4C">
        <w:rPr>
          <w:noProof/>
          <w:color w:val="244061" w:themeColor="accent1" w:themeShade="80"/>
        </w:rPr>
        <w:t>8</w:t>
      </w:r>
      <w:r w:rsidRPr="00E41B4C">
        <w:rPr>
          <w:color w:val="244061" w:themeColor="accent1" w:themeShade="80"/>
        </w:rPr>
        <w:fldChar w:fldCharType="end"/>
      </w:r>
      <w:bookmarkEnd w:id="20"/>
    </w:p>
    <w:p w:rsidR="008C134E" w:rsidRPr="00E41B4C" w:rsidRDefault="008C134E" w:rsidP="00A10EA3">
      <w:pPr>
        <w:pStyle w:val="Tabletitle"/>
        <w:rPr>
          <w:color w:val="244061" w:themeColor="accent1" w:themeShade="80"/>
        </w:rPr>
      </w:pPr>
      <w:r w:rsidRPr="00E41B4C">
        <w:rPr>
          <w:color w:val="244061" w:themeColor="accent1" w:themeShade="80"/>
        </w:rPr>
        <w:t xml:space="preserve"> Configuration for Control-Plane Latency Analysis</w:t>
      </w:r>
    </w:p>
    <w:tbl>
      <w:tblPr>
        <w:tblW w:w="6030" w:type="dxa"/>
        <w:jc w:val="center"/>
        <w:tblLook w:val="04A0" w:firstRow="1" w:lastRow="0" w:firstColumn="1" w:lastColumn="0" w:noHBand="0" w:noVBand="1"/>
      </w:tblPr>
      <w:tblGrid>
        <w:gridCol w:w="5130"/>
        <w:gridCol w:w="900"/>
      </w:tblGrid>
      <w:tr w:rsidR="008C134E" w:rsidRPr="005E5722" w:rsidTr="004160DC">
        <w:trPr>
          <w:trHeight w:val="375"/>
          <w:jc w:val="center"/>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134E" w:rsidRPr="00452F3A" w:rsidRDefault="008C134E" w:rsidP="006E0CDD">
            <w:pPr>
              <w:pStyle w:val="Tablehead"/>
              <w:rPr>
                <w:lang w:val="en-US"/>
              </w:rPr>
            </w:pPr>
            <w:r w:rsidRPr="00452F3A">
              <w:rPr>
                <w:lang w:val="en-US"/>
              </w:rPr>
              <w:t>Parameter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C134E" w:rsidRPr="00452F3A" w:rsidRDefault="008C134E" w:rsidP="006E0CDD">
            <w:pPr>
              <w:pStyle w:val="Tablehead"/>
              <w:rPr>
                <w:lang w:val="en-US"/>
              </w:rPr>
            </w:pPr>
            <w:r w:rsidRPr="00452F3A">
              <w:rPr>
                <w:lang w:val="en-US"/>
              </w:rPr>
              <w:t>Value</w:t>
            </w:r>
          </w:p>
        </w:tc>
      </w:tr>
      <w:tr w:rsidR="008C134E" w:rsidRPr="005E5722" w:rsidTr="004160DC">
        <w:trPr>
          <w:trHeight w:val="375"/>
          <w:jc w:val="center"/>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134E" w:rsidRPr="005E5722" w:rsidRDefault="008C134E" w:rsidP="00B22CE9">
            <w:pPr>
              <w:spacing w:before="0"/>
              <w:jc w:val="center"/>
              <w:rPr>
                <w:color w:val="000000"/>
                <w:sz w:val="20"/>
                <w:lang w:val="en-US"/>
              </w:rPr>
            </w:pPr>
            <w:r w:rsidRPr="005E5722">
              <w:rPr>
                <w:color w:val="000000"/>
                <w:sz w:val="20"/>
                <w:lang w:val="en-US"/>
              </w:rPr>
              <w:t>Subcarrier Scaling Factor (μ)</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C134E" w:rsidRPr="005E5722" w:rsidRDefault="008C134E" w:rsidP="00B22CE9">
            <w:pPr>
              <w:spacing w:before="0"/>
              <w:jc w:val="center"/>
              <w:rPr>
                <w:color w:val="000000"/>
                <w:sz w:val="20"/>
                <w:lang w:val="en-US"/>
              </w:rPr>
            </w:pPr>
            <w:r w:rsidRPr="005E5722">
              <w:rPr>
                <w:color w:val="000000"/>
                <w:sz w:val="20"/>
                <w:lang w:val="en-US"/>
              </w:rPr>
              <w:t>1</w:t>
            </w:r>
          </w:p>
        </w:tc>
      </w:tr>
      <w:tr w:rsidR="008C134E" w:rsidRPr="005E5722" w:rsidTr="004160DC">
        <w:trPr>
          <w:trHeight w:val="375"/>
          <w:jc w:val="center"/>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8C134E" w:rsidRPr="005E5722" w:rsidRDefault="008C134E" w:rsidP="00B22CE9">
            <w:pPr>
              <w:spacing w:before="0"/>
              <w:jc w:val="center"/>
              <w:rPr>
                <w:color w:val="000000"/>
                <w:sz w:val="20"/>
                <w:lang w:val="en-US"/>
              </w:rPr>
            </w:pPr>
            <w:r w:rsidRPr="005E5722">
              <w:rPr>
                <w:color w:val="000000"/>
                <w:sz w:val="20"/>
                <w:lang w:val="en-US"/>
              </w:rPr>
              <w:t>Symbol Length (us)</w:t>
            </w:r>
          </w:p>
        </w:tc>
        <w:tc>
          <w:tcPr>
            <w:tcW w:w="90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B22CE9">
            <w:pPr>
              <w:spacing w:before="0"/>
              <w:jc w:val="center"/>
              <w:rPr>
                <w:color w:val="000000"/>
                <w:sz w:val="20"/>
                <w:lang w:val="en-US"/>
              </w:rPr>
            </w:pPr>
            <w:r w:rsidRPr="005E5722">
              <w:rPr>
                <w:color w:val="000000"/>
                <w:sz w:val="20"/>
                <w:lang w:val="en-US"/>
              </w:rPr>
              <w:t>41.667</w:t>
            </w:r>
          </w:p>
        </w:tc>
      </w:tr>
      <w:tr w:rsidR="008C134E" w:rsidRPr="005E5722" w:rsidTr="004160DC">
        <w:trPr>
          <w:trHeight w:val="375"/>
          <w:jc w:val="center"/>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8C134E" w:rsidRPr="005E5722" w:rsidRDefault="008C134E" w:rsidP="00B22CE9">
            <w:pPr>
              <w:spacing w:before="0"/>
              <w:jc w:val="center"/>
              <w:rPr>
                <w:color w:val="000000"/>
                <w:sz w:val="20"/>
                <w:lang w:val="en-US"/>
              </w:rPr>
            </w:pPr>
            <w:r w:rsidRPr="005E5722">
              <w:rPr>
                <w:color w:val="000000"/>
                <w:sz w:val="20"/>
                <w:lang w:val="en-US"/>
              </w:rPr>
              <w:t>Subslot length (us)</w:t>
            </w:r>
          </w:p>
        </w:tc>
        <w:tc>
          <w:tcPr>
            <w:tcW w:w="900" w:type="dxa"/>
            <w:tcBorders>
              <w:top w:val="nil"/>
              <w:left w:val="nil"/>
              <w:bottom w:val="single" w:sz="4" w:space="0" w:color="auto"/>
              <w:right w:val="single" w:sz="4" w:space="0" w:color="auto"/>
            </w:tcBorders>
            <w:shd w:val="clear" w:color="auto" w:fill="auto"/>
            <w:noWrap/>
            <w:vAlign w:val="bottom"/>
            <w:hideMark/>
          </w:tcPr>
          <w:p w:rsidR="008C134E" w:rsidRPr="005E5722" w:rsidRDefault="008C134E" w:rsidP="00B22CE9">
            <w:pPr>
              <w:spacing w:before="0"/>
              <w:jc w:val="center"/>
              <w:rPr>
                <w:color w:val="000000"/>
                <w:sz w:val="20"/>
                <w:lang w:val="en-US"/>
              </w:rPr>
            </w:pPr>
            <w:r w:rsidRPr="005E5722">
              <w:rPr>
                <w:color w:val="000000"/>
                <w:sz w:val="20"/>
                <w:lang w:val="en-US"/>
              </w:rPr>
              <w:t>208.335</w:t>
            </w:r>
          </w:p>
        </w:tc>
      </w:tr>
      <w:tr w:rsidR="008C134E" w:rsidRPr="005E5722" w:rsidTr="004160DC">
        <w:trPr>
          <w:trHeight w:val="375"/>
          <w:jc w:val="center"/>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134E" w:rsidRPr="005E5722" w:rsidRDefault="008C134E" w:rsidP="00B22CE9">
            <w:pPr>
              <w:spacing w:before="0"/>
              <w:jc w:val="center"/>
              <w:rPr>
                <w:color w:val="000000"/>
                <w:sz w:val="20"/>
                <w:lang w:val="en-US"/>
              </w:rPr>
            </w:pPr>
            <w:r w:rsidRPr="005E5722">
              <w:rPr>
                <w:color w:val="000000"/>
                <w:sz w:val="20"/>
                <w:lang w:val="en-US"/>
              </w:rPr>
              <w:t>TX/RX processing</w:t>
            </w:r>
            <w:r>
              <w:rPr>
                <w:color w:val="000000"/>
                <w:sz w:val="20"/>
                <w:lang w:val="en-US"/>
              </w:rPr>
              <w:t xml:space="preserve"> for 1 packet</w:t>
            </w:r>
            <w:r w:rsidRPr="005E5722">
              <w:rPr>
                <w:color w:val="000000"/>
                <w:sz w:val="20"/>
                <w:lang w:val="en-US"/>
              </w:rPr>
              <w:t xml:space="preserve"> </w:t>
            </w:r>
            <w:r>
              <w:rPr>
                <w:color w:val="000000"/>
                <w:sz w:val="20"/>
                <w:lang w:val="en-US"/>
              </w:rPr>
              <w:t xml:space="preserve">: 1 subslot </w:t>
            </w:r>
            <w:r w:rsidRPr="005E5722">
              <w:rPr>
                <w:color w:val="000000"/>
                <w:sz w:val="20"/>
                <w:lang w:val="en-US"/>
              </w:rPr>
              <w:t>(us)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C134E" w:rsidRPr="005E5722" w:rsidRDefault="008C134E" w:rsidP="00B22CE9">
            <w:pPr>
              <w:spacing w:before="0"/>
              <w:jc w:val="center"/>
              <w:rPr>
                <w:color w:val="000000"/>
                <w:sz w:val="20"/>
                <w:lang w:val="en-US"/>
              </w:rPr>
            </w:pPr>
            <w:r w:rsidRPr="005E5722">
              <w:rPr>
                <w:color w:val="000000"/>
                <w:sz w:val="20"/>
                <w:lang w:val="en-US"/>
              </w:rPr>
              <w:t>208.335</w:t>
            </w:r>
          </w:p>
        </w:tc>
      </w:tr>
      <w:tr w:rsidR="008C134E" w:rsidRPr="005E5722" w:rsidTr="004160DC">
        <w:trPr>
          <w:trHeight w:val="375"/>
          <w:jc w:val="center"/>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134E" w:rsidRPr="005E5722" w:rsidRDefault="008C134E" w:rsidP="00B22CE9">
            <w:pPr>
              <w:spacing w:before="0"/>
              <w:jc w:val="center"/>
              <w:rPr>
                <w:color w:val="000000"/>
                <w:sz w:val="20"/>
                <w:lang w:val="en-US"/>
              </w:rPr>
            </w:pPr>
            <w:r>
              <w:rPr>
                <w:color w:val="000000"/>
                <w:sz w:val="20"/>
                <w:lang w:val="en-US"/>
              </w:rPr>
              <w:t>Packet Transmission Time: 1 subslot (us)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C134E" w:rsidRPr="005E5722" w:rsidRDefault="008C134E" w:rsidP="00B22CE9">
            <w:pPr>
              <w:spacing w:before="0"/>
              <w:jc w:val="center"/>
              <w:rPr>
                <w:color w:val="000000"/>
                <w:sz w:val="20"/>
                <w:lang w:val="en-US"/>
              </w:rPr>
            </w:pPr>
            <w:r w:rsidRPr="005E5722">
              <w:rPr>
                <w:color w:val="000000"/>
                <w:sz w:val="20"/>
                <w:lang w:val="en-US"/>
              </w:rPr>
              <w:t>208.335</w:t>
            </w:r>
          </w:p>
        </w:tc>
      </w:tr>
    </w:tbl>
    <w:p w:rsidR="006E0CDD" w:rsidRDefault="006E0CDD" w:rsidP="006E0CDD">
      <w:pPr>
        <w:pStyle w:val="Tablefin"/>
      </w:pPr>
    </w:p>
    <w:p w:rsidR="008C134E" w:rsidRPr="000834A6" w:rsidRDefault="008C134E" w:rsidP="007C7B73">
      <w:pPr>
        <w:spacing w:line="276" w:lineRule="auto"/>
        <w:jc w:val="both"/>
        <w:rPr>
          <w:lang w:val="en-US"/>
        </w:rPr>
      </w:pPr>
      <w:r w:rsidRPr="00C40A4A">
        <w:t xml:space="preserve">For </w:t>
      </w:r>
      <w:r>
        <w:t>control-plane a</w:t>
      </w:r>
      <w:r w:rsidRPr="00C40A4A">
        <w:t>nalysis we consider</w:t>
      </w:r>
      <w:r w:rsidRPr="0030754C">
        <w:t xml:space="preserve"> </w:t>
      </w:r>
      <w:r>
        <w:t xml:space="preserve">the </w:t>
      </w:r>
      <w:r w:rsidRPr="000D0029">
        <w:t>association signalling</w:t>
      </w:r>
      <w:r>
        <w:t>, which is used</w:t>
      </w:r>
      <w:r w:rsidRPr="000D0029">
        <w:t xml:space="preserve"> to initiate unicast</w:t>
      </w:r>
      <w:r>
        <w:t xml:space="preserve"> </w:t>
      </w:r>
      <w:r w:rsidRPr="000D0029">
        <w:t xml:space="preserve">data exchange between </w:t>
      </w:r>
      <w:r>
        <w:t>2</w:t>
      </w:r>
      <w:r w:rsidRPr="000D0029">
        <w:t xml:space="preserve"> RDs</w:t>
      </w:r>
      <w:r>
        <w:t xml:space="preserve"> (source and destination RD), </w:t>
      </w:r>
      <w:r w:rsidRPr="00C40A4A">
        <w:t>as introduced in</w:t>
      </w:r>
      <w:r w:rsidRPr="00C40A4A">
        <w:rPr>
          <w:lang w:val="en-US"/>
        </w:rPr>
        <w:t xml:space="preserve"> Section 5.</w:t>
      </w:r>
      <w:r>
        <w:rPr>
          <w:lang w:val="en-US"/>
        </w:rPr>
        <w:t xml:space="preserve">8. In particular, </w:t>
      </w:r>
      <w:r w:rsidRPr="000834A6">
        <w:rPr>
          <w:lang w:val="en-US"/>
        </w:rPr>
        <w:t xml:space="preserve">the association procedure </w:t>
      </w:r>
      <w:r>
        <w:rPr>
          <w:lang w:val="en-US"/>
        </w:rPr>
        <w:t xml:space="preserve">may be grouped </w:t>
      </w:r>
      <w:r w:rsidRPr="000834A6">
        <w:rPr>
          <w:lang w:val="en-US"/>
        </w:rPr>
        <w:t>into 2 phases</w:t>
      </w:r>
      <w:r>
        <w:rPr>
          <w:lang w:val="en-US"/>
        </w:rPr>
        <w:t xml:space="preserve"> (</w:t>
      </w:r>
      <w:r w:rsidRPr="00C40A4A">
        <w:rPr>
          <w:lang w:val="en-US"/>
        </w:rPr>
        <w:t>ETSI TS 103 636-4</w:t>
      </w:r>
      <w:r>
        <w:rPr>
          <w:lang w:val="en-US"/>
        </w:rPr>
        <w:t>-</w:t>
      </w:r>
      <w:r w:rsidRPr="000D0029">
        <w:rPr>
          <w:lang w:val="en-US"/>
        </w:rPr>
        <w:t>Figure 5.8.1-1</w:t>
      </w:r>
      <w:r>
        <w:rPr>
          <w:lang w:val="en-US"/>
        </w:rPr>
        <w:t xml:space="preserve">), illustrated in </w:t>
      </w:r>
      <w:r>
        <w:rPr>
          <w:lang w:val="en-US"/>
        </w:rPr>
        <w:fldChar w:fldCharType="begin"/>
      </w:r>
      <w:r>
        <w:rPr>
          <w:lang w:val="en-US"/>
        </w:rPr>
        <w:instrText xml:space="preserve"> REF _Ref71987301 \h  \* MERGEFORMAT </w:instrText>
      </w:r>
      <w:r>
        <w:rPr>
          <w:lang w:val="en-US"/>
        </w:rPr>
      </w:r>
      <w:r>
        <w:rPr>
          <w:lang w:val="en-US"/>
        </w:rPr>
        <w:fldChar w:fldCharType="separate"/>
      </w:r>
      <w:r w:rsidRPr="00EB69E8">
        <w:t xml:space="preserve">Figure </w:t>
      </w:r>
      <w:r w:rsidRPr="00EB69E8">
        <w:rPr>
          <w:noProof/>
        </w:rPr>
        <w:t>2</w:t>
      </w:r>
      <w:r>
        <w:rPr>
          <w:lang w:val="en-US"/>
        </w:rPr>
        <w:fldChar w:fldCharType="end"/>
      </w:r>
      <w:r w:rsidRPr="000834A6">
        <w:rPr>
          <w:lang w:val="en-US"/>
        </w:rPr>
        <w:t>:</w:t>
      </w:r>
    </w:p>
    <w:p w:rsidR="008C134E" w:rsidRDefault="00A10EA3" w:rsidP="00A10EA3">
      <w:pPr>
        <w:pStyle w:val="enumlev1"/>
        <w:rPr>
          <w:lang w:val="en-US"/>
        </w:rPr>
      </w:pPr>
      <w:r>
        <w:t>•</w:t>
      </w:r>
      <w:r>
        <w:tab/>
      </w:r>
      <w:r w:rsidR="008C134E" w:rsidRPr="00AE0406">
        <w:rPr>
          <w:lang w:val="en-US"/>
        </w:rPr>
        <w:t>A “pre-association” phase, where network is detected by the</w:t>
      </w:r>
      <w:r w:rsidR="008C134E">
        <w:rPr>
          <w:lang w:val="en-US"/>
        </w:rPr>
        <w:t xml:space="preserve"> source</w:t>
      </w:r>
      <w:r w:rsidR="008C134E" w:rsidRPr="00AE0406">
        <w:rPr>
          <w:lang w:val="en-US"/>
        </w:rPr>
        <w:t xml:space="preserve"> RD along with random access resources identification</w:t>
      </w:r>
      <w:r w:rsidR="008C134E">
        <w:rPr>
          <w:lang w:val="en-US"/>
        </w:rPr>
        <w:t>.</w:t>
      </w:r>
      <w:r w:rsidR="008C134E" w:rsidRPr="00AE0406">
        <w:rPr>
          <w:lang w:val="en-US"/>
        </w:rPr>
        <w:t xml:space="preserve"> The steps</w:t>
      </w:r>
      <w:r w:rsidR="008C134E">
        <w:rPr>
          <w:lang w:val="en-US"/>
        </w:rPr>
        <w:t xml:space="preserve"> needed for this phase</w:t>
      </w:r>
      <w:r w:rsidR="008C134E" w:rsidRPr="00AE0406">
        <w:rPr>
          <w:lang w:val="en-US"/>
        </w:rPr>
        <w:t xml:space="preserve"> are not included in the </w:t>
      </w:r>
      <w:r w:rsidR="008C134E">
        <w:rPr>
          <w:lang w:val="en-US"/>
        </w:rPr>
        <w:t>computation</w:t>
      </w:r>
      <w:r w:rsidR="008C134E" w:rsidRPr="00AE0406">
        <w:rPr>
          <w:lang w:val="en-US"/>
        </w:rPr>
        <w:t xml:space="preserve"> of control-plane latency</w:t>
      </w:r>
      <w:r w:rsidR="008C134E">
        <w:rPr>
          <w:lang w:val="en-US"/>
        </w:rPr>
        <w:t xml:space="preserve"> budget</w:t>
      </w:r>
      <w:r w:rsidR="008C134E" w:rsidRPr="00AE0406">
        <w:rPr>
          <w:lang w:val="en-US"/>
        </w:rPr>
        <w:t xml:space="preserve"> as they can be executed during </w:t>
      </w:r>
      <w:r w:rsidR="008C134E">
        <w:rPr>
          <w:lang w:val="en-US"/>
        </w:rPr>
        <w:t xml:space="preserve">a </w:t>
      </w:r>
      <w:r w:rsidR="008C134E" w:rsidRPr="00AE0406">
        <w:rPr>
          <w:lang w:val="en-US"/>
        </w:rPr>
        <w:t>battery-efficient</w:t>
      </w:r>
      <w:r w:rsidR="008C134E">
        <w:rPr>
          <w:lang w:val="en-US"/>
        </w:rPr>
        <w:t xml:space="preserve"> idle</w:t>
      </w:r>
      <w:r w:rsidR="008C134E" w:rsidRPr="00AE0406">
        <w:rPr>
          <w:lang w:val="en-US"/>
        </w:rPr>
        <w:t xml:space="preserve"> state.</w:t>
      </w:r>
    </w:p>
    <w:p w:rsidR="008C134E" w:rsidRDefault="00A10EA3" w:rsidP="00A10EA3">
      <w:pPr>
        <w:pStyle w:val="enumlev1"/>
        <w:rPr>
          <w:lang w:val="en-US"/>
        </w:rPr>
      </w:pPr>
      <w:r>
        <w:t>•</w:t>
      </w:r>
      <w:r>
        <w:tab/>
      </w:r>
      <w:r w:rsidR="008C134E" w:rsidRPr="00ED04F7">
        <w:rPr>
          <w:lang w:val="en-US"/>
        </w:rPr>
        <w:t xml:space="preserve">The actual association </w:t>
      </w:r>
      <w:r w:rsidR="008C134E">
        <w:rPr>
          <w:lang w:val="en-US"/>
        </w:rPr>
        <w:t>signaling exchange phase</w:t>
      </w:r>
      <w:r w:rsidR="008C134E" w:rsidRPr="00ED04F7">
        <w:rPr>
          <w:lang w:val="en-US"/>
        </w:rPr>
        <w:t xml:space="preserve">, where the </w:t>
      </w:r>
      <w:r w:rsidR="008C134E">
        <w:rPr>
          <w:lang w:val="en-US"/>
        </w:rPr>
        <w:t xml:space="preserve">source </w:t>
      </w:r>
      <w:r w:rsidR="008C134E" w:rsidRPr="00ED04F7">
        <w:rPr>
          <w:lang w:val="en-US"/>
        </w:rPr>
        <w:t>RD makes a transition from a battery-efficient idle state to a state where it can start continuous data transfer</w:t>
      </w:r>
      <w:r w:rsidR="008C134E">
        <w:rPr>
          <w:lang w:val="en-US"/>
        </w:rPr>
        <w:t xml:space="preserve"> with the destination RD. For association signaling transmission we don’t consider any delay related to LBT and RACH start position resource alignment (</w:t>
      </w:r>
      <w:r w:rsidR="008C134E" w:rsidRPr="00C40A4A">
        <w:rPr>
          <w:lang w:val="en-US"/>
        </w:rPr>
        <w:t>ETSI TS 103 636-4</w:t>
      </w:r>
      <w:r w:rsidR="008C134E">
        <w:rPr>
          <w:lang w:val="en-US"/>
        </w:rPr>
        <w:t>-Section 5.3.1) as in the user-plane latency analysis.</w:t>
      </w:r>
    </w:p>
    <w:p w:rsidR="00A10EA3" w:rsidRPr="00E41B4C" w:rsidRDefault="00A10EA3" w:rsidP="006E0CDD">
      <w:pPr>
        <w:pStyle w:val="FigureNo"/>
        <w:spacing w:before="240"/>
        <w:rPr>
          <w:color w:val="244061" w:themeColor="accent1" w:themeShade="80"/>
        </w:rPr>
      </w:pPr>
      <w:bookmarkStart w:id="21" w:name="_Ref71987301"/>
      <w:r w:rsidRPr="00E41B4C">
        <w:rPr>
          <w:color w:val="244061" w:themeColor="accent1" w:themeShade="80"/>
        </w:rPr>
        <w:t xml:space="preserve">Figure </w:t>
      </w:r>
      <w:r w:rsidRPr="00E41B4C">
        <w:rPr>
          <w:color w:val="244061" w:themeColor="accent1" w:themeShade="80"/>
        </w:rPr>
        <w:fldChar w:fldCharType="begin"/>
      </w:r>
      <w:r w:rsidRPr="00E41B4C">
        <w:rPr>
          <w:color w:val="244061" w:themeColor="accent1" w:themeShade="80"/>
        </w:rPr>
        <w:instrText xml:space="preserve"> SEQ Figure \* ARABIC </w:instrText>
      </w:r>
      <w:r w:rsidRPr="00E41B4C">
        <w:rPr>
          <w:color w:val="244061" w:themeColor="accent1" w:themeShade="80"/>
        </w:rPr>
        <w:fldChar w:fldCharType="separate"/>
      </w:r>
      <w:r w:rsidRPr="00E41B4C">
        <w:rPr>
          <w:noProof/>
          <w:color w:val="244061" w:themeColor="accent1" w:themeShade="80"/>
        </w:rPr>
        <w:t>2</w:t>
      </w:r>
      <w:r w:rsidRPr="00E41B4C">
        <w:rPr>
          <w:color w:val="244061" w:themeColor="accent1" w:themeShade="80"/>
        </w:rPr>
        <w:fldChar w:fldCharType="end"/>
      </w:r>
      <w:bookmarkEnd w:id="21"/>
    </w:p>
    <w:p w:rsidR="00A10EA3" w:rsidRPr="00A10EA3" w:rsidRDefault="00A10EA3" w:rsidP="00A10EA3">
      <w:pPr>
        <w:pStyle w:val="Figuretitle"/>
        <w:rPr>
          <w:color w:val="548DD4" w:themeColor="text2" w:themeTint="99"/>
        </w:rPr>
      </w:pPr>
      <w:r w:rsidRPr="00E41B4C">
        <w:rPr>
          <w:color w:val="244061" w:themeColor="accent1" w:themeShade="80"/>
        </w:rPr>
        <w:t>Idle to active state transition for control-plane analysis</w:t>
      </w:r>
    </w:p>
    <w:p w:rsidR="008C134E" w:rsidRDefault="008C134E" w:rsidP="00B22CE9">
      <w:pPr>
        <w:keepNext/>
        <w:spacing w:after="240"/>
        <w:jc w:val="both"/>
      </w:pPr>
      <w:r>
        <w:rPr>
          <w:noProof/>
          <w:lang w:val="en-US"/>
        </w:rPr>
        <w:drawing>
          <wp:inline distT="0" distB="0" distL="0" distR="0" wp14:anchorId="3DDB73F2" wp14:editId="26FBE594">
            <wp:extent cx="5878442" cy="2055571"/>
            <wp:effectExtent l="0" t="0" r="8255" b="1905"/>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6474" cy="2058380"/>
                    </a:xfrm>
                    <a:prstGeom prst="rect">
                      <a:avLst/>
                    </a:prstGeom>
                  </pic:spPr>
                </pic:pic>
              </a:graphicData>
            </a:graphic>
          </wp:inline>
        </w:drawing>
      </w:r>
    </w:p>
    <w:p w:rsidR="008C134E" w:rsidRPr="007C7B73" w:rsidRDefault="008C134E" w:rsidP="007C7B73">
      <w:pPr>
        <w:jc w:val="both"/>
        <w:rPr>
          <w:i/>
          <w:iCs/>
        </w:rPr>
      </w:pPr>
      <w:r w:rsidRPr="007C7B73">
        <w:rPr>
          <w:i/>
          <w:iCs/>
        </w:rPr>
        <w:t>Network Detection and Identification of Resources Phase (“Pre-association” phase, not considered in delay budget estimation)</w:t>
      </w:r>
      <w:r w:rsidRPr="007C7B73">
        <w:rPr>
          <w:i/>
          <w:iCs/>
          <w:vertAlign w:val="superscript"/>
        </w:rPr>
        <w:footnoteReference w:id="2"/>
      </w:r>
    </w:p>
    <w:p w:rsidR="008C134E" w:rsidRDefault="008C134E" w:rsidP="007C7B73">
      <w:pPr>
        <w:spacing w:after="240" w:line="276" w:lineRule="auto"/>
        <w:jc w:val="both"/>
      </w:pPr>
      <w:r w:rsidRPr="00F37818">
        <w:t>To enable other RDs to identify, measure and initiate association with the RD, an RD in FT mode initiates the</w:t>
      </w:r>
      <w:r>
        <w:t xml:space="preserve"> </w:t>
      </w:r>
      <w:r w:rsidRPr="00F37818">
        <w:t>transmission of the beacon messages</w:t>
      </w:r>
      <w:r>
        <w:t xml:space="preserve"> (</w:t>
      </w:r>
      <w:r w:rsidRPr="00AE0406">
        <w:rPr>
          <w:lang w:val="en-US"/>
        </w:rPr>
        <w:t>ETSI TS 103 636-</w:t>
      </w:r>
      <w:r>
        <w:rPr>
          <w:lang w:val="en-US"/>
        </w:rPr>
        <w:t>4</w:t>
      </w:r>
      <w:r w:rsidRPr="00AE0406">
        <w:rPr>
          <w:lang w:val="en-US"/>
        </w:rPr>
        <w:t xml:space="preserve"> V1.1.1 </w:t>
      </w:r>
      <w:r>
        <w:rPr>
          <w:lang w:val="en-US"/>
        </w:rPr>
        <w:t xml:space="preserve">- </w:t>
      </w:r>
      <w:r>
        <w:t xml:space="preserve">Section 5.1.5). </w:t>
      </w:r>
      <w:r w:rsidRPr="009B0C20">
        <w:t>The network beacon message is used to announce the presence of a network and indicate the cluster beacon</w:t>
      </w:r>
      <w:r>
        <w:t xml:space="preserve"> </w:t>
      </w:r>
      <w:r w:rsidRPr="009B0C20">
        <w:t>transmission timing, periodicity, and operating channel</w:t>
      </w:r>
      <w:r>
        <w:t xml:space="preserve"> (</w:t>
      </w:r>
      <w:r w:rsidRPr="00AE0406">
        <w:rPr>
          <w:lang w:val="en-US"/>
        </w:rPr>
        <w:t>ETSI TS 103 636-</w:t>
      </w:r>
      <w:r>
        <w:rPr>
          <w:lang w:val="en-US"/>
        </w:rPr>
        <w:t>4</w:t>
      </w:r>
      <w:r w:rsidRPr="00AE0406">
        <w:rPr>
          <w:lang w:val="en-US"/>
        </w:rPr>
        <w:t xml:space="preserve"> V1.1.1 </w:t>
      </w:r>
      <w:r>
        <w:rPr>
          <w:lang w:val="en-US"/>
        </w:rPr>
        <w:t xml:space="preserve">- </w:t>
      </w:r>
      <w:r>
        <w:t>Section 6.4.2.2)</w:t>
      </w:r>
      <w:r w:rsidRPr="009B0C20">
        <w:t>.</w:t>
      </w:r>
      <w:r>
        <w:t xml:space="preserve"> </w:t>
      </w:r>
      <w:r w:rsidRPr="009B0C20">
        <w:t>The Network beacon message contains the information Network Beacon IE</w:t>
      </w:r>
      <w:r>
        <w:t>. The corresponding MAC PDU is formed as follows:</w:t>
      </w:r>
    </w:p>
    <w:tbl>
      <w:tblPr>
        <w:tblStyle w:val="TableGrid"/>
        <w:tblW w:w="0" w:type="auto"/>
        <w:tblLook w:val="04A0" w:firstRow="1" w:lastRow="0" w:firstColumn="1" w:lastColumn="0" w:noHBand="0" w:noVBand="1"/>
      </w:tblPr>
      <w:tblGrid>
        <w:gridCol w:w="7285"/>
        <w:gridCol w:w="2065"/>
      </w:tblGrid>
      <w:tr w:rsidR="008C134E" w:rsidTr="004160DC">
        <w:tc>
          <w:tcPr>
            <w:tcW w:w="7285" w:type="dxa"/>
          </w:tcPr>
          <w:p w:rsidR="008C134E" w:rsidRPr="00C236BF" w:rsidRDefault="008C134E" w:rsidP="00A10EA3">
            <w:pPr>
              <w:pStyle w:val="Tablehead"/>
            </w:pPr>
            <w:r w:rsidRPr="00C236BF">
              <w:t>Field</w:t>
            </w:r>
          </w:p>
        </w:tc>
        <w:tc>
          <w:tcPr>
            <w:tcW w:w="2065" w:type="dxa"/>
          </w:tcPr>
          <w:p w:rsidR="008C134E" w:rsidRPr="00C236BF" w:rsidRDefault="008C134E" w:rsidP="00A10EA3">
            <w:pPr>
              <w:pStyle w:val="Tablehead"/>
            </w:pPr>
            <w:r w:rsidRPr="00C236BF">
              <w:t>Payload (Bytes)</w:t>
            </w:r>
          </w:p>
        </w:tc>
      </w:tr>
      <w:tr w:rsidR="008C134E" w:rsidTr="004160DC">
        <w:tc>
          <w:tcPr>
            <w:tcW w:w="7285" w:type="dxa"/>
          </w:tcPr>
          <w:p w:rsidR="008C134E" w:rsidRPr="00EF4797" w:rsidRDefault="008C134E" w:rsidP="00A10EA3">
            <w:pPr>
              <w:pStyle w:val="Tabletext"/>
            </w:pPr>
            <w:r w:rsidRPr="00EF4797">
              <w:t>MAC Header Type</w:t>
            </w:r>
          </w:p>
        </w:tc>
        <w:tc>
          <w:tcPr>
            <w:tcW w:w="2065" w:type="dxa"/>
          </w:tcPr>
          <w:p w:rsidR="008C134E" w:rsidRDefault="008C134E" w:rsidP="00A10EA3">
            <w:pPr>
              <w:pStyle w:val="Tabletext"/>
            </w:pPr>
            <w:r>
              <w:t>1</w:t>
            </w:r>
          </w:p>
        </w:tc>
      </w:tr>
      <w:tr w:rsidR="008C134E" w:rsidTr="004160DC">
        <w:tc>
          <w:tcPr>
            <w:tcW w:w="7285" w:type="dxa"/>
          </w:tcPr>
          <w:p w:rsidR="008C134E" w:rsidRDefault="008C134E" w:rsidP="00A10EA3">
            <w:pPr>
              <w:pStyle w:val="Tabletext"/>
            </w:pPr>
            <w:r w:rsidRPr="00EF4797">
              <w:t>MAC Common header (Beacon type</w:t>
            </w:r>
            <w:r>
              <w:t>)</w:t>
            </w:r>
          </w:p>
        </w:tc>
        <w:tc>
          <w:tcPr>
            <w:tcW w:w="2065" w:type="dxa"/>
          </w:tcPr>
          <w:p w:rsidR="008C134E" w:rsidRDefault="008C134E" w:rsidP="00A10EA3">
            <w:pPr>
              <w:pStyle w:val="Tabletext"/>
            </w:pPr>
            <w:r>
              <w:t>7</w:t>
            </w:r>
          </w:p>
        </w:tc>
      </w:tr>
      <w:tr w:rsidR="008C134E" w:rsidTr="004160DC">
        <w:tc>
          <w:tcPr>
            <w:tcW w:w="7285" w:type="dxa"/>
          </w:tcPr>
          <w:p w:rsidR="008C134E" w:rsidRDefault="008C134E" w:rsidP="00A10EA3">
            <w:pPr>
              <w:pStyle w:val="Tabletext"/>
            </w:pPr>
            <w:r w:rsidRPr="00EF4797">
              <w:t>MAC Mux Header for Network Beacon (Option d – medium SDU)</w:t>
            </w:r>
          </w:p>
        </w:tc>
        <w:tc>
          <w:tcPr>
            <w:tcW w:w="2065" w:type="dxa"/>
          </w:tcPr>
          <w:p w:rsidR="008C134E" w:rsidRDefault="008C134E" w:rsidP="00A10EA3">
            <w:pPr>
              <w:pStyle w:val="Tabletext"/>
            </w:pPr>
            <w:r>
              <w:t>2</w:t>
            </w:r>
          </w:p>
        </w:tc>
      </w:tr>
      <w:tr w:rsidR="008C134E" w:rsidTr="004160DC">
        <w:tc>
          <w:tcPr>
            <w:tcW w:w="7285" w:type="dxa"/>
          </w:tcPr>
          <w:p w:rsidR="008C134E" w:rsidRDefault="008C134E" w:rsidP="00A10EA3">
            <w:pPr>
              <w:pStyle w:val="Tabletext"/>
            </w:pPr>
            <w:r w:rsidRPr="00EF4797">
              <w:t>Network Beacon Message IE</w:t>
            </w:r>
          </w:p>
        </w:tc>
        <w:tc>
          <w:tcPr>
            <w:tcW w:w="2065" w:type="dxa"/>
          </w:tcPr>
          <w:p w:rsidR="008C134E" w:rsidRDefault="008C134E" w:rsidP="00A10EA3">
            <w:pPr>
              <w:pStyle w:val="Tabletext"/>
            </w:pPr>
            <w:r>
              <w:t>12</w:t>
            </w:r>
          </w:p>
        </w:tc>
      </w:tr>
      <w:tr w:rsidR="008C134E" w:rsidTr="004160DC">
        <w:tc>
          <w:tcPr>
            <w:tcW w:w="7285" w:type="dxa"/>
          </w:tcPr>
          <w:p w:rsidR="008C134E" w:rsidRDefault="008C134E" w:rsidP="00A10EA3">
            <w:pPr>
              <w:pStyle w:val="Tabletext"/>
            </w:pPr>
            <w:r w:rsidRPr="00EF4797">
              <w:t>MAC Mux Header for Security Info (Option d – medium SDU)</w:t>
            </w:r>
          </w:p>
        </w:tc>
        <w:tc>
          <w:tcPr>
            <w:tcW w:w="2065" w:type="dxa"/>
          </w:tcPr>
          <w:p w:rsidR="008C134E" w:rsidRDefault="008C134E" w:rsidP="00A10EA3">
            <w:pPr>
              <w:pStyle w:val="Tabletext"/>
            </w:pPr>
            <w:r>
              <w:t>2</w:t>
            </w:r>
          </w:p>
        </w:tc>
      </w:tr>
      <w:tr w:rsidR="008C134E" w:rsidTr="004160DC">
        <w:tc>
          <w:tcPr>
            <w:tcW w:w="7285" w:type="dxa"/>
          </w:tcPr>
          <w:p w:rsidR="008C134E" w:rsidRDefault="008C134E" w:rsidP="00A10EA3">
            <w:pPr>
              <w:pStyle w:val="Tabletext"/>
            </w:pPr>
            <w:r w:rsidRPr="00EF4797">
              <w:t>MAC Security Info IE</w:t>
            </w:r>
          </w:p>
        </w:tc>
        <w:tc>
          <w:tcPr>
            <w:tcW w:w="2065" w:type="dxa"/>
          </w:tcPr>
          <w:p w:rsidR="008C134E" w:rsidRDefault="008C134E" w:rsidP="00A10EA3">
            <w:pPr>
              <w:pStyle w:val="Tabletext"/>
            </w:pPr>
            <w:r>
              <w:t>5</w:t>
            </w:r>
          </w:p>
        </w:tc>
      </w:tr>
      <w:tr w:rsidR="008C134E" w:rsidTr="004160DC">
        <w:tc>
          <w:tcPr>
            <w:tcW w:w="7285" w:type="dxa"/>
          </w:tcPr>
          <w:p w:rsidR="008C134E" w:rsidRDefault="008C134E" w:rsidP="00A10EA3">
            <w:pPr>
              <w:pStyle w:val="Tabletext"/>
            </w:pPr>
            <w:r w:rsidRPr="00EF4797">
              <w:t>MIC</w:t>
            </w:r>
          </w:p>
        </w:tc>
        <w:tc>
          <w:tcPr>
            <w:tcW w:w="2065" w:type="dxa"/>
          </w:tcPr>
          <w:p w:rsidR="008C134E" w:rsidRDefault="008C134E" w:rsidP="00A10EA3">
            <w:pPr>
              <w:pStyle w:val="Tabletext"/>
            </w:pPr>
            <w:r>
              <w:t>5</w:t>
            </w:r>
          </w:p>
        </w:tc>
      </w:tr>
    </w:tbl>
    <w:p w:rsidR="00A10EA3" w:rsidRDefault="00A10EA3" w:rsidP="00A10EA3">
      <w:pPr>
        <w:pStyle w:val="Tablefin"/>
      </w:pPr>
    </w:p>
    <w:p w:rsidR="008C134E" w:rsidRDefault="008C134E" w:rsidP="007C7B73">
      <w:pPr>
        <w:spacing w:before="240" w:line="276" w:lineRule="auto"/>
        <w:jc w:val="both"/>
        <w:rPr>
          <w:lang w:val="en-US"/>
        </w:rPr>
      </w:pPr>
      <w:r>
        <w:t xml:space="preserve">The resulted PDU Size is 272 bits and </w:t>
      </w:r>
      <w:r>
        <w:rPr>
          <w:lang w:val="en-US"/>
        </w:rPr>
        <w:t>with numerology (</w:t>
      </w:r>
      <w:r>
        <w:rPr>
          <w:lang w:val="el-GR"/>
        </w:rPr>
        <w:t>μ</w:t>
      </w:r>
      <w:r w:rsidRPr="003F67AB">
        <w:rPr>
          <w:lang w:val="en-US"/>
        </w:rPr>
        <w:t>,</w:t>
      </w:r>
      <w:r>
        <w:rPr>
          <w:lang w:val="el-GR"/>
        </w:rPr>
        <w:t>β</w:t>
      </w:r>
      <w:r w:rsidRPr="008248C5">
        <w:rPr>
          <w:lang w:val="en-US"/>
        </w:rPr>
        <w:t>)</w:t>
      </w:r>
      <w:r>
        <w:rPr>
          <w:lang w:val="en-US"/>
        </w:rPr>
        <w:t>=(1,1) can be loaded to a transport block of 296 bits and transmitted with MCS1 (</w:t>
      </w:r>
      <w:r w:rsidRPr="00EB7D9E">
        <w:rPr>
          <w:lang w:val="en-US"/>
        </w:rPr>
        <w:t>ETSI TS 103 636-3 V1.1.1</w:t>
      </w:r>
      <w:r>
        <w:rPr>
          <w:lang w:val="en-US"/>
        </w:rPr>
        <w:t>-</w:t>
      </w:r>
      <w:r w:rsidRPr="00EB7D9E">
        <w:t xml:space="preserve"> </w:t>
      </w:r>
      <w:r w:rsidRPr="00EB7D9E">
        <w:rPr>
          <w:lang w:val="en-US"/>
        </w:rPr>
        <w:t>Table C.1-1</w:t>
      </w:r>
      <w:r>
        <w:rPr>
          <w:lang w:val="en-US"/>
        </w:rPr>
        <w:t xml:space="preserve">). The network beacon is transmitted every </w:t>
      </w:r>
      <w:r w:rsidRPr="008248C5">
        <w:rPr>
          <w:lang w:val="en-US"/>
        </w:rPr>
        <w:t>50 ms, 100 ms, 500 ms, 1</w:t>
      </w:r>
      <w:r w:rsidR="00E41B4C">
        <w:rPr>
          <w:lang w:val="en-US"/>
        </w:rPr>
        <w:t> </w:t>
      </w:r>
      <w:r w:rsidRPr="008248C5">
        <w:rPr>
          <w:lang w:val="en-US"/>
        </w:rPr>
        <w:t>000 ms, 1 500 ms, 2 000 ms,</w:t>
      </w:r>
      <w:r>
        <w:rPr>
          <w:lang w:val="en-US"/>
        </w:rPr>
        <w:t xml:space="preserve"> or </w:t>
      </w:r>
      <w:r w:rsidRPr="008248C5">
        <w:rPr>
          <w:lang w:val="en-US"/>
        </w:rPr>
        <w:t>4</w:t>
      </w:r>
      <w:r w:rsidR="00E41B4C">
        <w:rPr>
          <w:lang w:val="en-US"/>
        </w:rPr>
        <w:t> </w:t>
      </w:r>
      <w:r w:rsidRPr="008248C5">
        <w:rPr>
          <w:lang w:val="en-US"/>
        </w:rPr>
        <w:t>000 ms</w:t>
      </w:r>
      <w:r>
        <w:rPr>
          <w:lang w:val="en-US"/>
        </w:rPr>
        <w:t xml:space="preserve">.  This means that for an RD that was turned-off and is just activated in the network it takes: </w:t>
      </w:r>
    </w:p>
    <w:p w:rsidR="008C134E" w:rsidRPr="00C236BF" w:rsidRDefault="00A10EA3" w:rsidP="00A10EA3">
      <w:pPr>
        <w:pStyle w:val="enumlev1"/>
        <w:rPr>
          <w:lang w:val="en-US"/>
        </w:rPr>
      </w:pPr>
      <w:r>
        <w:t>•</w:t>
      </w:r>
      <w:r>
        <w:tab/>
      </w:r>
      <w:r w:rsidR="008C134E" w:rsidRPr="00C236BF">
        <w:rPr>
          <w:lang w:val="en-US"/>
        </w:rPr>
        <w:t>0.417 ms (a slot) for generation and transmission of a network beacon</w:t>
      </w:r>
    </w:p>
    <w:p w:rsidR="008C134E" w:rsidRPr="00C236BF" w:rsidRDefault="00A10EA3" w:rsidP="00A10EA3">
      <w:pPr>
        <w:pStyle w:val="enumlev1"/>
        <w:rPr>
          <w:lang w:val="en-US"/>
        </w:rPr>
      </w:pPr>
      <w:r>
        <w:t>•</w:t>
      </w:r>
      <w:r>
        <w:tab/>
      </w:r>
      <w:r w:rsidR="008C134E" w:rsidRPr="00C236BF">
        <w:rPr>
          <w:lang w:val="en-US"/>
        </w:rPr>
        <w:t>50 – 4</w:t>
      </w:r>
      <w:r w:rsidR="000163CF">
        <w:rPr>
          <w:lang w:val="en-US"/>
        </w:rPr>
        <w:t> </w:t>
      </w:r>
      <w:r w:rsidR="008C134E" w:rsidRPr="00C236BF">
        <w:rPr>
          <w:lang w:val="en-US"/>
        </w:rPr>
        <w:t>000 ms for waiting for the periodic beacon announcement (worst-case)</w:t>
      </w:r>
    </w:p>
    <w:p w:rsidR="008C134E" w:rsidRPr="00C236BF" w:rsidRDefault="00A10EA3" w:rsidP="00A10EA3">
      <w:pPr>
        <w:pStyle w:val="enumlev1"/>
        <w:rPr>
          <w:lang w:val="en-US"/>
        </w:rPr>
      </w:pPr>
      <w:r>
        <w:t>•</w:t>
      </w:r>
      <w:r>
        <w:tab/>
      </w:r>
      <w:r w:rsidR="008C134E" w:rsidRPr="00C236BF">
        <w:rPr>
          <w:lang w:val="en-US"/>
        </w:rPr>
        <w:t>0.21 ms (a subslot) to recover the beacon</w:t>
      </w:r>
    </w:p>
    <w:p w:rsidR="008C134E" w:rsidRDefault="008C134E" w:rsidP="000163CF">
      <w:pPr>
        <w:spacing w:after="120"/>
      </w:pPr>
      <w:r>
        <w:t>Upon detection of the network beacon message, the RD is ready to detect the Cluster beacon message (</w:t>
      </w:r>
      <w:r w:rsidRPr="00AE0406">
        <w:rPr>
          <w:lang w:val="en-US"/>
        </w:rPr>
        <w:t>ETSI TS 103 636-</w:t>
      </w:r>
      <w:r>
        <w:rPr>
          <w:lang w:val="en-US"/>
        </w:rPr>
        <w:t>4</w:t>
      </w:r>
      <w:r w:rsidRPr="00AE0406">
        <w:rPr>
          <w:lang w:val="en-US"/>
        </w:rPr>
        <w:t xml:space="preserve"> V1.1.1 </w:t>
      </w:r>
      <w:r>
        <w:rPr>
          <w:lang w:val="en-US"/>
        </w:rPr>
        <w:t xml:space="preserve">- </w:t>
      </w:r>
      <w:r>
        <w:t xml:space="preserve">5.1.5). </w:t>
      </w:r>
      <w:r w:rsidRPr="00F77EAF">
        <w:t>The Cluster Beacon message is used to provide frame and slot timing for the cluster, announce radio parameters and</w:t>
      </w:r>
      <w:r>
        <w:t xml:space="preserve"> </w:t>
      </w:r>
      <w:r w:rsidRPr="00F77EAF">
        <w:t>radio resources so that other RDs may communicate the RD in FT mode</w:t>
      </w:r>
      <w:r>
        <w:t xml:space="preserve"> (</w:t>
      </w:r>
      <w:r w:rsidRPr="00AE0406">
        <w:rPr>
          <w:lang w:val="en-US"/>
        </w:rPr>
        <w:t>ETSI TS 103 636-</w:t>
      </w:r>
      <w:r>
        <w:rPr>
          <w:lang w:val="en-US"/>
        </w:rPr>
        <w:t>4</w:t>
      </w:r>
      <w:r w:rsidRPr="00AE0406">
        <w:rPr>
          <w:lang w:val="en-US"/>
        </w:rPr>
        <w:t xml:space="preserve"> V1.1.1 </w:t>
      </w:r>
      <w:r>
        <w:rPr>
          <w:lang w:val="en-US"/>
        </w:rPr>
        <w:t xml:space="preserve">- </w:t>
      </w:r>
      <w:r>
        <w:t>6.4.2.3)</w:t>
      </w:r>
      <w:r w:rsidRPr="00F77EAF">
        <w:t>.</w:t>
      </w:r>
      <w:r>
        <w:t xml:space="preserve"> </w:t>
      </w:r>
      <w:r w:rsidRPr="001571F2">
        <w:t xml:space="preserve">The cluster beacon message contains the Cluster Beacon IE </w:t>
      </w:r>
      <w:r>
        <w:t>f</w:t>
      </w:r>
      <w:r w:rsidRPr="001571F2">
        <w:t>ollowed</w:t>
      </w:r>
      <w:r>
        <w:t xml:space="preserve"> </w:t>
      </w:r>
      <w:r w:rsidRPr="001571F2">
        <w:t>by the Random Access Resource IE</w:t>
      </w:r>
      <w:r>
        <w:t>, and a</w:t>
      </w:r>
      <w:r w:rsidRPr="00745CB3">
        <w:t>fter these IEs other optional IEs may follow</w:t>
      </w:r>
      <w:r>
        <w:t>. The corresponding MAC PDU is formed as follows (</w:t>
      </w:r>
      <w:r w:rsidRPr="00AE0406">
        <w:rPr>
          <w:lang w:val="en-US"/>
        </w:rPr>
        <w:t>ETSI TS 103 636-</w:t>
      </w:r>
      <w:r>
        <w:rPr>
          <w:lang w:val="en-US"/>
        </w:rPr>
        <w:t>4</w:t>
      </w:r>
      <w:r w:rsidRPr="00AE0406">
        <w:rPr>
          <w:lang w:val="en-US"/>
        </w:rPr>
        <w:t xml:space="preserve"> V1.1.1 </w:t>
      </w:r>
      <w:r>
        <w:rPr>
          <w:lang w:val="en-US"/>
        </w:rPr>
        <w:t xml:space="preserve">- </w:t>
      </w:r>
      <w:r>
        <w:t>6.4.3):</w:t>
      </w:r>
    </w:p>
    <w:tbl>
      <w:tblPr>
        <w:tblStyle w:val="TableGrid"/>
        <w:tblW w:w="0" w:type="auto"/>
        <w:tblLook w:val="04A0" w:firstRow="1" w:lastRow="0" w:firstColumn="1" w:lastColumn="0" w:noHBand="0" w:noVBand="1"/>
      </w:tblPr>
      <w:tblGrid>
        <w:gridCol w:w="7915"/>
        <w:gridCol w:w="1435"/>
      </w:tblGrid>
      <w:tr w:rsidR="008C134E" w:rsidTr="00B22CE9">
        <w:tc>
          <w:tcPr>
            <w:tcW w:w="7915" w:type="dxa"/>
          </w:tcPr>
          <w:p w:rsidR="008C134E" w:rsidRPr="00C236BF" w:rsidRDefault="008C134E" w:rsidP="00A10EA3">
            <w:pPr>
              <w:pStyle w:val="Tablehead"/>
            </w:pPr>
            <w:r w:rsidRPr="00C236BF">
              <w:t>Field</w:t>
            </w:r>
          </w:p>
        </w:tc>
        <w:tc>
          <w:tcPr>
            <w:tcW w:w="1435" w:type="dxa"/>
          </w:tcPr>
          <w:p w:rsidR="008C134E" w:rsidRPr="00C236BF" w:rsidRDefault="008C134E" w:rsidP="00A10EA3">
            <w:pPr>
              <w:pStyle w:val="Tablehead"/>
            </w:pPr>
            <w:r w:rsidRPr="00C236BF">
              <w:t>Payload (Bytes)</w:t>
            </w:r>
          </w:p>
        </w:tc>
      </w:tr>
      <w:tr w:rsidR="008C134E" w:rsidTr="00B22CE9">
        <w:tc>
          <w:tcPr>
            <w:tcW w:w="7915" w:type="dxa"/>
          </w:tcPr>
          <w:p w:rsidR="008C134E" w:rsidRPr="00EF4797" w:rsidRDefault="008C134E" w:rsidP="00A10EA3">
            <w:pPr>
              <w:pStyle w:val="Tabletext"/>
            </w:pPr>
            <w:r w:rsidRPr="00EF4797">
              <w:t>MAC Header Type</w:t>
            </w:r>
          </w:p>
        </w:tc>
        <w:tc>
          <w:tcPr>
            <w:tcW w:w="1435" w:type="dxa"/>
          </w:tcPr>
          <w:p w:rsidR="008C134E" w:rsidRDefault="008C134E" w:rsidP="00A10EA3">
            <w:pPr>
              <w:pStyle w:val="Tabletext"/>
            </w:pPr>
            <w:r>
              <w:t>1</w:t>
            </w:r>
          </w:p>
        </w:tc>
      </w:tr>
      <w:tr w:rsidR="008C134E" w:rsidTr="00B22CE9">
        <w:tc>
          <w:tcPr>
            <w:tcW w:w="7915" w:type="dxa"/>
          </w:tcPr>
          <w:p w:rsidR="008C134E" w:rsidRDefault="008C134E" w:rsidP="00A10EA3">
            <w:pPr>
              <w:pStyle w:val="Tabletext"/>
            </w:pPr>
            <w:r w:rsidRPr="00EF4797">
              <w:t xml:space="preserve">MAC Common header </w:t>
            </w:r>
            <w:r>
              <w:t>(Beacon Type)</w:t>
            </w:r>
          </w:p>
        </w:tc>
        <w:tc>
          <w:tcPr>
            <w:tcW w:w="1435" w:type="dxa"/>
          </w:tcPr>
          <w:p w:rsidR="008C134E" w:rsidRDefault="008C134E" w:rsidP="00A10EA3">
            <w:pPr>
              <w:pStyle w:val="Tabletext"/>
            </w:pPr>
            <w:r>
              <w:t>7</w:t>
            </w:r>
          </w:p>
        </w:tc>
      </w:tr>
      <w:tr w:rsidR="008C134E" w:rsidTr="00B22CE9">
        <w:tc>
          <w:tcPr>
            <w:tcW w:w="7915" w:type="dxa"/>
          </w:tcPr>
          <w:p w:rsidR="008C134E" w:rsidRDefault="008C134E" w:rsidP="00A10EA3">
            <w:pPr>
              <w:pStyle w:val="Tabletext"/>
            </w:pPr>
            <w:r w:rsidRPr="00EF4797">
              <w:t xml:space="preserve">MAC Mux Header for </w:t>
            </w:r>
            <w:r>
              <w:t xml:space="preserve">Cluster </w:t>
            </w:r>
            <w:r w:rsidRPr="00EF4797">
              <w:t>Beacon</w:t>
            </w:r>
            <w:r>
              <w:t xml:space="preserve"> </w:t>
            </w:r>
            <w:r w:rsidRPr="00EF4797">
              <w:t>(Option d – medium SDU)</w:t>
            </w:r>
          </w:p>
        </w:tc>
        <w:tc>
          <w:tcPr>
            <w:tcW w:w="1435" w:type="dxa"/>
          </w:tcPr>
          <w:p w:rsidR="008C134E" w:rsidRDefault="008C134E" w:rsidP="00A10EA3">
            <w:pPr>
              <w:pStyle w:val="Tabletext"/>
            </w:pPr>
            <w:r>
              <w:t>2</w:t>
            </w:r>
          </w:p>
        </w:tc>
      </w:tr>
      <w:tr w:rsidR="008C134E" w:rsidTr="00B22CE9">
        <w:tc>
          <w:tcPr>
            <w:tcW w:w="7915" w:type="dxa"/>
          </w:tcPr>
          <w:p w:rsidR="008C134E" w:rsidRDefault="008C134E" w:rsidP="00A10EA3">
            <w:pPr>
              <w:pStyle w:val="Tabletext"/>
            </w:pPr>
            <w:r>
              <w:t>Cluster</w:t>
            </w:r>
            <w:r w:rsidRPr="00EF4797">
              <w:t xml:space="preserve"> Beacon Message IE</w:t>
            </w:r>
          </w:p>
        </w:tc>
        <w:tc>
          <w:tcPr>
            <w:tcW w:w="1435" w:type="dxa"/>
          </w:tcPr>
          <w:p w:rsidR="008C134E" w:rsidRDefault="008C134E" w:rsidP="00A10EA3">
            <w:pPr>
              <w:pStyle w:val="Tabletext"/>
            </w:pPr>
            <w:r>
              <w:t>13</w:t>
            </w:r>
          </w:p>
        </w:tc>
      </w:tr>
      <w:tr w:rsidR="008C134E" w:rsidTr="00B22CE9">
        <w:tc>
          <w:tcPr>
            <w:tcW w:w="7915" w:type="dxa"/>
          </w:tcPr>
          <w:p w:rsidR="008C134E" w:rsidRDefault="008C134E" w:rsidP="00A10EA3">
            <w:pPr>
              <w:pStyle w:val="Tabletext"/>
            </w:pPr>
            <w:r w:rsidRPr="005344FC">
              <w:t xml:space="preserve">MAC Mux Header for </w:t>
            </w:r>
            <w:r>
              <w:t>RA</w:t>
            </w:r>
            <w:r w:rsidRPr="005344FC">
              <w:t xml:space="preserve"> Resource Allocation (Option d – medium SDU)</w:t>
            </w:r>
          </w:p>
        </w:tc>
        <w:tc>
          <w:tcPr>
            <w:tcW w:w="1435" w:type="dxa"/>
          </w:tcPr>
          <w:p w:rsidR="008C134E" w:rsidRDefault="008C134E" w:rsidP="00A10EA3">
            <w:pPr>
              <w:pStyle w:val="Tabletext"/>
            </w:pPr>
            <w:r>
              <w:t>2</w:t>
            </w:r>
          </w:p>
        </w:tc>
      </w:tr>
      <w:tr w:rsidR="008C134E" w:rsidTr="00B22CE9">
        <w:tc>
          <w:tcPr>
            <w:tcW w:w="7915" w:type="dxa"/>
          </w:tcPr>
          <w:p w:rsidR="008C134E" w:rsidRDefault="008C134E" w:rsidP="00A10EA3">
            <w:pPr>
              <w:pStyle w:val="Tabletext"/>
            </w:pPr>
            <w:r>
              <w:t>Random Access Resource</w:t>
            </w:r>
            <w:r w:rsidRPr="0066334E">
              <w:t xml:space="preserve"> IE</w:t>
            </w:r>
          </w:p>
        </w:tc>
        <w:tc>
          <w:tcPr>
            <w:tcW w:w="1435" w:type="dxa"/>
          </w:tcPr>
          <w:p w:rsidR="008C134E" w:rsidRDefault="008C134E" w:rsidP="00A10EA3">
            <w:pPr>
              <w:pStyle w:val="Tabletext"/>
            </w:pPr>
            <w:r>
              <w:t>10</w:t>
            </w:r>
          </w:p>
        </w:tc>
      </w:tr>
      <w:tr w:rsidR="008C134E" w:rsidTr="00B22CE9">
        <w:tc>
          <w:tcPr>
            <w:tcW w:w="7915" w:type="dxa"/>
          </w:tcPr>
          <w:p w:rsidR="008C134E" w:rsidRDefault="008C134E" w:rsidP="00A10EA3">
            <w:pPr>
              <w:pStyle w:val="Tabletext"/>
            </w:pPr>
            <w:r w:rsidRPr="00EF4797">
              <w:t>MAC Mux Header for Security Info (Option d – medium SDU)</w:t>
            </w:r>
          </w:p>
        </w:tc>
        <w:tc>
          <w:tcPr>
            <w:tcW w:w="1435" w:type="dxa"/>
          </w:tcPr>
          <w:p w:rsidR="008C134E" w:rsidRDefault="008C134E" w:rsidP="00A10EA3">
            <w:pPr>
              <w:pStyle w:val="Tabletext"/>
            </w:pPr>
            <w:r>
              <w:t>2</w:t>
            </w:r>
          </w:p>
        </w:tc>
      </w:tr>
      <w:tr w:rsidR="008C134E" w:rsidTr="00B22CE9">
        <w:tc>
          <w:tcPr>
            <w:tcW w:w="7915" w:type="dxa"/>
          </w:tcPr>
          <w:p w:rsidR="008C134E" w:rsidRDefault="008C134E" w:rsidP="00A10EA3">
            <w:pPr>
              <w:pStyle w:val="Tabletext"/>
            </w:pPr>
            <w:r w:rsidRPr="00EF4797">
              <w:t>MAC Security Info IE</w:t>
            </w:r>
          </w:p>
        </w:tc>
        <w:tc>
          <w:tcPr>
            <w:tcW w:w="1435" w:type="dxa"/>
          </w:tcPr>
          <w:p w:rsidR="008C134E" w:rsidRDefault="008C134E" w:rsidP="00A10EA3">
            <w:pPr>
              <w:pStyle w:val="Tabletext"/>
            </w:pPr>
            <w:r>
              <w:t>5</w:t>
            </w:r>
          </w:p>
        </w:tc>
      </w:tr>
      <w:tr w:rsidR="008C134E" w:rsidTr="00B22CE9">
        <w:tc>
          <w:tcPr>
            <w:tcW w:w="7915" w:type="dxa"/>
          </w:tcPr>
          <w:p w:rsidR="008C134E" w:rsidRDefault="008C134E" w:rsidP="00A10EA3">
            <w:pPr>
              <w:pStyle w:val="Tabletext"/>
            </w:pPr>
            <w:r w:rsidRPr="00EF4797">
              <w:t>MIC</w:t>
            </w:r>
          </w:p>
        </w:tc>
        <w:tc>
          <w:tcPr>
            <w:tcW w:w="1435" w:type="dxa"/>
          </w:tcPr>
          <w:p w:rsidR="008C134E" w:rsidRDefault="008C134E" w:rsidP="00A10EA3">
            <w:pPr>
              <w:pStyle w:val="Tabletext"/>
            </w:pPr>
            <w:r>
              <w:t>5</w:t>
            </w:r>
          </w:p>
        </w:tc>
      </w:tr>
    </w:tbl>
    <w:p w:rsidR="00A10EA3" w:rsidRDefault="00A10EA3" w:rsidP="00A10EA3">
      <w:pPr>
        <w:pStyle w:val="Tablefin"/>
      </w:pPr>
    </w:p>
    <w:p w:rsidR="008C134E" w:rsidRDefault="008C134E" w:rsidP="007C7B73">
      <w:pPr>
        <w:spacing w:before="240" w:line="276" w:lineRule="auto"/>
        <w:jc w:val="both"/>
        <w:rPr>
          <w:lang w:val="en-US"/>
        </w:rPr>
      </w:pPr>
      <w:r>
        <w:t xml:space="preserve">The resulted PDU Size is 570 bits and </w:t>
      </w:r>
      <w:r>
        <w:rPr>
          <w:lang w:val="en-US"/>
        </w:rPr>
        <w:t>with numerology (</w:t>
      </w:r>
      <w:r>
        <w:rPr>
          <w:lang w:val="el-GR"/>
        </w:rPr>
        <w:t>β</w:t>
      </w:r>
      <w:r w:rsidRPr="008248C5">
        <w:rPr>
          <w:lang w:val="en-US"/>
        </w:rPr>
        <w:t>,</w:t>
      </w:r>
      <w:r>
        <w:rPr>
          <w:lang w:val="el-GR"/>
        </w:rPr>
        <w:t>μ</w:t>
      </w:r>
      <w:r w:rsidRPr="008248C5">
        <w:rPr>
          <w:lang w:val="en-US"/>
        </w:rPr>
        <w:t>)</w:t>
      </w:r>
      <w:r>
        <w:rPr>
          <w:lang w:val="en-US"/>
        </w:rPr>
        <w:t>=(1,1) can be loaded to a transport block of 616 bits and transmitted with MCS3 (</w:t>
      </w:r>
      <w:r w:rsidRPr="00EB7D9E">
        <w:rPr>
          <w:lang w:val="en-US"/>
        </w:rPr>
        <w:t>ETSI TS 103 636-3 V1.1.1</w:t>
      </w:r>
      <w:r>
        <w:rPr>
          <w:lang w:val="en-US"/>
        </w:rPr>
        <w:t>-</w:t>
      </w:r>
      <w:r w:rsidRPr="00EB7D9E">
        <w:t xml:space="preserve"> </w:t>
      </w:r>
      <w:r w:rsidRPr="00EB7D9E">
        <w:rPr>
          <w:lang w:val="en-US"/>
        </w:rPr>
        <w:t>Table C.1-1</w:t>
      </w:r>
      <w:r>
        <w:rPr>
          <w:lang w:val="en-US"/>
        </w:rPr>
        <w:t xml:space="preserve">). The Cluster Beacon period is </w:t>
      </w:r>
      <w:r w:rsidRPr="00674BCC">
        <w:rPr>
          <w:lang w:val="en-US"/>
        </w:rPr>
        <w:t>10 ms, 50 ms, 100 ms, 500 ms, 1 000 ms, 1 500 ms, 2 000 ms,</w:t>
      </w:r>
      <w:r>
        <w:rPr>
          <w:lang w:val="en-US"/>
        </w:rPr>
        <w:t xml:space="preserve"> </w:t>
      </w:r>
      <w:r w:rsidRPr="00674BCC">
        <w:rPr>
          <w:lang w:val="en-US"/>
        </w:rPr>
        <w:t>4 000 ms, 8 000 ms, 16 000 ms</w:t>
      </w:r>
      <w:r>
        <w:rPr>
          <w:lang w:val="en-US"/>
        </w:rPr>
        <w:t xml:space="preserve"> or </w:t>
      </w:r>
      <w:r w:rsidRPr="00674BCC">
        <w:rPr>
          <w:lang w:val="en-US"/>
        </w:rPr>
        <w:t>32 000 ms</w:t>
      </w:r>
      <w:r>
        <w:rPr>
          <w:lang w:val="en-US"/>
        </w:rPr>
        <w:t xml:space="preserve"> (</w:t>
      </w:r>
      <w:r w:rsidRPr="00EB7D9E">
        <w:rPr>
          <w:lang w:val="en-US"/>
        </w:rPr>
        <w:t>ETSI TS 103 636-</w:t>
      </w:r>
      <w:r>
        <w:rPr>
          <w:lang w:val="en-US"/>
        </w:rPr>
        <w:t>4</w:t>
      </w:r>
      <w:r w:rsidRPr="00EB7D9E">
        <w:rPr>
          <w:lang w:val="en-US"/>
        </w:rPr>
        <w:t xml:space="preserve"> V1.1.1</w:t>
      </w:r>
      <w:r>
        <w:rPr>
          <w:lang w:val="en-US"/>
        </w:rPr>
        <w:t xml:space="preserve"> </w:t>
      </w:r>
      <w:r w:rsidRPr="00674BCC">
        <w:t>Table 6.4.2.2-1)</w:t>
      </w:r>
      <w:r>
        <w:t xml:space="preserve">. </w:t>
      </w:r>
      <w:r>
        <w:rPr>
          <w:lang w:val="en-US"/>
        </w:rPr>
        <w:t>This means that for an RD that has just detected a network beacon it additionally takes:</w:t>
      </w:r>
    </w:p>
    <w:p w:rsidR="008C134E" w:rsidRDefault="00A10EA3" w:rsidP="00A10EA3">
      <w:pPr>
        <w:pStyle w:val="enumlev1"/>
        <w:rPr>
          <w:lang w:val="en-US"/>
        </w:rPr>
      </w:pPr>
      <w:r>
        <w:t>•</w:t>
      </w:r>
      <w:r>
        <w:tab/>
      </w:r>
      <w:r w:rsidR="008C134E" w:rsidRPr="00FB108B">
        <w:rPr>
          <w:lang w:val="en-US"/>
        </w:rPr>
        <w:t>0.417 ms</w:t>
      </w:r>
      <w:r w:rsidR="008C134E">
        <w:rPr>
          <w:lang w:val="en-US"/>
        </w:rPr>
        <w:t xml:space="preserve"> (a slot)</w:t>
      </w:r>
      <w:r w:rsidR="008C134E" w:rsidRPr="00FB108B">
        <w:rPr>
          <w:lang w:val="en-US"/>
        </w:rPr>
        <w:t xml:space="preserve"> </w:t>
      </w:r>
      <w:r w:rsidR="008C134E">
        <w:rPr>
          <w:lang w:val="en-US"/>
        </w:rPr>
        <w:t>for generation and transmission of a cluster beacon</w:t>
      </w:r>
    </w:p>
    <w:p w:rsidR="008C134E" w:rsidRDefault="00A10EA3" w:rsidP="00A10EA3">
      <w:pPr>
        <w:pStyle w:val="enumlev1"/>
        <w:rPr>
          <w:lang w:val="en-US"/>
        </w:rPr>
      </w:pPr>
      <w:r>
        <w:t>•</w:t>
      </w:r>
      <w:r>
        <w:tab/>
      </w:r>
      <w:r w:rsidR="008C134E">
        <w:rPr>
          <w:lang w:val="en-US"/>
        </w:rPr>
        <w:t>1</w:t>
      </w:r>
      <w:r w:rsidR="008C134E" w:rsidRPr="00FB108B">
        <w:rPr>
          <w:lang w:val="en-US"/>
        </w:rPr>
        <w:t xml:space="preserve">0 – </w:t>
      </w:r>
      <w:r w:rsidR="008C134E">
        <w:rPr>
          <w:lang w:val="en-US"/>
        </w:rPr>
        <w:t>32</w:t>
      </w:r>
      <w:r w:rsidR="00966C43">
        <w:rPr>
          <w:lang w:val="en-US"/>
        </w:rPr>
        <w:t> </w:t>
      </w:r>
      <w:r w:rsidR="008C134E" w:rsidRPr="00FB108B">
        <w:rPr>
          <w:lang w:val="en-US"/>
        </w:rPr>
        <w:t>000 ms</w:t>
      </w:r>
      <w:r w:rsidR="008C134E">
        <w:rPr>
          <w:lang w:val="en-US"/>
        </w:rPr>
        <w:t xml:space="preserve"> for waiting for the cluster periodic beacon announcement (worst-case) and detect the RACH resource</w:t>
      </w:r>
    </w:p>
    <w:p w:rsidR="008C134E" w:rsidRDefault="00A10EA3" w:rsidP="00A10EA3">
      <w:pPr>
        <w:pStyle w:val="enumlev1"/>
        <w:rPr>
          <w:lang w:val="en-US"/>
        </w:rPr>
      </w:pPr>
      <w:r>
        <w:t>•</w:t>
      </w:r>
      <w:r>
        <w:tab/>
      </w:r>
      <w:r w:rsidR="008C134E" w:rsidRPr="009D7F68">
        <w:rPr>
          <w:lang w:val="en-US"/>
        </w:rPr>
        <w:t>0.21 ms</w:t>
      </w:r>
      <w:r w:rsidR="008C134E" w:rsidRPr="00FB108B">
        <w:rPr>
          <w:lang w:val="en-US"/>
        </w:rPr>
        <w:t xml:space="preserve"> </w:t>
      </w:r>
      <w:r w:rsidR="008C134E">
        <w:rPr>
          <w:lang w:val="en-US"/>
        </w:rPr>
        <w:t xml:space="preserve">(a subslot) </w:t>
      </w:r>
      <w:r w:rsidR="008C134E" w:rsidRPr="00FB108B">
        <w:rPr>
          <w:lang w:val="en-US"/>
        </w:rPr>
        <w:t xml:space="preserve">to </w:t>
      </w:r>
      <w:r w:rsidR="008C134E">
        <w:rPr>
          <w:lang w:val="en-US"/>
        </w:rPr>
        <w:t>recover the cluster beacon and random access resource allocation information.</w:t>
      </w:r>
    </w:p>
    <w:p w:rsidR="008C134E" w:rsidRPr="007C7B73" w:rsidRDefault="008C134E" w:rsidP="007C7B73">
      <w:pPr>
        <w:pStyle w:val="Heading3"/>
      </w:pPr>
      <w:r w:rsidRPr="007C7B73">
        <w:t>Association Phase (used for calculating control plane latency)</w:t>
      </w:r>
    </w:p>
    <w:p w:rsidR="008C134E" w:rsidRPr="007C7B73" w:rsidRDefault="008C134E" w:rsidP="007C7B73">
      <w:pPr>
        <w:rPr>
          <w:i/>
          <w:iCs/>
        </w:rPr>
      </w:pPr>
      <w:r w:rsidRPr="007C7B73">
        <w:rPr>
          <w:i/>
          <w:iCs/>
        </w:rPr>
        <w:t>Step 1: Use of Assigned Resources</w:t>
      </w:r>
    </w:p>
    <w:p w:rsidR="008C134E" w:rsidRPr="00BA7C03" w:rsidRDefault="008C134E" w:rsidP="007C7B73">
      <w:pPr>
        <w:spacing w:line="276" w:lineRule="auto"/>
        <w:jc w:val="both"/>
        <w:rPr>
          <w:lang w:val="en-US"/>
        </w:rPr>
      </w:pPr>
      <w:r w:rsidRPr="00BA7C03">
        <w:rPr>
          <w:lang w:val="en-US"/>
        </w:rPr>
        <w:t>Upon detecting a Random Access Resource IE</w:t>
      </w:r>
      <w:r>
        <w:rPr>
          <w:lang w:val="en-US"/>
        </w:rPr>
        <w:t>,</w:t>
      </w:r>
      <w:r w:rsidRPr="00BA7C03">
        <w:rPr>
          <w:lang w:val="en-US"/>
        </w:rPr>
        <w:t xml:space="preserve"> the RD can send an association request message to another RD for configuring a continuous communication transfer. To use the random resources the RD must wait for 1 ms or 5 ms. This depends on the DECT_Delay field of the Random Access Resource IE (</w:t>
      </w:r>
      <w:r w:rsidRPr="00EB7D9E">
        <w:rPr>
          <w:lang w:val="en-US"/>
        </w:rPr>
        <w:t>ETSI TS 103 636-</w:t>
      </w:r>
      <w:r>
        <w:rPr>
          <w:lang w:val="en-US"/>
        </w:rPr>
        <w:t>4</w:t>
      </w:r>
      <w:r w:rsidRPr="00EB7D9E">
        <w:rPr>
          <w:lang w:val="en-US"/>
        </w:rPr>
        <w:t xml:space="preserve"> V1.1.1</w:t>
      </w:r>
      <w:r>
        <w:rPr>
          <w:lang w:val="en-US"/>
        </w:rPr>
        <w:t xml:space="preserve"> - </w:t>
      </w:r>
      <w:r w:rsidRPr="00BA7C03">
        <w:rPr>
          <w:lang w:val="en-US"/>
        </w:rPr>
        <w:t>Section 6.4.3.4):</w:t>
      </w:r>
    </w:p>
    <w:p w:rsidR="008C134E" w:rsidRPr="00266369" w:rsidRDefault="00A10EA3" w:rsidP="00A10EA3">
      <w:pPr>
        <w:pStyle w:val="enumlev1"/>
        <w:rPr>
          <w:lang w:val="en-US"/>
        </w:rPr>
      </w:pPr>
      <w:r>
        <w:t>•</w:t>
      </w:r>
      <w:r>
        <w:tab/>
      </w:r>
      <w:r w:rsidR="008C134E" w:rsidRPr="00266369">
        <w:rPr>
          <w:lang w:val="en-US"/>
        </w:rPr>
        <w:t xml:space="preserve">If </w:t>
      </w:r>
      <w:r w:rsidR="008C134E">
        <w:rPr>
          <w:lang w:val="en-US"/>
        </w:rPr>
        <w:t>DECT_Delay is</w:t>
      </w:r>
      <w:r w:rsidR="008C134E" w:rsidRPr="00266369">
        <w:rPr>
          <w:lang w:val="en-US"/>
        </w:rPr>
        <w:t xml:space="preserve"> set </w:t>
      </w:r>
      <w:r w:rsidR="008C134E">
        <w:rPr>
          <w:lang w:val="en-US"/>
        </w:rPr>
        <w:t xml:space="preserve">to </w:t>
      </w:r>
      <w:r w:rsidR="008C134E" w:rsidRPr="00266369">
        <w:rPr>
          <w:lang w:val="en-US"/>
        </w:rPr>
        <w:t>0 the response window starts from subslot n+3, where n indicates the subslot where the transmission of the Random Access packet ended</w:t>
      </w:r>
      <w:r w:rsidR="008C134E">
        <w:rPr>
          <w:lang w:val="en-US"/>
        </w:rPr>
        <w:t xml:space="preserve">. i.e. </w:t>
      </w:r>
      <w:r w:rsidR="008C134E" w:rsidRPr="00266369">
        <w:rPr>
          <w:lang w:val="en-US"/>
        </w:rPr>
        <w:t>3</w:t>
      </w:r>
      <w:r w:rsidR="008C134E">
        <w:rPr>
          <w:lang w:val="en-US"/>
        </w:rPr>
        <w:t xml:space="preserve"> × </w:t>
      </w:r>
      <w:r w:rsidR="008C134E" w:rsidRPr="00266369">
        <w:rPr>
          <w:lang w:val="en-US"/>
        </w:rPr>
        <w:t>0.417/2</w:t>
      </w:r>
      <w:r w:rsidR="008C134E">
        <w:rPr>
          <w:lang w:val="en-US"/>
        </w:rPr>
        <w:t xml:space="preserve"> + 0.417 ms (for generation &amp; transmission) ≈ </w:t>
      </w:r>
      <w:r w:rsidR="008C134E" w:rsidRPr="00266369">
        <w:rPr>
          <w:lang w:val="en-US"/>
        </w:rPr>
        <w:t>1 ms</w:t>
      </w:r>
    </w:p>
    <w:p w:rsidR="008C134E" w:rsidRPr="00266369" w:rsidRDefault="00A10EA3" w:rsidP="00A10EA3">
      <w:pPr>
        <w:pStyle w:val="enumlev1"/>
        <w:rPr>
          <w:lang w:val="en-US"/>
        </w:rPr>
      </w:pPr>
      <w:r>
        <w:t>•</w:t>
      </w:r>
      <w:r>
        <w:tab/>
      </w:r>
      <w:r w:rsidR="008C134E" w:rsidRPr="00266369">
        <w:rPr>
          <w:lang w:val="en-US"/>
        </w:rPr>
        <w:t xml:space="preserve">If </w:t>
      </w:r>
      <w:r w:rsidR="008C134E">
        <w:rPr>
          <w:lang w:val="en-US"/>
        </w:rPr>
        <w:t>DECT_Delay is</w:t>
      </w:r>
      <w:r w:rsidR="008C134E" w:rsidRPr="00266369">
        <w:rPr>
          <w:lang w:val="en-US"/>
        </w:rPr>
        <w:t xml:space="preserve"> set </w:t>
      </w:r>
      <w:r w:rsidR="008C134E">
        <w:rPr>
          <w:lang w:val="en-US"/>
        </w:rPr>
        <w:t>to 1</w:t>
      </w:r>
      <w:r w:rsidR="008C134E" w:rsidRPr="00266369">
        <w:rPr>
          <w:lang w:val="en-US"/>
        </w:rPr>
        <w:t xml:space="preserve"> the response window starts 1/2 frames after the start of the</w:t>
      </w:r>
    </w:p>
    <w:p w:rsidR="008C134E" w:rsidRDefault="00A10EA3" w:rsidP="00A10EA3">
      <w:pPr>
        <w:pStyle w:val="enumlev1"/>
        <w:rPr>
          <w:lang w:val="en-US"/>
        </w:rPr>
      </w:pPr>
      <w:r>
        <w:t>•</w:t>
      </w:r>
      <w:r>
        <w:tab/>
      </w:r>
      <w:r w:rsidR="008C134E" w:rsidRPr="00266369">
        <w:rPr>
          <w:lang w:val="en-US"/>
        </w:rPr>
        <w:t>frame where the Random access transmission was initiated</w:t>
      </w:r>
      <w:r w:rsidR="008C134E">
        <w:rPr>
          <w:lang w:val="en-US"/>
        </w:rPr>
        <w:t>, i.e. 5 ms (this includes the time needed for generating and transmitting the packet, which is 1 ms).</w:t>
      </w:r>
    </w:p>
    <w:p w:rsidR="008C134E" w:rsidRPr="007C7B73" w:rsidRDefault="008C134E" w:rsidP="007C7B73">
      <w:pPr>
        <w:rPr>
          <w:i/>
          <w:iCs/>
        </w:rPr>
      </w:pPr>
      <w:r w:rsidRPr="007C7B73">
        <w:rPr>
          <w:i/>
          <w:iCs/>
        </w:rPr>
        <w:t>Step 2: Association Request Transmission &amp; Detection</w:t>
      </w:r>
    </w:p>
    <w:p w:rsidR="008C134E" w:rsidRDefault="008C134E" w:rsidP="00966C43">
      <w:pPr>
        <w:spacing w:line="276" w:lineRule="auto"/>
        <w:jc w:val="both"/>
      </w:pPr>
      <w:r w:rsidRPr="00637E4D">
        <w:rPr>
          <w:lang w:val="en-US"/>
        </w:rPr>
        <w:t>The association request message is sent on Random access resources</w:t>
      </w:r>
      <w:r>
        <w:rPr>
          <w:lang w:val="en-US"/>
        </w:rPr>
        <w:t xml:space="preserve"> (n</w:t>
      </w:r>
      <w:r w:rsidRPr="009B1BC3">
        <w:rPr>
          <w:lang w:val="en-US"/>
        </w:rPr>
        <w:t>o backoff is assumed</w:t>
      </w:r>
      <w:r>
        <w:rPr>
          <w:lang w:val="en-US"/>
        </w:rPr>
        <w:t>)</w:t>
      </w:r>
      <w:r w:rsidRPr="00637E4D">
        <w:rPr>
          <w:lang w:val="en-US"/>
        </w:rPr>
        <w:t xml:space="preserve"> and transmitted with Unicast Header</w:t>
      </w:r>
      <w:r>
        <w:rPr>
          <w:lang w:val="en-US"/>
        </w:rPr>
        <w:t>, it</w:t>
      </w:r>
      <w:r w:rsidRPr="00637E4D">
        <w:rPr>
          <w:lang w:val="en-US"/>
        </w:rPr>
        <w:t xml:space="preserve"> contains always the information Association Request I</w:t>
      </w:r>
      <w:r>
        <w:rPr>
          <w:lang w:val="en-US"/>
        </w:rPr>
        <w:t xml:space="preserve">E, followed by the </w:t>
      </w:r>
      <w:r w:rsidRPr="00637E4D">
        <w:rPr>
          <w:lang w:val="en-US"/>
        </w:rPr>
        <w:t>RD capability IE</w:t>
      </w:r>
      <w:r>
        <w:rPr>
          <w:lang w:val="en-US"/>
        </w:rPr>
        <w:t xml:space="preserve"> (</w:t>
      </w:r>
      <w:r w:rsidRPr="00EB7D9E">
        <w:rPr>
          <w:lang w:val="en-US"/>
        </w:rPr>
        <w:t>ETSI TS 103 636-</w:t>
      </w:r>
      <w:r>
        <w:rPr>
          <w:lang w:val="en-US"/>
        </w:rPr>
        <w:t>4</w:t>
      </w:r>
      <w:r w:rsidRPr="00EB7D9E">
        <w:rPr>
          <w:lang w:val="en-US"/>
        </w:rPr>
        <w:t xml:space="preserve"> V1.1.1</w:t>
      </w:r>
      <w:r>
        <w:rPr>
          <w:lang w:val="en-US"/>
        </w:rPr>
        <w:t xml:space="preserve"> – Section 6.4.2.4), and </w:t>
      </w:r>
      <w:r w:rsidRPr="00637E4D">
        <w:rPr>
          <w:lang w:val="en-US"/>
        </w:rPr>
        <w:t>if MAC security is applied</w:t>
      </w:r>
      <w:r>
        <w:rPr>
          <w:lang w:val="en-US"/>
        </w:rPr>
        <w:t xml:space="preserve">, </w:t>
      </w:r>
      <w:r w:rsidRPr="00637E4D">
        <w:rPr>
          <w:lang w:val="en-US"/>
        </w:rPr>
        <w:t>the MAC Security Info</w:t>
      </w:r>
      <w:r>
        <w:rPr>
          <w:lang w:val="en-US"/>
        </w:rPr>
        <w:t xml:space="preserve"> as well. </w:t>
      </w:r>
      <w:r>
        <w:t>The corresponding MAC PDU is formed as follows:</w:t>
      </w:r>
    </w:p>
    <w:tbl>
      <w:tblPr>
        <w:tblStyle w:val="TableGrid"/>
        <w:tblW w:w="0" w:type="auto"/>
        <w:tblLook w:val="04A0" w:firstRow="1" w:lastRow="0" w:firstColumn="1" w:lastColumn="0" w:noHBand="0" w:noVBand="1"/>
      </w:tblPr>
      <w:tblGrid>
        <w:gridCol w:w="7825"/>
        <w:gridCol w:w="1525"/>
      </w:tblGrid>
      <w:tr w:rsidR="008C134E" w:rsidTr="004160DC">
        <w:tc>
          <w:tcPr>
            <w:tcW w:w="7825" w:type="dxa"/>
          </w:tcPr>
          <w:p w:rsidR="008C134E" w:rsidRPr="00C236BF" w:rsidRDefault="008C134E" w:rsidP="00A10EA3">
            <w:pPr>
              <w:pStyle w:val="Tablehead"/>
            </w:pPr>
            <w:r w:rsidRPr="00C236BF">
              <w:t>Field</w:t>
            </w:r>
          </w:p>
        </w:tc>
        <w:tc>
          <w:tcPr>
            <w:tcW w:w="1525" w:type="dxa"/>
          </w:tcPr>
          <w:p w:rsidR="008C134E" w:rsidRPr="00C236BF" w:rsidRDefault="008C134E" w:rsidP="00A10EA3">
            <w:pPr>
              <w:pStyle w:val="Tablehead"/>
            </w:pPr>
            <w:r w:rsidRPr="00C236BF">
              <w:t>Payload (Bytes)</w:t>
            </w:r>
          </w:p>
        </w:tc>
      </w:tr>
      <w:tr w:rsidR="008C134E" w:rsidTr="004160DC">
        <w:tc>
          <w:tcPr>
            <w:tcW w:w="7825" w:type="dxa"/>
          </w:tcPr>
          <w:p w:rsidR="008C134E" w:rsidRPr="00EF4797" w:rsidRDefault="008C134E" w:rsidP="00A10EA3">
            <w:pPr>
              <w:pStyle w:val="Tabletext"/>
            </w:pPr>
            <w:r w:rsidRPr="00EF4797">
              <w:t>MAC Header Type</w:t>
            </w:r>
          </w:p>
        </w:tc>
        <w:tc>
          <w:tcPr>
            <w:tcW w:w="1525" w:type="dxa"/>
          </w:tcPr>
          <w:p w:rsidR="008C134E" w:rsidRDefault="008C134E" w:rsidP="00A10EA3">
            <w:pPr>
              <w:pStyle w:val="Tabletext"/>
            </w:pPr>
            <w:r>
              <w:t>1</w:t>
            </w:r>
          </w:p>
        </w:tc>
      </w:tr>
      <w:tr w:rsidR="008C134E" w:rsidTr="004160DC">
        <w:tc>
          <w:tcPr>
            <w:tcW w:w="7825" w:type="dxa"/>
          </w:tcPr>
          <w:p w:rsidR="008C134E" w:rsidRDefault="008C134E" w:rsidP="00A10EA3">
            <w:pPr>
              <w:pStyle w:val="Tabletext"/>
            </w:pPr>
            <w:r w:rsidRPr="00EF4797">
              <w:t xml:space="preserve">MAC Common header </w:t>
            </w:r>
            <w:r>
              <w:t>(Unicast Type)</w:t>
            </w:r>
          </w:p>
        </w:tc>
        <w:tc>
          <w:tcPr>
            <w:tcW w:w="1525" w:type="dxa"/>
          </w:tcPr>
          <w:p w:rsidR="008C134E" w:rsidRDefault="008C134E" w:rsidP="00A10EA3">
            <w:pPr>
              <w:pStyle w:val="Tabletext"/>
            </w:pPr>
            <w:r>
              <w:t>10</w:t>
            </w:r>
          </w:p>
        </w:tc>
      </w:tr>
      <w:tr w:rsidR="008C134E" w:rsidTr="004160DC">
        <w:tc>
          <w:tcPr>
            <w:tcW w:w="7825" w:type="dxa"/>
          </w:tcPr>
          <w:p w:rsidR="008C134E" w:rsidRDefault="008C134E" w:rsidP="00A10EA3">
            <w:pPr>
              <w:pStyle w:val="Tabletext"/>
            </w:pPr>
            <w:r w:rsidRPr="00EF4797">
              <w:t xml:space="preserve">MAC Mux Header for </w:t>
            </w:r>
            <w:r>
              <w:t>Association Request IE</w:t>
            </w:r>
            <w:r w:rsidRPr="00EF4797">
              <w:t xml:space="preserve"> (Option d – medium SDU)</w:t>
            </w:r>
          </w:p>
        </w:tc>
        <w:tc>
          <w:tcPr>
            <w:tcW w:w="1525" w:type="dxa"/>
          </w:tcPr>
          <w:p w:rsidR="008C134E" w:rsidRDefault="008C134E" w:rsidP="00A10EA3">
            <w:pPr>
              <w:pStyle w:val="Tabletext"/>
            </w:pPr>
            <w:r>
              <w:t>2</w:t>
            </w:r>
          </w:p>
        </w:tc>
      </w:tr>
      <w:tr w:rsidR="008C134E" w:rsidTr="004160DC">
        <w:tc>
          <w:tcPr>
            <w:tcW w:w="7825" w:type="dxa"/>
          </w:tcPr>
          <w:p w:rsidR="008C134E" w:rsidRDefault="008C134E" w:rsidP="00A10EA3">
            <w:pPr>
              <w:pStyle w:val="Tabletext"/>
            </w:pPr>
            <w:r>
              <w:t xml:space="preserve">Association Request </w:t>
            </w:r>
            <w:r w:rsidRPr="00EF4797">
              <w:t>Message IE</w:t>
            </w:r>
          </w:p>
        </w:tc>
        <w:tc>
          <w:tcPr>
            <w:tcW w:w="1525" w:type="dxa"/>
          </w:tcPr>
          <w:p w:rsidR="008C134E" w:rsidRDefault="008C134E" w:rsidP="00A10EA3">
            <w:pPr>
              <w:pStyle w:val="Tabletext"/>
            </w:pPr>
            <w:r>
              <w:t>10</w:t>
            </w:r>
          </w:p>
        </w:tc>
      </w:tr>
      <w:tr w:rsidR="008C134E" w:rsidTr="004160DC">
        <w:tc>
          <w:tcPr>
            <w:tcW w:w="7825" w:type="dxa"/>
          </w:tcPr>
          <w:p w:rsidR="008C134E" w:rsidRDefault="008C134E" w:rsidP="00A10EA3">
            <w:pPr>
              <w:pStyle w:val="Tabletext"/>
            </w:pPr>
            <w:r w:rsidRPr="0066334E">
              <w:t>MAC M</w:t>
            </w:r>
            <w:r>
              <w:t>ux</w:t>
            </w:r>
            <w:r w:rsidRPr="0066334E">
              <w:t xml:space="preserve"> Header</w:t>
            </w:r>
            <w:r>
              <w:t xml:space="preserve"> for RD Capability IE</w:t>
            </w:r>
            <w:r w:rsidRPr="005344FC">
              <w:t xml:space="preserve"> (Option d – medium SDU)</w:t>
            </w:r>
          </w:p>
        </w:tc>
        <w:tc>
          <w:tcPr>
            <w:tcW w:w="1525" w:type="dxa"/>
          </w:tcPr>
          <w:p w:rsidR="008C134E" w:rsidRDefault="008C134E" w:rsidP="00A10EA3">
            <w:pPr>
              <w:pStyle w:val="Tabletext"/>
            </w:pPr>
            <w:r>
              <w:t>2</w:t>
            </w:r>
          </w:p>
        </w:tc>
      </w:tr>
      <w:tr w:rsidR="008C134E" w:rsidTr="004160DC">
        <w:tc>
          <w:tcPr>
            <w:tcW w:w="7825" w:type="dxa"/>
          </w:tcPr>
          <w:p w:rsidR="008C134E" w:rsidRDefault="008C134E" w:rsidP="00A10EA3">
            <w:pPr>
              <w:pStyle w:val="Tabletext"/>
            </w:pPr>
            <w:r>
              <w:t>RD Capability</w:t>
            </w:r>
            <w:r w:rsidRPr="0066334E">
              <w:t xml:space="preserve"> IE</w:t>
            </w:r>
          </w:p>
        </w:tc>
        <w:tc>
          <w:tcPr>
            <w:tcW w:w="1525" w:type="dxa"/>
          </w:tcPr>
          <w:p w:rsidR="008C134E" w:rsidRDefault="008C134E" w:rsidP="00A10EA3">
            <w:pPr>
              <w:pStyle w:val="Tabletext"/>
            </w:pPr>
            <w:r>
              <w:t>3</w:t>
            </w:r>
          </w:p>
        </w:tc>
      </w:tr>
      <w:tr w:rsidR="008C134E" w:rsidTr="004160DC">
        <w:tc>
          <w:tcPr>
            <w:tcW w:w="7825" w:type="dxa"/>
          </w:tcPr>
          <w:p w:rsidR="008C134E" w:rsidRDefault="008C134E" w:rsidP="00A10EA3">
            <w:pPr>
              <w:pStyle w:val="Tabletext"/>
            </w:pPr>
            <w:r w:rsidRPr="00EF4797">
              <w:t>MAC Mux Header for Security Info (Option d – medium SDU)</w:t>
            </w:r>
          </w:p>
        </w:tc>
        <w:tc>
          <w:tcPr>
            <w:tcW w:w="1525" w:type="dxa"/>
          </w:tcPr>
          <w:p w:rsidR="008C134E" w:rsidRDefault="008C134E" w:rsidP="00A10EA3">
            <w:pPr>
              <w:pStyle w:val="Tabletext"/>
            </w:pPr>
            <w:r>
              <w:t>2</w:t>
            </w:r>
          </w:p>
        </w:tc>
      </w:tr>
      <w:tr w:rsidR="008C134E" w:rsidTr="004160DC">
        <w:tc>
          <w:tcPr>
            <w:tcW w:w="7825" w:type="dxa"/>
          </w:tcPr>
          <w:p w:rsidR="008C134E" w:rsidRDefault="008C134E" w:rsidP="00A10EA3">
            <w:pPr>
              <w:pStyle w:val="Tabletext"/>
            </w:pPr>
            <w:r w:rsidRPr="00EF4797">
              <w:t>MAC Security Info IE</w:t>
            </w:r>
          </w:p>
        </w:tc>
        <w:tc>
          <w:tcPr>
            <w:tcW w:w="1525" w:type="dxa"/>
          </w:tcPr>
          <w:p w:rsidR="008C134E" w:rsidRDefault="008C134E" w:rsidP="00A10EA3">
            <w:pPr>
              <w:pStyle w:val="Tabletext"/>
            </w:pPr>
            <w:r>
              <w:t>5</w:t>
            </w:r>
          </w:p>
        </w:tc>
      </w:tr>
      <w:tr w:rsidR="008C134E" w:rsidTr="004160DC">
        <w:tc>
          <w:tcPr>
            <w:tcW w:w="7825" w:type="dxa"/>
          </w:tcPr>
          <w:p w:rsidR="008C134E" w:rsidRDefault="008C134E" w:rsidP="00A10EA3">
            <w:pPr>
              <w:pStyle w:val="Tabletext"/>
            </w:pPr>
            <w:r w:rsidRPr="00EF4797">
              <w:t>MIC</w:t>
            </w:r>
          </w:p>
        </w:tc>
        <w:tc>
          <w:tcPr>
            <w:tcW w:w="1525" w:type="dxa"/>
          </w:tcPr>
          <w:p w:rsidR="008C134E" w:rsidRDefault="008C134E" w:rsidP="00A10EA3">
            <w:pPr>
              <w:pStyle w:val="Tabletext"/>
            </w:pPr>
            <w:r>
              <w:t>5</w:t>
            </w:r>
          </w:p>
        </w:tc>
      </w:tr>
    </w:tbl>
    <w:p w:rsidR="00A10EA3" w:rsidRDefault="00A10EA3" w:rsidP="00A10EA3">
      <w:pPr>
        <w:pStyle w:val="Tablefin"/>
      </w:pPr>
    </w:p>
    <w:p w:rsidR="008C134E" w:rsidRDefault="008C134E" w:rsidP="007C7B73">
      <w:pPr>
        <w:spacing w:before="240" w:line="276" w:lineRule="auto"/>
        <w:jc w:val="both"/>
        <w:rPr>
          <w:lang w:val="en-US"/>
        </w:rPr>
      </w:pPr>
      <w:r>
        <w:t xml:space="preserve">The resulted PDU Size is 320 bits and </w:t>
      </w:r>
      <w:r>
        <w:rPr>
          <w:lang w:val="en-US"/>
        </w:rPr>
        <w:t>with numerology (</w:t>
      </w:r>
      <w:r>
        <w:rPr>
          <w:lang w:val="el-GR"/>
        </w:rPr>
        <w:t>β</w:t>
      </w:r>
      <w:r w:rsidRPr="008248C5">
        <w:rPr>
          <w:lang w:val="en-US"/>
        </w:rPr>
        <w:t>,</w:t>
      </w:r>
      <w:r>
        <w:rPr>
          <w:lang w:val="el-GR"/>
        </w:rPr>
        <w:t>μ</w:t>
      </w:r>
      <w:r w:rsidRPr="008248C5">
        <w:rPr>
          <w:lang w:val="en-US"/>
        </w:rPr>
        <w:t>)</w:t>
      </w:r>
      <w:r>
        <w:rPr>
          <w:lang w:val="en-US"/>
        </w:rPr>
        <w:t>=(1,1) can be loaded to a transport block of 456 bits and transmitted with MCS2 (</w:t>
      </w:r>
      <w:r w:rsidRPr="00EB7D9E">
        <w:rPr>
          <w:lang w:val="en-US"/>
        </w:rPr>
        <w:t>ETSI TS 103 636-3 V1.1.1</w:t>
      </w:r>
      <w:r>
        <w:rPr>
          <w:lang w:val="en-US"/>
        </w:rPr>
        <w:t>-</w:t>
      </w:r>
      <w:r w:rsidRPr="00EB7D9E">
        <w:t xml:space="preserve"> </w:t>
      </w:r>
      <w:r w:rsidRPr="00EB7D9E">
        <w:rPr>
          <w:lang w:val="en-US"/>
        </w:rPr>
        <w:t>Table C.1-1</w:t>
      </w:r>
      <w:r>
        <w:rPr>
          <w:lang w:val="en-US"/>
        </w:rPr>
        <w:t xml:space="preserve">). The time it takes to generate and transmit the Association Request message is considered 1 slot (0.417 ms), while we assume an additional subslot for detecting it (0.21 ms), hence total delay for </w:t>
      </w:r>
      <w:r w:rsidRPr="0073049C">
        <w:rPr>
          <w:lang w:val="en-US"/>
        </w:rPr>
        <w:t>this step is 0.624 ms.</w:t>
      </w:r>
    </w:p>
    <w:p w:rsidR="008C134E" w:rsidRPr="007C7B73" w:rsidRDefault="008C134E" w:rsidP="007C7B73">
      <w:pPr>
        <w:rPr>
          <w:i/>
          <w:iCs/>
        </w:rPr>
      </w:pPr>
      <w:r w:rsidRPr="007C7B73">
        <w:rPr>
          <w:i/>
          <w:iCs/>
        </w:rPr>
        <w:t>Step 3: Association Response Transmission &amp; Detection</w:t>
      </w:r>
    </w:p>
    <w:p w:rsidR="008C134E" w:rsidRDefault="008C134E" w:rsidP="00314228">
      <w:pPr>
        <w:spacing w:after="240" w:line="276" w:lineRule="auto"/>
        <w:jc w:val="both"/>
      </w:pPr>
      <w:r>
        <w:rPr>
          <w:lang w:val="en-US"/>
        </w:rPr>
        <w:t>The RD in FT mode upon receiving the association request message, responds with an</w:t>
      </w:r>
      <w:r w:rsidRPr="005A3F3B">
        <w:rPr>
          <w:lang w:val="en-US"/>
        </w:rPr>
        <w:t xml:space="preserve"> association response message </w:t>
      </w:r>
      <w:r>
        <w:rPr>
          <w:lang w:val="en-US"/>
        </w:rPr>
        <w:t>-accept or reject- (</w:t>
      </w:r>
      <w:r w:rsidRPr="00EB7D9E">
        <w:rPr>
          <w:lang w:val="en-US"/>
        </w:rPr>
        <w:t>ETSI TS 103 636-</w:t>
      </w:r>
      <w:r>
        <w:rPr>
          <w:lang w:val="en-US"/>
        </w:rPr>
        <w:t>4 - 6.4.2.5).</w:t>
      </w:r>
      <w:r w:rsidRPr="005A3F3B">
        <w:t xml:space="preserve"> </w:t>
      </w:r>
      <w:r w:rsidRPr="005A3F3B">
        <w:rPr>
          <w:lang w:val="en-US"/>
        </w:rPr>
        <w:t>The association response message is transmitted with Unicast Header</w:t>
      </w:r>
      <w:r>
        <w:rPr>
          <w:lang w:val="en-US"/>
        </w:rPr>
        <w:t xml:space="preserve">. It starts with the </w:t>
      </w:r>
      <w:r w:rsidRPr="009C4B9E">
        <w:rPr>
          <w:lang w:val="en-US"/>
        </w:rPr>
        <w:t>Association response IE</w:t>
      </w:r>
      <w:r>
        <w:rPr>
          <w:lang w:val="en-US"/>
        </w:rPr>
        <w:t xml:space="preserve">, followed by the RD Capability IE, </w:t>
      </w:r>
      <w:r w:rsidRPr="005A3F3B">
        <w:rPr>
          <w:lang w:val="en-US"/>
        </w:rPr>
        <w:t>and if MAC security is applied</w:t>
      </w:r>
      <w:r>
        <w:rPr>
          <w:lang w:val="en-US"/>
        </w:rPr>
        <w:t xml:space="preserve"> t</w:t>
      </w:r>
      <w:r w:rsidRPr="005A3F3B">
        <w:rPr>
          <w:lang w:val="en-US"/>
        </w:rPr>
        <w:t>he MAC Security Info</w:t>
      </w:r>
      <w:r>
        <w:rPr>
          <w:lang w:val="en-US"/>
        </w:rPr>
        <w:t xml:space="preserve">. </w:t>
      </w:r>
      <w:r>
        <w:t>The corresponding MAC PDU is formed as follows:</w:t>
      </w:r>
    </w:p>
    <w:tbl>
      <w:tblPr>
        <w:tblStyle w:val="TableGrid"/>
        <w:tblW w:w="0" w:type="auto"/>
        <w:tblLook w:val="04A0" w:firstRow="1" w:lastRow="0" w:firstColumn="1" w:lastColumn="0" w:noHBand="0" w:noVBand="1"/>
      </w:tblPr>
      <w:tblGrid>
        <w:gridCol w:w="7825"/>
        <w:gridCol w:w="1525"/>
      </w:tblGrid>
      <w:tr w:rsidR="008C134E" w:rsidTr="004160DC">
        <w:tc>
          <w:tcPr>
            <w:tcW w:w="7825" w:type="dxa"/>
          </w:tcPr>
          <w:p w:rsidR="008C134E" w:rsidRPr="00C236BF" w:rsidRDefault="008C134E" w:rsidP="00A10EA3">
            <w:pPr>
              <w:pStyle w:val="Tablehead"/>
            </w:pPr>
            <w:r w:rsidRPr="00C236BF">
              <w:t>Field</w:t>
            </w:r>
          </w:p>
        </w:tc>
        <w:tc>
          <w:tcPr>
            <w:tcW w:w="1525" w:type="dxa"/>
          </w:tcPr>
          <w:p w:rsidR="008C134E" w:rsidRPr="00C236BF" w:rsidRDefault="008C134E" w:rsidP="00A10EA3">
            <w:pPr>
              <w:pStyle w:val="Tablehead"/>
            </w:pPr>
            <w:r w:rsidRPr="00C236BF">
              <w:t>Payload (Bytes)</w:t>
            </w:r>
          </w:p>
        </w:tc>
      </w:tr>
      <w:tr w:rsidR="008C134E" w:rsidTr="004160DC">
        <w:tc>
          <w:tcPr>
            <w:tcW w:w="7825" w:type="dxa"/>
          </w:tcPr>
          <w:p w:rsidR="008C134E" w:rsidRPr="00EF4797" w:rsidRDefault="008C134E" w:rsidP="00A10EA3">
            <w:pPr>
              <w:pStyle w:val="Tabletext"/>
            </w:pPr>
            <w:r w:rsidRPr="00EF4797">
              <w:t>MAC Header Type</w:t>
            </w:r>
          </w:p>
        </w:tc>
        <w:tc>
          <w:tcPr>
            <w:tcW w:w="1525" w:type="dxa"/>
          </w:tcPr>
          <w:p w:rsidR="008C134E" w:rsidRDefault="008C134E" w:rsidP="00A10EA3">
            <w:pPr>
              <w:pStyle w:val="Tabletext"/>
            </w:pPr>
            <w:r>
              <w:t>1</w:t>
            </w:r>
          </w:p>
        </w:tc>
      </w:tr>
      <w:tr w:rsidR="008C134E" w:rsidTr="004160DC">
        <w:tc>
          <w:tcPr>
            <w:tcW w:w="7825" w:type="dxa"/>
          </w:tcPr>
          <w:p w:rsidR="008C134E" w:rsidRDefault="008C134E" w:rsidP="00A10EA3">
            <w:pPr>
              <w:pStyle w:val="Tabletext"/>
            </w:pPr>
            <w:r w:rsidRPr="00EF4797">
              <w:t xml:space="preserve">MAC Common header </w:t>
            </w:r>
            <w:r>
              <w:t>(Unicast Type)</w:t>
            </w:r>
          </w:p>
        </w:tc>
        <w:tc>
          <w:tcPr>
            <w:tcW w:w="1525" w:type="dxa"/>
          </w:tcPr>
          <w:p w:rsidR="008C134E" w:rsidRDefault="008C134E" w:rsidP="00A10EA3">
            <w:pPr>
              <w:pStyle w:val="Tabletext"/>
            </w:pPr>
            <w:r>
              <w:t>10</w:t>
            </w:r>
          </w:p>
        </w:tc>
      </w:tr>
      <w:tr w:rsidR="008C134E" w:rsidTr="004160DC">
        <w:tc>
          <w:tcPr>
            <w:tcW w:w="7825" w:type="dxa"/>
          </w:tcPr>
          <w:p w:rsidR="008C134E" w:rsidRDefault="008C134E" w:rsidP="00A10EA3">
            <w:pPr>
              <w:pStyle w:val="Tabletext"/>
            </w:pPr>
            <w:r w:rsidRPr="00EF4797">
              <w:t xml:space="preserve">MAC Mux Header for </w:t>
            </w:r>
            <w:r>
              <w:t>Association Response request IE</w:t>
            </w:r>
            <w:r w:rsidRPr="00EF4797">
              <w:t xml:space="preserve"> (Option d – medium SDU)</w:t>
            </w:r>
          </w:p>
        </w:tc>
        <w:tc>
          <w:tcPr>
            <w:tcW w:w="1525" w:type="dxa"/>
          </w:tcPr>
          <w:p w:rsidR="008C134E" w:rsidRDefault="008C134E" w:rsidP="00A10EA3">
            <w:pPr>
              <w:pStyle w:val="Tabletext"/>
            </w:pPr>
            <w:r>
              <w:t>2</w:t>
            </w:r>
          </w:p>
        </w:tc>
      </w:tr>
      <w:tr w:rsidR="008C134E" w:rsidTr="004160DC">
        <w:tc>
          <w:tcPr>
            <w:tcW w:w="7825" w:type="dxa"/>
          </w:tcPr>
          <w:p w:rsidR="008C134E" w:rsidRDefault="008C134E" w:rsidP="00A10EA3">
            <w:pPr>
              <w:pStyle w:val="Tabletext"/>
            </w:pPr>
            <w:r>
              <w:t xml:space="preserve">Association Response </w:t>
            </w:r>
            <w:r w:rsidRPr="00EF4797">
              <w:t>Message IE</w:t>
            </w:r>
            <w:r>
              <w:rPr>
                <w:vertAlign w:val="superscript"/>
              </w:rPr>
              <w:t>*</w:t>
            </w:r>
          </w:p>
          <w:p w:rsidR="008C134E" w:rsidRPr="00187E9A" w:rsidRDefault="008C134E" w:rsidP="00A10EA3">
            <w:pPr>
              <w:pStyle w:val="Tabletext"/>
              <w:rPr>
                <w:b/>
                <w:bCs/>
              </w:rPr>
            </w:pPr>
            <w:r w:rsidRPr="00633F4C">
              <w:rPr>
                <w:sz w:val="18"/>
                <w:szCs w:val="18"/>
                <w:vertAlign w:val="superscript"/>
              </w:rPr>
              <w:t>*</w:t>
            </w:r>
            <w:r w:rsidRPr="00633F4C">
              <w:rPr>
                <w:sz w:val="18"/>
                <w:szCs w:val="18"/>
              </w:rPr>
              <w:t>we consider the minimum content, additional optional content may include HARQ, flows, and group resource allocation configuration</w:t>
            </w:r>
          </w:p>
        </w:tc>
        <w:tc>
          <w:tcPr>
            <w:tcW w:w="1525" w:type="dxa"/>
          </w:tcPr>
          <w:p w:rsidR="008C134E" w:rsidRDefault="008C134E" w:rsidP="00A10EA3">
            <w:pPr>
              <w:pStyle w:val="Tabletext"/>
            </w:pPr>
            <w:r>
              <w:t>1</w:t>
            </w:r>
          </w:p>
        </w:tc>
      </w:tr>
      <w:tr w:rsidR="008C134E" w:rsidTr="004160DC">
        <w:tc>
          <w:tcPr>
            <w:tcW w:w="7825" w:type="dxa"/>
          </w:tcPr>
          <w:p w:rsidR="008C134E" w:rsidRDefault="008C134E" w:rsidP="00A10EA3">
            <w:pPr>
              <w:pStyle w:val="Tabletext"/>
            </w:pPr>
            <w:r w:rsidRPr="0066334E">
              <w:t>MAC M</w:t>
            </w:r>
            <w:r>
              <w:t>ux</w:t>
            </w:r>
            <w:r w:rsidRPr="0066334E">
              <w:t xml:space="preserve"> Header</w:t>
            </w:r>
            <w:r>
              <w:t xml:space="preserve"> for RD Capability IE</w:t>
            </w:r>
            <w:r w:rsidRPr="005344FC">
              <w:t xml:space="preserve"> (Option d – medium SDU)</w:t>
            </w:r>
          </w:p>
        </w:tc>
        <w:tc>
          <w:tcPr>
            <w:tcW w:w="1525" w:type="dxa"/>
          </w:tcPr>
          <w:p w:rsidR="008C134E" w:rsidRDefault="008C134E" w:rsidP="00A10EA3">
            <w:pPr>
              <w:pStyle w:val="Tabletext"/>
            </w:pPr>
            <w:r>
              <w:t>2</w:t>
            </w:r>
          </w:p>
        </w:tc>
      </w:tr>
      <w:tr w:rsidR="008C134E" w:rsidTr="004160DC">
        <w:tc>
          <w:tcPr>
            <w:tcW w:w="7825" w:type="dxa"/>
          </w:tcPr>
          <w:p w:rsidR="008C134E" w:rsidRDefault="008C134E" w:rsidP="00A10EA3">
            <w:pPr>
              <w:pStyle w:val="Tabletext"/>
            </w:pPr>
            <w:r>
              <w:t>RD Capability</w:t>
            </w:r>
            <w:r w:rsidRPr="0066334E">
              <w:t xml:space="preserve"> IE</w:t>
            </w:r>
          </w:p>
        </w:tc>
        <w:tc>
          <w:tcPr>
            <w:tcW w:w="1525" w:type="dxa"/>
          </w:tcPr>
          <w:p w:rsidR="008C134E" w:rsidRDefault="008C134E" w:rsidP="00A10EA3">
            <w:pPr>
              <w:pStyle w:val="Tabletext"/>
            </w:pPr>
            <w:r>
              <w:t>3</w:t>
            </w:r>
          </w:p>
        </w:tc>
      </w:tr>
      <w:tr w:rsidR="008C134E" w:rsidTr="004160DC">
        <w:tc>
          <w:tcPr>
            <w:tcW w:w="7825" w:type="dxa"/>
          </w:tcPr>
          <w:p w:rsidR="008C134E" w:rsidRDefault="008C134E" w:rsidP="00A10EA3">
            <w:pPr>
              <w:pStyle w:val="Tabletext"/>
            </w:pPr>
            <w:r w:rsidRPr="00EF4797">
              <w:t>MAC Mux Header for Security Info (Option d – medium SDU)</w:t>
            </w:r>
          </w:p>
        </w:tc>
        <w:tc>
          <w:tcPr>
            <w:tcW w:w="1525" w:type="dxa"/>
          </w:tcPr>
          <w:p w:rsidR="008C134E" w:rsidRDefault="008C134E" w:rsidP="00A10EA3">
            <w:pPr>
              <w:pStyle w:val="Tabletext"/>
            </w:pPr>
            <w:r>
              <w:t>2</w:t>
            </w:r>
          </w:p>
        </w:tc>
      </w:tr>
      <w:tr w:rsidR="008C134E" w:rsidTr="004160DC">
        <w:tc>
          <w:tcPr>
            <w:tcW w:w="7825" w:type="dxa"/>
          </w:tcPr>
          <w:p w:rsidR="008C134E" w:rsidRDefault="008C134E" w:rsidP="00A10EA3">
            <w:pPr>
              <w:pStyle w:val="Tabletext"/>
            </w:pPr>
            <w:r w:rsidRPr="00EF4797">
              <w:t>MAC Security Info IE</w:t>
            </w:r>
          </w:p>
        </w:tc>
        <w:tc>
          <w:tcPr>
            <w:tcW w:w="1525" w:type="dxa"/>
          </w:tcPr>
          <w:p w:rsidR="008C134E" w:rsidRDefault="008C134E" w:rsidP="00A10EA3">
            <w:pPr>
              <w:pStyle w:val="Tabletext"/>
            </w:pPr>
            <w:r>
              <w:t>5</w:t>
            </w:r>
          </w:p>
        </w:tc>
      </w:tr>
      <w:tr w:rsidR="008C134E" w:rsidTr="004160DC">
        <w:tc>
          <w:tcPr>
            <w:tcW w:w="7825" w:type="dxa"/>
          </w:tcPr>
          <w:p w:rsidR="008C134E" w:rsidRDefault="008C134E" w:rsidP="00A10EA3">
            <w:pPr>
              <w:pStyle w:val="Tabletext"/>
            </w:pPr>
            <w:r w:rsidRPr="00EF4797">
              <w:t>MIC</w:t>
            </w:r>
          </w:p>
        </w:tc>
        <w:tc>
          <w:tcPr>
            <w:tcW w:w="1525" w:type="dxa"/>
          </w:tcPr>
          <w:p w:rsidR="008C134E" w:rsidRDefault="008C134E" w:rsidP="00A10EA3">
            <w:pPr>
              <w:pStyle w:val="Tabletext"/>
            </w:pPr>
            <w:r>
              <w:t>5</w:t>
            </w:r>
          </w:p>
        </w:tc>
      </w:tr>
    </w:tbl>
    <w:p w:rsidR="00A10EA3" w:rsidRDefault="00A10EA3" w:rsidP="00A10EA3">
      <w:pPr>
        <w:pStyle w:val="Tablefin"/>
      </w:pPr>
    </w:p>
    <w:p w:rsidR="008C134E" w:rsidRDefault="008C134E" w:rsidP="00314228">
      <w:pPr>
        <w:spacing w:before="240" w:after="240" w:line="276" w:lineRule="auto"/>
        <w:jc w:val="both"/>
        <w:rPr>
          <w:lang w:val="en-US"/>
        </w:rPr>
      </w:pPr>
      <w:r>
        <w:t xml:space="preserve">The resulted PDU Size is 248 bits and </w:t>
      </w:r>
      <w:r>
        <w:rPr>
          <w:lang w:val="en-US"/>
        </w:rPr>
        <w:t>with numerology (</w:t>
      </w:r>
      <w:r>
        <w:rPr>
          <w:lang w:val="el-GR"/>
        </w:rPr>
        <w:t>β</w:t>
      </w:r>
      <w:r w:rsidRPr="008248C5">
        <w:rPr>
          <w:lang w:val="en-US"/>
        </w:rPr>
        <w:t>,</w:t>
      </w:r>
      <w:r>
        <w:rPr>
          <w:lang w:val="el-GR"/>
        </w:rPr>
        <w:t>μ</w:t>
      </w:r>
      <w:r w:rsidRPr="008248C5">
        <w:rPr>
          <w:lang w:val="en-US"/>
        </w:rPr>
        <w:t>)</w:t>
      </w:r>
      <w:r>
        <w:rPr>
          <w:lang w:val="en-US"/>
        </w:rPr>
        <w:t>=(1,1) can be loaded to a transport block of 296 bits and transmitted with MCS1 (</w:t>
      </w:r>
      <w:r w:rsidRPr="00EB7D9E">
        <w:rPr>
          <w:lang w:val="en-US"/>
        </w:rPr>
        <w:t>ETSI TS 103 636-3 V1.1.1</w:t>
      </w:r>
      <w:r>
        <w:rPr>
          <w:lang w:val="en-US"/>
        </w:rPr>
        <w:t>-</w:t>
      </w:r>
      <w:r w:rsidRPr="00EB7D9E">
        <w:t xml:space="preserve"> </w:t>
      </w:r>
      <w:r w:rsidRPr="00EB7D9E">
        <w:rPr>
          <w:lang w:val="en-US"/>
        </w:rPr>
        <w:t>Table C.1-1</w:t>
      </w:r>
      <w:r>
        <w:rPr>
          <w:lang w:val="en-US"/>
        </w:rPr>
        <w:t>). The time it takes to transmit the Association Response message is considered 1 slot (0.417 ms), while we assume an additional subslot (0.21 ms) for detecting it at the source RD.  The source RD detects the association response message with a processing delay of 1 subslot (0.21 ms). After that tim</w:t>
      </w:r>
      <w:r w:rsidRPr="00D50417">
        <w:rPr>
          <w:lang w:val="en-US"/>
        </w:rPr>
        <w:t>e, it is ready to start a user-plane communication with the other RD in FT mode. Hence total delay for this step is 0.</w:t>
      </w:r>
      <w:r>
        <w:rPr>
          <w:lang w:val="en-US"/>
        </w:rPr>
        <w:t xml:space="preserve">624 </w:t>
      </w:r>
      <w:r w:rsidRPr="00D50417">
        <w:rPr>
          <w:lang w:val="en-US"/>
        </w:rPr>
        <w:t>ms.</w:t>
      </w:r>
    </w:p>
    <w:p w:rsidR="008C134E" w:rsidRDefault="008C134E" w:rsidP="00314228">
      <w:pPr>
        <w:spacing w:after="240" w:line="276" w:lineRule="auto"/>
        <w:jc w:val="both"/>
        <w:rPr>
          <w:lang w:val="en-US"/>
        </w:rPr>
      </w:pPr>
      <w:r>
        <w:rPr>
          <w:lang w:val="en-US"/>
        </w:rPr>
        <w:t xml:space="preserve">The control-plane latency analysis is summarized in </w:t>
      </w:r>
      <w:r>
        <w:rPr>
          <w:lang w:val="en-US"/>
        </w:rPr>
        <w:fldChar w:fldCharType="begin"/>
      </w:r>
      <w:r>
        <w:rPr>
          <w:lang w:val="en-US"/>
        </w:rPr>
        <w:instrText xml:space="preserve"> REF _Ref71470581 \h  \* MERGEFORMAT </w:instrText>
      </w:r>
      <w:r>
        <w:rPr>
          <w:lang w:val="en-US"/>
        </w:rPr>
      </w:r>
      <w:r>
        <w:rPr>
          <w:lang w:val="en-US"/>
        </w:rPr>
        <w:fldChar w:fldCharType="separate"/>
      </w:r>
      <w:r w:rsidRPr="00EB69E8">
        <w:t xml:space="preserve">Table </w:t>
      </w:r>
      <w:r w:rsidRPr="00EB69E8">
        <w:rPr>
          <w:noProof/>
        </w:rPr>
        <w:t>8</w:t>
      </w:r>
      <w:r>
        <w:rPr>
          <w:lang w:val="en-US"/>
        </w:rPr>
        <w:fldChar w:fldCharType="end"/>
      </w:r>
      <w:r>
        <w:rPr>
          <w:lang w:val="en-US"/>
        </w:rPr>
        <w:t>, where the total latency is also provided and shown to be compliant with the respective ITU requirement.</w:t>
      </w:r>
    </w:p>
    <w:p w:rsidR="00A10EA3" w:rsidRDefault="008C134E" w:rsidP="006E0CDD">
      <w:pPr>
        <w:pStyle w:val="TableNo"/>
        <w:spacing w:before="480"/>
      </w:pPr>
      <w:bookmarkStart w:id="22" w:name="_Ref71470581"/>
      <w:r w:rsidRPr="00E91A38">
        <w:t xml:space="preserve">Table </w:t>
      </w:r>
      <w:r w:rsidRPr="00E91A38">
        <w:fldChar w:fldCharType="begin"/>
      </w:r>
      <w:r w:rsidRPr="00E91A38">
        <w:instrText xml:space="preserve"> SEQ Table \* ARABIC </w:instrText>
      </w:r>
      <w:r w:rsidRPr="00E91A38">
        <w:fldChar w:fldCharType="separate"/>
      </w:r>
      <w:r w:rsidRPr="00E91A38">
        <w:rPr>
          <w:noProof/>
        </w:rPr>
        <w:t>9</w:t>
      </w:r>
      <w:r w:rsidRPr="00E91A38">
        <w:fldChar w:fldCharType="end"/>
      </w:r>
      <w:bookmarkEnd w:id="22"/>
    </w:p>
    <w:p w:rsidR="008C134E" w:rsidRPr="00E91A38" w:rsidRDefault="008C134E" w:rsidP="00A10EA3">
      <w:pPr>
        <w:pStyle w:val="Tabletitle"/>
        <w:rPr>
          <w:lang w:val="en-US"/>
        </w:rPr>
      </w:pPr>
      <w:r w:rsidRPr="00E91A38">
        <w:t xml:space="preserve"> Control-Plane Latency Analysis for DECT-2020 NR Technology </w:t>
      </w:r>
      <w:r w:rsidRPr="00E91A38">
        <w:rPr>
          <w:lang w:val="en-US"/>
        </w:rPr>
        <w:t>(for subcarrier scaling factor 1)</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5"/>
        <w:gridCol w:w="4770"/>
        <w:gridCol w:w="3785"/>
      </w:tblGrid>
      <w:tr w:rsidR="008C134E" w:rsidRPr="00A67008" w:rsidTr="004160DC">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C134E" w:rsidRPr="00A67008" w:rsidRDefault="008C134E" w:rsidP="004160DC">
            <w:pPr>
              <w:pStyle w:val="Tablehead"/>
              <w:rPr>
                <w:rFonts w:ascii="Times New Roman" w:hAnsi="Times New Roman" w:cs="Times New Roman"/>
              </w:rPr>
            </w:pPr>
            <w:r w:rsidRPr="00A67008">
              <w:rPr>
                <w:rFonts w:ascii="Times New Roman" w:hAnsi="Times New Roman" w:cs="Times New Roman"/>
              </w:rPr>
              <w:t>Step</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C134E" w:rsidRPr="00A67008" w:rsidRDefault="008C134E" w:rsidP="004160DC">
            <w:pPr>
              <w:pStyle w:val="Tablehead"/>
              <w:rPr>
                <w:rFonts w:ascii="Times New Roman" w:hAnsi="Times New Roman" w:cs="Times New Roman"/>
              </w:rPr>
            </w:pPr>
            <w:r w:rsidRPr="00A67008">
              <w:rPr>
                <w:rFonts w:ascii="Times New Roman" w:hAnsi="Times New Roman" w:cs="Times New Roman"/>
              </w:rPr>
              <w:t>Description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C134E" w:rsidRPr="00A67008" w:rsidRDefault="008C134E" w:rsidP="004160DC">
            <w:pPr>
              <w:pStyle w:val="Tablehead"/>
              <w:rPr>
                <w:rFonts w:ascii="Times New Roman" w:hAnsi="Times New Roman" w:cs="Times New Roman"/>
              </w:rPr>
            </w:pPr>
            <w:r w:rsidRPr="00A67008">
              <w:rPr>
                <w:rFonts w:ascii="Times New Roman" w:hAnsi="Times New Roman" w:cs="Times New Roman"/>
              </w:rPr>
              <w:t>Value</w:t>
            </w:r>
            <w:r>
              <w:rPr>
                <w:rFonts w:ascii="Times New Roman" w:hAnsi="Times New Roman" w:cs="Times New Roman"/>
              </w:rPr>
              <w:t>/Comment</w:t>
            </w:r>
          </w:p>
        </w:tc>
      </w:tr>
      <w:tr w:rsidR="008C134E" w:rsidRPr="00361679" w:rsidTr="004160DC">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502397" w:rsidRDefault="008C134E" w:rsidP="004160DC">
            <w:pPr>
              <w:pStyle w:val="Tablehead"/>
              <w:jc w:val="left"/>
              <w:rPr>
                <w:rFonts w:ascii="Times New Roman" w:hAnsi="Times New Roman" w:cs="Times New Roman"/>
                <w:b w:val="0"/>
                <w:i/>
                <w:iCs/>
              </w:rPr>
            </w:pPr>
            <w:r w:rsidRPr="00502397">
              <w:rPr>
                <w:rFonts w:ascii="Times New Roman" w:hAnsi="Times New Roman" w:cs="Times New Roman"/>
                <w:b w:val="0"/>
                <w:i/>
                <w:iCs/>
              </w:rPr>
              <w:t>0</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502397" w:rsidRDefault="008C134E" w:rsidP="004160DC">
            <w:pPr>
              <w:pStyle w:val="Tablehead"/>
              <w:jc w:val="left"/>
              <w:rPr>
                <w:rFonts w:ascii="Times New Roman" w:hAnsi="Times New Roman" w:cs="Times New Roman"/>
                <w:b w:val="0"/>
                <w:i/>
                <w:iCs/>
              </w:rPr>
            </w:pPr>
            <w:r w:rsidRPr="00502397">
              <w:rPr>
                <w:rFonts w:ascii="Times New Roman" w:hAnsi="Times New Roman" w:cs="Times New Roman"/>
                <w:b w:val="0"/>
                <w:i/>
                <w:iCs/>
              </w:rPr>
              <w:t>Network/Cluster/Resource Allocation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Default="008C134E" w:rsidP="004160DC">
            <w:pPr>
              <w:pStyle w:val="Tablehead"/>
              <w:jc w:val="left"/>
              <w:rPr>
                <w:rFonts w:ascii="Times New Roman" w:hAnsi="Times New Roman" w:cs="Times New Roman"/>
                <w:b w:val="0"/>
                <w:i/>
                <w:iCs/>
              </w:rPr>
            </w:pPr>
            <w:r w:rsidRPr="00502397">
              <w:rPr>
                <w:rFonts w:ascii="Times New Roman" w:hAnsi="Times New Roman" w:cs="Times New Roman"/>
                <w:b w:val="0"/>
                <w:i/>
                <w:iCs/>
              </w:rPr>
              <w:t>~ 60</w:t>
            </w:r>
            <w:r w:rsidR="00966C43">
              <w:rPr>
                <w:rFonts w:ascii="Times New Roman" w:hAnsi="Times New Roman" w:cs="Times New Roman"/>
                <w:b w:val="0"/>
                <w:i/>
                <w:iCs/>
              </w:rPr>
              <w:t xml:space="preserve"> </w:t>
            </w:r>
            <w:r w:rsidRPr="00502397">
              <w:rPr>
                <w:rFonts w:ascii="Times New Roman" w:hAnsi="Times New Roman" w:cs="Times New Roman"/>
                <w:b w:val="0"/>
                <w:i/>
                <w:iCs/>
              </w:rPr>
              <w:t>ms-36s</w:t>
            </w:r>
            <w:r w:rsidRPr="00502397">
              <w:rPr>
                <w:rFonts w:ascii="Times New Roman" w:hAnsi="Times New Roman" w:cs="Times New Roman"/>
                <w:b w:val="0"/>
                <w:i/>
                <w:iCs/>
                <w:vertAlign w:val="superscript"/>
              </w:rPr>
              <w:t>*</w:t>
            </w:r>
          </w:p>
          <w:p w:rsidR="008C134E" w:rsidRPr="00502397" w:rsidRDefault="008C134E" w:rsidP="004160DC">
            <w:pPr>
              <w:pStyle w:val="Tablehead"/>
              <w:jc w:val="left"/>
              <w:rPr>
                <w:rFonts w:ascii="Times New Roman" w:hAnsi="Times New Roman" w:cs="Times New Roman"/>
                <w:b w:val="0"/>
                <w:i/>
                <w:iCs/>
              </w:rPr>
            </w:pPr>
            <w:r w:rsidRPr="00502397">
              <w:rPr>
                <w:rFonts w:ascii="Times New Roman" w:hAnsi="Times New Roman" w:cs="Times New Roman"/>
                <w:b w:val="0"/>
                <w:i/>
                <w:iCs/>
                <w:sz w:val="18"/>
                <w:szCs w:val="18"/>
                <w:vertAlign w:val="superscript"/>
              </w:rPr>
              <w:t>*</w:t>
            </w:r>
            <w:r w:rsidRPr="00502397">
              <w:rPr>
                <w:rFonts w:ascii="Times New Roman" w:hAnsi="Times New Roman" w:cs="Times New Roman"/>
                <w:b w:val="0"/>
                <w:i/>
                <w:iCs/>
                <w:sz w:val="18"/>
                <w:szCs w:val="18"/>
              </w:rPr>
              <w:t xml:space="preserve"> not included in calculations since </w:t>
            </w:r>
            <w:r>
              <w:rPr>
                <w:rFonts w:ascii="Times New Roman" w:hAnsi="Times New Roman" w:cs="Times New Roman"/>
                <w:b w:val="0"/>
                <w:i/>
                <w:iCs/>
                <w:sz w:val="18"/>
                <w:szCs w:val="18"/>
              </w:rPr>
              <w:t>these procedures</w:t>
            </w:r>
            <w:r w:rsidRPr="00502397">
              <w:rPr>
                <w:rFonts w:ascii="Times New Roman" w:hAnsi="Times New Roman" w:cs="Times New Roman"/>
                <w:b w:val="0"/>
                <w:i/>
                <w:iCs/>
                <w:sz w:val="18"/>
                <w:szCs w:val="18"/>
              </w:rPr>
              <w:t xml:space="preserve"> can be performed in battery-efficient idle sate</w:t>
            </w:r>
          </w:p>
        </w:tc>
      </w:tr>
      <w:tr w:rsidR="008C134E" w:rsidRPr="00361679" w:rsidTr="004160DC">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361679" w:rsidRDefault="008C134E" w:rsidP="004160DC">
            <w:pPr>
              <w:pStyle w:val="Tablehead"/>
              <w:jc w:val="left"/>
              <w:rPr>
                <w:rFonts w:ascii="Times New Roman" w:hAnsi="Times New Roman" w:cs="Times New Roman"/>
                <w:b w:val="0"/>
              </w:rPr>
            </w:pPr>
            <w:r>
              <w:rPr>
                <w:rFonts w:ascii="Times New Roman" w:hAnsi="Times New Roman" w:cs="Times New Roman"/>
                <w:b w:val="0"/>
              </w:rPr>
              <w:t>1</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361679" w:rsidRDefault="008C134E" w:rsidP="004160DC">
            <w:pPr>
              <w:pStyle w:val="Tablehead"/>
              <w:jc w:val="left"/>
              <w:rPr>
                <w:rFonts w:ascii="Times New Roman" w:hAnsi="Times New Roman" w:cs="Times New Roman"/>
                <w:b w:val="0"/>
              </w:rPr>
            </w:pPr>
            <w:r>
              <w:rPr>
                <w:rFonts w:ascii="Times New Roman" w:hAnsi="Times New Roman" w:cs="Times New Roman"/>
                <w:b w:val="0"/>
              </w:rPr>
              <w:t>Delay for start using assigned random resources</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361679" w:rsidRDefault="008C134E" w:rsidP="004160DC">
            <w:pPr>
              <w:pStyle w:val="Tablehead"/>
              <w:jc w:val="left"/>
              <w:rPr>
                <w:rFonts w:ascii="Times New Roman" w:hAnsi="Times New Roman" w:cs="Times New Roman"/>
                <w:b w:val="0"/>
              </w:rPr>
            </w:pPr>
            <w:r>
              <w:rPr>
                <w:rFonts w:ascii="Times New Roman" w:hAnsi="Times New Roman" w:cs="Times New Roman"/>
                <w:b w:val="0"/>
              </w:rPr>
              <w:t>1 ms or 5</w:t>
            </w:r>
            <w:r w:rsidR="00966C43">
              <w:rPr>
                <w:rFonts w:ascii="Times New Roman" w:hAnsi="Times New Roman" w:cs="Times New Roman"/>
                <w:b w:val="0"/>
              </w:rPr>
              <w:t xml:space="preserve"> </w:t>
            </w:r>
            <w:r>
              <w:rPr>
                <w:rFonts w:ascii="Times New Roman" w:hAnsi="Times New Roman" w:cs="Times New Roman"/>
                <w:b w:val="0"/>
              </w:rPr>
              <w:t>ms (</w:t>
            </w:r>
            <w:r w:rsidRPr="00612197">
              <w:rPr>
                <w:rFonts w:ascii="Times New Roman" w:hAnsi="Times New Roman" w:cs="Times New Roman"/>
                <w:b w:val="0"/>
              </w:rPr>
              <w:t>Depending on DECT_Delay field (of the Random Access Resource IE)</w:t>
            </w:r>
            <w:r>
              <w:rPr>
                <w:rFonts w:ascii="Times New Roman" w:hAnsi="Times New Roman" w:cs="Times New Roman"/>
                <w:b w:val="0"/>
              </w:rPr>
              <w:t>: Worst-Case: 5</w:t>
            </w:r>
            <w:r w:rsidR="00966C43">
              <w:rPr>
                <w:rFonts w:ascii="Times New Roman" w:hAnsi="Times New Roman" w:cs="Times New Roman"/>
                <w:b w:val="0"/>
              </w:rPr>
              <w:t xml:space="preserve"> </w:t>
            </w:r>
            <w:r>
              <w:rPr>
                <w:rFonts w:ascii="Times New Roman" w:hAnsi="Times New Roman" w:cs="Times New Roman"/>
                <w:b w:val="0"/>
              </w:rPr>
              <w:t>ms</w:t>
            </w:r>
          </w:p>
        </w:tc>
      </w:tr>
      <w:tr w:rsidR="008C134E" w:rsidRPr="00361679" w:rsidTr="004160DC">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Default="008C134E" w:rsidP="004160DC">
            <w:pPr>
              <w:pStyle w:val="Tablehead"/>
              <w:jc w:val="left"/>
              <w:rPr>
                <w:rFonts w:ascii="Times New Roman" w:hAnsi="Times New Roman" w:cs="Times New Roman"/>
                <w:b w:val="0"/>
              </w:rPr>
            </w:pPr>
            <w:r>
              <w:rPr>
                <w:rFonts w:ascii="Times New Roman" w:hAnsi="Times New Roman" w:cs="Times New Roman"/>
                <w:b w:val="0"/>
              </w:rPr>
              <w:t>2</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Default="008C134E" w:rsidP="004160DC">
            <w:pPr>
              <w:pStyle w:val="Tablehead"/>
              <w:jc w:val="left"/>
              <w:rPr>
                <w:rFonts w:ascii="Times New Roman" w:hAnsi="Times New Roman" w:cs="Times New Roman"/>
                <w:b w:val="0"/>
              </w:rPr>
            </w:pPr>
            <w:r w:rsidRPr="001130F0">
              <w:rPr>
                <w:rFonts w:ascii="Times New Roman" w:hAnsi="Times New Roman" w:cs="Times New Roman"/>
                <w:b w:val="0"/>
              </w:rPr>
              <w:t>Association Request Transmission &amp;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Default="008C134E" w:rsidP="004160DC">
            <w:pPr>
              <w:pStyle w:val="Tablehead"/>
              <w:jc w:val="left"/>
              <w:rPr>
                <w:rFonts w:ascii="Times New Roman" w:hAnsi="Times New Roman" w:cs="Times New Roman"/>
                <w:b w:val="0"/>
              </w:rPr>
            </w:pPr>
            <w:r>
              <w:rPr>
                <w:rFonts w:ascii="Times New Roman" w:hAnsi="Times New Roman" w:cs="Times New Roman"/>
                <w:b w:val="0"/>
              </w:rPr>
              <w:t>0.624 ms</w:t>
            </w:r>
          </w:p>
        </w:tc>
      </w:tr>
      <w:tr w:rsidR="008C134E" w:rsidRPr="00361679" w:rsidTr="004160DC">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Default="008C134E" w:rsidP="004160DC">
            <w:pPr>
              <w:pStyle w:val="Tablehead"/>
              <w:jc w:val="left"/>
              <w:rPr>
                <w:rFonts w:ascii="Times New Roman" w:hAnsi="Times New Roman" w:cs="Times New Roman"/>
                <w:b w:val="0"/>
              </w:rPr>
            </w:pPr>
            <w:r>
              <w:rPr>
                <w:rFonts w:ascii="Times New Roman" w:hAnsi="Times New Roman" w:cs="Times New Roman"/>
                <w:b w:val="0"/>
              </w:rPr>
              <w:t>3</w:t>
            </w: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1130F0" w:rsidRDefault="008C134E" w:rsidP="004160DC">
            <w:pPr>
              <w:pStyle w:val="Tablehead"/>
              <w:jc w:val="left"/>
              <w:rPr>
                <w:rFonts w:ascii="Times New Roman" w:hAnsi="Times New Roman" w:cs="Times New Roman"/>
                <w:b w:val="0"/>
              </w:rPr>
            </w:pPr>
            <w:r w:rsidRPr="001130F0">
              <w:rPr>
                <w:rFonts w:ascii="Times New Roman" w:hAnsi="Times New Roman" w:cs="Times New Roman"/>
                <w:b w:val="0"/>
              </w:rPr>
              <w:t>Association Response Transmission &amp; Detection</w:t>
            </w:r>
          </w:p>
        </w:tc>
        <w:tc>
          <w:tcPr>
            <w:tcW w:w="37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Default="008C134E" w:rsidP="004160DC">
            <w:pPr>
              <w:pStyle w:val="Tablehead"/>
              <w:jc w:val="left"/>
              <w:rPr>
                <w:rFonts w:ascii="Times New Roman" w:hAnsi="Times New Roman" w:cs="Times New Roman"/>
                <w:b w:val="0"/>
              </w:rPr>
            </w:pPr>
            <w:r>
              <w:rPr>
                <w:rFonts w:ascii="Times New Roman" w:hAnsi="Times New Roman" w:cs="Times New Roman"/>
                <w:b w:val="0"/>
              </w:rPr>
              <w:t>0.624 ms</w:t>
            </w:r>
          </w:p>
        </w:tc>
      </w:tr>
      <w:tr w:rsidR="008C134E" w:rsidRPr="00361679" w:rsidTr="00707AA5">
        <w:trPr>
          <w:jc w:val="center"/>
        </w:trPr>
        <w:tc>
          <w:tcPr>
            <w:tcW w:w="7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Default="008C134E" w:rsidP="004160DC">
            <w:pPr>
              <w:pStyle w:val="Tablehead"/>
              <w:jc w:val="left"/>
              <w:rPr>
                <w:rFonts w:ascii="Times New Roman" w:hAnsi="Times New Roman" w:cs="Times New Roman"/>
                <w:b w:val="0"/>
              </w:rPr>
            </w:pPr>
          </w:p>
        </w:tc>
        <w:tc>
          <w:tcPr>
            <w:tcW w:w="477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8C134E" w:rsidRPr="006F5DBA" w:rsidRDefault="008C134E" w:rsidP="004160DC">
            <w:pPr>
              <w:pStyle w:val="Tablehead"/>
              <w:jc w:val="right"/>
              <w:rPr>
                <w:rFonts w:ascii="Times New Roman" w:hAnsi="Times New Roman" w:cs="Times New Roman"/>
                <w:bCs/>
              </w:rPr>
            </w:pPr>
            <w:r w:rsidRPr="006F5DBA">
              <w:rPr>
                <w:rFonts w:ascii="Times New Roman" w:hAnsi="Times New Roman" w:cs="Times New Roman"/>
                <w:bCs/>
              </w:rPr>
              <w:t>Overall latency</w:t>
            </w:r>
          </w:p>
        </w:tc>
        <w:tc>
          <w:tcPr>
            <w:tcW w:w="378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Mar>
              <w:top w:w="0" w:type="dxa"/>
              <w:left w:w="108" w:type="dxa"/>
              <w:bottom w:w="0" w:type="dxa"/>
              <w:right w:w="108" w:type="dxa"/>
            </w:tcMar>
            <w:vAlign w:val="center"/>
          </w:tcPr>
          <w:p w:rsidR="008C134E" w:rsidRPr="006F5DBA" w:rsidRDefault="008C134E" w:rsidP="004160DC">
            <w:pPr>
              <w:pStyle w:val="Tablehead"/>
              <w:jc w:val="left"/>
              <w:rPr>
                <w:rFonts w:ascii="Times New Roman" w:hAnsi="Times New Roman" w:cs="Times New Roman"/>
                <w:bCs/>
              </w:rPr>
            </w:pPr>
            <w:r w:rsidRPr="006F5DBA">
              <w:rPr>
                <w:rFonts w:ascii="Times New Roman" w:hAnsi="Times New Roman" w:cs="Times New Roman"/>
                <w:bCs/>
              </w:rPr>
              <w:t>6</w:t>
            </w:r>
            <w:r w:rsidRPr="006F5DBA">
              <w:rPr>
                <w:rFonts w:ascii="Times New Roman" w:hAnsi="Times New Roman" w:cs="Times New Roman"/>
                <w:bCs/>
                <w:shd w:val="clear" w:color="auto" w:fill="D6E3BC" w:themeFill="accent3" w:themeFillTint="66"/>
              </w:rPr>
              <w:t>.25 ms (compliant with 20 ms requirement of ITU)</w:t>
            </w:r>
          </w:p>
        </w:tc>
      </w:tr>
    </w:tbl>
    <w:p w:rsidR="008C134E" w:rsidRDefault="008C134E" w:rsidP="00A10EA3">
      <w:pPr>
        <w:pStyle w:val="Tablefin"/>
        <w:rPr>
          <w:lang w:val="en-US"/>
        </w:rPr>
      </w:pPr>
    </w:p>
    <w:p w:rsidR="008C134E" w:rsidRPr="00D72F34" w:rsidRDefault="008C134E" w:rsidP="00867566">
      <w:pPr>
        <w:rPr>
          <w:lang w:val="en-US"/>
        </w:rPr>
        <w:sectPr w:rsidR="008C134E" w:rsidRPr="00D72F34" w:rsidSect="00EE7767">
          <w:pgSz w:w="12240" w:h="15840"/>
          <w:pgMar w:top="1440" w:right="1440" w:bottom="1440" w:left="1440" w:header="720" w:footer="720" w:gutter="0"/>
          <w:cols w:space="720"/>
          <w:docGrid w:linePitch="360"/>
        </w:sectPr>
      </w:pPr>
    </w:p>
    <w:p w:rsidR="008C134E" w:rsidRDefault="008C134E" w:rsidP="00867566">
      <w:pPr>
        <w:pStyle w:val="Heading1"/>
        <w:jc w:val="center"/>
        <w:rPr>
          <w:rFonts w:eastAsia="MS Mincho"/>
          <w:lang w:val="en-US"/>
        </w:rPr>
      </w:pPr>
      <w:r>
        <w:rPr>
          <w:rFonts w:eastAsia="MS Mincho"/>
          <w:lang w:val="en-US"/>
        </w:rPr>
        <w:t>Annex</w:t>
      </w:r>
      <w:r w:rsidRPr="00C1787A">
        <w:rPr>
          <w:rFonts w:eastAsia="MS Mincho"/>
          <w:lang w:val="en-US"/>
        </w:rPr>
        <w:t xml:space="preserve"> I</w:t>
      </w:r>
      <w:r>
        <w:rPr>
          <w:rFonts w:eastAsia="MS Mincho"/>
          <w:lang w:val="en-US"/>
        </w:rPr>
        <w:t>II</w:t>
      </w:r>
      <w:r w:rsidRPr="00C1787A">
        <w:rPr>
          <w:rFonts w:eastAsia="MS Mincho"/>
          <w:lang w:val="en-US"/>
        </w:rPr>
        <w:t xml:space="preserve">: </w:t>
      </w:r>
      <w:r w:rsidRPr="00721D6B">
        <w:rPr>
          <w:lang w:val="en-US" w:eastAsia="zh-CN"/>
        </w:rPr>
        <w:t>Additional IMT-2020 evaluation details</w:t>
      </w:r>
      <w:r>
        <w:rPr>
          <w:lang w:val="en-US" w:eastAsia="zh-CN"/>
        </w:rPr>
        <w:t xml:space="preserve"> for Simulation-Based KPIs</w:t>
      </w:r>
    </w:p>
    <w:p w:rsidR="008C134E" w:rsidRPr="003F07D1" w:rsidRDefault="008C134E" w:rsidP="003F07D1">
      <w:pPr>
        <w:pStyle w:val="Heading2"/>
        <w:rPr>
          <w:rFonts w:eastAsia="MS Mincho"/>
          <w:sz w:val="28"/>
          <w:szCs w:val="22"/>
          <w:lang w:val="en-US"/>
        </w:rPr>
      </w:pPr>
      <w:bookmarkStart w:id="23" w:name="_Hlk72994972"/>
      <w:bookmarkEnd w:id="23"/>
      <w:r w:rsidRPr="003F07D1">
        <w:rPr>
          <w:rFonts w:eastAsia="MS Mincho"/>
          <w:sz w:val="28"/>
          <w:szCs w:val="22"/>
          <w:lang w:val="en-US"/>
        </w:rPr>
        <w:t xml:space="preserve">Reliability </w:t>
      </w:r>
    </w:p>
    <w:p w:rsidR="008C134E" w:rsidRPr="007C5260" w:rsidRDefault="008C134E" w:rsidP="001E117D">
      <w:pPr>
        <w:spacing w:line="276" w:lineRule="auto"/>
        <w:jc w:val="both"/>
        <w:rPr>
          <w:lang w:val="en-US"/>
        </w:rPr>
      </w:pPr>
      <w:r>
        <w:t>An End-to-End Physical Layer simulator of the DECT-2020 NR technology was developed by WWRF IEG in MATLAB, able to perform jointly system-level and link-level experiments.</w:t>
      </w:r>
    </w:p>
    <w:p w:rsidR="008C134E" w:rsidRDefault="008C134E" w:rsidP="001E117D">
      <w:pPr>
        <w:spacing w:line="276" w:lineRule="auto"/>
        <w:jc w:val="both"/>
        <w:rPr>
          <w:lang w:val="en-US"/>
        </w:rPr>
      </w:pPr>
      <w:r>
        <w:rPr>
          <w:lang w:val="en-US"/>
        </w:rPr>
        <w:t xml:space="preserve">In the following section, the simulator, the implemented configurations and the results are presented and briefly discussed. </w:t>
      </w:r>
    </w:p>
    <w:p w:rsidR="008C134E" w:rsidRDefault="008C134E" w:rsidP="003F07D1">
      <w:pPr>
        <w:pStyle w:val="Heading3"/>
      </w:pPr>
      <w:r>
        <w:t>Channel Models:</w:t>
      </w:r>
    </w:p>
    <w:p w:rsidR="008C134E" w:rsidRDefault="008C134E" w:rsidP="001E117D">
      <w:pPr>
        <w:spacing w:line="276" w:lineRule="auto"/>
        <w:jc w:val="both"/>
      </w:pPr>
      <w:r>
        <w:t>Besides in-house developed code, the simulator integrated the following third party components:</w:t>
      </w:r>
    </w:p>
    <w:p w:rsidR="008C134E" w:rsidRPr="007B784F" w:rsidRDefault="00A10EA3" w:rsidP="00A10EA3">
      <w:pPr>
        <w:pStyle w:val="enumlev1"/>
      </w:pPr>
      <w:r>
        <w:t>•</w:t>
      </w:r>
      <w:r>
        <w:tab/>
      </w:r>
      <w:r w:rsidR="008C134E" w:rsidRPr="007B784F">
        <w:t xml:space="preserve">The ITU-R IMT-2020 Channel Model Platform developed by Beijing University of Post and Telecommunications </w:t>
      </w:r>
      <w:r w:rsidR="008C134E">
        <w:t xml:space="preserve">(BUPT) </w:t>
      </w:r>
      <w:r w:rsidR="008C134E" w:rsidRPr="007B784F">
        <w:t xml:space="preserve">and </w:t>
      </w:r>
      <w:r w:rsidR="008C134E" w:rsidRPr="007B784F">
        <w:rPr>
          <w:color w:val="24292E"/>
          <w:shd w:val="clear" w:color="auto" w:fill="FFFFFF"/>
        </w:rPr>
        <w:t xml:space="preserve">Spark-New Zealand, shared to ITU-R </w:t>
      </w:r>
      <w:r w:rsidR="008C134E" w:rsidRPr="007B784F">
        <w:rPr>
          <w:shd w:val="clear" w:color="auto" w:fill="FFFFFF"/>
        </w:rPr>
        <w:t>WP</w:t>
      </w:r>
      <w:r w:rsidR="00966C43">
        <w:rPr>
          <w:shd w:val="clear" w:color="auto" w:fill="FFFFFF"/>
        </w:rPr>
        <w:t> </w:t>
      </w:r>
      <w:r w:rsidR="008C134E" w:rsidRPr="007B784F">
        <w:rPr>
          <w:shd w:val="clear" w:color="auto" w:fill="FFFFFF"/>
        </w:rPr>
        <w:t>5D </w:t>
      </w:r>
      <w:hyperlink r:id="rId34" w:history="1">
        <w:r w:rsidR="008C134E" w:rsidRPr="007B784F">
          <w:rPr>
            <w:rStyle w:val="Hyperlink"/>
            <w:rFonts w:cstheme="minorHAnsi"/>
            <w:shd w:val="clear" w:color="auto" w:fill="FFFFFF"/>
          </w:rPr>
          <w:t>5D/989</w:t>
        </w:r>
      </w:hyperlink>
      <w:r w:rsidR="008C134E" w:rsidRPr="007B784F">
        <w:t>.</w:t>
      </w:r>
    </w:p>
    <w:p w:rsidR="008C134E" w:rsidRDefault="00A10EA3" w:rsidP="00A10EA3">
      <w:pPr>
        <w:pStyle w:val="enumlev1"/>
      </w:pPr>
      <w:r>
        <w:t>•</w:t>
      </w:r>
      <w:r>
        <w:tab/>
      </w:r>
      <w:r w:rsidR="008C134E" w:rsidRPr="007B784F">
        <w:t>The MATLAB</w:t>
      </w:r>
      <w:r w:rsidR="008C134E">
        <w:t xml:space="preserve"> Communication Toolbox MIMO channel, </w:t>
      </w:r>
      <w:r w:rsidR="008C134E" w:rsidRPr="007B784F">
        <w:t xml:space="preserve">Cluster Delay Line (CDL) and Tapped Delay Line (TDL) implementations of the 3GPP TR 38.901 – Study on channel model for frequencies from 0.5 to 100 GHz – as included </w:t>
      </w:r>
      <w:r w:rsidR="008C134E">
        <w:t xml:space="preserve">in the NR and Communication toolboxes of ver. R2020b.  </w:t>
      </w:r>
    </w:p>
    <w:p w:rsidR="008C134E" w:rsidRDefault="008C134E" w:rsidP="001E117D">
      <w:pPr>
        <w:spacing w:line="276" w:lineRule="auto"/>
        <w:jc w:val="both"/>
      </w:pPr>
      <w:r>
        <w:t xml:space="preserve">More specifically, in the simulator, the following channel model configurations were used: </w:t>
      </w:r>
    </w:p>
    <w:p w:rsidR="00A10EA3" w:rsidRDefault="008C134E" w:rsidP="00A10EA3">
      <w:pPr>
        <w:pStyle w:val="TableNo"/>
        <w:rPr>
          <w:noProof/>
        </w:rPr>
      </w:pPr>
      <w:r w:rsidRPr="00E91A38">
        <w:t xml:space="preserve">Table </w:t>
      </w:r>
      <w:r w:rsidRPr="00E91A38">
        <w:fldChar w:fldCharType="begin"/>
      </w:r>
      <w:r w:rsidRPr="00E91A38">
        <w:instrText xml:space="preserve"> SEQ Table \* ARABIC </w:instrText>
      </w:r>
      <w:r w:rsidRPr="00E91A38">
        <w:fldChar w:fldCharType="separate"/>
      </w:r>
      <w:r w:rsidRPr="00E91A38">
        <w:rPr>
          <w:noProof/>
        </w:rPr>
        <w:t>10</w:t>
      </w:r>
      <w:r w:rsidRPr="00E91A38">
        <w:rPr>
          <w:noProof/>
        </w:rPr>
        <w:fldChar w:fldCharType="end"/>
      </w:r>
    </w:p>
    <w:p w:rsidR="008C134E" w:rsidRPr="00E91A38" w:rsidRDefault="008C134E" w:rsidP="00A10EA3">
      <w:pPr>
        <w:pStyle w:val="Tabletitle"/>
      </w:pPr>
      <w:r w:rsidRPr="00E91A38">
        <w:rPr>
          <w:noProof/>
        </w:rPr>
        <w:t>Channel models used in Reliability evaluation</w:t>
      </w:r>
    </w:p>
    <w:tbl>
      <w:tblPr>
        <w:tblStyle w:val="TableGrid"/>
        <w:tblW w:w="0" w:type="auto"/>
        <w:tblLook w:val="04A0" w:firstRow="1" w:lastRow="0" w:firstColumn="1" w:lastColumn="0" w:noHBand="0" w:noVBand="1"/>
      </w:tblPr>
      <w:tblGrid>
        <w:gridCol w:w="2245"/>
        <w:gridCol w:w="7105"/>
      </w:tblGrid>
      <w:tr w:rsidR="008C134E" w:rsidRPr="007C5260" w:rsidTr="004160DC">
        <w:tc>
          <w:tcPr>
            <w:tcW w:w="2245" w:type="dxa"/>
          </w:tcPr>
          <w:p w:rsidR="008C134E" w:rsidRPr="007C5260" w:rsidRDefault="008C134E" w:rsidP="004160DC">
            <w:pPr>
              <w:rPr>
                <w:sz w:val="22"/>
                <w:szCs w:val="22"/>
              </w:rPr>
            </w:pPr>
            <w:r w:rsidRPr="007C5260">
              <w:rPr>
                <w:sz w:val="22"/>
                <w:szCs w:val="22"/>
              </w:rPr>
              <w:t xml:space="preserve">Large Scale Fading </w:t>
            </w:r>
          </w:p>
        </w:tc>
        <w:tc>
          <w:tcPr>
            <w:tcW w:w="7105" w:type="dxa"/>
          </w:tcPr>
          <w:p w:rsidR="008C134E" w:rsidRPr="007C5260" w:rsidRDefault="008C134E" w:rsidP="004160DC">
            <w:pPr>
              <w:rPr>
                <w:sz w:val="22"/>
                <w:szCs w:val="22"/>
              </w:rPr>
            </w:pPr>
            <w:r w:rsidRPr="007C5260">
              <w:rPr>
                <w:sz w:val="22"/>
                <w:szCs w:val="22"/>
              </w:rPr>
              <w:t>IMT-2020 BUPT channel Model</w:t>
            </w:r>
          </w:p>
        </w:tc>
      </w:tr>
      <w:tr w:rsidR="008C134E" w:rsidRPr="007C5260" w:rsidTr="004160DC">
        <w:tc>
          <w:tcPr>
            <w:tcW w:w="2245" w:type="dxa"/>
          </w:tcPr>
          <w:p w:rsidR="008C134E" w:rsidRPr="007C5260" w:rsidRDefault="008C134E" w:rsidP="004160DC">
            <w:pPr>
              <w:rPr>
                <w:sz w:val="22"/>
                <w:szCs w:val="22"/>
              </w:rPr>
            </w:pPr>
            <w:r w:rsidRPr="007C5260">
              <w:rPr>
                <w:sz w:val="22"/>
                <w:szCs w:val="22"/>
              </w:rPr>
              <w:t>Small Scale Fading – Spatial characteristics</w:t>
            </w:r>
          </w:p>
        </w:tc>
        <w:tc>
          <w:tcPr>
            <w:tcW w:w="7105" w:type="dxa"/>
          </w:tcPr>
          <w:p w:rsidR="008C134E" w:rsidRPr="007C5260" w:rsidRDefault="008C134E" w:rsidP="004160DC">
            <w:pPr>
              <w:rPr>
                <w:sz w:val="22"/>
                <w:szCs w:val="22"/>
              </w:rPr>
            </w:pPr>
            <w:r w:rsidRPr="007C5260">
              <w:rPr>
                <w:sz w:val="22"/>
                <w:szCs w:val="22"/>
              </w:rPr>
              <w:t xml:space="preserve">MATLAB </w:t>
            </w:r>
            <w:r>
              <w:rPr>
                <w:sz w:val="22"/>
                <w:szCs w:val="22"/>
              </w:rPr>
              <w:t xml:space="preserve">Communication and </w:t>
            </w:r>
            <w:r w:rsidRPr="007C5260">
              <w:rPr>
                <w:sz w:val="22"/>
                <w:szCs w:val="22"/>
              </w:rPr>
              <w:t xml:space="preserve">NR Toolbox </w:t>
            </w:r>
          </w:p>
          <w:p w:rsidR="008C134E" w:rsidRDefault="008C134E" w:rsidP="00F82B9C">
            <w:pPr>
              <w:pStyle w:val="ListParagraph"/>
              <w:numPr>
                <w:ilvl w:val="0"/>
                <w:numId w:val="13"/>
              </w:numPr>
              <w:tabs>
                <w:tab w:val="clear" w:pos="1134"/>
                <w:tab w:val="clear" w:pos="1871"/>
                <w:tab w:val="clear" w:pos="2268"/>
                <w:tab w:val="left" w:pos="794"/>
                <w:tab w:val="left" w:pos="1191"/>
                <w:tab w:val="left" w:pos="1588"/>
                <w:tab w:val="left" w:pos="1985"/>
              </w:tabs>
              <w:jc w:val="both"/>
              <w:rPr>
                <w:sz w:val="22"/>
                <w:szCs w:val="22"/>
              </w:rPr>
            </w:pPr>
            <w:r>
              <w:rPr>
                <w:sz w:val="22"/>
                <w:szCs w:val="22"/>
              </w:rPr>
              <w:t>Geometric-Stochastic model</w:t>
            </w:r>
          </w:p>
          <w:p w:rsidR="008C134E" w:rsidRPr="007C5260" w:rsidRDefault="008C134E" w:rsidP="00F82B9C">
            <w:pPr>
              <w:pStyle w:val="ListParagraph"/>
              <w:numPr>
                <w:ilvl w:val="0"/>
                <w:numId w:val="13"/>
              </w:numPr>
              <w:tabs>
                <w:tab w:val="clear" w:pos="1134"/>
                <w:tab w:val="clear" w:pos="1871"/>
                <w:tab w:val="clear" w:pos="2268"/>
                <w:tab w:val="left" w:pos="794"/>
                <w:tab w:val="left" w:pos="1191"/>
                <w:tab w:val="left" w:pos="1588"/>
                <w:tab w:val="left" w:pos="1985"/>
              </w:tabs>
              <w:jc w:val="both"/>
              <w:rPr>
                <w:sz w:val="22"/>
                <w:szCs w:val="22"/>
              </w:rPr>
            </w:pPr>
            <w:r w:rsidRPr="007C5260">
              <w:rPr>
                <w:sz w:val="22"/>
                <w:szCs w:val="22"/>
              </w:rPr>
              <w:t>Tapped Delay Line</w:t>
            </w:r>
          </w:p>
          <w:p w:rsidR="008C134E" w:rsidRPr="007C5260" w:rsidRDefault="008C134E" w:rsidP="00F82B9C">
            <w:pPr>
              <w:pStyle w:val="ListParagraph"/>
              <w:numPr>
                <w:ilvl w:val="0"/>
                <w:numId w:val="13"/>
              </w:numPr>
              <w:tabs>
                <w:tab w:val="clear" w:pos="1134"/>
                <w:tab w:val="clear" w:pos="1871"/>
                <w:tab w:val="clear" w:pos="2268"/>
                <w:tab w:val="left" w:pos="794"/>
                <w:tab w:val="left" w:pos="1191"/>
                <w:tab w:val="left" w:pos="1588"/>
                <w:tab w:val="left" w:pos="1985"/>
              </w:tabs>
              <w:jc w:val="both"/>
              <w:rPr>
                <w:sz w:val="22"/>
                <w:szCs w:val="22"/>
              </w:rPr>
            </w:pPr>
            <w:r w:rsidRPr="007C5260">
              <w:rPr>
                <w:sz w:val="22"/>
                <w:szCs w:val="22"/>
              </w:rPr>
              <w:t xml:space="preserve">Cluster Delay Line </w:t>
            </w:r>
          </w:p>
        </w:tc>
      </w:tr>
      <w:tr w:rsidR="008C134E" w:rsidRPr="007C5260" w:rsidTr="004160DC">
        <w:tc>
          <w:tcPr>
            <w:tcW w:w="2245" w:type="dxa"/>
          </w:tcPr>
          <w:p w:rsidR="008C134E" w:rsidRPr="007C5260" w:rsidRDefault="008C134E" w:rsidP="004160DC">
            <w:pPr>
              <w:rPr>
                <w:sz w:val="22"/>
                <w:szCs w:val="22"/>
              </w:rPr>
            </w:pPr>
            <w:r w:rsidRPr="007C5260">
              <w:rPr>
                <w:sz w:val="22"/>
                <w:szCs w:val="22"/>
              </w:rPr>
              <w:t>Selected power delay profiles</w:t>
            </w:r>
          </w:p>
        </w:tc>
        <w:tc>
          <w:tcPr>
            <w:tcW w:w="7105" w:type="dxa"/>
          </w:tcPr>
          <w:p w:rsidR="008C134E" w:rsidRPr="00077639" w:rsidRDefault="008C134E" w:rsidP="004160DC">
            <w:pPr>
              <w:pStyle w:val="Tabletext"/>
              <w:rPr>
                <w:sz w:val="22"/>
                <w:szCs w:val="22"/>
                <w:lang w:val="en-US"/>
              </w:rPr>
            </w:pPr>
            <w:r w:rsidRPr="00077639">
              <w:rPr>
                <w:sz w:val="22"/>
                <w:szCs w:val="22"/>
                <w:lang w:val="en-US"/>
              </w:rPr>
              <w:t xml:space="preserve">Line </w:t>
            </w:r>
            <w:r w:rsidRPr="007C5260">
              <w:rPr>
                <w:sz w:val="22"/>
                <w:szCs w:val="22"/>
                <w:lang w:val="en-US"/>
              </w:rPr>
              <w:t>of Sight</w:t>
            </w:r>
            <w:r w:rsidRPr="00077639">
              <w:rPr>
                <w:sz w:val="22"/>
                <w:szCs w:val="22"/>
                <w:lang w:val="en-US"/>
              </w:rPr>
              <w:t xml:space="preserve"> (LoS): TDL-v and CDL-v (</w:t>
            </w:r>
            <w:r w:rsidRPr="007C5260">
              <w:rPr>
                <w:sz w:val="22"/>
                <w:szCs w:val="22"/>
                <w:lang w:val="en-US"/>
              </w:rPr>
              <w:t>ITU-R M.2412-0</w:t>
            </w:r>
            <w:r w:rsidRPr="007C5260">
              <w:rPr>
                <w:sz w:val="22"/>
                <w:szCs w:val="22"/>
              </w:rPr>
              <w:t xml:space="preserve"> </w:t>
            </w:r>
            <w:r w:rsidRPr="00077639">
              <w:rPr>
                <w:sz w:val="22"/>
                <w:szCs w:val="22"/>
                <w:lang w:val="en-US"/>
              </w:rPr>
              <w:t>Table A1-42 and A1-40)</w:t>
            </w:r>
          </w:p>
          <w:p w:rsidR="008C134E" w:rsidRPr="00077639" w:rsidRDefault="008C134E" w:rsidP="004160DC">
            <w:pPr>
              <w:pStyle w:val="Tabletext"/>
              <w:rPr>
                <w:sz w:val="22"/>
                <w:szCs w:val="22"/>
                <w:lang w:val="en-US"/>
              </w:rPr>
            </w:pPr>
            <w:r w:rsidRPr="00077639">
              <w:rPr>
                <w:sz w:val="22"/>
                <w:szCs w:val="22"/>
                <w:lang w:val="en-US"/>
              </w:rPr>
              <w:t>Non-Line of Sight (NLOS): TDL-iii and CDL-iii (</w:t>
            </w:r>
            <w:r w:rsidRPr="007C5260">
              <w:rPr>
                <w:sz w:val="22"/>
                <w:szCs w:val="22"/>
                <w:lang w:val="en-US"/>
              </w:rPr>
              <w:t>ITU-R M.2412-0</w:t>
            </w:r>
            <w:r w:rsidRPr="007C5260">
              <w:rPr>
                <w:sz w:val="22"/>
                <w:szCs w:val="22"/>
              </w:rPr>
              <w:t xml:space="preserve"> </w:t>
            </w:r>
            <w:r w:rsidRPr="00077639">
              <w:rPr>
                <w:sz w:val="22"/>
                <w:szCs w:val="22"/>
                <w:lang w:val="en-US"/>
              </w:rPr>
              <w:t>Table A1-41 and A1-38)</w:t>
            </w:r>
          </w:p>
        </w:tc>
      </w:tr>
      <w:tr w:rsidR="008C134E" w:rsidRPr="007C5260" w:rsidTr="004160DC">
        <w:tc>
          <w:tcPr>
            <w:tcW w:w="2245" w:type="dxa"/>
          </w:tcPr>
          <w:p w:rsidR="008C134E" w:rsidRPr="007C5260" w:rsidRDefault="008C134E" w:rsidP="004160DC">
            <w:pPr>
              <w:rPr>
                <w:sz w:val="22"/>
                <w:szCs w:val="22"/>
              </w:rPr>
            </w:pPr>
            <w:r w:rsidRPr="007C5260">
              <w:rPr>
                <w:sz w:val="22"/>
                <w:szCs w:val="22"/>
              </w:rPr>
              <w:t>Propagation mode selection</w:t>
            </w:r>
          </w:p>
        </w:tc>
        <w:tc>
          <w:tcPr>
            <w:tcW w:w="7105" w:type="dxa"/>
          </w:tcPr>
          <w:p w:rsidR="008C134E" w:rsidRPr="007C5260" w:rsidRDefault="008C134E" w:rsidP="004160DC">
            <w:pPr>
              <w:rPr>
                <w:sz w:val="22"/>
                <w:szCs w:val="22"/>
              </w:rPr>
            </w:pPr>
            <w:r w:rsidRPr="007C5260">
              <w:rPr>
                <w:sz w:val="22"/>
                <w:szCs w:val="22"/>
              </w:rPr>
              <w:t>Random variable depend</w:t>
            </w:r>
            <w:r>
              <w:rPr>
                <w:sz w:val="22"/>
                <w:szCs w:val="22"/>
              </w:rPr>
              <w:t>ing</w:t>
            </w:r>
            <w:r w:rsidRPr="007C5260">
              <w:rPr>
                <w:sz w:val="22"/>
                <w:szCs w:val="22"/>
              </w:rPr>
              <w:t xml:space="preserve"> on the distance between Tx and Rx according to Report ITU-R M.2412-0 Table A1-9</w:t>
            </w:r>
          </w:p>
        </w:tc>
      </w:tr>
      <w:tr w:rsidR="008C134E" w:rsidRPr="007C5260" w:rsidTr="004160DC">
        <w:tc>
          <w:tcPr>
            <w:tcW w:w="2245" w:type="dxa"/>
          </w:tcPr>
          <w:p w:rsidR="008C134E" w:rsidRPr="007C5260" w:rsidRDefault="008C134E" w:rsidP="004160DC">
            <w:pPr>
              <w:rPr>
                <w:sz w:val="22"/>
                <w:szCs w:val="22"/>
              </w:rPr>
            </w:pPr>
            <w:r w:rsidRPr="007C5260">
              <w:rPr>
                <w:sz w:val="22"/>
                <w:szCs w:val="22"/>
              </w:rPr>
              <w:t>Noise</w:t>
            </w:r>
          </w:p>
        </w:tc>
        <w:tc>
          <w:tcPr>
            <w:tcW w:w="7105" w:type="dxa"/>
          </w:tcPr>
          <w:p w:rsidR="008C134E" w:rsidRPr="007C5260" w:rsidRDefault="008C134E" w:rsidP="004160DC">
            <w:pPr>
              <w:rPr>
                <w:sz w:val="22"/>
                <w:szCs w:val="22"/>
              </w:rPr>
            </w:pPr>
            <w:r w:rsidRPr="007C5260">
              <w:rPr>
                <w:sz w:val="22"/>
                <w:szCs w:val="22"/>
              </w:rPr>
              <w:t>Additive White Gaussian (Thermal noise level -174 dBm/Hz)</w:t>
            </w:r>
          </w:p>
        </w:tc>
      </w:tr>
      <w:tr w:rsidR="008C134E" w:rsidRPr="007C5260" w:rsidTr="004160DC">
        <w:tc>
          <w:tcPr>
            <w:tcW w:w="2245" w:type="dxa"/>
          </w:tcPr>
          <w:p w:rsidR="008C134E" w:rsidRPr="007C5260" w:rsidRDefault="008C134E" w:rsidP="004160DC">
            <w:pPr>
              <w:rPr>
                <w:sz w:val="22"/>
                <w:szCs w:val="22"/>
              </w:rPr>
            </w:pPr>
            <w:r w:rsidRPr="007C5260">
              <w:rPr>
                <w:sz w:val="22"/>
                <w:szCs w:val="22"/>
              </w:rPr>
              <w:t xml:space="preserve">Mobility </w:t>
            </w:r>
          </w:p>
        </w:tc>
        <w:tc>
          <w:tcPr>
            <w:tcW w:w="7105" w:type="dxa"/>
          </w:tcPr>
          <w:p w:rsidR="008C134E" w:rsidRPr="007C5260" w:rsidRDefault="008C134E" w:rsidP="004160DC">
            <w:pPr>
              <w:rPr>
                <w:sz w:val="22"/>
                <w:szCs w:val="22"/>
              </w:rPr>
            </w:pPr>
            <w:r w:rsidRPr="007C5260">
              <w:rPr>
                <w:sz w:val="22"/>
                <w:szCs w:val="22"/>
              </w:rPr>
              <w:t>According to the ITU URLLC evaluation configurations:</w:t>
            </w:r>
          </w:p>
          <w:p w:rsidR="008C134E" w:rsidRPr="007C5260" w:rsidRDefault="008C134E" w:rsidP="00F82B9C">
            <w:pPr>
              <w:pStyle w:val="ListParagraph"/>
              <w:numPr>
                <w:ilvl w:val="0"/>
                <w:numId w:val="14"/>
              </w:numPr>
              <w:tabs>
                <w:tab w:val="clear" w:pos="1134"/>
                <w:tab w:val="clear" w:pos="1871"/>
                <w:tab w:val="clear" w:pos="2268"/>
                <w:tab w:val="left" w:pos="794"/>
                <w:tab w:val="left" w:pos="1191"/>
                <w:tab w:val="left" w:pos="1588"/>
                <w:tab w:val="left" w:pos="1985"/>
              </w:tabs>
              <w:jc w:val="both"/>
              <w:rPr>
                <w:sz w:val="22"/>
                <w:szCs w:val="22"/>
              </w:rPr>
            </w:pPr>
            <w:r w:rsidRPr="007C5260">
              <w:rPr>
                <w:sz w:val="22"/>
                <w:szCs w:val="22"/>
              </w:rPr>
              <w:t>3</w:t>
            </w:r>
            <w:r w:rsidR="00966C43">
              <w:rPr>
                <w:sz w:val="22"/>
                <w:szCs w:val="22"/>
              </w:rPr>
              <w:t> </w:t>
            </w:r>
            <w:r w:rsidRPr="007C5260">
              <w:rPr>
                <w:sz w:val="22"/>
                <w:szCs w:val="22"/>
              </w:rPr>
              <w:t>km/h for indoor users</w:t>
            </w:r>
          </w:p>
          <w:p w:rsidR="008C134E" w:rsidRPr="007C5260" w:rsidRDefault="008C134E" w:rsidP="00F82B9C">
            <w:pPr>
              <w:pStyle w:val="ListParagraph"/>
              <w:numPr>
                <w:ilvl w:val="0"/>
                <w:numId w:val="14"/>
              </w:numPr>
              <w:tabs>
                <w:tab w:val="clear" w:pos="1134"/>
                <w:tab w:val="clear" w:pos="1871"/>
                <w:tab w:val="clear" w:pos="2268"/>
                <w:tab w:val="left" w:pos="794"/>
                <w:tab w:val="left" w:pos="1191"/>
                <w:tab w:val="left" w:pos="1588"/>
                <w:tab w:val="left" w:pos="1985"/>
              </w:tabs>
              <w:jc w:val="both"/>
              <w:rPr>
                <w:sz w:val="22"/>
                <w:szCs w:val="22"/>
              </w:rPr>
            </w:pPr>
            <w:r w:rsidRPr="007C5260">
              <w:rPr>
                <w:sz w:val="22"/>
                <w:szCs w:val="22"/>
              </w:rPr>
              <w:t>30</w:t>
            </w:r>
            <w:r w:rsidR="00966C43">
              <w:rPr>
                <w:sz w:val="22"/>
                <w:szCs w:val="22"/>
              </w:rPr>
              <w:t> </w:t>
            </w:r>
            <w:r w:rsidRPr="007C5260">
              <w:rPr>
                <w:sz w:val="22"/>
                <w:szCs w:val="22"/>
              </w:rPr>
              <w:t>km/h for outdoor users</w:t>
            </w:r>
          </w:p>
        </w:tc>
      </w:tr>
      <w:tr w:rsidR="008C134E" w:rsidRPr="007C5260" w:rsidTr="004160DC">
        <w:tc>
          <w:tcPr>
            <w:tcW w:w="2245" w:type="dxa"/>
          </w:tcPr>
          <w:p w:rsidR="008C134E" w:rsidRPr="007C5260" w:rsidRDefault="008C134E" w:rsidP="004160DC">
            <w:pPr>
              <w:rPr>
                <w:sz w:val="22"/>
                <w:szCs w:val="22"/>
              </w:rPr>
            </w:pPr>
            <w:r w:rsidRPr="007C5260">
              <w:rPr>
                <w:sz w:val="22"/>
                <w:szCs w:val="22"/>
              </w:rPr>
              <w:t xml:space="preserve">Doppler </w:t>
            </w:r>
          </w:p>
        </w:tc>
        <w:tc>
          <w:tcPr>
            <w:tcW w:w="7105" w:type="dxa"/>
          </w:tcPr>
          <w:p w:rsidR="008C134E" w:rsidRPr="007C5260" w:rsidRDefault="008C134E" w:rsidP="004160DC">
            <w:pPr>
              <w:rPr>
                <w:sz w:val="22"/>
                <w:szCs w:val="22"/>
              </w:rPr>
            </w:pPr>
            <w:r w:rsidRPr="007C5260">
              <w:rPr>
                <w:sz w:val="22"/>
                <w:szCs w:val="22"/>
              </w:rPr>
              <w:t xml:space="preserve">For </w:t>
            </w:r>
            <w:r>
              <w:rPr>
                <w:sz w:val="22"/>
                <w:szCs w:val="22"/>
              </w:rPr>
              <w:t>geometric stochastic and CDL, it is</w:t>
            </w:r>
            <w:r w:rsidRPr="007C5260">
              <w:rPr>
                <w:sz w:val="22"/>
                <w:szCs w:val="22"/>
              </w:rPr>
              <w:t xml:space="preserve"> geometrically modelled.</w:t>
            </w:r>
          </w:p>
          <w:p w:rsidR="008C134E" w:rsidRPr="007C5260" w:rsidRDefault="008C134E" w:rsidP="004160DC">
            <w:pPr>
              <w:rPr>
                <w:sz w:val="22"/>
                <w:szCs w:val="22"/>
              </w:rPr>
            </w:pPr>
            <w:r w:rsidRPr="007C5260">
              <w:rPr>
                <w:sz w:val="22"/>
                <w:szCs w:val="22"/>
              </w:rPr>
              <w:t>For TDL according to ITU-R M.2412-0 Sec. 6.2</w:t>
            </w:r>
          </w:p>
        </w:tc>
      </w:tr>
      <w:tr w:rsidR="008C134E" w:rsidRPr="007C5260" w:rsidTr="004160DC">
        <w:tc>
          <w:tcPr>
            <w:tcW w:w="2245" w:type="dxa"/>
          </w:tcPr>
          <w:p w:rsidR="008C134E" w:rsidRPr="007C5260" w:rsidRDefault="008C134E" w:rsidP="004160DC">
            <w:pPr>
              <w:rPr>
                <w:sz w:val="22"/>
                <w:szCs w:val="22"/>
              </w:rPr>
            </w:pPr>
            <w:r w:rsidRPr="007C5260">
              <w:rPr>
                <w:sz w:val="22"/>
                <w:szCs w:val="22"/>
              </w:rPr>
              <w:t xml:space="preserve">Indoor vs. Outdoor </w:t>
            </w:r>
          </w:p>
        </w:tc>
        <w:tc>
          <w:tcPr>
            <w:tcW w:w="7105" w:type="dxa"/>
          </w:tcPr>
          <w:p w:rsidR="008C134E" w:rsidRPr="007C5260" w:rsidRDefault="008C134E" w:rsidP="004160DC">
            <w:pPr>
              <w:rPr>
                <w:sz w:val="22"/>
                <w:szCs w:val="22"/>
              </w:rPr>
            </w:pPr>
            <w:r w:rsidRPr="007C5260">
              <w:rPr>
                <w:sz w:val="22"/>
                <w:szCs w:val="22"/>
              </w:rPr>
              <w:t>Random variable – 80% Outdoor, 20% Indoor users according to the ITU URLLC evaluation configurations</w:t>
            </w:r>
          </w:p>
        </w:tc>
      </w:tr>
    </w:tbl>
    <w:p w:rsidR="008C134E" w:rsidRDefault="008C134E" w:rsidP="00A10EA3">
      <w:pPr>
        <w:pStyle w:val="Tablefin"/>
      </w:pPr>
    </w:p>
    <w:p w:rsidR="008C134E" w:rsidRDefault="008C134E" w:rsidP="001E117D">
      <w:pPr>
        <w:spacing w:line="276" w:lineRule="auto"/>
        <w:jc w:val="both"/>
      </w:pPr>
      <w:r>
        <w:t>Notes on the channel model implementations and approaches:</w:t>
      </w:r>
    </w:p>
    <w:p w:rsidR="008C134E" w:rsidRDefault="00A10EA3" w:rsidP="00A10EA3">
      <w:pPr>
        <w:pStyle w:val="enumlev1"/>
      </w:pPr>
      <w:r>
        <w:t>•</w:t>
      </w:r>
      <w:r>
        <w:tab/>
      </w:r>
      <w:r w:rsidR="008C134E">
        <w:t>The Urban Macro channel model A (UMa_A) setup was used for all scenarios.</w:t>
      </w:r>
    </w:p>
    <w:p w:rsidR="008C134E" w:rsidRDefault="00A10EA3" w:rsidP="00A10EA3">
      <w:pPr>
        <w:pStyle w:val="enumlev1"/>
      </w:pPr>
      <w:r>
        <w:t>•</w:t>
      </w:r>
      <w:r>
        <w:tab/>
      </w:r>
      <w:r w:rsidR="008C134E">
        <w:t>The published IMT-2020 BUPT model</w:t>
      </w:r>
      <w:r w:rsidR="008C134E" w:rsidRPr="00400572">
        <w:t xml:space="preserve"> </w:t>
      </w:r>
      <w:r w:rsidR="008C134E">
        <w:t xml:space="preserve">could not be adapted to cover all simulation configurations, thus it was used only for large scale fading processes. </w:t>
      </w:r>
    </w:p>
    <w:p w:rsidR="008C134E" w:rsidRDefault="00A10EA3" w:rsidP="00A10EA3">
      <w:pPr>
        <w:pStyle w:val="enumlev1"/>
      </w:pPr>
      <w:r>
        <w:t>•</w:t>
      </w:r>
      <w:r>
        <w:tab/>
      </w:r>
      <w:r w:rsidR="008C134E">
        <w:t>For TDL, MIMO inclusion was performed with the use of the array correlation matrix. However, since both TDL and CDL approaches provided similar results, the CDL channel models were preferred due to their inherent MIMO support.</w:t>
      </w:r>
    </w:p>
    <w:p w:rsidR="008C134E" w:rsidRDefault="00A10EA3" w:rsidP="00A10EA3">
      <w:pPr>
        <w:pStyle w:val="enumlev1"/>
      </w:pPr>
      <w:r>
        <w:t>•</w:t>
      </w:r>
      <w:r>
        <w:tab/>
      </w:r>
      <w:r w:rsidR="008C134E">
        <w:t>During system-level simulation, if a User Terminal (UT) is determined to be an “indoor” or “outdoor” user for the link with the associated TRxP, then it is considered an “indoor” or “outdoor” user respectively for all its links with all TRxPs.</w:t>
      </w:r>
    </w:p>
    <w:p w:rsidR="008C134E" w:rsidRDefault="00A10EA3" w:rsidP="00A10EA3">
      <w:pPr>
        <w:pStyle w:val="enumlev1"/>
      </w:pPr>
      <w:r>
        <w:t>•</w:t>
      </w:r>
      <w:r>
        <w:tab/>
      </w:r>
      <w:r w:rsidR="008C134E">
        <w:t xml:space="preserve">On the other hand, LoS or NLoS status for each link of a UT with the TRxPs of the simulation setup is determined independently.  </w:t>
      </w:r>
    </w:p>
    <w:p w:rsidR="008C134E" w:rsidRDefault="008C134E" w:rsidP="001E117D">
      <w:pPr>
        <w:pStyle w:val="Heading3"/>
        <w:spacing w:line="276" w:lineRule="auto"/>
        <w:jc w:val="both"/>
      </w:pPr>
      <w:r>
        <w:t>Simulation and PHY Configurations</w:t>
      </w:r>
    </w:p>
    <w:p w:rsidR="008C134E" w:rsidRDefault="00A10EA3" w:rsidP="00A10EA3">
      <w:pPr>
        <w:pStyle w:val="enumlev1"/>
      </w:pPr>
      <w:r>
        <w:t>•</w:t>
      </w:r>
      <w:r>
        <w:tab/>
      </w:r>
      <w:r w:rsidR="008C134E">
        <w:t>Ten users per TRxP were dropped for each run.</w:t>
      </w:r>
    </w:p>
    <w:p w:rsidR="008C134E" w:rsidRDefault="00A10EA3" w:rsidP="00A10EA3">
      <w:pPr>
        <w:pStyle w:val="enumlev1"/>
      </w:pPr>
      <w:r>
        <w:t>•</w:t>
      </w:r>
      <w:r>
        <w:tab/>
      </w:r>
      <w:r w:rsidR="008C134E" w:rsidRPr="009150E5">
        <w:t>Full buffer simulations</w:t>
      </w:r>
      <w:r w:rsidR="008C134E">
        <w:t xml:space="preserve"> were performed.</w:t>
      </w:r>
    </w:p>
    <w:p w:rsidR="008C134E" w:rsidRDefault="00A10EA3" w:rsidP="00A10EA3">
      <w:pPr>
        <w:pStyle w:val="enumlev1"/>
      </w:pPr>
      <w:r>
        <w:t>•</w:t>
      </w:r>
      <w:r>
        <w:tab/>
      </w:r>
      <w:r w:rsidR="008C134E">
        <w:t xml:space="preserve">Since reliability is enhanced with the use of low-rank modulations and low code rates, MCS-1 was selected (i.e., QPSK with ½ turbo coding) for the PDC. For the PCC, the default procedure for its generation defined in </w:t>
      </w:r>
      <w:r w:rsidR="008C134E" w:rsidRPr="00077639">
        <w:t>ETSI TS 103 636-3 V1.1.1</w:t>
      </w:r>
      <w:r w:rsidR="008C134E">
        <w:t xml:space="preserve"> was followed. A received packet is accepted with the correct reception of both PCC and PDC.</w:t>
      </w:r>
    </w:p>
    <w:p w:rsidR="008C134E" w:rsidRDefault="00A10EA3" w:rsidP="00A10EA3">
      <w:pPr>
        <w:pStyle w:val="enumlev1"/>
      </w:pPr>
      <w:r>
        <w:t>•</w:t>
      </w:r>
      <w:r>
        <w:tab/>
      </w:r>
      <w:r w:rsidR="008C134E">
        <w:t>The numerologies that were investigated were:</w:t>
      </w:r>
    </w:p>
    <w:p w:rsidR="00A10EA3" w:rsidRDefault="008C134E" w:rsidP="00A10EA3">
      <w:pPr>
        <w:pStyle w:val="TableNo"/>
        <w:rPr>
          <w:noProof/>
        </w:rPr>
      </w:pPr>
      <w:r w:rsidRPr="00E91A38">
        <w:t xml:space="preserve">Table </w:t>
      </w:r>
      <w:r w:rsidRPr="00E91A38">
        <w:fldChar w:fldCharType="begin"/>
      </w:r>
      <w:r w:rsidRPr="00E91A38">
        <w:instrText xml:space="preserve"> SEQ Table \* ARABIC </w:instrText>
      </w:r>
      <w:r w:rsidRPr="00E91A38">
        <w:fldChar w:fldCharType="separate"/>
      </w:r>
      <w:r w:rsidRPr="00E91A38">
        <w:rPr>
          <w:noProof/>
        </w:rPr>
        <w:t>11</w:t>
      </w:r>
      <w:r w:rsidRPr="00E91A38">
        <w:rPr>
          <w:noProof/>
        </w:rPr>
        <w:fldChar w:fldCharType="end"/>
      </w:r>
    </w:p>
    <w:p w:rsidR="008C134E" w:rsidRPr="00E91A38" w:rsidRDefault="008C134E" w:rsidP="00A10EA3">
      <w:pPr>
        <w:pStyle w:val="Tabletitle"/>
      </w:pPr>
      <w:r w:rsidRPr="00E91A38">
        <w:rPr>
          <w:noProof/>
        </w:rPr>
        <w:t>Investigated numerologies during Reliability evaluation</w:t>
      </w:r>
    </w:p>
    <w:tbl>
      <w:tblPr>
        <w:tblStyle w:val="TableGrid"/>
        <w:tblW w:w="5852" w:type="dxa"/>
        <w:jc w:val="center"/>
        <w:tblLook w:val="04A0" w:firstRow="1" w:lastRow="0" w:firstColumn="1" w:lastColumn="0" w:noHBand="0" w:noVBand="1"/>
      </w:tblPr>
      <w:tblGrid>
        <w:gridCol w:w="1435"/>
        <w:gridCol w:w="947"/>
        <w:gridCol w:w="1393"/>
        <w:gridCol w:w="2077"/>
      </w:tblGrid>
      <w:tr w:rsidR="008C134E" w:rsidRPr="007C5260" w:rsidTr="007C5260">
        <w:trPr>
          <w:trHeight w:val="377"/>
          <w:jc w:val="center"/>
        </w:trPr>
        <w:tc>
          <w:tcPr>
            <w:tcW w:w="1435" w:type="dxa"/>
          </w:tcPr>
          <w:p w:rsidR="008C134E" w:rsidRPr="007C5260" w:rsidRDefault="008C134E" w:rsidP="004160DC">
            <w:pPr>
              <w:pStyle w:val="Tablehead"/>
              <w:jc w:val="both"/>
              <w:rPr>
                <w:rFonts w:ascii="Times New Roman" w:hAnsi="Times New Roman" w:cs="Times New Roman"/>
              </w:rPr>
            </w:pPr>
            <w:r w:rsidRPr="007C5260">
              <w:rPr>
                <w:rFonts w:ascii="Times New Roman" w:hAnsi="Times New Roman" w:cs="Times New Roman"/>
              </w:rPr>
              <w:t>(μ,β)</w:t>
            </w:r>
          </w:p>
        </w:tc>
        <w:tc>
          <w:tcPr>
            <w:tcW w:w="947" w:type="dxa"/>
          </w:tcPr>
          <w:p w:rsidR="008C134E" w:rsidRPr="007C5260" w:rsidRDefault="008C134E" w:rsidP="004160DC">
            <w:pPr>
              <w:pStyle w:val="Tablehead"/>
              <w:jc w:val="both"/>
              <w:rPr>
                <w:rFonts w:ascii="Times New Roman" w:hAnsi="Times New Roman" w:cs="Times New Roman"/>
              </w:rPr>
            </w:pPr>
            <w:r w:rsidRPr="007C5260">
              <w:rPr>
                <w:rFonts w:ascii="Times New Roman" w:hAnsi="Times New Roman" w:cs="Times New Roman"/>
              </w:rPr>
              <w:t>SCS</w:t>
            </w:r>
          </w:p>
        </w:tc>
        <w:tc>
          <w:tcPr>
            <w:tcW w:w="1393" w:type="dxa"/>
          </w:tcPr>
          <w:p w:rsidR="008C134E" w:rsidRPr="007C5260" w:rsidRDefault="008C134E" w:rsidP="004160DC">
            <w:pPr>
              <w:pStyle w:val="Tablehead"/>
              <w:jc w:val="both"/>
              <w:rPr>
                <w:rFonts w:ascii="Times New Roman" w:hAnsi="Times New Roman" w:cs="Times New Roman"/>
              </w:rPr>
            </w:pPr>
            <w:r w:rsidRPr="007C5260">
              <w:rPr>
                <w:rFonts w:ascii="Times New Roman" w:hAnsi="Times New Roman" w:cs="Times New Roman"/>
              </w:rPr>
              <w:t>DFT</w:t>
            </w:r>
          </w:p>
        </w:tc>
        <w:tc>
          <w:tcPr>
            <w:tcW w:w="2077" w:type="dxa"/>
          </w:tcPr>
          <w:p w:rsidR="008C134E" w:rsidRPr="007C5260" w:rsidRDefault="008C134E" w:rsidP="004160DC">
            <w:pPr>
              <w:pStyle w:val="Tablehead"/>
              <w:jc w:val="both"/>
              <w:rPr>
                <w:rFonts w:ascii="Times New Roman" w:hAnsi="Times New Roman" w:cs="Times New Roman"/>
              </w:rPr>
            </w:pPr>
            <w:r w:rsidRPr="007C5260">
              <w:rPr>
                <w:rFonts w:ascii="Times New Roman" w:hAnsi="Times New Roman" w:cs="Times New Roman"/>
              </w:rPr>
              <w:t>B</w:t>
            </w:r>
          </w:p>
        </w:tc>
      </w:tr>
      <w:tr w:rsidR="008C134E" w:rsidRPr="007C5260" w:rsidTr="004160DC">
        <w:trPr>
          <w:jc w:val="center"/>
        </w:trPr>
        <w:tc>
          <w:tcPr>
            <w:tcW w:w="1435" w:type="dxa"/>
          </w:tcPr>
          <w:p w:rsidR="008C134E" w:rsidRPr="007C5260" w:rsidRDefault="008C134E" w:rsidP="004160DC">
            <w:pPr>
              <w:pStyle w:val="Tabletext"/>
            </w:pPr>
            <w:r w:rsidRPr="007C5260">
              <w:t>(1,1)</w:t>
            </w:r>
          </w:p>
        </w:tc>
        <w:tc>
          <w:tcPr>
            <w:tcW w:w="947" w:type="dxa"/>
          </w:tcPr>
          <w:p w:rsidR="008C134E" w:rsidRPr="007C5260" w:rsidRDefault="008C134E" w:rsidP="004160DC">
            <w:pPr>
              <w:pStyle w:val="Tabletext"/>
            </w:pPr>
            <w:r w:rsidRPr="007C5260">
              <w:t>27 kHz</w:t>
            </w:r>
          </w:p>
        </w:tc>
        <w:tc>
          <w:tcPr>
            <w:tcW w:w="1393" w:type="dxa"/>
          </w:tcPr>
          <w:p w:rsidR="008C134E" w:rsidRPr="007C5260" w:rsidRDefault="008C134E" w:rsidP="004160DC">
            <w:pPr>
              <w:pStyle w:val="Tabletext"/>
            </w:pPr>
            <w:r w:rsidRPr="007C5260">
              <w:t>64</w:t>
            </w:r>
          </w:p>
        </w:tc>
        <w:tc>
          <w:tcPr>
            <w:tcW w:w="2077" w:type="dxa"/>
          </w:tcPr>
          <w:p w:rsidR="008C134E" w:rsidRPr="007C5260" w:rsidRDefault="008C134E" w:rsidP="004160DC">
            <w:pPr>
              <w:pStyle w:val="Tabletext"/>
            </w:pPr>
            <w:r w:rsidRPr="007C5260">
              <w:t>1.728 MHz</w:t>
            </w:r>
          </w:p>
        </w:tc>
      </w:tr>
      <w:tr w:rsidR="008C134E" w:rsidRPr="007C5260" w:rsidTr="004160DC">
        <w:trPr>
          <w:jc w:val="center"/>
        </w:trPr>
        <w:tc>
          <w:tcPr>
            <w:tcW w:w="1435" w:type="dxa"/>
          </w:tcPr>
          <w:p w:rsidR="008C134E" w:rsidRPr="007C5260" w:rsidRDefault="008C134E" w:rsidP="004160DC">
            <w:pPr>
              <w:pStyle w:val="Tabletext"/>
            </w:pPr>
            <w:r w:rsidRPr="007C5260">
              <w:t>(1,2)</w:t>
            </w:r>
          </w:p>
        </w:tc>
        <w:tc>
          <w:tcPr>
            <w:tcW w:w="947" w:type="dxa"/>
          </w:tcPr>
          <w:p w:rsidR="008C134E" w:rsidRPr="007C5260" w:rsidRDefault="008C134E" w:rsidP="004160DC">
            <w:pPr>
              <w:pStyle w:val="Tabletext"/>
            </w:pPr>
            <w:r w:rsidRPr="007C5260">
              <w:t>27 kHz</w:t>
            </w:r>
          </w:p>
        </w:tc>
        <w:tc>
          <w:tcPr>
            <w:tcW w:w="1393" w:type="dxa"/>
          </w:tcPr>
          <w:p w:rsidR="008C134E" w:rsidRPr="007C5260" w:rsidRDefault="008C134E" w:rsidP="004160DC">
            <w:pPr>
              <w:pStyle w:val="Tabletext"/>
            </w:pPr>
            <w:r w:rsidRPr="007C5260">
              <w:t>128</w:t>
            </w:r>
          </w:p>
        </w:tc>
        <w:tc>
          <w:tcPr>
            <w:tcW w:w="2077" w:type="dxa"/>
          </w:tcPr>
          <w:p w:rsidR="008C134E" w:rsidRPr="007C5260" w:rsidRDefault="008C134E" w:rsidP="004160DC">
            <w:pPr>
              <w:pStyle w:val="Tabletext"/>
            </w:pPr>
            <w:r w:rsidRPr="007C5260">
              <w:t>3.456 MHz</w:t>
            </w:r>
          </w:p>
        </w:tc>
      </w:tr>
      <w:tr w:rsidR="008C134E" w:rsidRPr="007C5260" w:rsidTr="004160DC">
        <w:trPr>
          <w:jc w:val="center"/>
        </w:trPr>
        <w:tc>
          <w:tcPr>
            <w:tcW w:w="1435" w:type="dxa"/>
          </w:tcPr>
          <w:p w:rsidR="008C134E" w:rsidRPr="007C5260" w:rsidRDefault="008C134E" w:rsidP="004160DC">
            <w:pPr>
              <w:pStyle w:val="Tabletext"/>
            </w:pPr>
            <w:r w:rsidRPr="007C5260">
              <w:t>(2,1)</w:t>
            </w:r>
          </w:p>
        </w:tc>
        <w:tc>
          <w:tcPr>
            <w:tcW w:w="947" w:type="dxa"/>
          </w:tcPr>
          <w:p w:rsidR="008C134E" w:rsidRPr="007C5260" w:rsidRDefault="008C134E" w:rsidP="004160DC">
            <w:pPr>
              <w:pStyle w:val="Tabletext"/>
            </w:pPr>
            <w:r w:rsidRPr="007C5260">
              <w:t>54 kHz</w:t>
            </w:r>
          </w:p>
        </w:tc>
        <w:tc>
          <w:tcPr>
            <w:tcW w:w="1393" w:type="dxa"/>
          </w:tcPr>
          <w:p w:rsidR="008C134E" w:rsidRPr="007C5260" w:rsidRDefault="008C134E" w:rsidP="004160DC">
            <w:pPr>
              <w:pStyle w:val="Tabletext"/>
            </w:pPr>
            <w:r w:rsidRPr="007C5260">
              <w:t>64</w:t>
            </w:r>
          </w:p>
        </w:tc>
        <w:tc>
          <w:tcPr>
            <w:tcW w:w="2077" w:type="dxa"/>
          </w:tcPr>
          <w:p w:rsidR="008C134E" w:rsidRPr="007C5260" w:rsidRDefault="008C134E" w:rsidP="004160DC">
            <w:pPr>
              <w:pStyle w:val="Tabletext"/>
            </w:pPr>
            <w:r w:rsidRPr="007C5260">
              <w:t>3.456 MHz</w:t>
            </w:r>
          </w:p>
        </w:tc>
      </w:tr>
      <w:tr w:rsidR="008C134E" w:rsidRPr="007C5260" w:rsidTr="004160DC">
        <w:trPr>
          <w:jc w:val="center"/>
        </w:trPr>
        <w:tc>
          <w:tcPr>
            <w:tcW w:w="1435" w:type="dxa"/>
          </w:tcPr>
          <w:p w:rsidR="008C134E" w:rsidRPr="007C5260" w:rsidRDefault="008C134E" w:rsidP="004160DC">
            <w:pPr>
              <w:pStyle w:val="Tabletext"/>
            </w:pPr>
            <w:r w:rsidRPr="007C5260">
              <w:t>(2,2)</w:t>
            </w:r>
          </w:p>
        </w:tc>
        <w:tc>
          <w:tcPr>
            <w:tcW w:w="947" w:type="dxa"/>
          </w:tcPr>
          <w:p w:rsidR="008C134E" w:rsidRPr="007C5260" w:rsidRDefault="008C134E" w:rsidP="004160DC">
            <w:pPr>
              <w:pStyle w:val="Tabletext"/>
            </w:pPr>
            <w:r w:rsidRPr="007C5260">
              <w:t>54 kHz</w:t>
            </w:r>
          </w:p>
        </w:tc>
        <w:tc>
          <w:tcPr>
            <w:tcW w:w="1393" w:type="dxa"/>
          </w:tcPr>
          <w:p w:rsidR="008C134E" w:rsidRPr="007C5260" w:rsidRDefault="008C134E" w:rsidP="004160DC">
            <w:pPr>
              <w:pStyle w:val="Tabletext"/>
            </w:pPr>
            <w:r w:rsidRPr="007C5260">
              <w:t>128</w:t>
            </w:r>
          </w:p>
        </w:tc>
        <w:tc>
          <w:tcPr>
            <w:tcW w:w="2077" w:type="dxa"/>
          </w:tcPr>
          <w:p w:rsidR="008C134E" w:rsidRPr="007C5260" w:rsidRDefault="008C134E" w:rsidP="004160DC">
            <w:pPr>
              <w:pStyle w:val="Tabletext"/>
            </w:pPr>
            <w:r w:rsidRPr="007C5260">
              <w:t>6.912 MHz</w:t>
            </w:r>
          </w:p>
        </w:tc>
      </w:tr>
    </w:tbl>
    <w:p w:rsidR="00AB341D" w:rsidRDefault="00AB341D" w:rsidP="00AB341D">
      <w:pPr>
        <w:pStyle w:val="Tablefin"/>
      </w:pPr>
    </w:p>
    <w:p w:rsidR="008C134E" w:rsidRDefault="008C134E" w:rsidP="001E117D">
      <w:pPr>
        <w:spacing w:line="276" w:lineRule="auto"/>
        <w:jc w:val="both"/>
      </w:pPr>
      <w:r>
        <w:t xml:space="preserve">Notes: </w:t>
      </w:r>
    </w:p>
    <w:p w:rsidR="008C134E" w:rsidRDefault="00AB341D" w:rsidP="00AB341D">
      <w:pPr>
        <w:pStyle w:val="enumlev1"/>
      </w:pPr>
      <w:r>
        <w:t>•</w:t>
      </w:r>
      <w:r>
        <w:tab/>
      </w:r>
      <w:r w:rsidR="008C134E">
        <w:t xml:space="preserve">Presented results mainly focus on (1,1) PHY configuration that provides the best results in terms of reliability. </w:t>
      </w:r>
    </w:p>
    <w:p w:rsidR="008C134E" w:rsidRDefault="00AB341D" w:rsidP="00AB341D">
      <w:pPr>
        <w:pStyle w:val="enumlev1"/>
      </w:pPr>
      <w:r>
        <w:t>•</w:t>
      </w:r>
      <w:r>
        <w:tab/>
      </w:r>
      <w:r w:rsidR="008C134E">
        <w:t>No HARQ process is applied in order to ensure that each packet is delivered with delay below 1 msec.</w:t>
      </w:r>
    </w:p>
    <w:p w:rsidR="008C134E" w:rsidRDefault="00AB341D" w:rsidP="00AB341D">
      <w:pPr>
        <w:pStyle w:val="enumlev1"/>
      </w:pPr>
      <w:r>
        <w:t>•</w:t>
      </w:r>
      <w:r>
        <w:tab/>
      </w:r>
      <w:r w:rsidR="008C134E">
        <w:t>For each transmission, a 32-byte PDU is considered.</w:t>
      </w:r>
    </w:p>
    <w:p w:rsidR="008C134E" w:rsidRDefault="00AB341D" w:rsidP="00AB341D">
      <w:pPr>
        <w:pStyle w:val="enumlev1"/>
      </w:pPr>
      <w:r>
        <w:t>•</w:t>
      </w:r>
      <w:r>
        <w:tab/>
      </w:r>
      <w:r w:rsidR="008C134E">
        <w:t>For each transmission, 40-bit PCC is assumed.</w:t>
      </w:r>
    </w:p>
    <w:p w:rsidR="008C134E" w:rsidRDefault="00AB341D" w:rsidP="00AB341D">
      <w:pPr>
        <w:pStyle w:val="enumlev1"/>
      </w:pPr>
      <w:r>
        <w:t>•</w:t>
      </w:r>
      <w:r>
        <w:tab/>
      </w:r>
      <w:r w:rsidR="008C134E">
        <w:t xml:space="preserve">The transmission of the PCC and PDC fits at the available resources. </w:t>
      </w:r>
    </w:p>
    <w:p w:rsidR="008C134E" w:rsidRDefault="008C134E" w:rsidP="001E117D">
      <w:pPr>
        <w:pStyle w:val="Heading3"/>
        <w:spacing w:line="276" w:lineRule="auto"/>
        <w:jc w:val="both"/>
      </w:pPr>
      <w:r>
        <w:t xml:space="preserve">Network Layout </w:t>
      </w:r>
    </w:p>
    <w:p w:rsidR="008C134E" w:rsidRDefault="008C134E" w:rsidP="001E117D">
      <w:pPr>
        <w:spacing w:line="276" w:lineRule="auto"/>
        <w:jc w:val="both"/>
        <w:rPr>
          <w:rFonts w:cstheme="minorHAnsi"/>
        </w:rPr>
      </w:pPr>
      <w:r>
        <w:t xml:space="preserve">Based on the guidelines of </w:t>
      </w:r>
      <w:r w:rsidRPr="00B72BC0">
        <w:rPr>
          <w:rFonts w:cstheme="minorHAnsi"/>
        </w:rPr>
        <w:t>ITU-R M.241</w:t>
      </w:r>
      <w:r>
        <w:rPr>
          <w:rFonts w:cstheme="minorHAnsi"/>
        </w:rPr>
        <w:t>0</w:t>
      </w:r>
      <w:r w:rsidRPr="00B72BC0">
        <w:rPr>
          <w:rFonts w:cstheme="minorHAnsi"/>
        </w:rPr>
        <w:t>-0</w:t>
      </w:r>
      <w:r>
        <w:rPr>
          <w:rFonts w:cstheme="minorHAnsi"/>
        </w:rPr>
        <w:t xml:space="preserve"> and </w:t>
      </w:r>
      <w:r w:rsidRPr="00B72BC0">
        <w:rPr>
          <w:rFonts w:cstheme="minorHAnsi"/>
        </w:rPr>
        <w:t>ITU-R M.2412-0</w:t>
      </w:r>
      <w:r>
        <w:rPr>
          <w:rFonts w:cstheme="minorHAnsi"/>
        </w:rPr>
        <w:t>, the fulfilment of minimum requirements was evaluated through two configurations:</w:t>
      </w:r>
    </w:p>
    <w:p w:rsidR="008C134E" w:rsidRDefault="00AB341D" w:rsidP="00AB341D">
      <w:pPr>
        <w:pStyle w:val="enumlev1"/>
      </w:pPr>
      <w:r>
        <w:t>•</w:t>
      </w:r>
      <w:r>
        <w:tab/>
      </w:r>
      <w:r w:rsidR="008C134E">
        <w:t>Configuration A, at 4</w:t>
      </w:r>
      <w:r w:rsidR="00966C43">
        <w:t> </w:t>
      </w:r>
      <w:r w:rsidR="008C134E">
        <w:t>GHz with overall bandwidth of 100 MHz</w:t>
      </w:r>
    </w:p>
    <w:p w:rsidR="008C134E" w:rsidRDefault="00AB341D" w:rsidP="00AB341D">
      <w:pPr>
        <w:pStyle w:val="enumlev1"/>
      </w:pPr>
      <w:r>
        <w:t>•</w:t>
      </w:r>
      <w:r>
        <w:tab/>
      </w:r>
      <w:r w:rsidR="008C134E">
        <w:t>Configuration B, at 700</w:t>
      </w:r>
      <w:r w:rsidR="00966C43">
        <w:t> </w:t>
      </w:r>
      <w:r w:rsidR="008C134E">
        <w:t xml:space="preserve">MHz with overall bandwidth of 40 MHz </w:t>
      </w:r>
    </w:p>
    <w:p w:rsidR="008C134E" w:rsidRDefault="008C134E" w:rsidP="001E117D">
      <w:pPr>
        <w:spacing w:line="276" w:lineRule="auto"/>
        <w:jc w:val="both"/>
      </w:pPr>
      <w:r>
        <w:t>The DECT-2020 NR channel bandwidth varies from 1.728</w:t>
      </w:r>
      <w:r w:rsidR="006E0CDD">
        <w:t> </w:t>
      </w:r>
      <w:r>
        <w:t xml:space="preserve">MHz up to </w:t>
      </w:r>
      <w:r w:rsidRPr="00C97806">
        <w:t>193</w:t>
      </w:r>
      <w:r>
        <w:t>,</w:t>
      </w:r>
      <w:r w:rsidRPr="00C97806">
        <w:t>536</w:t>
      </w:r>
      <w:r w:rsidR="006E0CDD">
        <w:t> </w:t>
      </w:r>
      <w:r>
        <w:t>MHz, however, three main operating channel bandwidth are currently considered (1.728</w:t>
      </w:r>
      <w:r w:rsidR="006E0CDD">
        <w:t> </w:t>
      </w:r>
      <w:r>
        <w:t>MHz, 3.456</w:t>
      </w:r>
      <w:r w:rsidR="006E0CDD">
        <w:t> </w:t>
      </w:r>
      <w:r>
        <w:t>MHz, and 6.912</w:t>
      </w:r>
      <w:r w:rsidR="006E0CDD">
        <w:t> </w:t>
      </w:r>
      <w:r>
        <w:t xml:space="preserve">MHz). Generally, and in order to minimize the effect of noise in the reliability investigations, the study focused on the lowest bandwidth. Therefore, in the available overall bandwidth, the number of channels is given by </w:t>
      </w:r>
    </w:p>
    <w:p w:rsidR="008C134E" w:rsidRDefault="008C134E" w:rsidP="00AB341D">
      <w:pPr>
        <w:pStyle w:val="Equation"/>
      </w:pPr>
      <m:oMathPara>
        <m:oMath>
          <m:r>
            <w:rPr>
              <w:rFonts w:ascii="Cambria Math" w:hAnsi="Cambria Math"/>
            </w:rPr>
            <m:t>Number</m:t>
          </m:r>
          <m:r>
            <m:rPr>
              <m:sty m:val="p"/>
            </m:rPr>
            <w:rPr>
              <w:rFonts w:ascii="Cambria Math" w:hAnsi="Cambria Math"/>
            </w:rPr>
            <m:t xml:space="preserve"> </m:t>
          </m:r>
          <m:r>
            <w:rPr>
              <w:rFonts w:ascii="Cambria Math" w:hAnsi="Cambria Math"/>
            </w:rPr>
            <m:t>Channels</m:t>
          </m:r>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w:rPr>
                      <w:rFonts w:ascii="Cambria Math" w:hAnsi="Cambria Math"/>
                    </w:rPr>
                    <m:t>Overall</m:t>
                  </m:r>
                  <m:r>
                    <m:rPr>
                      <m:sty m:val="p"/>
                    </m:rPr>
                    <w:rPr>
                      <w:rFonts w:ascii="Cambria Math" w:hAnsi="Cambria Math"/>
                    </w:rPr>
                    <m:t xml:space="preserve"> </m:t>
                  </m:r>
                  <m:r>
                    <w:rPr>
                      <w:rFonts w:ascii="Cambria Math" w:hAnsi="Cambria Math"/>
                    </w:rPr>
                    <m:t>BW</m:t>
                  </m:r>
                </m:num>
                <m:den>
                  <m:r>
                    <w:rPr>
                      <w:rFonts w:ascii="Cambria Math" w:hAnsi="Cambria Math"/>
                    </w:rPr>
                    <m:t>Channel</m:t>
                  </m:r>
                  <m:r>
                    <m:rPr>
                      <m:sty m:val="p"/>
                    </m:rPr>
                    <w:rPr>
                      <w:rFonts w:ascii="Cambria Math" w:hAnsi="Cambria Math"/>
                    </w:rPr>
                    <m:t xml:space="preserve"> </m:t>
                  </m:r>
                  <m:r>
                    <w:rPr>
                      <w:rFonts w:ascii="Cambria Math" w:hAnsi="Cambria Math"/>
                    </w:rPr>
                    <m:t>BW</m:t>
                  </m:r>
                </m:den>
              </m:f>
            </m:e>
          </m:d>
        </m:oMath>
      </m:oMathPara>
    </w:p>
    <w:p w:rsidR="008C134E" w:rsidRDefault="008C134E" w:rsidP="001E117D">
      <w:pPr>
        <w:spacing w:line="276" w:lineRule="auto"/>
        <w:jc w:val="both"/>
      </w:pPr>
      <w:r>
        <w:t>Which means, that:</w:t>
      </w:r>
    </w:p>
    <w:p w:rsidR="008C134E" w:rsidRDefault="00AB341D" w:rsidP="00AB341D">
      <w:pPr>
        <w:pStyle w:val="enumlev1"/>
      </w:pPr>
      <w:r>
        <w:t>•</w:t>
      </w:r>
      <w:r>
        <w:tab/>
      </w:r>
      <w:r w:rsidR="008C134E">
        <w:t>For Configuration A and 1.728</w:t>
      </w:r>
      <w:r w:rsidR="006E0CDD">
        <w:t> </w:t>
      </w:r>
      <w:r w:rsidR="008C134E">
        <w:t>MHz channel bandwidth, 57 channels are available.</w:t>
      </w:r>
    </w:p>
    <w:p w:rsidR="008C134E" w:rsidRDefault="00AB341D" w:rsidP="00AB341D">
      <w:pPr>
        <w:pStyle w:val="enumlev1"/>
      </w:pPr>
      <w:r>
        <w:t>•</w:t>
      </w:r>
      <w:r>
        <w:tab/>
      </w:r>
      <w:r w:rsidR="008C134E">
        <w:t>For Configuration B and 1.728</w:t>
      </w:r>
      <w:r w:rsidR="006E0CDD">
        <w:t> </w:t>
      </w:r>
      <w:r w:rsidR="008C134E">
        <w:t>MHz channel bandwidth, 23 channels are available.</w:t>
      </w:r>
    </w:p>
    <w:p w:rsidR="008C134E" w:rsidRDefault="008C134E" w:rsidP="001E117D">
      <w:pPr>
        <w:spacing w:line="276" w:lineRule="auto"/>
        <w:jc w:val="both"/>
      </w:pPr>
      <w:r>
        <w:t>Two frequency reuse schemes were tested:</w:t>
      </w:r>
    </w:p>
    <w:p w:rsidR="00AB341D" w:rsidRPr="00E41B4C" w:rsidRDefault="00AB341D" w:rsidP="00AB341D">
      <w:pPr>
        <w:pStyle w:val="FigureNo"/>
        <w:rPr>
          <w:color w:val="244061" w:themeColor="accent1" w:themeShade="80"/>
        </w:rPr>
      </w:pPr>
      <w:r w:rsidRPr="00E41B4C">
        <w:rPr>
          <w:color w:val="244061" w:themeColor="accent1" w:themeShade="80"/>
        </w:rPr>
        <w:t xml:space="preserve">Figure </w:t>
      </w:r>
      <w:r w:rsidRPr="00E41B4C">
        <w:rPr>
          <w:color w:val="244061" w:themeColor="accent1" w:themeShade="80"/>
        </w:rPr>
        <w:fldChar w:fldCharType="begin"/>
      </w:r>
      <w:r w:rsidRPr="00E41B4C">
        <w:rPr>
          <w:color w:val="244061" w:themeColor="accent1" w:themeShade="80"/>
        </w:rPr>
        <w:instrText xml:space="preserve"> SEQ Figure \* ARABIC </w:instrText>
      </w:r>
      <w:r w:rsidRPr="00E41B4C">
        <w:rPr>
          <w:color w:val="244061" w:themeColor="accent1" w:themeShade="80"/>
        </w:rPr>
        <w:fldChar w:fldCharType="separate"/>
      </w:r>
      <w:r w:rsidRPr="00E41B4C">
        <w:rPr>
          <w:noProof/>
          <w:color w:val="244061" w:themeColor="accent1" w:themeShade="80"/>
        </w:rPr>
        <w:t>3</w:t>
      </w:r>
      <w:r w:rsidRPr="00E41B4C">
        <w:rPr>
          <w:noProof/>
          <w:color w:val="244061" w:themeColor="accent1" w:themeShade="80"/>
        </w:rPr>
        <w:fldChar w:fldCharType="end"/>
      </w:r>
    </w:p>
    <w:p w:rsidR="00AB341D" w:rsidRPr="00AB341D" w:rsidRDefault="00AB341D" w:rsidP="00AB341D">
      <w:pPr>
        <w:pStyle w:val="Figuretitle"/>
        <w:rPr>
          <w:color w:val="548DD4" w:themeColor="text2" w:themeTint="99"/>
        </w:rPr>
      </w:pPr>
      <w:r w:rsidRPr="00E41B4C">
        <w:rPr>
          <w:color w:val="244061" w:themeColor="accent1" w:themeShade="80"/>
        </w:rPr>
        <w:t>Frequency reuse schemes (cells using the same carriers are using the same colors)</w:t>
      </w:r>
    </w:p>
    <w:p w:rsidR="008C134E" w:rsidRDefault="008C134E" w:rsidP="001E117D">
      <w:pPr>
        <w:keepNext/>
        <w:spacing w:line="276" w:lineRule="auto"/>
        <w:jc w:val="center"/>
      </w:pPr>
      <w:r>
        <w:object w:dxaOrig="18293" w:dyaOrig="10433" w14:anchorId="28A33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234.75pt" o:ole="">
            <v:imagedata r:id="rId35" o:title=""/>
          </v:shape>
          <o:OLEObject Type="Embed" ProgID="Visio.Drawing.15" ShapeID="_x0000_i1025" DrawAspect="Content" ObjectID="_1697959888" r:id="rId36"/>
        </w:object>
      </w:r>
    </w:p>
    <w:p w:rsidR="008C134E" w:rsidRDefault="00AB341D" w:rsidP="00AB341D">
      <w:pPr>
        <w:pStyle w:val="enumlev1"/>
      </w:pPr>
      <w:r>
        <w:t>•</w:t>
      </w:r>
      <w:r>
        <w:tab/>
      </w:r>
      <w:r w:rsidR="008C134E">
        <w:t>Channel reuse 3, which means that:</w:t>
      </w:r>
    </w:p>
    <w:p w:rsidR="008C134E" w:rsidRDefault="00AB341D" w:rsidP="00AB341D">
      <w:pPr>
        <w:pStyle w:val="enumlev2"/>
      </w:pPr>
      <w:r>
        <w:t>˚</w:t>
      </w:r>
      <w:r>
        <w:tab/>
      </w:r>
      <w:r w:rsidR="008C134E">
        <w:t>for configuration A, 19 carriers/channels are available per TRxP (19 carriers x 3 reuse factor = 57 channels), while for Configuration B, more than 7 carriers/channels are available per TRxP accordingly (7 carriers x 3 reuse factor = 21 channels)</w:t>
      </w:r>
    </w:p>
    <w:p w:rsidR="008C134E" w:rsidRDefault="00AB341D" w:rsidP="00AB341D">
      <w:pPr>
        <w:pStyle w:val="enumlev1"/>
      </w:pPr>
      <w:r>
        <w:t>•</w:t>
      </w:r>
      <w:r>
        <w:tab/>
      </w:r>
      <w:r w:rsidR="008C134E">
        <w:t>Channel reuse 7, which means that:</w:t>
      </w:r>
    </w:p>
    <w:p w:rsidR="008C134E" w:rsidRDefault="00AB341D" w:rsidP="00AB341D">
      <w:pPr>
        <w:pStyle w:val="enumlev2"/>
      </w:pPr>
      <w:r>
        <w:t>˚</w:t>
      </w:r>
      <w:r>
        <w:tab/>
      </w:r>
      <w:r w:rsidR="008C134E">
        <w:t>for configuration A, more than 8 carriers/channels are available per TRxP. (8 carriers x 7 reuse factor = 56 channels), while for Configuration B, more than 3 carriers/channels are available per TRxP accordingly.</w:t>
      </w:r>
    </w:p>
    <w:p w:rsidR="008C134E" w:rsidRDefault="008C134E" w:rsidP="001E117D">
      <w:pPr>
        <w:spacing w:line="276" w:lineRule="auto"/>
        <w:jc w:val="both"/>
      </w:pPr>
      <w:r>
        <w:t>The conventional cellular network deployment was considered with Inter-Site Distance of 500</w:t>
      </w:r>
      <w:r w:rsidR="00966C43">
        <w:t> </w:t>
      </w:r>
      <w:r>
        <w:t>m according to the ITU evaluation guidelines, where each base station site hosts three TRxPs, covering three sectors. For the assumed geometry, the TRxPs antenna array orientations are towards 0</w:t>
      </w:r>
      <w:r>
        <w:rPr>
          <w:vertAlign w:val="superscript"/>
        </w:rPr>
        <w:t>o</w:t>
      </w:r>
      <w:r>
        <w:t xml:space="preserve"> (Sector 1), 120</w:t>
      </w:r>
      <w:r>
        <w:rPr>
          <w:vertAlign w:val="superscript"/>
        </w:rPr>
        <w:t>o</w:t>
      </w:r>
      <w:r>
        <w:t xml:space="preserve"> (Sector</w:t>
      </w:r>
      <w:r w:rsidR="006E0CDD">
        <w:t xml:space="preserve"> </w:t>
      </w:r>
      <w:r>
        <w:t>2), and 240</w:t>
      </w:r>
      <w:r>
        <w:rPr>
          <w:vertAlign w:val="superscript"/>
        </w:rPr>
        <w:t>o</w:t>
      </w:r>
      <w:r>
        <w:t xml:space="preserve"> (Sector 3). Nineteen (19) sites were considered leading to 57 TRxPs and cells.</w:t>
      </w:r>
    </w:p>
    <w:p w:rsidR="008C134E" w:rsidRDefault="008C134E" w:rsidP="001E117D">
      <w:pPr>
        <w:pStyle w:val="Heading3"/>
        <w:spacing w:line="276" w:lineRule="auto"/>
        <w:jc w:val="both"/>
      </w:pPr>
      <w:r>
        <w:t>Scheduling</w:t>
      </w:r>
    </w:p>
    <w:p w:rsidR="008C134E" w:rsidRDefault="008C134E" w:rsidP="001E117D">
      <w:pPr>
        <w:spacing w:line="276" w:lineRule="auto"/>
        <w:jc w:val="both"/>
      </w:pPr>
      <w:r>
        <w:t>Multiple access in DECT-2020 NR is implemented through:</w:t>
      </w:r>
    </w:p>
    <w:p w:rsidR="008C134E" w:rsidRDefault="00AB341D" w:rsidP="00AB341D">
      <w:pPr>
        <w:pStyle w:val="enumlev1"/>
      </w:pPr>
      <w:r>
        <w:t>•</w:t>
      </w:r>
      <w:r>
        <w:tab/>
      </w:r>
      <w:r w:rsidR="008C134E">
        <w:t xml:space="preserve">FDMA and the available set of carrier frequencies per TRxP. </w:t>
      </w:r>
    </w:p>
    <w:p w:rsidR="008C134E" w:rsidRPr="005B5401" w:rsidRDefault="00AB341D" w:rsidP="00AB341D">
      <w:pPr>
        <w:pStyle w:val="enumlev1"/>
      </w:pPr>
      <w:r>
        <w:t>•</w:t>
      </w:r>
      <w:r>
        <w:tab/>
      </w:r>
      <w:r w:rsidR="008C134E">
        <w:t>TDMA</w:t>
      </w:r>
      <w:r w:rsidR="008C134E" w:rsidRPr="003348B8">
        <w:t xml:space="preserve">, </w:t>
      </w:r>
      <w:r w:rsidR="008C134E">
        <w:t>where user allocation is implemented in slot-by-slot basis and each frame contains 24 (uplink or downlink) slots.</w:t>
      </w:r>
    </w:p>
    <w:p w:rsidR="008C134E" w:rsidRDefault="008C134E" w:rsidP="001E117D">
      <w:pPr>
        <w:spacing w:line="276" w:lineRule="auto"/>
        <w:jc w:val="both"/>
      </w:pPr>
      <w:r>
        <w:t>A simple and generic scheduling algorithm was used in order to allocate the 10 users per TRxP into the available resources. Some notes on the implemented scheduling and duplexing scheme are the following:</w:t>
      </w:r>
    </w:p>
    <w:p w:rsidR="008C134E" w:rsidRDefault="00AB341D" w:rsidP="00AB341D">
      <w:pPr>
        <w:pStyle w:val="enumlev1"/>
      </w:pPr>
      <w:r>
        <w:t>•</w:t>
      </w:r>
      <w:r>
        <w:tab/>
      </w:r>
      <w:r w:rsidR="008C134E">
        <w:t>11 slots are allocated for Uplink transmissions to the UTs.</w:t>
      </w:r>
    </w:p>
    <w:p w:rsidR="008C134E" w:rsidRDefault="00AB341D" w:rsidP="00AB341D">
      <w:pPr>
        <w:pStyle w:val="enumlev1"/>
      </w:pPr>
      <w:r>
        <w:t>•</w:t>
      </w:r>
      <w:r>
        <w:tab/>
      </w:r>
      <w:r w:rsidR="008C134E">
        <w:t>11 slots are allocated for Downlink transmissions from the TRxP.</w:t>
      </w:r>
    </w:p>
    <w:p w:rsidR="008C134E" w:rsidRDefault="00AB341D" w:rsidP="00AB341D">
      <w:pPr>
        <w:pStyle w:val="enumlev1"/>
      </w:pPr>
      <w:r>
        <w:t>•</w:t>
      </w:r>
      <w:r>
        <w:tab/>
      </w:r>
      <w:r w:rsidR="008C134E">
        <w:t>1 slot after Downlink and Uplink segments is kept as guard.</w:t>
      </w:r>
    </w:p>
    <w:p w:rsidR="008C134E" w:rsidRDefault="00AB341D" w:rsidP="00AB341D">
      <w:pPr>
        <w:pStyle w:val="enumlev1"/>
      </w:pPr>
      <w:r>
        <w:t>•</w:t>
      </w:r>
      <w:r>
        <w:tab/>
      </w:r>
      <w:r w:rsidR="008C134E">
        <w:t xml:space="preserve">Since full-buffer simulation is assumed, all resources are allocated by the scheduler. </w:t>
      </w:r>
    </w:p>
    <w:p w:rsidR="008C134E" w:rsidRDefault="00AB341D" w:rsidP="00AB341D">
      <w:pPr>
        <w:pStyle w:val="enumlev1"/>
      </w:pPr>
      <w:r>
        <w:t>•</w:t>
      </w:r>
      <w:r>
        <w:tab/>
      </w:r>
      <w:r w:rsidR="008C134E">
        <w:t xml:space="preserve">Each UT is allocated serially to a carrier frequency available to the TRxP. </w:t>
      </w:r>
    </w:p>
    <w:p w:rsidR="008C134E" w:rsidRDefault="00AB341D" w:rsidP="00AB341D">
      <w:pPr>
        <w:pStyle w:val="enumlev1"/>
      </w:pPr>
      <w:r>
        <w:t>•</w:t>
      </w:r>
      <w:r>
        <w:tab/>
      </w:r>
      <w:r w:rsidR="008C134E">
        <w:t>After the allocation of UTs to a carrier, the available uplink and downlink slots are uniformly allocated to UTs.</w:t>
      </w:r>
    </w:p>
    <w:p w:rsidR="008C134E" w:rsidRDefault="00AB341D" w:rsidP="00AB341D">
      <w:pPr>
        <w:pStyle w:val="enumlev1"/>
      </w:pPr>
      <w:r>
        <w:t>•</w:t>
      </w:r>
      <w:r>
        <w:tab/>
      </w:r>
      <w:r w:rsidR="008C134E">
        <w:t>No coordination between TRxPs is assumed.</w:t>
      </w:r>
    </w:p>
    <w:p w:rsidR="008C134E" w:rsidRDefault="00AB341D" w:rsidP="00AB341D">
      <w:pPr>
        <w:pStyle w:val="enumlev1"/>
      </w:pPr>
      <w:r>
        <w:t>•</w:t>
      </w:r>
      <w:r>
        <w:tab/>
      </w:r>
      <w:r w:rsidR="008C134E">
        <w:t xml:space="preserve">No available slot remains unused, e.g. due to increased interference levels. </w:t>
      </w:r>
    </w:p>
    <w:p w:rsidR="008C134E" w:rsidRDefault="00AB341D" w:rsidP="00AB341D">
      <w:pPr>
        <w:pStyle w:val="enumlev1"/>
      </w:pPr>
      <w:r>
        <w:t>•</w:t>
      </w:r>
      <w:r>
        <w:tab/>
      </w:r>
      <w:r w:rsidR="008C134E">
        <w:t>Evaluation is performed by analyzing the downlink performance.</w:t>
      </w:r>
    </w:p>
    <w:p w:rsidR="008C134E" w:rsidRDefault="008C134E" w:rsidP="001E117D">
      <w:pPr>
        <w:spacing w:line="276" w:lineRule="auto"/>
        <w:jc w:val="both"/>
      </w:pPr>
      <w:r>
        <w:t xml:space="preserve">Notes: </w:t>
      </w:r>
    </w:p>
    <w:p w:rsidR="008C134E" w:rsidRDefault="00AB341D" w:rsidP="00AB341D">
      <w:pPr>
        <w:pStyle w:val="enumlev1"/>
      </w:pPr>
      <w:r>
        <w:t>•</w:t>
      </w:r>
      <w:r>
        <w:tab/>
      </w:r>
      <w:r w:rsidR="008C134E">
        <w:t xml:space="preserve">Following this allocation strategy, at any given slot, each UT receives simultaneously interference by all TRxPs that attempt to communicate with the allocated UTs at their cell. </w:t>
      </w:r>
    </w:p>
    <w:p w:rsidR="008C134E" w:rsidRDefault="00AB341D" w:rsidP="00AB341D">
      <w:pPr>
        <w:pStyle w:val="enumlev1"/>
      </w:pPr>
      <w:r>
        <w:t>•</w:t>
      </w:r>
      <w:r>
        <w:tab/>
      </w:r>
      <w:r w:rsidR="008C134E">
        <w:t>Frequency reuse scheme 1 was not evaluated, since the interference results were definitive, showing that without joint scheduling among TRxPs, the system is not functional.</w:t>
      </w:r>
    </w:p>
    <w:p w:rsidR="008C134E" w:rsidRDefault="008C134E" w:rsidP="001E117D">
      <w:pPr>
        <w:pStyle w:val="Heading3"/>
        <w:spacing w:line="276" w:lineRule="auto"/>
        <w:jc w:val="both"/>
      </w:pPr>
      <w:r>
        <w:t>Antennas</w:t>
      </w:r>
    </w:p>
    <w:p w:rsidR="008C134E" w:rsidRDefault="00AB341D" w:rsidP="00AB341D">
      <w:pPr>
        <w:pStyle w:val="enumlev1"/>
      </w:pPr>
      <w:r>
        <w:t>•</w:t>
      </w:r>
      <w:r>
        <w:tab/>
      </w:r>
      <w:r w:rsidR="008C134E">
        <w:t>Isotropic antenna elements are assumed for the UTs. The inter-element spacing (if applicable) is set to 0.5</w:t>
      </w:r>
      <w:r w:rsidR="008C134E">
        <w:rPr>
          <w:lang w:val="el-GR"/>
        </w:rPr>
        <w:t>λ</w:t>
      </w:r>
      <w:r w:rsidR="008C134E" w:rsidRPr="0013783C">
        <w:t>.</w:t>
      </w:r>
    </w:p>
    <w:p w:rsidR="008C134E" w:rsidRPr="005B4E3F" w:rsidRDefault="00AB341D" w:rsidP="00AB341D">
      <w:pPr>
        <w:pStyle w:val="enumlev1"/>
      </w:pPr>
      <w:r>
        <w:t>•</w:t>
      </w:r>
      <w:r>
        <w:tab/>
      </w:r>
      <w:r w:rsidR="008C134E">
        <w:t xml:space="preserve">For the TRxPs, the directive antenna elements described in 3GPP TS38.901 and the </w:t>
      </w:r>
      <w:r w:rsidR="008C134E" w:rsidRPr="0064423F">
        <w:rPr>
          <w:rFonts w:eastAsia="MS Mincho"/>
        </w:rPr>
        <w:t>Report ITU-R M.241</w:t>
      </w:r>
      <w:r w:rsidR="008C134E">
        <w:rPr>
          <w:rFonts w:eastAsia="MS Mincho"/>
        </w:rPr>
        <w:t>2 Section 8.5.1 (providing directive support at a range of -50</w:t>
      </w:r>
      <w:r w:rsidR="008C134E">
        <w:rPr>
          <w:rFonts w:eastAsia="MS Mincho"/>
          <w:vertAlign w:val="superscript"/>
        </w:rPr>
        <w:t>0</w:t>
      </w:r>
      <w:r w:rsidR="008C134E">
        <w:rPr>
          <w:rFonts w:eastAsia="MS Mincho"/>
        </w:rPr>
        <w:t xml:space="preserve"> to 50</w:t>
      </w:r>
      <w:r w:rsidR="008C134E">
        <w:rPr>
          <w:rFonts w:eastAsia="MS Mincho"/>
          <w:vertAlign w:val="superscript"/>
        </w:rPr>
        <w:t>0</w:t>
      </w:r>
      <w:r w:rsidR="008C134E">
        <w:rPr>
          <w:rFonts w:eastAsia="MS Mincho"/>
        </w:rPr>
        <w:t xml:space="preserve"> with reference to the antenna orientation axis) are considered. The antenna elements are used for SISO, MISO and MIMO configurations.</w:t>
      </w:r>
    </w:p>
    <w:p w:rsidR="008C134E" w:rsidRDefault="00AB341D" w:rsidP="00AB341D">
      <w:pPr>
        <w:pStyle w:val="enumlev1"/>
        <w:rPr>
          <w:rFonts w:eastAsia="MS Mincho"/>
        </w:rPr>
      </w:pPr>
      <w:r>
        <w:t>•</w:t>
      </w:r>
      <w:r>
        <w:tab/>
      </w:r>
      <w:r w:rsidR="008C134E">
        <w:rPr>
          <w:rFonts w:eastAsia="MS Mincho"/>
        </w:rPr>
        <w:t xml:space="preserve">The URA multi-panel antenna structure was adapted as described in </w:t>
      </w:r>
      <w:r w:rsidR="008C134E">
        <w:t xml:space="preserve">the </w:t>
      </w:r>
      <w:r w:rsidR="008C134E" w:rsidRPr="0064423F">
        <w:rPr>
          <w:rFonts w:eastAsia="MS Mincho"/>
        </w:rPr>
        <w:t>Report</w:t>
      </w:r>
      <w:r>
        <w:rPr>
          <w:rFonts w:eastAsia="MS Mincho"/>
        </w:rPr>
        <w:br/>
      </w:r>
      <w:r w:rsidR="008C134E" w:rsidRPr="0064423F">
        <w:rPr>
          <w:rFonts w:eastAsia="MS Mincho"/>
        </w:rPr>
        <w:t xml:space="preserve"> ITU-R M.241</w:t>
      </w:r>
      <w:r w:rsidR="008C134E">
        <w:rPr>
          <w:rFonts w:eastAsia="MS Mincho"/>
        </w:rPr>
        <w:t xml:space="preserve">2 Section 8.5.1 and presented in </w:t>
      </w:r>
      <w:r w:rsidR="008C134E">
        <w:rPr>
          <w:rFonts w:eastAsia="MS Mincho"/>
        </w:rPr>
        <w:fldChar w:fldCharType="begin"/>
      </w:r>
      <w:r w:rsidR="008C134E">
        <w:rPr>
          <w:rFonts w:eastAsia="MS Mincho"/>
        </w:rPr>
        <w:instrText xml:space="preserve"> REF _Ref72939242 \h </w:instrText>
      </w:r>
      <w:r w:rsidR="008C134E">
        <w:rPr>
          <w:rFonts w:eastAsia="MS Mincho"/>
        </w:rPr>
      </w:r>
      <w:r w:rsidR="008C134E">
        <w:rPr>
          <w:rFonts w:eastAsia="MS Mincho"/>
        </w:rPr>
        <w:fldChar w:fldCharType="separate"/>
      </w:r>
      <w:r w:rsidR="008C134E">
        <w:t xml:space="preserve">Figure </w:t>
      </w:r>
      <w:r w:rsidR="008C134E">
        <w:rPr>
          <w:noProof/>
        </w:rPr>
        <w:t>4</w:t>
      </w:r>
      <w:r w:rsidR="008C134E">
        <w:rPr>
          <w:rFonts w:eastAsia="MS Mincho"/>
        </w:rPr>
        <w:fldChar w:fldCharType="end"/>
      </w:r>
      <w:r w:rsidR="008C134E">
        <w:rPr>
          <w:rFonts w:eastAsia="MS Mincho"/>
        </w:rPr>
        <w:t>.</w:t>
      </w:r>
    </w:p>
    <w:p w:rsidR="00AB341D" w:rsidRDefault="00AB341D" w:rsidP="00AB341D">
      <w:pPr>
        <w:pStyle w:val="enumlev1"/>
        <w:rPr>
          <w:rFonts w:eastAsia="MS Mincho"/>
        </w:rPr>
      </w:pPr>
    </w:p>
    <w:p w:rsidR="00AB341D" w:rsidRDefault="00AB341D" w:rsidP="00AB341D">
      <w:pPr>
        <w:pStyle w:val="FigureNo"/>
      </w:pPr>
      <w:bookmarkStart w:id="24" w:name="_Ref72939242"/>
      <w:r w:rsidRPr="00C20044">
        <w:t xml:space="preserve">Figure </w:t>
      </w:r>
      <w:r w:rsidRPr="00C20044">
        <w:fldChar w:fldCharType="begin"/>
      </w:r>
      <w:r w:rsidRPr="00C20044">
        <w:instrText xml:space="preserve"> SEQ Figure \* ARABIC </w:instrText>
      </w:r>
      <w:r w:rsidRPr="00C20044">
        <w:fldChar w:fldCharType="separate"/>
      </w:r>
      <w:r w:rsidRPr="00C20044">
        <w:rPr>
          <w:noProof/>
        </w:rPr>
        <w:t>4</w:t>
      </w:r>
      <w:r w:rsidRPr="00C20044">
        <w:rPr>
          <w:noProof/>
        </w:rPr>
        <w:fldChar w:fldCharType="end"/>
      </w:r>
      <w:bookmarkEnd w:id="24"/>
    </w:p>
    <w:p w:rsidR="00AB341D" w:rsidRPr="00C20044" w:rsidRDefault="00AB341D" w:rsidP="00AB341D">
      <w:pPr>
        <w:pStyle w:val="Figuretitle"/>
      </w:pPr>
      <w:r w:rsidRPr="00C20044">
        <w:t xml:space="preserve">Assumed multi-panel URA </w:t>
      </w:r>
    </w:p>
    <w:p w:rsidR="008C134E" w:rsidRDefault="008C134E" w:rsidP="001E117D">
      <w:pPr>
        <w:keepNext/>
        <w:spacing w:line="276" w:lineRule="auto"/>
        <w:jc w:val="both"/>
      </w:pPr>
      <w:r>
        <w:rPr>
          <w:noProof/>
          <w:lang w:val="en-US"/>
        </w:rPr>
        <w:drawing>
          <wp:inline distT="0" distB="0" distL="0" distR="0" wp14:anchorId="17833236" wp14:editId="1F29ED9A">
            <wp:extent cx="5934075" cy="2971800"/>
            <wp:effectExtent l="0" t="0" r="9525" b="0"/>
            <wp:docPr id="4" name="Picture 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rsidR="008C134E" w:rsidRPr="00D335C0" w:rsidRDefault="00AB341D" w:rsidP="00AB341D">
      <w:pPr>
        <w:pStyle w:val="enumlev1"/>
      </w:pPr>
      <w:r>
        <w:t>•</w:t>
      </w:r>
      <w:r>
        <w:tab/>
      </w:r>
      <w:r w:rsidR="008C134E">
        <w:rPr>
          <w:rFonts w:eastAsia="MS Mincho"/>
        </w:rPr>
        <w:t xml:space="preserve">Only one polarization (vertical) is considered instead of using two rotated by </w:t>
      </w:r>
      <w:r w:rsidR="008C134E">
        <w:rPr>
          <w:rFonts w:eastAsia="MS Mincho" w:cstheme="minorHAnsi"/>
        </w:rPr>
        <w:t>±</w:t>
      </w:r>
      <w:r w:rsidR="008C134E">
        <w:rPr>
          <w:rFonts w:eastAsia="MS Mincho"/>
        </w:rPr>
        <w:t>45</w:t>
      </w:r>
      <w:r w:rsidR="008C134E" w:rsidRPr="00D335C0">
        <w:rPr>
          <w:rFonts w:eastAsia="MS Mincho"/>
          <w:vertAlign w:val="superscript"/>
        </w:rPr>
        <w:t>o</w:t>
      </w:r>
      <w:r w:rsidR="008C134E">
        <w:rPr>
          <w:rFonts w:eastAsia="MS Mincho"/>
        </w:rPr>
        <w:t xml:space="preserve"> elements at each point (see </w:t>
      </w:r>
      <w:r w:rsidR="008C134E">
        <w:rPr>
          <w:rFonts w:eastAsia="MS Mincho"/>
        </w:rPr>
        <w:fldChar w:fldCharType="begin"/>
      </w:r>
      <w:r w:rsidR="008C134E">
        <w:rPr>
          <w:rFonts w:eastAsia="MS Mincho"/>
        </w:rPr>
        <w:instrText xml:space="preserve"> REF _Ref72939242 \h  \* MERGEFORMAT </w:instrText>
      </w:r>
      <w:r w:rsidR="008C134E">
        <w:rPr>
          <w:rFonts w:eastAsia="MS Mincho"/>
        </w:rPr>
      </w:r>
      <w:r w:rsidR="008C134E">
        <w:rPr>
          <w:rFonts w:eastAsia="MS Mincho"/>
        </w:rPr>
        <w:fldChar w:fldCharType="separate"/>
      </w:r>
      <w:r w:rsidR="008C134E">
        <w:t xml:space="preserve">Figure </w:t>
      </w:r>
      <w:r w:rsidR="008C134E">
        <w:rPr>
          <w:noProof/>
        </w:rPr>
        <w:t>4</w:t>
      </w:r>
      <w:r w:rsidR="008C134E">
        <w:rPr>
          <w:rFonts w:eastAsia="MS Mincho"/>
        </w:rPr>
        <w:fldChar w:fldCharType="end"/>
      </w:r>
      <w:r w:rsidR="008C134E">
        <w:rPr>
          <w:rFonts w:eastAsia="MS Mincho"/>
        </w:rPr>
        <w:t xml:space="preserve"> vs. Figure 4 in </w:t>
      </w:r>
      <w:r w:rsidR="008C134E" w:rsidRPr="00B72BC0">
        <w:rPr>
          <w:rFonts w:cstheme="minorHAnsi"/>
        </w:rPr>
        <w:t>ITU-R M.2412-0</w:t>
      </w:r>
      <w:r w:rsidR="008C134E">
        <w:rPr>
          <w:rFonts w:cstheme="minorHAnsi"/>
        </w:rPr>
        <w:t>.</w:t>
      </w:r>
    </w:p>
    <w:p w:rsidR="008C134E" w:rsidRDefault="00AB341D" w:rsidP="00AB341D">
      <w:pPr>
        <w:pStyle w:val="enumlev1"/>
      </w:pPr>
      <w:r>
        <w:t>•</w:t>
      </w:r>
      <w:r>
        <w:tab/>
      </w:r>
      <w:r w:rsidR="008C134E">
        <w:t>The presented results at the following sections consider TRxPs that:</w:t>
      </w:r>
    </w:p>
    <w:p w:rsidR="008C134E" w:rsidRDefault="00AB341D" w:rsidP="00AB341D">
      <w:pPr>
        <w:pStyle w:val="enumlev2"/>
      </w:pPr>
      <w:r>
        <w:t>ͦ</w:t>
      </w:r>
      <w:r>
        <w:tab/>
      </w:r>
      <w:r w:rsidR="008C134E">
        <w:t>Have a single directive antenna element (vertical polarization)</w:t>
      </w:r>
    </w:p>
    <w:p w:rsidR="008C134E" w:rsidRDefault="00AB341D" w:rsidP="00AB341D">
      <w:pPr>
        <w:pStyle w:val="enumlev2"/>
      </w:pPr>
      <w:r>
        <w:t>ͦ</w:t>
      </w:r>
      <w:r>
        <w:tab/>
      </w:r>
      <w:r w:rsidR="008C134E">
        <w:t>A 2x2 URA panel (4 antennas) with directive antenna elements (vertical polarization)</w:t>
      </w:r>
    </w:p>
    <w:p w:rsidR="008C134E" w:rsidRDefault="00AB341D" w:rsidP="00AB341D">
      <w:pPr>
        <w:pStyle w:val="enumlev2"/>
      </w:pPr>
      <w:r>
        <w:t>ͦ</w:t>
      </w:r>
      <w:r>
        <w:tab/>
      </w:r>
      <w:r w:rsidR="008C134E">
        <w:t>A 5x4 URA panel (20 antennas) with directive antenna elements (vertical polarization)</w:t>
      </w:r>
    </w:p>
    <w:p w:rsidR="008C134E" w:rsidRDefault="00AB341D" w:rsidP="00AB341D">
      <w:pPr>
        <w:pStyle w:val="enumlev2"/>
      </w:pPr>
      <w:r>
        <w:t>ͦ</w:t>
      </w:r>
      <w:r>
        <w:tab/>
      </w:r>
      <w:r w:rsidR="008C134E">
        <w:t>A two-panel 5x4 URA (40 antennas at 5x4x1x2 configuration) with directive antenna elements (vertical polarization).</w:t>
      </w:r>
    </w:p>
    <w:p w:rsidR="008C134E" w:rsidRDefault="008C134E" w:rsidP="001E117D">
      <w:pPr>
        <w:pStyle w:val="Heading3"/>
        <w:spacing w:line="276" w:lineRule="auto"/>
        <w:jc w:val="both"/>
      </w:pPr>
      <w:r>
        <w:t>Receiver Operation</w:t>
      </w:r>
    </w:p>
    <w:p w:rsidR="008C134E" w:rsidRDefault="008C134E" w:rsidP="001E117D">
      <w:pPr>
        <w:spacing w:line="276" w:lineRule="auto"/>
        <w:jc w:val="both"/>
      </w:pPr>
      <w:r>
        <w:t xml:space="preserve">The modelled RX operation at the link level included the following configurations and functions: </w:t>
      </w:r>
    </w:p>
    <w:p w:rsidR="00AB341D" w:rsidRDefault="008C134E" w:rsidP="00AB341D">
      <w:pPr>
        <w:pStyle w:val="TableNo"/>
        <w:rPr>
          <w:noProof/>
        </w:rPr>
      </w:pPr>
      <w:r w:rsidRPr="00C20044">
        <w:t xml:space="preserve">Table </w:t>
      </w:r>
      <w:r w:rsidRPr="00C20044">
        <w:fldChar w:fldCharType="begin"/>
      </w:r>
      <w:r w:rsidRPr="00C20044">
        <w:instrText xml:space="preserve"> SEQ Table \* ARABIC </w:instrText>
      </w:r>
      <w:r w:rsidRPr="00C20044">
        <w:fldChar w:fldCharType="separate"/>
      </w:r>
      <w:r w:rsidRPr="00C20044">
        <w:rPr>
          <w:noProof/>
        </w:rPr>
        <w:t>12</w:t>
      </w:r>
      <w:r w:rsidRPr="00C20044">
        <w:rPr>
          <w:noProof/>
        </w:rPr>
        <w:fldChar w:fldCharType="end"/>
      </w:r>
    </w:p>
    <w:p w:rsidR="008C134E" w:rsidRPr="00C20044" w:rsidRDefault="008C134E" w:rsidP="00AB341D">
      <w:pPr>
        <w:pStyle w:val="Tabletitle"/>
      </w:pPr>
      <w:r w:rsidRPr="00C20044">
        <w:rPr>
          <w:noProof/>
        </w:rPr>
        <w:t>Receiver parameterization at the simulator</w:t>
      </w:r>
    </w:p>
    <w:tbl>
      <w:tblPr>
        <w:tblStyle w:val="TableGrid"/>
        <w:tblW w:w="7938" w:type="dxa"/>
        <w:jc w:val="center"/>
        <w:tblLook w:val="04A0" w:firstRow="1" w:lastRow="0" w:firstColumn="1" w:lastColumn="0" w:noHBand="0" w:noVBand="1"/>
      </w:tblPr>
      <w:tblGrid>
        <w:gridCol w:w="2965"/>
        <w:gridCol w:w="4973"/>
      </w:tblGrid>
      <w:tr w:rsidR="008C134E" w:rsidRPr="0064423F" w:rsidTr="004160DC">
        <w:trPr>
          <w:jc w:val="center"/>
        </w:trPr>
        <w:tc>
          <w:tcPr>
            <w:tcW w:w="2965"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pPr>
            <w:r w:rsidRPr="000B5B6F">
              <w:t>Number of RX Antennas</w:t>
            </w:r>
          </w:p>
        </w:tc>
        <w:tc>
          <w:tcPr>
            <w:tcW w:w="4973"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pPr>
            <w:r w:rsidRPr="000B5B6F">
              <w:t>1 or 2</w:t>
            </w:r>
          </w:p>
        </w:tc>
      </w:tr>
      <w:tr w:rsidR="008C134E" w:rsidRPr="0064423F" w:rsidTr="004160DC">
        <w:trPr>
          <w:jc w:val="center"/>
        </w:trPr>
        <w:tc>
          <w:tcPr>
            <w:tcW w:w="2965" w:type="dxa"/>
            <w:tcBorders>
              <w:top w:val="single" w:sz="4" w:space="0" w:color="auto"/>
              <w:left w:val="single" w:sz="4" w:space="0" w:color="auto"/>
              <w:bottom w:val="single" w:sz="4" w:space="0" w:color="auto"/>
              <w:right w:val="single" w:sz="4" w:space="0" w:color="auto"/>
            </w:tcBorders>
          </w:tcPr>
          <w:p w:rsidR="008C134E" w:rsidRPr="000B5B6F" w:rsidRDefault="008C134E" w:rsidP="001E117D">
            <w:pPr>
              <w:pStyle w:val="Tabletext"/>
              <w:spacing w:line="276" w:lineRule="auto"/>
            </w:pPr>
            <w:r w:rsidRPr="000B5B6F">
              <w:t xml:space="preserve">RX Diversity (if applicable) </w:t>
            </w:r>
          </w:p>
        </w:tc>
        <w:tc>
          <w:tcPr>
            <w:tcW w:w="4973" w:type="dxa"/>
            <w:tcBorders>
              <w:top w:val="single" w:sz="4" w:space="0" w:color="auto"/>
              <w:left w:val="single" w:sz="4" w:space="0" w:color="auto"/>
              <w:bottom w:val="single" w:sz="4" w:space="0" w:color="auto"/>
              <w:right w:val="single" w:sz="4" w:space="0" w:color="auto"/>
            </w:tcBorders>
          </w:tcPr>
          <w:p w:rsidR="008C134E" w:rsidRPr="000B5B6F" w:rsidRDefault="008C134E" w:rsidP="001E117D">
            <w:pPr>
              <w:pStyle w:val="Tabletext"/>
              <w:spacing w:line="276" w:lineRule="auto"/>
            </w:pPr>
            <w:r w:rsidRPr="000B5B6F">
              <w:t>Maximal Ratio Combining (MRC) with use of the channel estimates</w:t>
            </w:r>
          </w:p>
        </w:tc>
      </w:tr>
      <w:tr w:rsidR="008C134E" w:rsidRPr="0064423F" w:rsidTr="004160DC">
        <w:trPr>
          <w:jc w:val="center"/>
        </w:trPr>
        <w:tc>
          <w:tcPr>
            <w:tcW w:w="2965"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pPr>
            <w:r w:rsidRPr="000B5B6F">
              <w:t>Time Synchronization</w:t>
            </w:r>
          </w:p>
        </w:tc>
        <w:tc>
          <w:tcPr>
            <w:tcW w:w="4973"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rPr>
                <w:lang w:val="en-US"/>
              </w:rPr>
            </w:pPr>
            <w:r w:rsidRPr="000B5B6F">
              <w:rPr>
                <w:lang w:val="en-US"/>
              </w:rPr>
              <w:t>Two stage correlation process (auto-correlation coarse synchronization and preamble-based detection fine synchronization. Performance close to ideal for SINR&lt;-8dB.</w:t>
            </w:r>
          </w:p>
        </w:tc>
      </w:tr>
      <w:tr w:rsidR="008C134E" w:rsidRPr="0064423F" w:rsidTr="004160DC">
        <w:trPr>
          <w:jc w:val="center"/>
        </w:trPr>
        <w:tc>
          <w:tcPr>
            <w:tcW w:w="2965"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pPr>
            <w:r w:rsidRPr="000B5B6F">
              <w:t>Frequency Synchronization</w:t>
            </w:r>
          </w:p>
        </w:tc>
        <w:tc>
          <w:tcPr>
            <w:tcW w:w="4973"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rPr>
                <w:lang w:val="en-US"/>
              </w:rPr>
            </w:pPr>
            <w:r w:rsidRPr="000B5B6F">
              <w:rPr>
                <w:lang w:val="en-US"/>
              </w:rPr>
              <w:t>No Carrier Frequency Offset added</w:t>
            </w:r>
          </w:p>
        </w:tc>
      </w:tr>
      <w:tr w:rsidR="008C134E" w:rsidRPr="0064423F" w:rsidTr="004160DC">
        <w:trPr>
          <w:jc w:val="center"/>
        </w:trPr>
        <w:tc>
          <w:tcPr>
            <w:tcW w:w="2965"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pPr>
            <w:r w:rsidRPr="000B5B6F">
              <w:t>Channel Estimate</w:t>
            </w:r>
          </w:p>
        </w:tc>
        <w:tc>
          <w:tcPr>
            <w:tcW w:w="4973"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pPr>
            <w:r>
              <w:t xml:space="preserve">Real and Imperfect Channel Estimation - </w:t>
            </w:r>
            <w:r w:rsidRPr="000B5B6F">
              <w:t>Least Squares with Time-Frequency interpolation (sinc and spline)</w:t>
            </w:r>
          </w:p>
        </w:tc>
      </w:tr>
      <w:tr w:rsidR="008C134E" w:rsidRPr="0064423F" w:rsidTr="004160DC">
        <w:trPr>
          <w:jc w:val="center"/>
        </w:trPr>
        <w:tc>
          <w:tcPr>
            <w:tcW w:w="2965"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pPr>
            <w:r w:rsidRPr="000B5B6F">
              <w:t>Equalization</w:t>
            </w:r>
          </w:p>
        </w:tc>
        <w:tc>
          <w:tcPr>
            <w:tcW w:w="4973" w:type="dxa"/>
            <w:tcBorders>
              <w:top w:val="single" w:sz="4" w:space="0" w:color="auto"/>
              <w:left w:val="single" w:sz="4" w:space="0" w:color="auto"/>
              <w:bottom w:val="single" w:sz="4" w:space="0" w:color="auto"/>
              <w:right w:val="single" w:sz="4" w:space="0" w:color="auto"/>
            </w:tcBorders>
            <w:hideMark/>
          </w:tcPr>
          <w:p w:rsidR="008C134E" w:rsidRPr="000B5B6F" w:rsidRDefault="008C134E" w:rsidP="001E117D">
            <w:pPr>
              <w:pStyle w:val="Tabletext"/>
              <w:spacing w:line="276" w:lineRule="auto"/>
            </w:pPr>
            <w:r w:rsidRPr="000B5B6F">
              <w:t>Zero Forcing</w:t>
            </w:r>
          </w:p>
        </w:tc>
      </w:tr>
    </w:tbl>
    <w:p w:rsidR="008C134E" w:rsidRDefault="008C134E" w:rsidP="00AB341D">
      <w:pPr>
        <w:pStyle w:val="Tablefin"/>
      </w:pPr>
    </w:p>
    <w:p w:rsidR="008C134E" w:rsidRDefault="008C134E" w:rsidP="001E117D">
      <w:pPr>
        <w:pStyle w:val="Heading3"/>
        <w:spacing w:line="276" w:lineRule="auto"/>
        <w:jc w:val="both"/>
      </w:pPr>
      <w:r>
        <w:t>Beamforming techniques</w:t>
      </w:r>
    </w:p>
    <w:p w:rsidR="008C134E" w:rsidRDefault="008C134E" w:rsidP="001E117D">
      <w:pPr>
        <w:spacing w:line="276" w:lineRule="auto"/>
        <w:jc w:val="both"/>
      </w:pPr>
      <w:r>
        <w:t>If applicable, two open-loop beamforming schemes were simulated and tested in order to exploit the use of multiple antennas at the Transmitter (TRxP):</w:t>
      </w:r>
    </w:p>
    <w:p w:rsidR="00AB341D" w:rsidRDefault="008C134E" w:rsidP="00AB341D">
      <w:pPr>
        <w:pStyle w:val="TableNo"/>
        <w:rPr>
          <w:noProof/>
        </w:rPr>
      </w:pPr>
      <w:r w:rsidRPr="00C20044">
        <w:t xml:space="preserve">Table </w:t>
      </w:r>
      <w:r w:rsidRPr="00C20044">
        <w:fldChar w:fldCharType="begin"/>
      </w:r>
      <w:r w:rsidRPr="00C20044">
        <w:instrText xml:space="preserve"> SEQ Table \* ARABIC </w:instrText>
      </w:r>
      <w:r w:rsidRPr="00C20044">
        <w:fldChar w:fldCharType="separate"/>
      </w:r>
      <w:r w:rsidRPr="00C20044">
        <w:rPr>
          <w:noProof/>
        </w:rPr>
        <w:t>13</w:t>
      </w:r>
      <w:r w:rsidRPr="00C20044">
        <w:rPr>
          <w:noProof/>
        </w:rPr>
        <w:fldChar w:fldCharType="end"/>
      </w:r>
    </w:p>
    <w:p w:rsidR="008C134E" w:rsidRPr="00C20044" w:rsidRDefault="008C134E" w:rsidP="00AB341D">
      <w:pPr>
        <w:pStyle w:val="Tabletitle"/>
      </w:pPr>
      <w:r w:rsidRPr="00C20044">
        <w:rPr>
          <w:noProof/>
        </w:rPr>
        <w:t xml:space="preserve"> Beamforming methods implemented in the simulator</w:t>
      </w:r>
    </w:p>
    <w:tbl>
      <w:tblPr>
        <w:tblStyle w:val="TableGrid"/>
        <w:tblW w:w="7938" w:type="dxa"/>
        <w:jc w:val="center"/>
        <w:tblLook w:val="04A0" w:firstRow="1" w:lastRow="0" w:firstColumn="1" w:lastColumn="0" w:noHBand="0" w:noVBand="1"/>
      </w:tblPr>
      <w:tblGrid>
        <w:gridCol w:w="2965"/>
        <w:gridCol w:w="4973"/>
      </w:tblGrid>
      <w:tr w:rsidR="008C134E" w:rsidRPr="001F2AD1" w:rsidTr="004160DC">
        <w:trPr>
          <w:jc w:val="center"/>
        </w:trPr>
        <w:tc>
          <w:tcPr>
            <w:tcW w:w="2965" w:type="dxa"/>
            <w:tcBorders>
              <w:top w:val="single" w:sz="4" w:space="0" w:color="auto"/>
              <w:left w:val="single" w:sz="4" w:space="0" w:color="auto"/>
              <w:bottom w:val="single" w:sz="4" w:space="0" w:color="auto"/>
              <w:right w:val="single" w:sz="4" w:space="0" w:color="auto"/>
            </w:tcBorders>
            <w:hideMark/>
          </w:tcPr>
          <w:p w:rsidR="008C134E" w:rsidRPr="001E117D" w:rsidRDefault="008C134E" w:rsidP="001E117D">
            <w:pPr>
              <w:pStyle w:val="Tabletext"/>
              <w:spacing w:line="276" w:lineRule="auto"/>
              <w:rPr>
                <w:sz w:val="22"/>
                <w:szCs w:val="22"/>
              </w:rPr>
            </w:pPr>
            <w:r w:rsidRPr="001E117D">
              <w:rPr>
                <w:sz w:val="22"/>
                <w:szCs w:val="22"/>
              </w:rPr>
              <w:t>Method 1</w:t>
            </w:r>
          </w:p>
        </w:tc>
        <w:tc>
          <w:tcPr>
            <w:tcW w:w="4973" w:type="dxa"/>
            <w:tcBorders>
              <w:top w:val="single" w:sz="4" w:space="0" w:color="auto"/>
              <w:left w:val="single" w:sz="4" w:space="0" w:color="auto"/>
              <w:bottom w:val="single" w:sz="4" w:space="0" w:color="auto"/>
              <w:right w:val="single" w:sz="4" w:space="0" w:color="auto"/>
            </w:tcBorders>
            <w:hideMark/>
          </w:tcPr>
          <w:p w:rsidR="008C134E" w:rsidRPr="001E117D" w:rsidRDefault="008C134E" w:rsidP="001E117D">
            <w:pPr>
              <w:pStyle w:val="Tabletext"/>
              <w:spacing w:line="276" w:lineRule="auto"/>
              <w:rPr>
                <w:sz w:val="22"/>
                <w:szCs w:val="22"/>
              </w:rPr>
            </w:pPr>
            <w:r w:rsidRPr="001E117D">
              <w:rPr>
                <w:sz w:val="22"/>
                <w:szCs w:val="22"/>
              </w:rPr>
              <w:t xml:space="preserve">Direction of the LoS, where the location of the UT is assumed known at the TRxP. </w:t>
            </w:r>
          </w:p>
          <w:p w:rsidR="008C134E" w:rsidRPr="001E117D" w:rsidRDefault="008C134E" w:rsidP="001E117D">
            <w:pPr>
              <w:pStyle w:val="Tabletext"/>
              <w:spacing w:line="276" w:lineRule="auto"/>
              <w:rPr>
                <w:sz w:val="22"/>
                <w:szCs w:val="22"/>
              </w:rPr>
            </w:pPr>
            <w:r w:rsidRPr="001E117D">
              <w:rPr>
                <w:sz w:val="22"/>
                <w:szCs w:val="22"/>
              </w:rPr>
              <w:t>Exceptional performance for LoS – however, not particularly effective in NLoS for the cdl-III channels</w:t>
            </w:r>
          </w:p>
        </w:tc>
      </w:tr>
      <w:tr w:rsidR="008C134E" w:rsidRPr="001F2AD1" w:rsidTr="004160DC">
        <w:trPr>
          <w:jc w:val="center"/>
        </w:trPr>
        <w:tc>
          <w:tcPr>
            <w:tcW w:w="2965" w:type="dxa"/>
            <w:tcBorders>
              <w:top w:val="single" w:sz="4" w:space="0" w:color="auto"/>
              <w:left w:val="single" w:sz="4" w:space="0" w:color="auto"/>
              <w:bottom w:val="single" w:sz="4" w:space="0" w:color="auto"/>
              <w:right w:val="single" w:sz="4" w:space="0" w:color="auto"/>
            </w:tcBorders>
          </w:tcPr>
          <w:p w:rsidR="008C134E" w:rsidRPr="001E117D" w:rsidRDefault="008C134E" w:rsidP="001E117D">
            <w:pPr>
              <w:pStyle w:val="Tabletext"/>
              <w:spacing w:line="276" w:lineRule="auto"/>
              <w:rPr>
                <w:sz w:val="22"/>
                <w:szCs w:val="22"/>
              </w:rPr>
            </w:pPr>
            <w:r w:rsidRPr="001E117D">
              <w:rPr>
                <w:sz w:val="22"/>
                <w:szCs w:val="22"/>
              </w:rPr>
              <w:t xml:space="preserve">Method 2 </w:t>
            </w:r>
          </w:p>
        </w:tc>
        <w:tc>
          <w:tcPr>
            <w:tcW w:w="4973" w:type="dxa"/>
            <w:tcBorders>
              <w:top w:val="single" w:sz="4" w:space="0" w:color="auto"/>
              <w:left w:val="single" w:sz="4" w:space="0" w:color="auto"/>
              <w:bottom w:val="single" w:sz="4" w:space="0" w:color="auto"/>
              <w:right w:val="single" w:sz="4" w:space="0" w:color="auto"/>
            </w:tcBorders>
          </w:tcPr>
          <w:p w:rsidR="008C134E" w:rsidRPr="001E117D" w:rsidRDefault="008C134E" w:rsidP="001E117D">
            <w:pPr>
              <w:pStyle w:val="Tabletext"/>
              <w:spacing w:line="276" w:lineRule="auto"/>
              <w:rPr>
                <w:sz w:val="22"/>
                <w:szCs w:val="22"/>
              </w:rPr>
            </w:pPr>
            <w:r w:rsidRPr="001E117D">
              <w:rPr>
                <w:sz w:val="22"/>
                <w:szCs w:val="22"/>
              </w:rPr>
              <w:t xml:space="preserve">Maximal Ratio Transmission (MRT), where the TRxP uses the channel estimates from the Uplink to implement – assuming adjacent slots for Uplink-Downlink operation. </w:t>
            </w:r>
          </w:p>
        </w:tc>
      </w:tr>
    </w:tbl>
    <w:p w:rsidR="00AB341D" w:rsidRDefault="00AB341D" w:rsidP="00AB341D">
      <w:pPr>
        <w:pStyle w:val="Tablefin"/>
      </w:pPr>
    </w:p>
    <w:p w:rsidR="008C134E" w:rsidRDefault="008C134E" w:rsidP="001E117D">
      <w:pPr>
        <w:pStyle w:val="Heading3"/>
        <w:spacing w:line="276" w:lineRule="auto"/>
        <w:jc w:val="both"/>
      </w:pPr>
      <w:r>
        <w:t>Power and Frequency bands</w:t>
      </w:r>
    </w:p>
    <w:p w:rsidR="008C134E" w:rsidRDefault="008C134E" w:rsidP="001E117D">
      <w:pPr>
        <w:spacing w:line="276" w:lineRule="auto"/>
        <w:jc w:val="both"/>
      </w:pPr>
      <w:r>
        <w:t>According to the standards ETSI TS103636-1, TS103636-2 and TS103636-3, there is no distinction in the radio equipment playing the role of the Portable Termination (PT, i.e. the UT for the analysis) and the Fixed Termination (FT, i.e. the Base Station/TRxP for the analysis), the maximum transmitted power was set to 23 dBm, despite the fact that the evaluation guidelines allow higher transmission power values. It is noted that there is no change in the outcome of the evaluation due to this fact.</w:t>
      </w:r>
    </w:p>
    <w:p w:rsidR="008C134E" w:rsidRDefault="008C134E" w:rsidP="001E117D">
      <w:pPr>
        <w:spacing w:line="276" w:lineRule="auto"/>
        <w:jc w:val="both"/>
      </w:pPr>
      <w:r>
        <w:t>In ETSI TS103636-2, specific frequency bands and channelization for DECT-2020 NR are defined. The center frequency value for the evaluation experiments were set to:</w:t>
      </w:r>
    </w:p>
    <w:p w:rsidR="008C134E" w:rsidRDefault="00AB341D" w:rsidP="00AB341D">
      <w:pPr>
        <w:pStyle w:val="enumlev1"/>
      </w:pPr>
      <w:r>
        <w:t>•</w:t>
      </w:r>
      <w:r>
        <w:tab/>
      </w:r>
      <w:r w:rsidR="008C134E">
        <w:t xml:space="preserve">Band 15 or Band 16 – for Configuration A, corresponding to frequency bands </w:t>
      </w:r>
      <w:r w:rsidR="008C134E" w:rsidRPr="000E2843">
        <w:t>3</w:t>
      </w:r>
      <w:r w:rsidR="00024E6A">
        <w:t> </w:t>
      </w:r>
      <w:r w:rsidR="008C134E" w:rsidRPr="000E2843">
        <w:t>600</w:t>
      </w:r>
      <w:r w:rsidR="008C134E">
        <w:t>-3</w:t>
      </w:r>
      <w:r w:rsidR="00024E6A">
        <w:t> </w:t>
      </w:r>
      <w:r w:rsidR="008C134E" w:rsidRPr="000E2843">
        <w:t>700</w:t>
      </w:r>
      <w:r w:rsidR="008C134E">
        <w:t xml:space="preserve"> MHz and 4</w:t>
      </w:r>
      <w:r w:rsidR="00024E6A">
        <w:t> </w:t>
      </w:r>
      <w:r w:rsidR="008C134E">
        <w:t>800-4</w:t>
      </w:r>
      <w:r w:rsidR="00024E6A">
        <w:t> </w:t>
      </w:r>
      <w:r w:rsidR="008C134E">
        <w:t xml:space="preserve">990 MHz. A segment of 100 MHz is selected. </w:t>
      </w:r>
    </w:p>
    <w:p w:rsidR="008C134E" w:rsidRPr="007C5260" w:rsidRDefault="00AB341D" w:rsidP="00AB341D">
      <w:pPr>
        <w:pStyle w:val="enumlev1"/>
      </w:pPr>
      <w:r>
        <w:t>•</w:t>
      </w:r>
      <w:r>
        <w:tab/>
      </w:r>
      <w:r w:rsidR="008C134E">
        <w:t xml:space="preserve">Band 6 – for Configuration B, corresponding to </w:t>
      </w:r>
      <w:r w:rsidR="008C134E" w:rsidRPr="000E2843">
        <w:t xml:space="preserve">698 </w:t>
      </w:r>
      <w:r w:rsidR="008C134E">
        <w:t xml:space="preserve">– </w:t>
      </w:r>
      <w:r w:rsidR="008C134E" w:rsidRPr="000E2843">
        <w:t>806</w:t>
      </w:r>
      <w:r w:rsidR="008C134E">
        <w:t xml:space="preserve"> MHz. A segment of 40</w:t>
      </w:r>
      <w:r w:rsidR="00024E6A">
        <w:t> </w:t>
      </w:r>
      <w:r w:rsidR="008C134E">
        <w:t>MHz is selected.</w:t>
      </w:r>
    </w:p>
    <w:p w:rsidR="008C134E" w:rsidRDefault="008C134E" w:rsidP="001E117D">
      <w:pPr>
        <w:spacing w:line="276" w:lineRule="auto"/>
        <w:jc w:val="both"/>
        <w:rPr>
          <w:rFonts w:cstheme="minorHAnsi"/>
        </w:rPr>
      </w:pPr>
      <w:r>
        <w:t xml:space="preserve">In </w:t>
      </w:r>
      <w:r>
        <w:fldChar w:fldCharType="begin"/>
      </w:r>
      <w:r>
        <w:instrText xml:space="preserve"> REF _Ref72958872 \h </w:instrText>
      </w:r>
      <w:r>
        <w:fldChar w:fldCharType="separate"/>
      </w:r>
      <w:r w:rsidRPr="00CB7E9B">
        <w:rPr>
          <w:sz w:val="22"/>
          <w:szCs w:val="22"/>
        </w:rPr>
        <w:t xml:space="preserve">Table </w:t>
      </w:r>
      <w:r>
        <w:rPr>
          <w:noProof/>
          <w:sz w:val="22"/>
          <w:szCs w:val="22"/>
        </w:rPr>
        <w:t>13</w:t>
      </w:r>
      <w:r>
        <w:fldChar w:fldCharType="end"/>
      </w:r>
      <w:r>
        <w:t xml:space="preserve">, the summary of the simulator setup and its compliance with the ITU-R recommended configurations according to Report </w:t>
      </w:r>
      <w:r w:rsidRPr="00B72BC0">
        <w:rPr>
          <w:rFonts w:cstheme="minorHAnsi"/>
        </w:rPr>
        <w:t>ITU-R M.2412-0</w:t>
      </w:r>
      <w:r>
        <w:rPr>
          <w:rFonts w:cstheme="minorHAnsi"/>
        </w:rPr>
        <w:t xml:space="preserve"> is presented.</w:t>
      </w:r>
    </w:p>
    <w:p w:rsidR="00263D3E" w:rsidRDefault="008C134E" w:rsidP="00263D3E">
      <w:pPr>
        <w:pStyle w:val="TableNo"/>
      </w:pPr>
      <w:bookmarkStart w:id="25" w:name="_Ref72958872"/>
      <w:r w:rsidRPr="00C20044">
        <w:t xml:space="preserve">Table </w:t>
      </w:r>
      <w:r w:rsidRPr="00C20044">
        <w:fldChar w:fldCharType="begin"/>
      </w:r>
      <w:r w:rsidRPr="00C20044">
        <w:instrText xml:space="preserve"> SEQ Table \* ARABIC </w:instrText>
      </w:r>
      <w:r w:rsidRPr="00C20044">
        <w:fldChar w:fldCharType="separate"/>
      </w:r>
      <w:r w:rsidRPr="00C20044">
        <w:rPr>
          <w:noProof/>
        </w:rPr>
        <w:t>14</w:t>
      </w:r>
      <w:r w:rsidRPr="00C20044">
        <w:fldChar w:fldCharType="end"/>
      </w:r>
      <w:bookmarkEnd w:id="25"/>
    </w:p>
    <w:p w:rsidR="008C134E" w:rsidRPr="00C20044" w:rsidRDefault="008C134E" w:rsidP="00263D3E">
      <w:pPr>
        <w:pStyle w:val="Tabletitle"/>
      </w:pPr>
      <w:r w:rsidRPr="00C20044">
        <w:t xml:space="preserve"> Reliability evaluation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2"/>
        <w:gridCol w:w="3300"/>
        <w:gridCol w:w="3567"/>
      </w:tblGrid>
      <w:tr w:rsidR="008C134E" w:rsidRPr="00650675" w:rsidTr="004160DC">
        <w:trPr>
          <w:cantSplit/>
          <w:tblHeader/>
          <w:jc w:val="center"/>
        </w:trPr>
        <w:tc>
          <w:tcPr>
            <w:tcW w:w="2772" w:type="dxa"/>
            <w:vMerge w:val="restart"/>
            <w:tcBorders>
              <w:top w:val="single" w:sz="4" w:space="0" w:color="auto"/>
              <w:left w:val="single" w:sz="4" w:space="0" w:color="auto"/>
              <w:bottom w:val="single" w:sz="4" w:space="0" w:color="auto"/>
              <w:right w:val="single" w:sz="4" w:space="0" w:color="auto"/>
            </w:tcBorders>
            <w:vAlign w:val="center"/>
            <w:hideMark/>
          </w:tcPr>
          <w:p w:rsidR="008C134E" w:rsidRPr="00650675" w:rsidRDefault="008C134E" w:rsidP="004160DC">
            <w:pPr>
              <w:pStyle w:val="Tablehead"/>
              <w:rPr>
                <w:rFonts w:ascii="Times New Roman" w:hAnsi="Times New Roman" w:cs="Times New Roman"/>
                <w:lang w:eastAsia="zh-CN"/>
              </w:rPr>
            </w:pPr>
            <w:r w:rsidRPr="00650675">
              <w:rPr>
                <w:rFonts w:ascii="Times New Roman" w:hAnsi="Times New Roman" w:cs="Times New Roman"/>
                <w:lang w:eastAsia="zh-CN"/>
              </w:rPr>
              <w:t>Parameters</w:t>
            </w:r>
          </w:p>
        </w:tc>
        <w:tc>
          <w:tcPr>
            <w:tcW w:w="6867" w:type="dxa"/>
            <w:gridSpan w:val="2"/>
            <w:tcBorders>
              <w:top w:val="single" w:sz="4" w:space="0" w:color="auto"/>
              <w:left w:val="single" w:sz="4" w:space="0" w:color="auto"/>
              <w:bottom w:val="single" w:sz="4" w:space="0" w:color="auto"/>
              <w:right w:val="single" w:sz="4" w:space="0" w:color="auto"/>
            </w:tcBorders>
            <w:vAlign w:val="center"/>
            <w:hideMark/>
          </w:tcPr>
          <w:p w:rsidR="008C134E" w:rsidRPr="00650675" w:rsidRDefault="008C134E" w:rsidP="004160DC">
            <w:pPr>
              <w:pStyle w:val="Tablehead"/>
              <w:rPr>
                <w:rFonts w:ascii="Times New Roman" w:hAnsi="Times New Roman" w:cs="Times New Roman"/>
                <w:lang w:eastAsia="zh-CN"/>
              </w:rPr>
            </w:pPr>
            <w:r w:rsidRPr="00650675">
              <w:rPr>
                <w:rFonts w:ascii="Times New Roman" w:hAnsi="Times New Roman" w:cs="Times New Roman"/>
                <w:lang w:eastAsia="zh-CN"/>
              </w:rPr>
              <w:t>Urban Macro–URLLC</w:t>
            </w:r>
          </w:p>
        </w:tc>
      </w:tr>
      <w:tr w:rsidR="008C134E" w:rsidRPr="00650675" w:rsidTr="004160DC">
        <w:trPr>
          <w:cantSplit/>
          <w:tblHeader/>
          <w:jc w:val="center"/>
        </w:trPr>
        <w:tc>
          <w:tcPr>
            <w:tcW w:w="2772" w:type="dxa"/>
            <w:vMerge/>
            <w:tcBorders>
              <w:top w:val="single" w:sz="4" w:space="0" w:color="auto"/>
              <w:left w:val="single" w:sz="4" w:space="0" w:color="auto"/>
              <w:bottom w:val="single" w:sz="4" w:space="0" w:color="auto"/>
              <w:right w:val="single" w:sz="4" w:space="0" w:color="auto"/>
            </w:tcBorders>
            <w:vAlign w:val="center"/>
            <w:hideMark/>
          </w:tcPr>
          <w:p w:rsidR="008C134E" w:rsidRPr="00650675" w:rsidRDefault="008C134E" w:rsidP="004160DC">
            <w:pPr>
              <w:rPr>
                <w:b/>
                <w:sz w:val="20"/>
                <w:lang w:eastAsia="zh-CN"/>
              </w:rPr>
            </w:pPr>
          </w:p>
        </w:tc>
        <w:tc>
          <w:tcPr>
            <w:tcW w:w="6867" w:type="dxa"/>
            <w:gridSpan w:val="2"/>
            <w:tcBorders>
              <w:top w:val="single" w:sz="4" w:space="0" w:color="auto"/>
              <w:left w:val="single" w:sz="4" w:space="0" w:color="auto"/>
              <w:bottom w:val="single" w:sz="4" w:space="0" w:color="auto"/>
              <w:right w:val="single" w:sz="4" w:space="0" w:color="auto"/>
            </w:tcBorders>
            <w:vAlign w:val="center"/>
            <w:hideMark/>
          </w:tcPr>
          <w:p w:rsidR="008C134E" w:rsidRPr="00650675" w:rsidRDefault="008C134E" w:rsidP="004160DC">
            <w:pPr>
              <w:pStyle w:val="Tablehead"/>
              <w:rPr>
                <w:rFonts w:ascii="Times New Roman" w:hAnsi="Times New Roman" w:cs="Times New Roman"/>
                <w:lang w:eastAsia="ja-JP"/>
              </w:rPr>
            </w:pPr>
            <w:r w:rsidRPr="00650675">
              <w:rPr>
                <w:rFonts w:ascii="Times New Roman" w:hAnsi="Times New Roman" w:cs="Times New Roman"/>
                <w:lang w:eastAsia="ja-JP"/>
              </w:rPr>
              <w:t>Reliability Evaluation</w:t>
            </w:r>
          </w:p>
        </w:tc>
      </w:tr>
      <w:tr w:rsidR="008C134E" w:rsidRPr="00650675" w:rsidTr="004160DC">
        <w:trPr>
          <w:cantSplit/>
          <w:tblHeader/>
          <w:jc w:val="center"/>
        </w:trPr>
        <w:tc>
          <w:tcPr>
            <w:tcW w:w="2772" w:type="dxa"/>
            <w:vMerge/>
            <w:tcBorders>
              <w:top w:val="single" w:sz="4" w:space="0" w:color="auto"/>
              <w:left w:val="single" w:sz="4" w:space="0" w:color="auto"/>
              <w:bottom w:val="single" w:sz="4" w:space="0" w:color="auto"/>
              <w:right w:val="single" w:sz="4" w:space="0" w:color="auto"/>
            </w:tcBorders>
            <w:vAlign w:val="center"/>
            <w:hideMark/>
          </w:tcPr>
          <w:p w:rsidR="008C134E" w:rsidRPr="00650675" w:rsidRDefault="008C134E" w:rsidP="004160DC">
            <w:pPr>
              <w:rPr>
                <w:b/>
                <w:sz w:val="20"/>
                <w:lang w:eastAsia="zh-CN"/>
              </w:rPr>
            </w:pPr>
          </w:p>
        </w:tc>
        <w:tc>
          <w:tcPr>
            <w:tcW w:w="3300" w:type="dxa"/>
            <w:tcBorders>
              <w:top w:val="single" w:sz="4" w:space="0" w:color="auto"/>
              <w:left w:val="single" w:sz="4" w:space="0" w:color="auto"/>
              <w:bottom w:val="single" w:sz="4" w:space="0" w:color="auto"/>
              <w:right w:val="single" w:sz="4" w:space="0" w:color="auto"/>
            </w:tcBorders>
            <w:vAlign w:val="center"/>
            <w:hideMark/>
          </w:tcPr>
          <w:p w:rsidR="008C134E" w:rsidRPr="00650675" w:rsidRDefault="008C134E" w:rsidP="004160DC">
            <w:pPr>
              <w:pStyle w:val="Tablehead"/>
              <w:rPr>
                <w:rFonts w:ascii="Times New Roman" w:hAnsi="Times New Roman" w:cs="Times New Roman"/>
                <w:lang w:eastAsia="ja-JP"/>
              </w:rPr>
            </w:pPr>
            <w:r w:rsidRPr="00650675">
              <w:rPr>
                <w:rFonts w:ascii="Times New Roman" w:hAnsi="Times New Roman" w:cs="Times New Roman"/>
                <w:lang w:eastAsia="ja-JP"/>
              </w:rPr>
              <w:t>Configuration A</w:t>
            </w:r>
          </w:p>
        </w:tc>
        <w:tc>
          <w:tcPr>
            <w:tcW w:w="3567" w:type="dxa"/>
            <w:tcBorders>
              <w:top w:val="single" w:sz="4" w:space="0" w:color="auto"/>
              <w:left w:val="single" w:sz="4" w:space="0" w:color="auto"/>
              <w:bottom w:val="single" w:sz="4" w:space="0" w:color="auto"/>
              <w:right w:val="single" w:sz="4" w:space="0" w:color="auto"/>
            </w:tcBorders>
            <w:vAlign w:val="center"/>
            <w:hideMark/>
          </w:tcPr>
          <w:p w:rsidR="008C134E" w:rsidRPr="00650675" w:rsidRDefault="008C134E" w:rsidP="004160DC">
            <w:pPr>
              <w:pStyle w:val="Tablehead"/>
              <w:rPr>
                <w:rFonts w:ascii="Times New Roman" w:hAnsi="Times New Roman" w:cs="Times New Roman"/>
                <w:lang w:eastAsia="ja-JP"/>
              </w:rPr>
            </w:pPr>
            <w:r w:rsidRPr="00650675">
              <w:rPr>
                <w:rFonts w:ascii="Times New Roman" w:hAnsi="Times New Roman" w:cs="Times New Roman"/>
                <w:lang w:eastAsia="ja-JP"/>
              </w:rPr>
              <w:t>Configuration B</w:t>
            </w:r>
          </w:p>
        </w:tc>
      </w:tr>
      <w:tr w:rsidR="008C134E" w:rsidRPr="00650675" w:rsidTr="004160DC">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C134E" w:rsidRPr="00650675" w:rsidRDefault="008C134E" w:rsidP="004160DC">
            <w:pPr>
              <w:pStyle w:val="Tabletext"/>
              <w:jc w:val="center"/>
              <w:rPr>
                <w:b/>
                <w:bCs/>
                <w:lang w:eastAsia="ja-JP"/>
              </w:rPr>
            </w:pPr>
            <w:r w:rsidRPr="00650675">
              <w:rPr>
                <w:b/>
                <w:bCs/>
                <w:lang w:eastAsia="ja-JP"/>
              </w:rPr>
              <w:t>Baseline evaluation configuration parameters</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rPr>
            </w:pPr>
            <w:r w:rsidRPr="00650675">
              <w:rPr>
                <w:rFonts w:eastAsia="SimSun"/>
              </w:rPr>
              <w:t>Carrier frequency for evaluation</w:t>
            </w:r>
          </w:p>
        </w:tc>
        <w:tc>
          <w:tcPr>
            <w:tcW w:w="3300" w:type="dxa"/>
            <w:tcBorders>
              <w:top w:val="single" w:sz="4" w:space="0" w:color="auto"/>
              <w:left w:val="single" w:sz="4" w:space="0" w:color="auto"/>
              <w:bottom w:val="single" w:sz="4" w:space="0" w:color="auto"/>
              <w:right w:val="single" w:sz="4" w:space="0" w:color="auto"/>
            </w:tcBorders>
            <w:vAlign w:val="center"/>
            <w:hideMark/>
          </w:tcPr>
          <w:p w:rsidR="008C134E" w:rsidRPr="00650675" w:rsidRDefault="008C134E" w:rsidP="004160DC">
            <w:pPr>
              <w:pStyle w:val="Tabletext"/>
              <w:jc w:val="center"/>
            </w:pPr>
            <w:r w:rsidRPr="00650675">
              <w:t>Prescribed operational bands around 4 GHz. (3</w:t>
            </w:r>
            <w:r w:rsidR="00966C43">
              <w:t> </w:t>
            </w:r>
            <w:r w:rsidRPr="00650675">
              <w:t>600-3</w:t>
            </w:r>
            <w:r w:rsidR="00966C43">
              <w:t> </w:t>
            </w:r>
            <w:r w:rsidRPr="00650675">
              <w:t>700</w:t>
            </w:r>
            <w:r w:rsidR="00966C43">
              <w:t> </w:t>
            </w:r>
            <w:r w:rsidRPr="00650675">
              <w:t>MHz, 4</w:t>
            </w:r>
            <w:r w:rsidR="00966C43">
              <w:t> </w:t>
            </w:r>
            <w:r w:rsidRPr="00650675">
              <w:t>800-4</w:t>
            </w:r>
            <w:r w:rsidR="00966C43">
              <w:t> </w:t>
            </w:r>
            <w:r w:rsidRPr="00650675">
              <w:t>990</w:t>
            </w:r>
            <w:r w:rsidR="00966C43">
              <w:t> </w:t>
            </w:r>
            <w:r w:rsidRPr="00650675">
              <w:t>MHz)</w:t>
            </w:r>
          </w:p>
        </w:tc>
        <w:tc>
          <w:tcPr>
            <w:tcW w:w="3567" w:type="dxa"/>
            <w:tcBorders>
              <w:top w:val="single" w:sz="4" w:space="0" w:color="auto"/>
              <w:left w:val="single" w:sz="4" w:space="0" w:color="auto"/>
              <w:bottom w:val="single" w:sz="4" w:space="0" w:color="auto"/>
              <w:right w:val="single" w:sz="4" w:space="0" w:color="auto"/>
            </w:tcBorders>
            <w:vAlign w:val="center"/>
            <w:hideMark/>
          </w:tcPr>
          <w:p w:rsidR="008C134E" w:rsidRPr="00650675" w:rsidRDefault="008C134E" w:rsidP="004160DC">
            <w:pPr>
              <w:pStyle w:val="Tabletext"/>
              <w:jc w:val="center"/>
              <w:rPr>
                <w:lang w:eastAsia="ja-JP"/>
              </w:rPr>
            </w:pPr>
            <w:r w:rsidRPr="00650675">
              <w:rPr>
                <w:lang w:eastAsia="ja-JP"/>
              </w:rPr>
              <w:t>700 MHz</w:t>
            </w:r>
          </w:p>
          <w:p w:rsidR="008C134E" w:rsidRPr="00650675" w:rsidRDefault="008C134E" w:rsidP="004160DC">
            <w:pPr>
              <w:pStyle w:val="Tabletext"/>
              <w:jc w:val="center"/>
              <w:rPr>
                <w:lang w:eastAsia="ja-JP"/>
              </w:rPr>
            </w:pPr>
            <w:r w:rsidRPr="00650675">
              <w:rPr>
                <w:lang w:eastAsia="ja-JP"/>
              </w:rPr>
              <w:t>(698 – 806 MHz)</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rPr>
            </w:pPr>
            <w:r w:rsidRPr="00650675">
              <w:rPr>
                <w:rFonts w:eastAsia="SimSun"/>
              </w:rPr>
              <w:t>BS antenna height</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ja-JP"/>
              </w:rPr>
            </w:pPr>
            <w:r w:rsidRPr="00650675">
              <w:rPr>
                <w:kern w:val="24"/>
                <w:lang w:eastAsia="ja-JP"/>
              </w:rPr>
              <w:t>25 m</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ja-JP"/>
              </w:rPr>
            </w:pPr>
            <w:r w:rsidRPr="00650675">
              <w:rPr>
                <w:kern w:val="24"/>
                <w:lang w:eastAsia="ja-JP"/>
              </w:rPr>
              <w:t>25 m</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lang w:eastAsia="zh-CN"/>
              </w:rPr>
            </w:pPr>
            <w:r w:rsidRPr="00650675">
              <w:rPr>
                <w:rFonts w:eastAsia="SimSun"/>
              </w:rPr>
              <w:t>Total transmit power per TRxP</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rPr>
            </w:pPr>
            <w:r w:rsidRPr="00650675">
              <w:rPr>
                <w:kern w:val="24"/>
              </w:rPr>
              <w:t>23 dBm for the Operational Bandwidth (1.728, 3.456 MHz).</w:t>
            </w:r>
          </w:p>
          <w:p w:rsidR="008C134E" w:rsidRPr="00650675" w:rsidRDefault="008C134E" w:rsidP="004160DC">
            <w:pPr>
              <w:pStyle w:val="Tabletext"/>
              <w:jc w:val="center"/>
              <w:rPr>
                <w:kern w:val="24"/>
              </w:rPr>
            </w:pPr>
            <w:r w:rsidRPr="00650675">
              <w:rPr>
                <w:kern w:val="24"/>
              </w:rPr>
              <w:t>Higher power profiles tested.</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rPr>
            </w:pPr>
            <w:r w:rsidRPr="00650675">
              <w:rPr>
                <w:kern w:val="24"/>
              </w:rPr>
              <w:t>23 dBm for the Operational Bandwidth (1.728, 3.456 MHz).</w:t>
            </w:r>
          </w:p>
          <w:p w:rsidR="008C134E" w:rsidRPr="00650675" w:rsidRDefault="008C134E" w:rsidP="004160DC">
            <w:pPr>
              <w:pStyle w:val="Tabletext"/>
              <w:jc w:val="center"/>
              <w:rPr>
                <w:kern w:val="24"/>
              </w:rPr>
            </w:pPr>
            <w:r w:rsidRPr="00650675">
              <w:rPr>
                <w:kern w:val="24"/>
              </w:rPr>
              <w:t>Higher power profiles tested.</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lang w:eastAsia="zh-CN"/>
              </w:rPr>
            </w:pPr>
            <w:r w:rsidRPr="00650675">
              <w:rPr>
                <w:rFonts w:eastAsia="SimSun"/>
              </w:rPr>
              <w:t>U</w:t>
            </w:r>
            <w:r w:rsidRPr="00650675">
              <w:rPr>
                <w:lang w:eastAsia="zh-CN"/>
              </w:rPr>
              <w:t>E</w:t>
            </w:r>
            <w:r w:rsidRPr="00650675">
              <w:rPr>
                <w:rFonts w:eastAsia="SimSun"/>
              </w:rPr>
              <w:t xml:space="preserve"> power class</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rPr>
            </w:pPr>
            <w:r w:rsidRPr="00650675">
              <w:rPr>
                <w:kern w:val="24"/>
              </w:rPr>
              <w:t>Downlink only evaluated.</w:t>
            </w:r>
          </w:p>
          <w:p w:rsidR="008C134E" w:rsidRPr="00650675" w:rsidRDefault="008C134E" w:rsidP="004160DC">
            <w:pPr>
              <w:pStyle w:val="Tabletext"/>
              <w:jc w:val="center"/>
              <w:rPr>
                <w:kern w:val="24"/>
              </w:rPr>
            </w:pPr>
            <w:r w:rsidRPr="00650675">
              <w:rPr>
                <w:kern w:val="24"/>
              </w:rPr>
              <w:t>For open-loop beamforming implementation, uplink Tx power set to 23 dBm</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rPr>
            </w:pPr>
            <w:r w:rsidRPr="00650675">
              <w:rPr>
                <w:kern w:val="24"/>
              </w:rPr>
              <w:t>Downlink only evaluated.</w:t>
            </w:r>
          </w:p>
          <w:p w:rsidR="008C134E" w:rsidRPr="00650675" w:rsidRDefault="008C134E" w:rsidP="004160DC">
            <w:pPr>
              <w:pStyle w:val="Tabletext"/>
              <w:jc w:val="center"/>
              <w:rPr>
                <w:kern w:val="24"/>
              </w:rPr>
            </w:pPr>
            <w:r w:rsidRPr="00650675">
              <w:rPr>
                <w:kern w:val="24"/>
              </w:rPr>
              <w:t>For open-loop beamforming implementation, uplink Tx power set to 23 dBm</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lang w:eastAsia="zh-CN"/>
              </w:rPr>
            </w:pPr>
            <w:r w:rsidRPr="00650675">
              <w:rPr>
                <w:rFonts w:eastAsia="SimSun"/>
              </w:rPr>
              <w:t>Percentage of high loss and low loss building type</w:t>
            </w:r>
            <w:r w:rsidRPr="00650675">
              <w:rPr>
                <w:lang w:eastAsia="zh-CN"/>
              </w:rPr>
              <w:t xml:space="preserve"> </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i/>
                <w:color w:val="000000"/>
                <w:kern w:val="24"/>
                <w:lang w:eastAsia="zh-CN"/>
              </w:rPr>
            </w:pPr>
            <w:r w:rsidRPr="00650675">
              <w:t>100% low loss</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i/>
                <w:color w:val="000000"/>
                <w:kern w:val="24"/>
                <w:lang w:eastAsia="zh-CN"/>
              </w:rPr>
            </w:pPr>
            <w:r w:rsidRPr="00650675">
              <w:t>100% low loss</w:t>
            </w:r>
          </w:p>
        </w:tc>
      </w:tr>
      <w:tr w:rsidR="008C134E" w:rsidRPr="00650675" w:rsidTr="004160DC">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C134E" w:rsidRPr="00650675" w:rsidRDefault="008C134E" w:rsidP="004160DC">
            <w:pPr>
              <w:pStyle w:val="Tabletext"/>
              <w:jc w:val="center"/>
              <w:rPr>
                <w:b/>
                <w:bCs/>
              </w:rPr>
            </w:pPr>
            <w:r w:rsidRPr="00650675">
              <w:rPr>
                <w:b/>
                <w:bCs/>
                <w:lang w:eastAsia="ja-JP"/>
              </w:rPr>
              <w:t>Additional parameters for system-level simulation</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kern w:val="2"/>
              </w:rPr>
            </w:pPr>
            <w:r w:rsidRPr="00650675">
              <w:t>Inter-</w:t>
            </w:r>
            <w:r w:rsidRPr="00650675">
              <w:rPr>
                <w:lang w:eastAsia="zh-CN"/>
              </w:rPr>
              <w:t>site</w:t>
            </w:r>
            <w:r w:rsidRPr="00650675">
              <w:t xml:space="preserve"> distance</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500 m</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500 m</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lang w:eastAsia="zh-CN"/>
              </w:rPr>
            </w:pPr>
            <w:r w:rsidRPr="00650675">
              <w:rPr>
                <w:rFonts w:eastAsia="SimSun"/>
              </w:rPr>
              <w:t>Number of antenna elements per TRxP</w:t>
            </w:r>
            <w:r w:rsidRPr="00650675">
              <w:rPr>
                <w:vertAlign w:val="superscript"/>
                <w:lang w:eastAsia="zh-CN"/>
              </w:rPr>
              <w:t>1</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 xml:space="preserve">1 directional antenna, 2x2 URA with 4 directional elements, 5x4 URA with 20 directional elements, 5x4x1x2 URA multi-panel with 40 directional elements &lt; 256 </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1 directional antenna, 2x2 URA with 4 directional elements, 5x4 URA with 20 directional elements, 5x4x1x2 URA multi-panel with 40 directional elements &lt; 63</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lang w:eastAsia="zh-CN"/>
              </w:rPr>
            </w:pPr>
            <w:r w:rsidRPr="00650675">
              <w:rPr>
                <w:lang w:eastAsia="zh-CN"/>
              </w:rPr>
              <w:t>Number of UE antenna elements</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1 or 2 isotropic</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1 or 2 isotropic</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kern w:val="2"/>
                <w:lang w:eastAsia="zh-CN"/>
              </w:rPr>
            </w:pPr>
            <w:r w:rsidRPr="00650675">
              <w:rPr>
                <w:kern w:val="2"/>
                <w:lang w:eastAsia="zh-CN"/>
              </w:rPr>
              <w:t>Device deployment</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80% outdoor,</w:t>
            </w:r>
          </w:p>
          <w:p w:rsidR="008C134E" w:rsidRPr="00650675" w:rsidRDefault="008C134E" w:rsidP="004160DC">
            <w:pPr>
              <w:pStyle w:val="Tabletext"/>
              <w:jc w:val="center"/>
              <w:rPr>
                <w:kern w:val="24"/>
                <w:lang w:eastAsia="zh-CN"/>
              </w:rPr>
            </w:pPr>
            <w:r w:rsidRPr="00650675">
              <w:rPr>
                <w:kern w:val="24"/>
                <w:lang w:eastAsia="zh-CN"/>
              </w:rPr>
              <w:t>20% indoor</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80% outdoor,</w:t>
            </w:r>
          </w:p>
          <w:p w:rsidR="008C134E" w:rsidRPr="00650675" w:rsidRDefault="008C134E" w:rsidP="004160DC">
            <w:pPr>
              <w:pStyle w:val="Tabletext"/>
              <w:jc w:val="center"/>
              <w:rPr>
                <w:kern w:val="24"/>
                <w:lang w:eastAsia="zh-CN"/>
              </w:rPr>
            </w:pPr>
            <w:r w:rsidRPr="00650675">
              <w:rPr>
                <w:kern w:val="24"/>
                <w:lang w:eastAsia="zh-CN"/>
              </w:rPr>
              <w:t>20% indoor</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kern w:val="2"/>
              </w:rPr>
            </w:pPr>
            <w:r w:rsidRPr="00650675">
              <w:rPr>
                <w:bCs/>
              </w:rPr>
              <w:t>UE mobility model</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rFonts w:eastAsia="SimSun"/>
              </w:rPr>
            </w:pPr>
            <w:r w:rsidRPr="00650675">
              <w:rPr>
                <w:rFonts w:eastAsia="SimSun"/>
              </w:rPr>
              <w:t>Fixed and identical speed |v| of all UEs, randomly and uniformly distributed direction</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rFonts w:eastAsia="SimSun"/>
              </w:rPr>
            </w:pPr>
            <w:r w:rsidRPr="00650675">
              <w:rPr>
                <w:rFonts w:eastAsia="SimSun"/>
              </w:rPr>
              <w:t>Fixed and identical speed |v| of all UEs, randomly and uniformly distributed direction</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kern w:val="2"/>
              </w:rPr>
            </w:pPr>
            <w:r w:rsidRPr="00650675">
              <w:rPr>
                <w:bCs/>
              </w:rPr>
              <w:t>U</w:t>
            </w:r>
            <w:r w:rsidRPr="00650675">
              <w:rPr>
                <w:bCs/>
                <w:lang w:eastAsia="zh-CN"/>
              </w:rPr>
              <w:t>E</w:t>
            </w:r>
            <w:r w:rsidRPr="00650675">
              <w:rPr>
                <w:bCs/>
              </w:rPr>
              <w:t xml:space="preserve"> speeds of interest</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3 km/h for indoor and</w:t>
            </w:r>
            <w:r w:rsidRPr="00650675">
              <w:rPr>
                <w:kern w:val="24"/>
                <w:lang w:eastAsia="ja-JP"/>
              </w:rPr>
              <w:t xml:space="preserve"> </w:t>
            </w:r>
            <w:r w:rsidRPr="00650675">
              <w:rPr>
                <w:kern w:val="24"/>
                <w:lang w:eastAsia="zh-CN"/>
              </w:rPr>
              <w:t>30 km/h for outdoor</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3 km/h for indoor and</w:t>
            </w:r>
            <w:r w:rsidRPr="00650675">
              <w:rPr>
                <w:kern w:val="24"/>
                <w:lang w:eastAsia="ja-JP"/>
              </w:rPr>
              <w:t xml:space="preserve"> </w:t>
            </w:r>
            <w:r w:rsidRPr="00650675">
              <w:rPr>
                <w:kern w:val="24"/>
                <w:lang w:eastAsia="zh-CN"/>
              </w:rPr>
              <w:t>30 km/h for outdoor</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kern w:val="2"/>
              </w:rPr>
            </w:pPr>
            <w:r w:rsidRPr="00650675">
              <w:rPr>
                <w:bCs/>
              </w:rPr>
              <w:t>Inter-site interference modelling</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rFonts w:eastAsia="SimSun"/>
                <w:kern w:val="24"/>
              </w:rPr>
            </w:pPr>
            <w:r w:rsidRPr="00650675">
              <w:rPr>
                <w:rFonts w:eastAsia="SimSun"/>
                <w:kern w:val="24"/>
              </w:rPr>
              <w:t>Explicitly</w:t>
            </w:r>
            <w:r w:rsidRPr="00650675">
              <w:rPr>
                <w:rFonts w:eastAsia="SimSun"/>
                <w:kern w:val="24"/>
                <w:lang w:eastAsia="ja-JP"/>
              </w:rPr>
              <w:t xml:space="preserve"> </w:t>
            </w:r>
            <w:r w:rsidRPr="00650675">
              <w:rPr>
                <w:rFonts w:eastAsia="SimSun"/>
                <w:kern w:val="24"/>
              </w:rPr>
              <w:t>modelled</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rFonts w:eastAsia="SimSun"/>
                <w:kern w:val="24"/>
              </w:rPr>
            </w:pPr>
            <w:r w:rsidRPr="00650675">
              <w:rPr>
                <w:rFonts w:eastAsia="SimSun"/>
                <w:kern w:val="24"/>
              </w:rPr>
              <w:t>Explicitly modelled</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kern w:val="2"/>
              </w:rPr>
            </w:pPr>
            <w:r w:rsidRPr="00650675">
              <w:rPr>
                <w:kern w:val="24"/>
              </w:rPr>
              <w:t>BS noise figure</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5</w:t>
            </w:r>
            <w:r w:rsidRPr="00650675">
              <w:rPr>
                <w:kern w:val="24"/>
                <w:lang w:eastAsia="ja-JP"/>
              </w:rPr>
              <w:t xml:space="preserve"> </w:t>
            </w:r>
            <w:r w:rsidRPr="00650675">
              <w:rPr>
                <w:kern w:val="24"/>
                <w:lang w:eastAsia="zh-CN"/>
              </w:rPr>
              <w:t>dB</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5</w:t>
            </w:r>
            <w:r w:rsidRPr="00650675">
              <w:rPr>
                <w:kern w:val="24"/>
                <w:lang w:eastAsia="ja-JP"/>
              </w:rPr>
              <w:t xml:space="preserve"> </w:t>
            </w:r>
            <w:r w:rsidRPr="00650675">
              <w:rPr>
                <w:kern w:val="24"/>
                <w:lang w:eastAsia="zh-CN"/>
              </w:rPr>
              <w:t>dB</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kern w:val="2"/>
              </w:rPr>
            </w:pPr>
            <w:r w:rsidRPr="00650675">
              <w:rPr>
                <w:bCs/>
              </w:rPr>
              <w:t>UE noise figure</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7</w:t>
            </w:r>
            <w:r w:rsidRPr="00650675">
              <w:rPr>
                <w:kern w:val="24"/>
                <w:lang w:eastAsia="ja-JP"/>
              </w:rPr>
              <w:t xml:space="preserve"> </w:t>
            </w:r>
            <w:r w:rsidRPr="00650675">
              <w:rPr>
                <w:kern w:val="24"/>
                <w:lang w:eastAsia="zh-CN"/>
              </w:rPr>
              <w:t>dB</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7</w:t>
            </w:r>
            <w:r w:rsidRPr="00650675">
              <w:rPr>
                <w:kern w:val="24"/>
                <w:lang w:eastAsia="ja-JP"/>
              </w:rPr>
              <w:t xml:space="preserve"> </w:t>
            </w:r>
            <w:r w:rsidRPr="00650675">
              <w:rPr>
                <w:kern w:val="24"/>
                <w:lang w:eastAsia="zh-CN"/>
              </w:rPr>
              <w:t>dB</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kern w:val="2"/>
              </w:rPr>
            </w:pPr>
            <w:r w:rsidRPr="00650675">
              <w:rPr>
                <w:bCs/>
              </w:rPr>
              <w:t>BS antenna element gain</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8</w:t>
            </w:r>
            <w:r w:rsidRPr="00650675">
              <w:rPr>
                <w:kern w:val="24"/>
                <w:lang w:eastAsia="ja-JP"/>
              </w:rPr>
              <w:t xml:space="preserve"> </w:t>
            </w:r>
            <w:r w:rsidRPr="00650675">
              <w:rPr>
                <w:kern w:val="24"/>
                <w:lang w:eastAsia="zh-CN"/>
              </w:rPr>
              <w:t>dBi</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8</w:t>
            </w:r>
            <w:r w:rsidRPr="00650675">
              <w:rPr>
                <w:kern w:val="24"/>
                <w:lang w:eastAsia="ja-JP"/>
              </w:rPr>
              <w:t xml:space="preserve"> </w:t>
            </w:r>
            <w:r w:rsidRPr="00650675">
              <w:rPr>
                <w:kern w:val="24"/>
                <w:lang w:eastAsia="zh-CN"/>
              </w:rPr>
              <w:t>dBi</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kern w:val="2"/>
              </w:rPr>
            </w:pPr>
            <w:r w:rsidRPr="00650675">
              <w:rPr>
                <w:bCs/>
              </w:rPr>
              <w:t>UE antenna element gain</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0</w:t>
            </w:r>
            <w:r w:rsidRPr="00650675">
              <w:rPr>
                <w:kern w:val="24"/>
                <w:lang w:eastAsia="ja-JP"/>
              </w:rPr>
              <w:t xml:space="preserve"> </w:t>
            </w:r>
            <w:r w:rsidRPr="00650675">
              <w:rPr>
                <w:kern w:val="24"/>
                <w:lang w:eastAsia="zh-CN"/>
              </w:rPr>
              <w:t>dBi</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0</w:t>
            </w:r>
            <w:r w:rsidRPr="00650675">
              <w:rPr>
                <w:kern w:val="24"/>
                <w:lang w:eastAsia="ja-JP"/>
              </w:rPr>
              <w:t xml:space="preserve"> </w:t>
            </w:r>
            <w:r w:rsidRPr="00650675">
              <w:rPr>
                <w:kern w:val="24"/>
                <w:lang w:eastAsia="zh-CN"/>
              </w:rPr>
              <w:t>dBi</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SimSun"/>
                <w:kern w:val="2"/>
              </w:rPr>
            </w:pPr>
            <w:r w:rsidRPr="00650675">
              <w:rPr>
                <w:bCs/>
              </w:rPr>
              <w:t>Thermal noise level</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color w:val="000000"/>
                <w:kern w:val="24"/>
                <w:lang w:eastAsia="zh-CN"/>
              </w:rPr>
              <w:t>‒</w:t>
            </w:r>
            <w:r w:rsidRPr="00650675">
              <w:rPr>
                <w:kern w:val="24"/>
                <w:lang w:eastAsia="zh-CN"/>
              </w:rPr>
              <w:t>174</w:t>
            </w:r>
            <w:r w:rsidRPr="00650675">
              <w:rPr>
                <w:kern w:val="24"/>
                <w:lang w:eastAsia="ja-JP"/>
              </w:rPr>
              <w:t xml:space="preserve"> </w:t>
            </w:r>
            <w:r w:rsidRPr="00650675">
              <w:rPr>
                <w:kern w:val="24"/>
                <w:lang w:eastAsia="zh-CN"/>
              </w:rPr>
              <w:t>dBm/Hz</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color w:val="000000"/>
                <w:kern w:val="24"/>
                <w:lang w:eastAsia="zh-CN"/>
              </w:rPr>
              <w:t>‒</w:t>
            </w:r>
            <w:r w:rsidRPr="00650675">
              <w:rPr>
                <w:kern w:val="24"/>
                <w:lang w:eastAsia="zh-CN"/>
              </w:rPr>
              <w:t>174</w:t>
            </w:r>
            <w:r w:rsidRPr="00650675">
              <w:rPr>
                <w:kern w:val="24"/>
                <w:lang w:eastAsia="ja-JP"/>
              </w:rPr>
              <w:t xml:space="preserve"> </w:t>
            </w:r>
            <w:r w:rsidRPr="00650675">
              <w:rPr>
                <w:kern w:val="24"/>
                <w:lang w:eastAsia="zh-CN"/>
              </w:rPr>
              <w:t>dBm/Hz</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rFonts w:eastAsia="Malgun Gothic"/>
                <w:bCs/>
                <w:lang w:eastAsia="ko-KR"/>
              </w:rPr>
            </w:pPr>
            <w:r w:rsidRPr="00650675">
              <w:rPr>
                <w:rFonts w:eastAsia="Malgun Gothic"/>
                <w:bCs/>
                <w:lang w:eastAsia="ko-KR"/>
              </w:rPr>
              <w:t>Traffic model</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color w:val="000000"/>
                <w:kern w:val="24"/>
                <w:lang w:eastAsia="zh-CN"/>
              </w:rPr>
            </w:pPr>
            <w:r w:rsidRPr="00650675">
              <w:rPr>
                <w:color w:val="000000"/>
                <w:kern w:val="24"/>
                <w:lang w:eastAsia="zh-CN"/>
              </w:rPr>
              <w:t>Full buffer</w:t>
            </w:r>
          </w:p>
          <w:p w:rsidR="008C134E" w:rsidRPr="00650675" w:rsidRDefault="008C134E" w:rsidP="004160DC">
            <w:pPr>
              <w:pStyle w:val="Tabletext"/>
              <w:jc w:val="center"/>
              <w:rPr>
                <w:color w:val="000000"/>
                <w:kern w:val="24"/>
                <w:lang w:eastAsia="zh-CN"/>
              </w:rPr>
            </w:pPr>
            <w:r w:rsidRPr="00650675">
              <w:rPr>
                <w:color w:val="000000"/>
                <w:kern w:val="24"/>
                <w:lang w:eastAsia="zh-CN"/>
              </w:rPr>
              <w:t xml:space="preserve">NOTE – </w:t>
            </w:r>
            <w:r w:rsidRPr="00650675">
              <w:rPr>
                <w:rFonts w:eastAsia="MS Mincho"/>
                <w:color w:val="000000"/>
                <w:kern w:val="24"/>
                <w:lang w:eastAsia="ja-JP"/>
              </w:rPr>
              <w:t>This</w:t>
            </w:r>
            <w:r w:rsidRPr="00650675">
              <w:rPr>
                <w:color w:val="000000"/>
                <w:kern w:val="24"/>
                <w:lang w:eastAsia="zh-CN"/>
              </w:rPr>
              <w:t xml:space="preserve"> is used for SINR CDF distribution derivation</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color w:val="000000"/>
                <w:kern w:val="24"/>
                <w:lang w:eastAsia="zh-CN"/>
              </w:rPr>
            </w:pPr>
            <w:r w:rsidRPr="00650675">
              <w:rPr>
                <w:color w:val="000000"/>
                <w:kern w:val="24"/>
                <w:lang w:eastAsia="zh-CN"/>
              </w:rPr>
              <w:t>Full buffer</w:t>
            </w:r>
          </w:p>
          <w:p w:rsidR="008C134E" w:rsidRPr="00650675" w:rsidRDefault="008C134E" w:rsidP="004160DC">
            <w:pPr>
              <w:pStyle w:val="Tabletext"/>
              <w:jc w:val="center"/>
              <w:rPr>
                <w:color w:val="000000"/>
                <w:kern w:val="24"/>
                <w:lang w:eastAsia="zh-CN"/>
              </w:rPr>
            </w:pPr>
            <w:r w:rsidRPr="00650675">
              <w:rPr>
                <w:color w:val="000000"/>
                <w:kern w:val="24"/>
                <w:lang w:eastAsia="zh-CN"/>
              </w:rPr>
              <w:t xml:space="preserve">NOTE – </w:t>
            </w:r>
            <w:r w:rsidRPr="00650675">
              <w:rPr>
                <w:rFonts w:eastAsia="MS Mincho"/>
                <w:color w:val="000000"/>
                <w:kern w:val="24"/>
                <w:lang w:eastAsia="ja-JP"/>
              </w:rPr>
              <w:t>This</w:t>
            </w:r>
            <w:r w:rsidRPr="00650675">
              <w:rPr>
                <w:color w:val="000000"/>
                <w:kern w:val="24"/>
                <w:lang w:eastAsia="zh-CN"/>
              </w:rPr>
              <w:t xml:space="preserve"> is used for SINR CDF distribution derivation</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bCs/>
                <w:lang w:eastAsia="zh-CN"/>
              </w:rPr>
            </w:pPr>
            <w:r w:rsidRPr="00650675">
              <w:rPr>
                <w:bCs/>
                <w:lang w:eastAsia="zh-CN"/>
              </w:rPr>
              <w:t>Simulation bandwidth</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ja-JP"/>
              </w:rPr>
            </w:pPr>
            <w:r w:rsidRPr="00650675">
              <w:rPr>
                <w:kern w:val="24"/>
                <w:lang w:eastAsia="ja-JP"/>
              </w:rPr>
              <w:t>Up to 100 MHz</w:t>
            </w:r>
          </w:p>
          <w:p w:rsidR="008C134E" w:rsidRPr="00650675" w:rsidRDefault="008C134E" w:rsidP="004160DC">
            <w:pPr>
              <w:pStyle w:val="Tabletext"/>
              <w:jc w:val="center"/>
              <w:rPr>
                <w:kern w:val="24"/>
                <w:lang w:eastAsia="ja-JP"/>
              </w:rPr>
            </w:pPr>
            <w:r w:rsidRPr="00650675">
              <w:rPr>
                <w:lang w:eastAsia="zh-CN"/>
              </w:rPr>
              <w:t>57 channels @ 1.728</w:t>
            </w:r>
            <w:r w:rsidR="00966C43">
              <w:rPr>
                <w:lang w:eastAsia="zh-CN"/>
              </w:rPr>
              <w:t> </w:t>
            </w:r>
            <w:r w:rsidRPr="00650675">
              <w:rPr>
                <w:lang w:eastAsia="zh-CN"/>
              </w:rPr>
              <w:t xml:space="preserve">MHz </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ja-JP"/>
              </w:rPr>
            </w:pPr>
            <w:r w:rsidRPr="00650675">
              <w:rPr>
                <w:kern w:val="24"/>
                <w:lang w:eastAsia="ja-JP"/>
              </w:rPr>
              <w:t>Up to 40 MHz</w:t>
            </w:r>
          </w:p>
          <w:p w:rsidR="008C134E" w:rsidRPr="00650675" w:rsidRDefault="008C134E" w:rsidP="004160DC">
            <w:pPr>
              <w:pStyle w:val="Tabletext"/>
              <w:jc w:val="center"/>
              <w:rPr>
                <w:kern w:val="24"/>
                <w:lang w:eastAsia="ja-JP"/>
              </w:rPr>
            </w:pPr>
            <w:r w:rsidRPr="00650675">
              <w:rPr>
                <w:lang w:eastAsia="zh-CN"/>
              </w:rPr>
              <w:t>23 channels @ 1.728</w:t>
            </w:r>
            <w:r w:rsidR="00966C43">
              <w:rPr>
                <w:lang w:eastAsia="zh-CN"/>
              </w:rPr>
              <w:t> </w:t>
            </w:r>
            <w:r w:rsidRPr="00650675">
              <w:rPr>
                <w:lang w:eastAsia="zh-CN"/>
              </w:rPr>
              <w:t>MHz</w:t>
            </w: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bCs/>
                <w:lang w:eastAsia="zh-CN"/>
              </w:rPr>
            </w:pPr>
            <w:r w:rsidRPr="00650675">
              <w:rPr>
                <w:bCs/>
                <w:lang w:eastAsia="zh-CN"/>
              </w:rPr>
              <w:t>UE density</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10 UEs per TRxP</w:t>
            </w:r>
          </w:p>
          <w:p w:rsidR="008C134E" w:rsidRPr="00650675" w:rsidRDefault="008C134E" w:rsidP="004160DC">
            <w:pPr>
              <w:pStyle w:val="Tabletext"/>
              <w:jc w:val="center"/>
              <w:rPr>
                <w:kern w:val="24"/>
                <w:lang w:eastAsia="ja-JP"/>
              </w:rPr>
            </w:pP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zh-CN"/>
              </w:rPr>
            </w:pPr>
            <w:r w:rsidRPr="00650675">
              <w:rPr>
                <w:kern w:val="24"/>
                <w:lang w:eastAsia="zh-CN"/>
              </w:rPr>
              <w:t>10 UEs per TRxP</w:t>
            </w:r>
          </w:p>
          <w:p w:rsidR="008C134E" w:rsidRPr="00650675" w:rsidRDefault="008C134E" w:rsidP="004160DC">
            <w:pPr>
              <w:pStyle w:val="Tabletext"/>
              <w:jc w:val="center"/>
              <w:rPr>
                <w:kern w:val="24"/>
                <w:lang w:eastAsia="ja-JP"/>
              </w:rPr>
            </w:pPr>
          </w:p>
        </w:tc>
      </w:tr>
      <w:tr w:rsidR="008C134E" w:rsidRPr="00650675" w:rsidTr="004160DC">
        <w:trPr>
          <w:cantSplit/>
          <w:jc w:val="center"/>
        </w:trPr>
        <w:tc>
          <w:tcPr>
            <w:tcW w:w="2772"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rPr>
                <w:bCs/>
                <w:lang w:eastAsia="ja-JP"/>
              </w:rPr>
            </w:pPr>
            <w:r w:rsidRPr="00650675">
              <w:rPr>
                <w:bCs/>
                <w:lang w:eastAsia="ja-JP"/>
              </w:rPr>
              <w:t>UE antenna height</w:t>
            </w:r>
          </w:p>
        </w:tc>
        <w:tc>
          <w:tcPr>
            <w:tcW w:w="3300"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ja-JP"/>
              </w:rPr>
            </w:pPr>
            <w:r w:rsidRPr="00650675">
              <w:rPr>
                <w:kern w:val="24"/>
                <w:lang w:eastAsia="ja-JP"/>
              </w:rPr>
              <w:t>1.5 m</w:t>
            </w:r>
          </w:p>
        </w:tc>
        <w:tc>
          <w:tcPr>
            <w:tcW w:w="3567" w:type="dxa"/>
            <w:tcBorders>
              <w:top w:val="single" w:sz="4" w:space="0" w:color="auto"/>
              <w:left w:val="single" w:sz="4" w:space="0" w:color="auto"/>
              <w:bottom w:val="single" w:sz="4" w:space="0" w:color="auto"/>
              <w:right w:val="single" w:sz="4" w:space="0" w:color="auto"/>
            </w:tcBorders>
            <w:hideMark/>
          </w:tcPr>
          <w:p w:rsidR="008C134E" w:rsidRPr="00650675" w:rsidRDefault="008C134E" w:rsidP="004160DC">
            <w:pPr>
              <w:pStyle w:val="Tabletext"/>
              <w:jc w:val="center"/>
              <w:rPr>
                <w:kern w:val="24"/>
                <w:lang w:eastAsia="ja-JP"/>
              </w:rPr>
            </w:pPr>
            <w:r w:rsidRPr="00650675">
              <w:rPr>
                <w:kern w:val="24"/>
                <w:lang w:eastAsia="ja-JP"/>
              </w:rPr>
              <w:t>1.5 m</w:t>
            </w:r>
          </w:p>
        </w:tc>
      </w:tr>
    </w:tbl>
    <w:p w:rsidR="008C134E" w:rsidRDefault="008C134E" w:rsidP="00263D3E">
      <w:pPr>
        <w:pStyle w:val="Tablefin"/>
      </w:pPr>
    </w:p>
    <w:p w:rsidR="008C134E" w:rsidRDefault="008C134E" w:rsidP="001E117D">
      <w:pPr>
        <w:spacing w:line="276" w:lineRule="auto"/>
        <w:jc w:val="both"/>
      </w:pPr>
      <w:r>
        <w:t>The system-level simulator outcome is the derivation of the SINR Cumulative Density Function (CDF) distribution for various parameterizations. The results are presented below.</w:t>
      </w:r>
    </w:p>
    <w:p w:rsidR="008C134E" w:rsidRDefault="008C134E" w:rsidP="001E117D">
      <w:pPr>
        <w:pStyle w:val="Heading3"/>
        <w:spacing w:line="276" w:lineRule="auto"/>
        <w:jc w:val="both"/>
      </w:pPr>
      <w:r>
        <w:t xml:space="preserve">Beamforming Configuration Comparisons </w:t>
      </w:r>
    </w:p>
    <w:p w:rsidR="008C134E" w:rsidRPr="00BD5C77" w:rsidRDefault="008C134E" w:rsidP="001E117D">
      <w:pPr>
        <w:spacing w:line="276" w:lineRule="auto"/>
      </w:pPr>
      <w:r>
        <w:t xml:space="preserve">System-level Configuration B is used for the comparisons among various configurations and antenna elements. The results are presented in </w:t>
      </w:r>
      <w:r>
        <w:fldChar w:fldCharType="begin"/>
      </w:r>
      <w:r>
        <w:instrText xml:space="preserve"> REF _Ref72960950 \h </w:instrText>
      </w:r>
      <w:r>
        <w:fldChar w:fldCharType="separate"/>
      </w:r>
      <w:r>
        <w:t xml:space="preserve">Figure </w:t>
      </w:r>
      <w:r>
        <w:rPr>
          <w:noProof/>
        </w:rPr>
        <w:t>5</w:t>
      </w:r>
      <w:r>
        <w:fldChar w:fldCharType="end"/>
      </w:r>
      <w:r>
        <w:t>.</w:t>
      </w:r>
    </w:p>
    <w:p w:rsidR="008C134E" w:rsidRPr="0003551E" w:rsidRDefault="00330C12" w:rsidP="00330C12">
      <w:pPr>
        <w:pStyle w:val="enumlev1"/>
        <w:rPr>
          <w:b/>
          <w:bCs/>
        </w:rPr>
      </w:pPr>
      <w:r>
        <w:t>•</w:t>
      </w:r>
      <w:r>
        <w:tab/>
      </w:r>
      <w:r w:rsidR="008C134E">
        <w:t xml:space="preserve">The SISO configuration performs poorly with the </w:t>
      </w:r>
      <w:bookmarkStart w:id="26" w:name="_Hlk72981570"/>
      <w:r w:rsidR="008C134E">
        <w:t>5th</w:t>
      </w:r>
      <w:r w:rsidR="008C134E" w:rsidRPr="0003551E">
        <w:rPr>
          <w:sz w:val="16"/>
          <w:szCs w:val="16"/>
        </w:rPr>
        <w:t xml:space="preserve"> </w:t>
      </w:r>
      <w:r w:rsidR="008C134E" w:rsidRPr="0003551E">
        <w:t xml:space="preserve">percentile point of the CDF </w:t>
      </w:r>
      <w:bookmarkEnd w:id="26"/>
      <w:r w:rsidR="008C134E" w:rsidRPr="0003551E">
        <w:t>and marginally exceeds 0 dB.</w:t>
      </w:r>
    </w:p>
    <w:p w:rsidR="008C134E" w:rsidRDefault="00330C12" w:rsidP="00330C12">
      <w:pPr>
        <w:pStyle w:val="enumlev1"/>
      </w:pPr>
      <w:r>
        <w:t>•</w:t>
      </w:r>
      <w:r>
        <w:tab/>
      </w:r>
      <w:r w:rsidR="008C134E">
        <w:t>The use of multiple antennas and MRT provide significant gain (approximately 10</w:t>
      </w:r>
      <w:r>
        <w:t> </w:t>
      </w:r>
      <w:r w:rsidR="008C134E">
        <w:t>dB @ 4Tx antennas up to 17</w:t>
      </w:r>
      <w:r>
        <w:t> </w:t>
      </w:r>
      <w:r w:rsidR="008C134E">
        <w:t>dB @ 40 Tx antennas).</w:t>
      </w:r>
    </w:p>
    <w:p w:rsidR="008C134E" w:rsidRDefault="00330C12" w:rsidP="00330C12">
      <w:pPr>
        <w:pStyle w:val="enumlev1"/>
        <w:spacing w:after="240"/>
      </w:pPr>
      <w:r>
        <w:t>•</w:t>
      </w:r>
      <w:r>
        <w:tab/>
      </w:r>
      <w:r w:rsidR="008C134E">
        <w:t>Simpler beamformers like “pattern steering at LoS direction” also provide significant gain, although they are relatively ineffective for NLoS channels.</w:t>
      </w:r>
    </w:p>
    <w:tbl>
      <w:tblPr>
        <w:tblStyle w:val="TableGrid"/>
        <w:tblW w:w="0" w:type="auto"/>
        <w:jc w:val="center"/>
        <w:tblLook w:val="04A0" w:firstRow="1" w:lastRow="0" w:firstColumn="1" w:lastColumn="0" w:noHBand="0" w:noVBand="1"/>
      </w:tblPr>
      <w:tblGrid>
        <w:gridCol w:w="4225"/>
        <w:gridCol w:w="2009"/>
      </w:tblGrid>
      <w:tr w:rsidR="008C134E" w:rsidTr="004160DC">
        <w:trPr>
          <w:jc w:val="center"/>
        </w:trPr>
        <w:tc>
          <w:tcPr>
            <w:tcW w:w="4225" w:type="dxa"/>
          </w:tcPr>
          <w:p w:rsidR="008C134E" w:rsidRPr="00345C05" w:rsidRDefault="008C134E" w:rsidP="00263D3E">
            <w:pPr>
              <w:pStyle w:val="Tablehead"/>
            </w:pPr>
            <w:r w:rsidRPr="00345C05">
              <w:t>Setup</w:t>
            </w:r>
            <w:r>
              <w:t xml:space="preserve"> (Configuration B @ 1.728 MHz)</w:t>
            </w:r>
          </w:p>
        </w:tc>
        <w:tc>
          <w:tcPr>
            <w:tcW w:w="2009" w:type="dxa"/>
          </w:tcPr>
          <w:p w:rsidR="008C134E" w:rsidRPr="00345C05" w:rsidRDefault="008C134E" w:rsidP="00263D3E">
            <w:pPr>
              <w:pStyle w:val="Tablehead"/>
            </w:pPr>
            <w:r w:rsidRPr="00345C05">
              <w:t>5th percentile point of the SINR CDF</w:t>
            </w:r>
          </w:p>
        </w:tc>
      </w:tr>
      <w:tr w:rsidR="008C134E" w:rsidTr="004160DC">
        <w:trPr>
          <w:jc w:val="center"/>
        </w:trPr>
        <w:tc>
          <w:tcPr>
            <w:tcW w:w="4225" w:type="dxa"/>
          </w:tcPr>
          <w:p w:rsidR="008C134E" w:rsidRPr="00345C05" w:rsidRDefault="008C134E" w:rsidP="00263D3E">
            <w:pPr>
              <w:pStyle w:val="Tabletext"/>
            </w:pPr>
            <w:r>
              <w:t xml:space="preserve">SISO </w:t>
            </w:r>
          </w:p>
        </w:tc>
        <w:tc>
          <w:tcPr>
            <w:tcW w:w="2009" w:type="dxa"/>
          </w:tcPr>
          <w:p w:rsidR="008C134E" w:rsidRPr="00345C05" w:rsidRDefault="008C134E" w:rsidP="00263D3E">
            <w:pPr>
              <w:pStyle w:val="Tabletext"/>
            </w:pPr>
            <w:r>
              <w:t>3.2 dB</w:t>
            </w:r>
          </w:p>
        </w:tc>
      </w:tr>
      <w:tr w:rsidR="008C134E" w:rsidTr="004160DC">
        <w:trPr>
          <w:jc w:val="center"/>
        </w:trPr>
        <w:tc>
          <w:tcPr>
            <w:tcW w:w="4225" w:type="dxa"/>
          </w:tcPr>
          <w:p w:rsidR="008C134E" w:rsidRPr="00345C05" w:rsidRDefault="008C134E" w:rsidP="00263D3E">
            <w:pPr>
              <w:pStyle w:val="Tabletext"/>
            </w:pPr>
            <w:r>
              <w:t>2x2 MRT</w:t>
            </w:r>
          </w:p>
        </w:tc>
        <w:tc>
          <w:tcPr>
            <w:tcW w:w="2009" w:type="dxa"/>
          </w:tcPr>
          <w:p w:rsidR="008C134E" w:rsidRPr="00345C05" w:rsidRDefault="008C134E" w:rsidP="00263D3E">
            <w:pPr>
              <w:pStyle w:val="Tabletext"/>
            </w:pPr>
            <w:r>
              <w:t>12.2 dB</w:t>
            </w:r>
          </w:p>
        </w:tc>
      </w:tr>
      <w:tr w:rsidR="008C134E" w:rsidTr="004160DC">
        <w:trPr>
          <w:jc w:val="center"/>
        </w:trPr>
        <w:tc>
          <w:tcPr>
            <w:tcW w:w="4225" w:type="dxa"/>
          </w:tcPr>
          <w:p w:rsidR="008C134E" w:rsidRPr="00345C05" w:rsidRDefault="008C134E" w:rsidP="00263D3E">
            <w:pPr>
              <w:pStyle w:val="Tabletext"/>
            </w:pPr>
            <w:r>
              <w:t>5x4 LoS steering</w:t>
            </w:r>
          </w:p>
        </w:tc>
        <w:tc>
          <w:tcPr>
            <w:tcW w:w="2009" w:type="dxa"/>
          </w:tcPr>
          <w:p w:rsidR="008C134E" w:rsidRPr="00345C05" w:rsidRDefault="008C134E" w:rsidP="00263D3E">
            <w:pPr>
              <w:pStyle w:val="Tabletext"/>
            </w:pPr>
            <w:r>
              <w:t>8.9 dB</w:t>
            </w:r>
          </w:p>
        </w:tc>
      </w:tr>
      <w:tr w:rsidR="008C134E" w:rsidTr="004160DC">
        <w:trPr>
          <w:jc w:val="center"/>
        </w:trPr>
        <w:tc>
          <w:tcPr>
            <w:tcW w:w="4225" w:type="dxa"/>
          </w:tcPr>
          <w:p w:rsidR="008C134E" w:rsidRPr="00345C05" w:rsidRDefault="008C134E" w:rsidP="00263D3E">
            <w:pPr>
              <w:pStyle w:val="Tabletext"/>
            </w:pPr>
            <w:r>
              <w:t>5x4 MRT</w:t>
            </w:r>
          </w:p>
        </w:tc>
        <w:tc>
          <w:tcPr>
            <w:tcW w:w="2009" w:type="dxa"/>
          </w:tcPr>
          <w:p w:rsidR="008C134E" w:rsidRPr="00345C05" w:rsidRDefault="008C134E" w:rsidP="00263D3E">
            <w:pPr>
              <w:pStyle w:val="Tabletext"/>
            </w:pPr>
            <w:r>
              <w:t>15.35 dB</w:t>
            </w:r>
          </w:p>
        </w:tc>
      </w:tr>
      <w:tr w:rsidR="008C134E" w:rsidTr="004160DC">
        <w:trPr>
          <w:jc w:val="center"/>
        </w:trPr>
        <w:tc>
          <w:tcPr>
            <w:tcW w:w="4225" w:type="dxa"/>
          </w:tcPr>
          <w:p w:rsidR="008C134E" w:rsidRPr="00345C05" w:rsidRDefault="008C134E" w:rsidP="00263D3E">
            <w:pPr>
              <w:pStyle w:val="Tabletext"/>
            </w:pPr>
            <w:r>
              <w:t>5x4x1x2 LoS steering</w:t>
            </w:r>
          </w:p>
        </w:tc>
        <w:tc>
          <w:tcPr>
            <w:tcW w:w="2009" w:type="dxa"/>
          </w:tcPr>
          <w:p w:rsidR="008C134E" w:rsidRPr="00345C05" w:rsidRDefault="008C134E" w:rsidP="00263D3E">
            <w:pPr>
              <w:pStyle w:val="Tabletext"/>
            </w:pPr>
            <w:r>
              <w:t>15.2 dB</w:t>
            </w:r>
          </w:p>
        </w:tc>
      </w:tr>
      <w:tr w:rsidR="008C134E" w:rsidTr="004160DC">
        <w:trPr>
          <w:jc w:val="center"/>
        </w:trPr>
        <w:tc>
          <w:tcPr>
            <w:tcW w:w="4225" w:type="dxa"/>
          </w:tcPr>
          <w:p w:rsidR="008C134E" w:rsidRDefault="008C134E" w:rsidP="00263D3E">
            <w:pPr>
              <w:pStyle w:val="Tabletext"/>
            </w:pPr>
            <w:r>
              <w:t>5x4x1x2 MRT</w:t>
            </w:r>
          </w:p>
        </w:tc>
        <w:tc>
          <w:tcPr>
            <w:tcW w:w="2009" w:type="dxa"/>
          </w:tcPr>
          <w:p w:rsidR="008C134E" w:rsidRPr="00345C05" w:rsidRDefault="008C134E" w:rsidP="00263D3E">
            <w:pPr>
              <w:pStyle w:val="Tabletext"/>
            </w:pPr>
            <w:r>
              <w:t>19.4 dB</w:t>
            </w:r>
          </w:p>
        </w:tc>
      </w:tr>
    </w:tbl>
    <w:p w:rsidR="008C134E" w:rsidRDefault="008C134E" w:rsidP="00263D3E">
      <w:pPr>
        <w:pStyle w:val="Tablefin"/>
      </w:pPr>
    </w:p>
    <w:p w:rsidR="00263D3E" w:rsidRDefault="00263D3E">
      <w:pPr>
        <w:tabs>
          <w:tab w:val="clear" w:pos="1134"/>
          <w:tab w:val="clear" w:pos="1871"/>
          <w:tab w:val="clear" w:pos="2268"/>
        </w:tabs>
        <w:overflowPunct/>
        <w:autoSpaceDE/>
        <w:autoSpaceDN/>
        <w:adjustRightInd/>
        <w:spacing w:before="0"/>
        <w:textAlignment w:val="auto"/>
        <w:rPr>
          <w:caps/>
          <w:color w:val="548DD4" w:themeColor="text2" w:themeTint="99"/>
          <w:sz w:val="20"/>
        </w:rPr>
      </w:pPr>
      <w:r>
        <w:rPr>
          <w:color w:val="548DD4" w:themeColor="text2" w:themeTint="99"/>
        </w:rPr>
        <w:br w:type="page"/>
      </w:r>
    </w:p>
    <w:p w:rsidR="00263D3E" w:rsidRPr="00966C43" w:rsidRDefault="00263D3E" w:rsidP="00263D3E">
      <w:pPr>
        <w:pStyle w:val="FigureNo"/>
        <w:rPr>
          <w:color w:val="17365D" w:themeColor="text2" w:themeShade="BF"/>
        </w:rPr>
      </w:pPr>
      <w:r w:rsidRPr="00966C43">
        <w:rPr>
          <w:color w:val="17365D" w:themeColor="text2" w:themeShade="BF"/>
        </w:rPr>
        <w:t xml:space="preserve">Figure </w:t>
      </w:r>
      <w:r w:rsidRPr="00966C43">
        <w:rPr>
          <w:color w:val="17365D" w:themeColor="text2" w:themeShade="BF"/>
        </w:rPr>
        <w:fldChar w:fldCharType="begin"/>
      </w:r>
      <w:r w:rsidRPr="00966C43">
        <w:rPr>
          <w:color w:val="17365D" w:themeColor="text2" w:themeShade="BF"/>
        </w:rPr>
        <w:instrText xml:space="preserve"> SEQ Figure \* ARABIC </w:instrText>
      </w:r>
      <w:r w:rsidRPr="00966C43">
        <w:rPr>
          <w:color w:val="17365D" w:themeColor="text2" w:themeShade="BF"/>
        </w:rPr>
        <w:fldChar w:fldCharType="separate"/>
      </w:r>
      <w:r w:rsidRPr="00966C43">
        <w:rPr>
          <w:noProof/>
          <w:color w:val="17365D" w:themeColor="text2" w:themeShade="BF"/>
        </w:rPr>
        <w:t>5</w:t>
      </w:r>
      <w:r w:rsidRPr="00966C43">
        <w:rPr>
          <w:color w:val="17365D" w:themeColor="text2" w:themeShade="BF"/>
        </w:rPr>
        <w:fldChar w:fldCharType="end"/>
      </w:r>
    </w:p>
    <w:p w:rsidR="00263D3E" w:rsidRPr="00263D3E" w:rsidRDefault="00263D3E" w:rsidP="00263D3E">
      <w:pPr>
        <w:pStyle w:val="Figuretitle"/>
        <w:rPr>
          <w:bCs/>
          <w:color w:val="548DD4" w:themeColor="text2" w:themeTint="99"/>
        </w:rPr>
      </w:pPr>
      <w:r w:rsidRPr="00966C43">
        <w:rPr>
          <w:color w:val="17365D" w:themeColor="text2" w:themeShade="BF"/>
        </w:rPr>
        <w:t>Configuration B with 1.728</w:t>
      </w:r>
      <w:r w:rsidR="00966C43">
        <w:rPr>
          <w:color w:val="17365D" w:themeColor="text2" w:themeShade="BF"/>
        </w:rPr>
        <w:t xml:space="preserve"> </w:t>
      </w:r>
      <w:r w:rsidRPr="00966C43">
        <w:rPr>
          <w:color w:val="17365D" w:themeColor="text2" w:themeShade="BF"/>
        </w:rPr>
        <w:t>MHz channel bandwidth – Comparisons among beamforming and antenna setups</w:t>
      </w:r>
    </w:p>
    <w:p w:rsidR="00263D3E" w:rsidRDefault="00263D3E" w:rsidP="00263D3E">
      <w:pPr>
        <w:pStyle w:val="Tablefin"/>
      </w:pPr>
    </w:p>
    <w:p w:rsidR="008C134E" w:rsidRDefault="008C134E" w:rsidP="005220D6">
      <w:pPr>
        <w:keepNext/>
        <w:jc w:val="center"/>
      </w:pPr>
      <w:r>
        <w:rPr>
          <w:noProof/>
          <w:lang w:val="en-US"/>
        </w:rPr>
        <w:drawing>
          <wp:inline distT="0" distB="0" distL="0" distR="0" wp14:anchorId="268CF853" wp14:editId="091F57A8">
            <wp:extent cx="5219700" cy="3036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4432" cy="3039212"/>
                    </a:xfrm>
                    <a:prstGeom prst="rect">
                      <a:avLst/>
                    </a:prstGeom>
                    <a:noFill/>
                    <a:ln>
                      <a:noFill/>
                    </a:ln>
                  </pic:spPr>
                </pic:pic>
              </a:graphicData>
            </a:graphic>
          </wp:inline>
        </w:drawing>
      </w:r>
    </w:p>
    <w:p w:rsidR="008C134E" w:rsidRDefault="008C134E" w:rsidP="00AC72F5">
      <w:pPr>
        <w:pStyle w:val="Heading3"/>
        <w:spacing w:line="276" w:lineRule="auto"/>
        <w:jc w:val="both"/>
      </w:pPr>
      <w:r>
        <w:t xml:space="preserve">Frequency Reuse Scheme Comparisons </w:t>
      </w:r>
    </w:p>
    <w:p w:rsidR="008C134E" w:rsidRPr="00E64784" w:rsidRDefault="008C134E" w:rsidP="00AC72F5">
      <w:pPr>
        <w:spacing w:line="276" w:lineRule="auto"/>
        <w:jc w:val="both"/>
        <w:rPr>
          <w:sz w:val="22"/>
          <w:szCs w:val="22"/>
        </w:rPr>
      </w:pPr>
      <w:r w:rsidRPr="00E64784">
        <w:rPr>
          <w:sz w:val="22"/>
          <w:szCs w:val="22"/>
        </w:rPr>
        <w:t xml:space="preserve">In </w:t>
      </w:r>
      <w:r w:rsidRPr="00E64784">
        <w:rPr>
          <w:sz w:val="22"/>
          <w:szCs w:val="22"/>
        </w:rPr>
        <w:fldChar w:fldCharType="begin"/>
      </w:r>
      <w:r w:rsidRPr="00E64784">
        <w:rPr>
          <w:sz w:val="22"/>
          <w:szCs w:val="22"/>
        </w:rPr>
        <w:instrText xml:space="preserve"> REF _Ref72981333 \h </w:instrText>
      </w:r>
      <w:r>
        <w:instrText xml:space="preserve"> \* MERGEFORMAT </w:instrText>
      </w:r>
      <w:r w:rsidRPr="00E64784">
        <w:rPr>
          <w:sz w:val="22"/>
          <w:szCs w:val="22"/>
        </w:rPr>
      </w:r>
      <w:r w:rsidRPr="00E64784">
        <w:rPr>
          <w:sz w:val="22"/>
          <w:szCs w:val="22"/>
        </w:rPr>
        <w:fldChar w:fldCharType="separate"/>
      </w:r>
      <w:r w:rsidRPr="00EB69E8">
        <w:rPr>
          <w:sz w:val="22"/>
          <w:szCs w:val="22"/>
        </w:rPr>
        <w:t xml:space="preserve">Figure </w:t>
      </w:r>
      <w:r w:rsidRPr="00EB69E8">
        <w:rPr>
          <w:noProof/>
          <w:sz w:val="22"/>
          <w:szCs w:val="22"/>
        </w:rPr>
        <w:t>6</w:t>
      </w:r>
      <w:r w:rsidRPr="00E64784">
        <w:rPr>
          <w:sz w:val="22"/>
          <w:szCs w:val="22"/>
        </w:rPr>
        <w:fldChar w:fldCharType="end"/>
      </w:r>
      <w:r w:rsidRPr="00E64784">
        <w:rPr>
          <w:sz w:val="22"/>
          <w:szCs w:val="22"/>
        </w:rPr>
        <w:t xml:space="preserve">, results for frequency reuse by 1/7 vs. 1/3 are presented. The results are provided for single antenna at the TRxP and one or two isotropic antennas at the UT (for two antennas MRC diversity is employed). According to </w:t>
      </w:r>
      <w:r w:rsidRPr="00E64784">
        <w:rPr>
          <w:sz w:val="22"/>
          <w:szCs w:val="22"/>
        </w:rPr>
        <w:fldChar w:fldCharType="begin"/>
      </w:r>
      <w:r w:rsidRPr="00E64784">
        <w:rPr>
          <w:sz w:val="22"/>
          <w:szCs w:val="22"/>
        </w:rPr>
        <w:instrText xml:space="preserve"> REF _Ref72981333 \h </w:instrText>
      </w:r>
      <w:r>
        <w:instrText xml:space="preserve"> \* MERGEFORMAT </w:instrText>
      </w:r>
      <w:r w:rsidRPr="00E64784">
        <w:rPr>
          <w:sz w:val="22"/>
          <w:szCs w:val="22"/>
        </w:rPr>
      </w:r>
      <w:r w:rsidRPr="00E64784">
        <w:rPr>
          <w:sz w:val="22"/>
          <w:szCs w:val="22"/>
        </w:rPr>
        <w:fldChar w:fldCharType="separate"/>
      </w:r>
      <w:r w:rsidRPr="00EB69E8">
        <w:rPr>
          <w:sz w:val="22"/>
          <w:szCs w:val="22"/>
        </w:rPr>
        <w:t xml:space="preserve">Figure </w:t>
      </w:r>
      <w:r w:rsidRPr="00EB69E8">
        <w:rPr>
          <w:noProof/>
          <w:sz w:val="22"/>
          <w:szCs w:val="22"/>
        </w:rPr>
        <w:t>6</w:t>
      </w:r>
      <w:r w:rsidRPr="00E64784">
        <w:rPr>
          <w:sz w:val="22"/>
          <w:szCs w:val="22"/>
        </w:rPr>
        <w:fldChar w:fldCharType="end"/>
      </w:r>
      <w:r w:rsidRPr="00E64784">
        <w:rPr>
          <w:sz w:val="22"/>
          <w:szCs w:val="22"/>
        </w:rPr>
        <w:t xml:space="preserve">, </w:t>
      </w:r>
    </w:p>
    <w:p w:rsidR="008C134E" w:rsidRDefault="00263D3E" w:rsidP="00263D3E">
      <w:pPr>
        <w:pStyle w:val="enumlev1"/>
      </w:pPr>
      <w:r>
        <w:t>•</w:t>
      </w:r>
      <w:r>
        <w:tab/>
      </w:r>
      <w:r w:rsidR="008C134E" w:rsidRPr="00E64784">
        <w:t>The frequency reuse scheme heavily affects the SINR distribution, with an 8dB reduction at the 5</w:t>
      </w:r>
      <w:r w:rsidR="008C134E" w:rsidRPr="00E64784">
        <w:rPr>
          <w:vertAlign w:val="superscript"/>
        </w:rPr>
        <w:t>th</w:t>
      </w:r>
      <w:r w:rsidR="008C134E" w:rsidRPr="00E64784">
        <w:t xml:space="preserve"> percentile point of the CDF</w:t>
      </w:r>
      <w:r w:rsidR="008C134E">
        <w:t>.</w:t>
      </w:r>
    </w:p>
    <w:p w:rsidR="008C134E" w:rsidRPr="00E64784" w:rsidRDefault="00263D3E" w:rsidP="00966C43">
      <w:pPr>
        <w:pStyle w:val="enumlev1"/>
        <w:spacing w:after="120"/>
      </w:pPr>
      <w:r>
        <w:t>•</w:t>
      </w:r>
      <w:r>
        <w:tab/>
      </w:r>
      <w:r w:rsidR="008C134E">
        <w:t>The use of MRC diversity provides an approximate gain of 3 dB.</w:t>
      </w:r>
    </w:p>
    <w:tbl>
      <w:tblPr>
        <w:tblStyle w:val="TableGrid"/>
        <w:tblW w:w="0" w:type="auto"/>
        <w:jc w:val="center"/>
        <w:tblLook w:val="04A0" w:firstRow="1" w:lastRow="0" w:firstColumn="1" w:lastColumn="0" w:noHBand="0" w:noVBand="1"/>
      </w:tblPr>
      <w:tblGrid>
        <w:gridCol w:w="4225"/>
        <w:gridCol w:w="3240"/>
      </w:tblGrid>
      <w:tr w:rsidR="001F1BB2" w:rsidRPr="00EA5AD8" w:rsidTr="00B03BE7">
        <w:trPr>
          <w:jc w:val="center"/>
        </w:trPr>
        <w:tc>
          <w:tcPr>
            <w:tcW w:w="4225" w:type="dxa"/>
          </w:tcPr>
          <w:p w:rsidR="001F1BB2" w:rsidRPr="00262A46" w:rsidRDefault="001F1BB2" w:rsidP="00B03BE7">
            <w:pPr>
              <w:pStyle w:val="Tablehead"/>
            </w:pPr>
            <w:r w:rsidRPr="00262A46">
              <w:t>Setup (Configuration B @ 1.728 MHz)</w:t>
            </w:r>
          </w:p>
        </w:tc>
        <w:tc>
          <w:tcPr>
            <w:tcW w:w="3240" w:type="dxa"/>
          </w:tcPr>
          <w:p w:rsidR="001F1BB2" w:rsidRPr="00262A46" w:rsidRDefault="001F1BB2" w:rsidP="00B03BE7">
            <w:pPr>
              <w:pStyle w:val="Tablehead"/>
            </w:pPr>
            <w:r w:rsidRPr="00262A46">
              <w:t>5th percentile point of the SINR CDF</w:t>
            </w:r>
          </w:p>
        </w:tc>
      </w:tr>
      <w:tr w:rsidR="001F1BB2" w:rsidRPr="00EA5AD8" w:rsidTr="00B03BE7">
        <w:trPr>
          <w:jc w:val="center"/>
        </w:trPr>
        <w:tc>
          <w:tcPr>
            <w:tcW w:w="4225" w:type="dxa"/>
          </w:tcPr>
          <w:p w:rsidR="001F1BB2" w:rsidRPr="00EA5AD8" w:rsidRDefault="001F1BB2" w:rsidP="00B03BE7">
            <w:pPr>
              <w:pStyle w:val="Tabletext"/>
            </w:pPr>
            <w:r w:rsidRPr="00EA5AD8">
              <w:t>SISO  - 1/7 frequency reuse</w:t>
            </w:r>
          </w:p>
        </w:tc>
        <w:tc>
          <w:tcPr>
            <w:tcW w:w="3240" w:type="dxa"/>
          </w:tcPr>
          <w:p w:rsidR="001F1BB2" w:rsidRPr="00EA5AD8" w:rsidRDefault="001F1BB2" w:rsidP="00B03BE7">
            <w:pPr>
              <w:pStyle w:val="Tabletext"/>
            </w:pPr>
            <w:r w:rsidRPr="00EA5AD8">
              <w:t>3.2 dB</w:t>
            </w:r>
          </w:p>
        </w:tc>
      </w:tr>
      <w:tr w:rsidR="001F1BB2" w:rsidRPr="00EA5AD8" w:rsidTr="00B03BE7">
        <w:trPr>
          <w:jc w:val="center"/>
        </w:trPr>
        <w:tc>
          <w:tcPr>
            <w:tcW w:w="4225" w:type="dxa"/>
          </w:tcPr>
          <w:p w:rsidR="001F1BB2" w:rsidRPr="00EA5AD8" w:rsidRDefault="001F1BB2" w:rsidP="00B03BE7">
            <w:pPr>
              <w:pStyle w:val="Tabletext"/>
            </w:pPr>
            <w:r w:rsidRPr="00EA5AD8">
              <w:t>1x2 MRC - 1/7 frequency reuse</w:t>
            </w:r>
          </w:p>
        </w:tc>
        <w:tc>
          <w:tcPr>
            <w:tcW w:w="3240" w:type="dxa"/>
          </w:tcPr>
          <w:p w:rsidR="001F1BB2" w:rsidRPr="00EA5AD8" w:rsidRDefault="001F1BB2" w:rsidP="00B03BE7">
            <w:pPr>
              <w:pStyle w:val="Tabletext"/>
            </w:pPr>
            <w:r w:rsidRPr="00EA5AD8">
              <w:t>6.0 dB</w:t>
            </w:r>
          </w:p>
        </w:tc>
      </w:tr>
      <w:tr w:rsidR="001F1BB2" w:rsidRPr="00EA5AD8" w:rsidTr="00B03BE7">
        <w:trPr>
          <w:jc w:val="center"/>
        </w:trPr>
        <w:tc>
          <w:tcPr>
            <w:tcW w:w="4225" w:type="dxa"/>
          </w:tcPr>
          <w:p w:rsidR="001F1BB2" w:rsidRPr="00EA5AD8" w:rsidRDefault="001F1BB2" w:rsidP="00B03BE7">
            <w:pPr>
              <w:pStyle w:val="Tabletext"/>
            </w:pPr>
            <w:r w:rsidRPr="00EA5AD8">
              <w:t>SISO  - 1/3 frequency reuse</w:t>
            </w:r>
          </w:p>
        </w:tc>
        <w:tc>
          <w:tcPr>
            <w:tcW w:w="3240" w:type="dxa"/>
          </w:tcPr>
          <w:p w:rsidR="001F1BB2" w:rsidRPr="00EA5AD8" w:rsidRDefault="001F1BB2" w:rsidP="00B03BE7">
            <w:pPr>
              <w:pStyle w:val="Tabletext"/>
            </w:pPr>
            <w:r w:rsidRPr="00EA5AD8">
              <w:t>-5.1 dB</w:t>
            </w:r>
          </w:p>
        </w:tc>
      </w:tr>
      <w:tr w:rsidR="001F1BB2" w:rsidRPr="00EA5AD8" w:rsidTr="00B03BE7">
        <w:trPr>
          <w:jc w:val="center"/>
        </w:trPr>
        <w:tc>
          <w:tcPr>
            <w:tcW w:w="4225" w:type="dxa"/>
          </w:tcPr>
          <w:p w:rsidR="001F1BB2" w:rsidRPr="00EA5AD8" w:rsidRDefault="001F1BB2" w:rsidP="00B03BE7">
            <w:pPr>
              <w:pStyle w:val="Tabletext"/>
            </w:pPr>
            <w:r w:rsidRPr="00EA5AD8">
              <w:t>1x2 MRC - 1/3 frequency reuse</w:t>
            </w:r>
          </w:p>
        </w:tc>
        <w:tc>
          <w:tcPr>
            <w:tcW w:w="3240" w:type="dxa"/>
          </w:tcPr>
          <w:p w:rsidR="001F1BB2" w:rsidRPr="00EA5AD8" w:rsidRDefault="001F1BB2" w:rsidP="00B03BE7">
            <w:pPr>
              <w:pStyle w:val="Tabletext"/>
            </w:pPr>
            <w:r w:rsidRPr="00EA5AD8">
              <w:t>-2.2 dB</w:t>
            </w:r>
          </w:p>
        </w:tc>
      </w:tr>
    </w:tbl>
    <w:p w:rsidR="008C134E" w:rsidRDefault="008C134E" w:rsidP="001F1BB2">
      <w:pPr>
        <w:pStyle w:val="Tablefin"/>
      </w:pPr>
    </w:p>
    <w:p w:rsidR="001F1BB2" w:rsidRPr="00966C43" w:rsidRDefault="001F1BB2" w:rsidP="001F1BB2">
      <w:pPr>
        <w:pStyle w:val="FigureNo"/>
        <w:rPr>
          <w:noProof/>
          <w:color w:val="365F91" w:themeColor="accent1" w:themeShade="BF"/>
        </w:rPr>
      </w:pPr>
      <w:bookmarkStart w:id="27" w:name="_Ref72981333"/>
      <w:r w:rsidRPr="00966C43">
        <w:rPr>
          <w:color w:val="365F91" w:themeColor="accent1" w:themeShade="BF"/>
        </w:rPr>
        <w:t xml:space="preserve">Figure </w:t>
      </w:r>
      <w:r w:rsidRPr="00966C43">
        <w:rPr>
          <w:color w:val="365F91" w:themeColor="accent1" w:themeShade="BF"/>
        </w:rPr>
        <w:fldChar w:fldCharType="begin"/>
      </w:r>
      <w:r w:rsidRPr="00966C43">
        <w:rPr>
          <w:color w:val="365F91" w:themeColor="accent1" w:themeShade="BF"/>
        </w:rPr>
        <w:instrText xml:space="preserve"> SEQ Figure \* ARABIC </w:instrText>
      </w:r>
      <w:r w:rsidRPr="00966C43">
        <w:rPr>
          <w:color w:val="365F91" w:themeColor="accent1" w:themeShade="BF"/>
        </w:rPr>
        <w:fldChar w:fldCharType="separate"/>
      </w:r>
      <w:r w:rsidRPr="00966C43">
        <w:rPr>
          <w:noProof/>
          <w:color w:val="365F91" w:themeColor="accent1" w:themeShade="BF"/>
        </w:rPr>
        <w:t>6</w:t>
      </w:r>
      <w:r w:rsidRPr="00966C43">
        <w:rPr>
          <w:noProof/>
          <w:color w:val="365F91" w:themeColor="accent1" w:themeShade="BF"/>
        </w:rPr>
        <w:fldChar w:fldCharType="end"/>
      </w:r>
      <w:bookmarkEnd w:id="27"/>
    </w:p>
    <w:p w:rsidR="001F1BB2" w:rsidRPr="001F1BB2" w:rsidRDefault="001F1BB2" w:rsidP="001F1BB2">
      <w:pPr>
        <w:pStyle w:val="Figuretitle"/>
        <w:rPr>
          <w:color w:val="548DD4" w:themeColor="text2" w:themeTint="99"/>
        </w:rPr>
      </w:pPr>
      <w:r w:rsidRPr="00966C43">
        <w:rPr>
          <w:noProof/>
          <w:color w:val="365F91" w:themeColor="accent1" w:themeShade="BF"/>
        </w:rPr>
        <w:t xml:space="preserve">Comparison between peformance for different </w:t>
      </w:r>
      <w:r w:rsidRPr="00966C43">
        <w:rPr>
          <w:noProof/>
          <w:color w:val="1F497D" w:themeColor="text2"/>
        </w:rPr>
        <w:t>frequency</w:t>
      </w:r>
      <w:r w:rsidRPr="00966C43">
        <w:rPr>
          <w:noProof/>
          <w:color w:val="365F91" w:themeColor="accent1" w:themeShade="BF"/>
        </w:rPr>
        <w:t xml:space="preserve"> reuse strategies – assuming a single antenna at the TRxP and one or two (MRC) antennas at the UT.</w:t>
      </w:r>
    </w:p>
    <w:p w:rsidR="008C134E" w:rsidRDefault="008C134E" w:rsidP="001F2AD1">
      <w:pPr>
        <w:keepNext/>
        <w:ind w:left="-540"/>
        <w:jc w:val="center"/>
      </w:pPr>
      <w:r>
        <w:rPr>
          <w:noProof/>
          <w:lang w:val="en-US"/>
        </w:rPr>
        <w:drawing>
          <wp:inline distT="0" distB="0" distL="0" distR="0" wp14:anchorId="127270CC" wp14:editId="4B5DEE64">
            <wp:extent cx="5191061" cy="3282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97529" cy="3287040"/>
                    </a:xfrm>
                    <a:prstGeom prst="rect">
                      <a:avLst/>
                    </a:prstGeom>
                    <a:noFill/>
                    <a:ln>
                      <a:noFill/>
                    </a:ln>
                  </pic:spPr>
                </pic:pic>
              </a:graphicData>
            </a:graphic>
          </wp:inline>
        </w:drawing>
      </w:r>
    </w:p>
    <w:p w:rsidR="008C134E" w:rsidRDefault="008C134E" w:rsidP="001E117D">
      <w:pPr>
        <w:spacing w:line="276" w:lineRule="auto"/>
        <w:jc w:val="both"/>
      </w:pPr>
      <w:r>
        <w:t xml:space="preserve">Since </w:t>
      </w:r>
      <w:r>
        <w:fldChar w:fldCharType="begin"/>
      </w:r>
      <w:r>
        <w:instrText xml:space="preserve"> REF _Ref72981333 \h </w:instrText>
      </w:r>
      <w:r>
        <w:fldChar w:fldCharType="separate"/>
      </w:r>
      <w:r>
        <w:t xml:space="preserve">Figure </w:t>
      </w:r>
      <w:r>
        <w:rPr>
          <w:noProof/>
        </w:rPr>
        <w:t>6</w:t>
      </w:r>
      <w:r>
        <w:fldChar w:fldCharType="end"/>
      </w:r>
      <w:r>
        <w:t xml:space="preserve"> provides results for scenarios where the TRxP uses a single antenna, results from various antenna setups are provided in order to compare performance for the two frequency reuse strategies. </w:t>
      </w:r>
    </w:p>
    <w:p w:rsidR="001F1BB2" w:rsidRPr="00802A11" w:rsidRDefault="001F1BB2" w:rsidP="001F1BB2">
      <w:pPr>
        <w:pStyle w:val="FigureNo"/>
        <w:rPr>
          <w:color w:val="1F497D" w:themeColor="text2"/>
        </w:rPr>
      </w:pPr>
      <w:r w:rsidRPr="00802A11">
        <w:rPr>
          <w:color w:val="1F497D" w:themeColor="text2"/>
        </w:rPr>
        <w:t xml:space="preserve">Figure </w:t>
      </w:r>
      <w:r w:rsidRPr="00802A11">
        <w:rPr>
          <w:color w:val="1F497D" w:themeColor="text2"/>
        </w:rPr>
        <w:fldChar w:fldCharType="begin"/>
      </w:r>
      <w:r w:rsidRPr="00802A11">
        <w:rPr>
          <w:color w:val="1F497D" w:themeColor="text2"/>
        </w:rPr>
        <w:instrText xml:space="preserve"> SEQ Figure \* ARABIC </w:instrText>
      </w:r>
      <w:r w:rsidRPr="00802A11">
        <w:rPr>
          <w:color w:val="1F497D" w:themeColor="text2"/>
        </w:rPr>
        <w:fldChar w:fldCharType="separate"/>
      </w:r>
      <w:r w:rsidRPr="00802A11">
        <w:rPr>
          <w:noProof/>
          <w:color w:val="1F497D" w:themeColor="text2"/>
        </w:rPr>
        <w:t>7</w:t>
      </w:r>
      <w:r w:rsidRPr="00802A11">
        <w:rPr>
          <w:color w:val="1F497D" w:themeColor="text2"/>
        </w:rPr>
        <w:fldChar w:fldCharType="end"/>
      </w:r>
    </w:p>
    <w:p w:rsidR="001F1BB2" w:rsidRPr="001F1BB2" w:rsidRDefault="001F1BB2" w:rsidP="001F1BB2">
      <w:pPr>
        <w:pStyle w:val="Figuretitle"/>
        <w:rPr>
          <w:noProof/>
          <w:color w:val="548DD4" w:themeColor="text2" w:themeTint="99"/>
        </w:rPr>
      </w:pPr>
      <w:r w:rsidRPr="00802A11">
        <w:rPr>
          <w:noProof/>
          <w:color w:val="1F497D" w:themeColor="text2"/>
        </w:rPr>
        <w:t>Comparison between peformance for different frequency reuse strategies and antenna configurations</w:t>
      </w:r>
    </w:p>
    <w:p w:rsidR="008C134E" w:rsidRDefault="008C134E" w:rsidP="001F2AD1">
      <w:pPr>
        <w:keepNext/>
        <w:jc w:val="center"/>
      </w:pPr>
      <w:r>
        <w:rPr>
          <w:noProof/>
          <w:lang w:val="en-US"/>
        </w:rPr>
        <w:drawing>
          <wp:inline distT="0" distB="0" distL="0" distR="0" wp14:anchorId="6D8F5994" wp14:editId="2F6C6825">
            <wp:extent cx="5380736" cy="33629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5288" cy="3365805"/>
                    </a:xfrm>
                    <a:prstGeom prst="rect">
                      <a:avLst/>
                    </a:prstGeom>
                    <a:noFill/>
                    <a:ln>
                      <a:noFill/>
                    </a:ln>
                  </pic:spPr>
                </pic:pic>
              </a:graphicData>
            </a:graphic>
          </wp:inline>
        </w:drawing>
      </w:r>
    </w:p>
    <w:p w:rsidR="008C134E" w:rsidRPr="00BA5D1C" w:rsidRDefault="008C134E" w:rsidP="00BA5D1C"/>
    <w:tbl>
      <w:tblPr>
        <w:tblStyle w:val="TableGrid"/>
        <w:tblW w:w="0" w:type="auto"/>
        <w:jc w:val="center"/>
        <w:tblLook w:val="04A0" w:firstRow="1" w:lastRow="0" w:firstColumn="1" w:lastColumn="0" w:noHBand="0" w:noVBand="1"/>
      </w:tblPr>
      <w:tblGrid>
        <w:gridCol w:w="4225"/>
        <w:gridCol w:w="2009"/>
      </w:tblGrid>
      <w:tr w:rsidR="008C134E" w:rsidTr="004160DC">
        <w:trPr>
          <w:jc w:val="center"/>
        </w:trPr>
        <w:tc>
          <w:tcPr>
            <w:tcW w:w="4225" w:type="dxa"/>
          </w:tcPr>
          <w:p w:rsidR="008C134E" w:rsidRPr="00EA5AD8" w:rsidRDefault="008C134E" w:rsidP="00330C12">
            <w:pPr>
              <w:pStyle w:val="Tabletext"/>
            </w:pPr>
            <w:r w:rsidRPr="00EA5AD8">
              <w:t>Setup (Configuration B @ 1.728 MHz)</w:t>
            </w:r>
          </w:p>
        </w:tc>
        <w:tc>
          <w:tcPr>
            <w:tcW w:w="2009" w:type="dxa"/>
          </w:tcPr>
          <w:p w:rsidR="008C134E" w:rsidRPr="00EA5AD8" w:rsidRDefault="008C134E" w:rsidP="00330C12">
            <w:pPr>
              <w:pStyle w:val="Tabletext"/>
            </w:pPr>
            <w:r w:rsidRPr="00EA5AD8">
              <w:t>5th percentile point of the SINR CDF</w:t>
            </w:r>
          </w:p>
        </w:tc>
      </w:tr>
      <w:tr w:rsidR="008C134E" w:rsidTr="004160DC">
        <w:trPr>
          <w:jc w:val="center"/>
        </w:trPr>
        <w:tc>
          <w:tcPr>
            <w:tcW w:w="4225" w:type="dxa"/>
          </w:tcPr>
          <w:p w:rsidR="008C134E" w:rsidRPr="00EA5AD8" w:rsidRDefault="008C134E" w:rsidP="00330C12">
            <w:pPr>
              <w:pStyle w:val="Tabletext"/>
            </w:pPr>
            <w:r w:rsidRPr="00EA5AD8">
              <w:t>SISO  - 1/7 frequency reuse</w:t>
            </w:r>
          </w:p>
        </w:tc>
        <w:tc>
          <w:tcPr>
            <w:tcW w:w="2009" w:type="dxa"/>
          </w:tcPr>
          <w:p w:rsidR="008C134E" w:rsidRPr="00EA5AD8" w:rsidRDefault="008C134E" w:rsidP="00330C12">
            <w:pPr>
              <w:pStyle w:val="Tabletext"/>
            </w:pPr>
            <w:r w:rsidRPr="00EA5AD8">
              <w:t>3.2 dB</w:t>
            </w:r>
          </w:p>
        </w:tc>
      </w:tr>
      <w:tr w:rsidR="008C134E" w:rsidTr="004160DC">
        <w:trPr>
          <w:jc w:val="center"/>
        </w:trPr>
        <w:tc>
          <w:tcPr>
            <w:tcW w:w="4225" w:type="dxa"/>
          </w:tcPr>
          <w:p w:rsidR="008C134E" w:rsidRPr="00EA5AD8" w:rsidRDefault="008C134E" w:rsidP="00330C12">
            <w:pPr>
              <w:pStyle w:val="Tabletext"/>
            </w:pPr>
            <w:r w:rsidRPr="00EA5AD8">
              <w:t>2x2 MRT - 1/7 frequency reuse</w:t>
            </w:r>
          </w:p>
        </w:tc>
        <w:tc>
          <w:tcPr>
            <w:tcW w:w="2009" w:type="dxa"/>
          </w:tcPr>
          <w:p w:rsidR="008C134E" w:rsidRPr="00EA5AD8" w:rsidRDefault="008C134E" w:rsidP="00330C12">
            <w:pPr>
              <w:pStyle w:val="Tabletext"/>
            </w:pPr>
            <w:r w:rsidRPr="00EA5AD8">
              <w:t>12.2 dB</w:t>
            </w:r>
          </w:p>
        </w:tc>
      </w:tr>
      <w:tr w:rsidR="008C134E" w:rsidTr="004160DC">
        <w:trPr>
          <w:jc w:val="center"/>
        </w:trPr>
        <w:tc>
          <w:tcPr>
            <w:tcW w:w="4225" w:type="dxa"/>
          </w:tcPr>
          <w:p w:rsidR="008C134E" w:rsidRPr="00EA5AD8" w:rsidRDefault="008C134E" w:rsidP="00330C12">
            <w:pPr>
              <w:pStyle w:val="Tabletext"/>
            </w:pPr>
            <w:r w:rsidRPr="00EA5AD8">
              <w:t>5x4 MRT - 1/7 frequency reuse</w:t>
            </w:r>
          </w:p>
        </w:tc>
        <w:tc>
          <w:tcPr>
            <w:tcW w:w="2009" w:type="dxa"/>
          </w:tcPr>
          <w:p w:rsidR="008C134E" w:rsidRPr="00EA5AD8" w:rsidRDefault="008C134E" w:rsidP="00330C12">
            <w:pPr>
              <w:pStyle w:val="Tabletext"/>
            </w:pPr>
            <w:r w:rsidRPr="00EA5AD8">
              <w:t>15.35 dB</w:t>
            </w:r>
          </w:p>
        </w:tc>
      </w:tr>
      <w:tr w:rsidR="008C134E" w:rsidTr="004160DC">
        <w:trPr>
          <w:jc w:val="center"/>
        </w:trPr>
        <w:tc>
          <w:tcPr>
            <w:tcW w:w="4225" w:type="dxa"/>
          </w:tcPr>
          <w:p w:rsidR="008C134E" w:rsidRPr="00EA5AD8" w:rsidRDefault="008C134E" w:rsidP="00330C12">
            <w:pPr>
              <w:pStyle w:val="Tabletext"/>
            </w:pPr>
            <w:r w:rsidRPr="00EA5AD8">
              <w:t>SISO  - 1/3 frequency reuse</w:t>
            </w:r>
          </w:p>
        </w:tc>
        <w:tc>
          <w:tcPr>
            <w:tcW w:w="2009" w:type="dxa"/>
          </w:tcPr>
          <w:p w:rsidR="008C134E" w:rsidRPr="00EA5AD8" w:rsidRDefault="008C134E" w:rsidP="00330C12">
            <w:pPr>
              <w:pStyle w:val="Tabletext"/>
            </w:pPr>
            <w:r w:rsidRPr="00EA5AD8">
              <w:t>-5.1 dB</w:t>
            </w:r>
          </w:p>
        </w:tc>
      </w:tr>
      <w:tr w:rsidR="008C134E" w:rsidTr="004160DC">
        <w:trPr>
          <w:jc w:val="center"/>
        </w:trPr>
        <w:tc>
          <w:tcPr>
            <w:tcW w:w="4225" w:type="dxa"/>
          </w:tcPr>
          <w:p w:rsidR="008C134E" w:rsidRPr="00EA5AD8" w:rsidRDefault="008C134E" w:rsidP="00330C12">
            <w:pPr>
              <w:pStyle w:val="Tabletext"/>
            </w:pPr>
            <w:r w:rsidRPr="00EA5AD8">
              <w:t>2x2 MRT - 1/3 frequency reuse</w:t>
            </w:r>
          </w:p>
        </w:tc>
        <w:tc>
          <w:tcPr>
            <w:tcW w:w="2009" w:type="dxa"/>
          </w:tcPr>
          <w:p w:rsidR="008C134E" w:rsidRPr="00EA5AD8" w:rsidRDefault="008C134E" w:rsidP="00330C12">
            <w:pPr>
              <w:pStyle w:val="Tabletext"/>
            </w:pPr>
            <w:r w:rsidRPr="00EA5AD8">
              <w:t>10.4 dB</w:t>
            </w:r>
          </w:p>
        </w:tc>
      </w:tr>
      <w:tr w:rsidR="008C134E" w:rsidTr="004160DC">
        <w:trPr>
          <w:jc w:val="center"/>
        </w:trPr>
        <w:tc>
          <w:tcPr>
            <w:tcW w:w="4225" w:type="dxa"/>
          </w:tcPr>
          <w:p w:rsidR="008C134E" w:rsidRPr="00EA5AD8" w:rsidRDefault="008C134E" w:rsidP="00330C12">
            <w:pPr>
              <w:pStyle w:val="Tabletext"/>
            </w:pPr>
            <w:r w:rsidRPr="00EA5AD8">
              <w:t>5x4 MRT - 1/3 frequency reuse</w:t>
            </w:r>
          </w:p>
        </w:tc>
        <w:tc>
          <w:tcPr>
            <w:tcW w:w="2009" w:type="dxa"/>
          </w:tcPr>
          <w:p w:rsidR="008C134E" w:rsidRPr="00EA5AD8" w:rsidRDefault="008C134E" w:rsidP="00330C12">
            <w:pPr>
              <w:pStyle w:val="Tabletext"/>
            </w:pPr>
            <w:r w:rsidRPr="00EA5AD8">
              <w:t>13 dB</w:t>
            </w:r>
          </w:p>
        </w:tc>
      </w:tr>
    </w:tbl>
    <w:p w:rsidR="008C134E" w:rsidRDefault="008C134E" w:rsidP="001F1BB2">
      <w:pPr>
        <w:pStyle w:val="Tablefin"/>
      </w:pPr>
    </w:p>
    <w:p w:rsidR="008C134E" w:rsidRDefault="008C134E" w:rsidP="001E117D">
      <w:pPr>
        <w:pStyle w:val="Heading3"/>
        <w:spacing w:line="276" w:lineRule="auto"/>
        <w:jc w:val="both"/>
      </w:pPr>
      <w:r>
        <w:t>Configuration Comparisons</w:t>
      </w:r>
    </w:p>
    <w:p w:rsidR="008C134E" w:rsidRDefault="008C134E" w:rsidP="001E117D">
      <w:pPr>
        <w:spacing w:line="276" w:lineRule="auto"/>
      </w:pPr>
      <w:r>
        <w:t xml:space="preserve">In </w:t>
      </w:r>
      <w:r>
        <w:fldChar w:fldCharType="begin"/>
      </w:r>
      <w:r>
        <w:instrText xml:space="preserve"> REF _Ref73002120 \h </w:instrText>
      </w:r>
      <w:r>
        <w:fldChar w:fldCharType="separate"/>
      </w:r>
      <w:r>
        <w:t xml:space="preserve">Figure </w:t>
      </w:r>
      <w:r>
        <w:rPr>
          <w:noProof/>
        </w:rPr>
        <w:t>8</w:t>
      </w:r>
      <w:r>
        <w:fldChar w:fldCharType="end"/>
      </w:r>
      <w:r>
        <w:t xml:space="preserve">, the results of the SINR distributions for experiments for the two Configurations (A and B) specified by the ITU-R guidelines. </w:t>
      </w:r>
    </w:p>
    <w:p w:rsidR="008C134E" w:rsidRDefault="008C134E" w:rsidP="001E117D">
      <w:pPr>
        <w:spacing w:line="276" w:lineRule="auto"/>
      </w:pPr>
      <w:r>
        <w:t>It is clear that the 4</w:t>
      </w:r>
      <w:r w:rsidR="007C5CB7">
        <w:t> </w:t>
      </w:r>
      <w:r>
        <w:t xml:space="preserve">GHz configuration performance deteriorates, especially for low SINRs mainly due to coverage issues, as well as increased Doppler impact on the received signal.  </w:t>
      </w:r>
    </w:p>
    <w:p w:rsidR="001F1BB2" w:rsidRDefault="001F1BB2" w:rsidP="001E117D">
      <w:pPr>
        <w:spacing w:line="276" w:lineRule="auto"/>
      </w:pPr>
    </w:p>
    <w:p w:rsidR="001F1BB2" w:rsidRPr="00802A11" w:rsidRDefault="001F1BB2" w:rsidP="001F1BB2">
      <w:pPr>
        <w:pStyle w:val="FigureNo"/>
        <w:rPr>
          <w:color w:val="1F497D" w:themeColor="text2"/>
        </w:rPr>
      </w:pPr>
      <w:bookmarkStart w:id="28" w:name="_Ref73002120"/>
      <w:r w:rsidRPr="00802A11">
        <w:rPr>
          <w:color w:val="1F497D" w:themeColor="text2"/>
        </w:rPr>
        <w:t xml:space="preserve">Figure </w:t>
      </w:r>
      <w:r w:rsidRPr="00802A11">
        <w:rPr>
          <w:color w:val="1F497D" w:themeColor="text2"/>
        </w:rPr>
        <w:fldChar w:fldCharType="begin"/>
      </w:r>
      <w:r w:rsidRPr="00802A11">
        <w:rPr>
          <w:color w:val="1F497D" w:themeColor="text2"/>
        </w:rPr>
        <w:instrText xml:space="preserve"> SEQ Figure \* ARABIC </w:instrText>
      </w:r>
      <w:r w:rsidRPr="00802A11">
        <w:rPr>
          <w:color w:val="1F497D" w:themeColor="text2"/>
        </w:rPr>
        <w:fldChar w:fldCharType="separate"/>
      </w:r>
      <w:r w:rsidRPr="00802A11">
        <w:rPr>
          <w:noProof/>
          <w:color w:val="1F497D" w:themeColor="text2"/>
        </w:rPr>
        <w:t>8</w:t>
      </w:r>
      <w:r w:rsidRPr="00802A11">
        <w:rPr>
          <w:color w:val="1F497D" w:themeColor="text2"/>
        </w:rPr>
        <w:fldChar w:fldCharType="end"/>
      </w:r>
      <w:bookmarkEnd w:id="28"/>
    </w:p>
    <w:p w:rsidR="001F1BB2" w:rsidRPr="001F1BB2" w:rsidRDefault="001F1BB2" w:rsidP="001F1BB2">
      <w:pPr>
        <w:pStyle w:val="Figuretitle"/>
        <w:rPr>
          <w:color w:val="548DD4" w:themeColor="text2" w:themeTint="99"/>
        </w:rPr>
      </w:pPr>
      <w:r w:rsidRPr="00802A11">
        <w:rPr>
          <w:color w:val="1F497D" w:themeColor="text2"/>
        </w:rPr>
        <w:t xml:space="preserve">Performance </w:t>
      </w:r>
      <w:r w:rsidRPr="00802A11">
        <w:rPr>
          <w:noProof/>
          <w:color w:val="1F497D" w:themeColor="text2"/>
        </w:rPr>
        <w:t xml:space="preserve">comparison for Configuration A vs. Configuration B and various </w:t>
      </w:r>
      <w:r w:rsidR="00802A11">
        <w:rPr>
          <w:noProof/>
          <w:color w:val="1F497D" w:themeColor="text2"/>
        </w:rPr>
        <w:br/>
      </w:r>
      <w:r w:rsidRPr="00802A11">
        <w:rPr>
          <w:noProof/>
          <w:color w:val="1F497D" w:themeColor="text2"/>
        </w:rPr>
        <w:t>antenna/beamforming configurations</w:t>
      </w:r>
    </w:p>
    <w:p w:rsidR="008C134E" w:rsidRDefault="008C134E" w:rsidP="001F2AD1">
      <w:pPr>
        <w:keepNext/>
        <w:jc w:val="center"/>
      </w:pPr>
      <w:r>
        <w:rPr>
          <w:noProof/>
          <w:lang w:val="en-US"/>
        </w:rPr>
        <w:drawing>
          <wp:inline distT="0" distB="0" distL="0" distR="0" wp14:anchorId="6CE42423" wp14:editId="074B449C">
            <wp:extent cx="5781675" cy="346158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2674" cy="3462179"/>
                    </a:xfrm>
                    <a:prstGeom prst="rect">
                      <a:avLst/>
                    </a:prstGeom>
                    <a:noFill/>
                    <a:ln>
                      <a:noFill/>
                    </a:ln>
                  </pic:spPr>
                </pic:pic>
              </a:graphicData>
            </a:graphic>
          </wp:inline>
        </w:drawing>
      </w:r>
    </w:p>
    <w:p w:rsidR="008C134E" w:rsidRDefault="008C134E" w:rsidP="001F2AD1"/>
    <w:tbl>
      <w:tblPr>
        <w:tblStyle w:val="TableGrid"/>
        <w:tblW w:w="0" w:type="auto"/>
        <w:jc w:val="center"/>
        <w:tblLook w:val="04A0" w:firstRow="1" w:lastRow="0" w:firstColumn="1" w:lastColumn="0" w:noHBand="0" w:noVBand="1"/>
      </w:tblPr>
      <w:tblGrid>
        <w:gridCol w:w="4225"/>
        <w:gridCol w:w="2009"/>
      </w:tblGrid>
      <w:tr w:rsidR="008C134E" w:rsidTr="004160DC">
        <w:trPr>
          <w:jc w:val="center"/>
        </w:trPr>
        <w:tc>
          <w:tcPr>
            <w:tcW w:w="4225" w:type="dxa"/>
          </w:tcPr>
          <w:p w:rsidR="008C134E" w:rsidRPr="00EA5AD8" w:rsidRDefault="008C134E" w:rsidP="00330C12">
            <w:pPr>
              <w:pStyle w:val="Tabletext"/>
            </w:pPr>
            <w:r w:rsidRPr="00EA5AD8">
              <w:t>Setup (@ 1.728 MHz)</w:t>
            </w:r>
          </w:p>
        </w:tc>
        <w:tc>
          <w:tcPr>
            <w:tcW w:w="2009" w:type="dxa"/>
          </w:tcPr>
          <w:p w:rsidR="008C134E" w:rsidRPr="00EA5AD8" w:rsidRDefault="008C134E" w:rsidP="00330C12">
            <w:pPr>
              <w:pStyle w:val="Tabletext"/>
            </w:pPr>
            <w:r w:rsidRPr="00EA5AD8">
              <w:t>5th percentile point of the SINR CDF</w:t>
            </w:r>
          </w:p>
        </w:tc>
      </w:tr>
      <w:tr w:rsidR="008C134E" w:rsidTr="004160DC">
        <w:trPr>
          <w:jc w:val="center"/>
        </w:trPr>
        <w:tc>
          <w:tcPr>
            <w:tcW w:w="4225" w:type="dxa"/>
          </w:tcPr>
          <w:p w:rsidR="008C134E" w:rsidRPr="00EA5AD8" w:rsidRDefault="008C134E" w:rsidP="00330C12">
            <w:pPr>
              <w:pStyle w:val="Tabletext"/>
            </w:pPr>
            <w:r w:rsidRPr="00EA5AD8">
              <w:t>SISO  @ 700 MHz</w:t>
            </w:r>
          </w:p>
        </w:tc>
        <w:tc>
          <w:tcPr>
            <w:tcW w:w="2009" w:type="dxa"/>
          </w:tcPr>
          <w:p w:rsidR="008C134E" w:rsidRPr="00EA5AD8" w:rsidRDefault="008C134E" w:rsidP="00330C12">
            <w:pPr>
              <w:pStyle w:val="Tabletext"/>
            </w:pPr>
            <w:r w:rsidRPr="00EA5AD8">
              <w:t>3.2 dB</w:t>
            </w:r>
          </w:p>
        </w:tc>
      </w:tr>
      <w:tr w:rsidR="008C134E" w:rsidTr="004160DC">
        <w:trPr>
          <w:jc w:val="center"/>
        </w:trPr>
        <w:tc>
          <w:tcPr>
            <w:tcW w:w="4225" w:type="dxa"/>
          </w:tcPr>
          <w:p w:rsidR="008C134E" w:rsidRPr="00EA5AD8" w:rsidRDefault="008C134E" w:rsidP="00330C12">
            <w:pPr>
              <w:pStyle w:val="Tabletext"/>
            </w:pPr>
            <w:r w:rsidRPr="00EA5AD8">
              <w:t>2x2 MRT @ 700 MHz</w:t>
            </w:r>
          </w:p>
        </w:tc>
        <w:tc>
          <w:tcPr>
            <w:tcW w:w="2009" w:type="dxa"/>
          </w:tcPr>
          <w:p w:rsidR="008C134E" w:rsidRPr="00EA5AD8" w:rsidRDefault="008C134E" w:rsidP="00330C12">
            <w:pPr>
              <w:pStyle w:val="Tabletext"/>
            </w:pPr>
            <w:r w:rsidRPr="00EA5AD8">
              <w:t>12.2 dB</w:t>
            </w:r>
          </w:p>
        </w:tc>
      </w:tr>
      <w:tr w:rsidR="008C134E" w:rsidTr="004160DC">
        <w:trPr>
          <w:jc w:val="center"/>
        </w:trPr>
        <w:tc>
          <w:tcPr>
            <w:tcW w:w="4225" w:type="dxa"/>
          </w:tcPr>
          <w:p w:rsidR="008C134E" w:rsidRPr="00EA5AD8" w:rsidRDefault="008C134E" w:rsidP="00330C12">
            <w:pPr>
              <w:pStyle w:val="Tabletext"/>
            </w:pPr>
            <w:r w:rsidRPr="00EA5AD8">
              <w:t>5x4 MRT @ 700 MHz</w:t>
            </w:r>
          </w:p>
        </w:tc>
        <w:tc>
          <w:tcPr>
            <w:tcW w:w="2009" w:type="dxa"/>
          </w:tcPr>
          <w:p w:rsidR="008C134E" w:rsidRPr="00EA5AD8" w:rsidRDefault="008C134E" w:rsidP="00330C12">
            <w:pPr>
              <w:pStyle w:val="Tabletext"/>
            </w:pPr>
            <w:r w:rsidRPr="00EA5AD8">
              <w:t>15.35 dB</w:t>
            </w:r>
          </w:p>
        </w:tc>
      </w:tr>
      <w:tr w:rsidR="008C134E" w:rsidTr="004160DC">
        <w:trPr>
          <w:jc w:val="center"/>
        </w:trPr>
        <w:tc>
          <w:tcPr>
            <w:tcW w:w="4225" w:type="dxa"/>
          </w:tcPr>
          <w:p w:rsidR="008C134E" w:rsidRPr="00EA5AD8" w:rsidRDefault="008C134E" w:rsidP="00330C12">
            <w:pPr>
              <w:pStyle w:val="Tabletext"/>
            </w:pPr>
            <w:r w:rsidRPr="00EA5AD8">
              <w:t>SISO  @ 4GHz</w:t>
            </w:r>
          </w:p>
        </w:tc>
        <w:tc>
          <w:tcPr>
            <w:tcW w:w="2009" w:type="dxa"/>
          </w:tcPr>
          <w:p w:rsidR="008C134E" w:rsidRPr="00EA5AD8" w:rsidRDefault="008C134E" w:rsidP="00330C12">
            <w:pPr>
              <w:pStyle w:val="Tabletext"/>
            </w:pPr>
            <w:r w:rsidRPr="00EA5AD8">
              <w:t>-7.1 dB</w:t>
            </w:r>
          </w:p>
        </w:tc>
      </w:tr>
      <w:tr w:rsidR="008C134E" w:rsidTr="004160DC">
        <w:trPr>
          <w:jc w:val="center"/>
        </w:trPr>
        <w:tc>
          <w:tcPr>
            <w:tcW w:w="4225" w:type="dxa"/>
          </w:tcPr>
          <w:p w:rsidR="008C134E" w:rsidRPr="00EA5AD8" w:rsidRDefault="008C134E" w:rsidP="00330C12">
            <w:pPr>
              <w:pStyle w:val="Tabletext"/>
            </w:pPr>
            <w:r w:rsidRPr="00EA5AD8">
              <w:t>2x2 MRT @ 4GHz</w:t>
            </w:r>
          </w:p>
        </w:tc>
        <w:tc>
          <w:tcPr>
            <w:tcW w:w="2009" w:type="dxa"/>
          </w:tcPr>
          <w:p w:rsidR="008C134E" w:rsidRPr="00EA5AD8" w:rsidRDefault="008C134E" w:rsidP="00330C12">
            <w:pPr>
              <w:pStyle w:val="Tabletext"/>
            </w:pPr>
            <w:r w:rsidRPr="00EA5AD8">
              <w:t>7.9 dB</w:t>
            </w:r>
          </w:p>
        </w:tc>
      </w:tr>
      <w:tr w:rsidR="008C134E" w:rsidTr="004160DC">
        <w:trPr>
          <w:jc w:val="center"/>
        </w:trPr>
        <w:tc>
          <w:tcPr>
            <w:tcW w:w="4225" w:type="dxa"/>
          </w:tcPr>
          <w:p w:rsidR="008C134E" w:rsidRPr="00EA5AD8" w:rsidRDefault="008C134E" w:rsidP="00330C12">
            <w:pPr>
              <w:pStyle w:val="Tabletext"/>
            </w:pPr>
            <w:r w:rsidRPr="00EA5AD8">
              <w:t>5x4 MRT @ 4GHz</w:t>
            </w:r>
          </w:p>
        </w:tc>
        <w:tc>
          <w:tcPr>
            <w:tcW w:w="2009" w:type="dxa"/>
          </w:tcPr>
          <w:p w:rsidR="008C134E" w:rsidRPr="00EA5AD8" w:rsidRDefault="008C134E" w:rsidP="00330C12">
            <w:pPr>
              <w:pStyle w:val="Tabletext"/>
            </w:pPr>
            <w:r w:rsidRPr="00EA5AD8">
              <w:t>12.3 dB</w:t>
            </w:r>
          </w:p>
        </w:tc>
      </w:tr>
    </w:tbl>
    <w:p w:rsidR="001F1BB2" w:rsidRDefault="001F1BB2" w:rsidP="001F1BB2">
      <w:pPr>
        <w:pStyle w:val="Tablefin"/>
      </w:pPr>
    </w:p>
    <w:p w:rsidR="008C134E" w:rsidRDefault="008C134E" w:rsidP="001F2AD1">
      <w:pPr>
        <w:pStyle w:val="Heading3"/>
        <w:jc w:val="both"/>
      </w:pPr>
      <w:r>
        <w:t>Comparisons for different Bandwidths</w:t>
      </w:r>
    </w:p>
    <w:p w:rsidR="008C134E" w:rsidRDefault="008C134E" w:rsidP="001E117D">
      <w:pPr>
        <w:spacing w:line="276" w:lineRule="auto"/>
      </w:pPr>
      <w:r>
        <w:t xml:space="preserve">In </w:t>
      </w:r>
      <w:r>
        <w:fldChar w:fldCharType="begin"/>
      </w:r>
      <w:r>
        <w:instrText xml:space="preserve"> REF _Ref73001512 \h </w:instrText>
      </w:r>
      <w:r>
        <w:fldChar w:fldCharType="separate"/>
      </w:r>
      <w:r>
        <w:t xml:space="preserve">Figure </w:t>
      </w:r>
      <w:r>
        <w:rPr>
          <w:noProof/>
        </w:rPr>
        <w:t>9</w:t>
      </w:r>
      <w:r>
        <w:fldChar w:fldCharType="end"/>
      </w:r>
      <w:r>
        <w:t>, the results of the SINR distributions for two different channel bandwidths (1.728</w:t>
      </w:r>
      <w:r w:rsidR="00330C12">
        <w:t> </w:t>
      </w:r>
      <w:r>
        <w:t>MHz and 3.456</w:t>
      </w:r>
      <w:r w:rsidR="00330C12">
        <w:t> </w:t>
      </w:r>
      <w:r>
        <w:t>MHz) for various antenna setups and Configuration A are presented. The numerology (1,2) was used for the parameterization of the 3.456</w:t>
      </w:r>
      <w:r w:rsidR="00330C12">
        <w:t> </w:t>
      </w:r>
      <w:r>
        <w:t>MHz scenario.</w:t>
      </w:r>
    </w:p>
    <w:p w:rsidR="008C134E" w:rsidRDefault="008C134E" w:rsidP="001E117D">
      <w:pPr>
        <w:spacing w:line="276" w:lineRule="auto"/>
      </w:pPr>
      <w:r>
        <w:t>In the specific case, the increase of the bandwidth increases the noise floor, however, there is no other significant impact, since for the selected numerology, the increase of the bandwidth is accompanied with increase of the system DFT size and cyclic prefix.</w:t>
      </w:r>
    </w:p>
    <w:p w:rsidR="008C134E" w:rsidRDefault="008C134E" w:rsidP="001E117D">
      <w:pPr>
        <w:spacing w:line="276" w:lineRule="auto"/>
      </w:pPr>
      <w:r>
        <w:t xml:space="preserve">As presented in </w:t>
      </w:r>
      <w:r>
        <w:fldChar w:fldCharType="begin"/>
      </w:r>
      <w:r>
        <w:instrText xml:space="preserve"> REF _Ref73001512 \h </w:instrText>
      </w:r>
      <w:r>
        <w:fldChar w:fldCharType="separate"/>
      </w:r>
      <w:r>
        <w:t xml:space="preserve">Figure </w:t>
      </w:r>
      <w:r>
        <w:rPr>
          <w:noProof/>
        </w:rPr>
        <w:t>9</w:t>
      </w:r>
      <w:r>
        <w:fldChar w:fldCharType="end"/>
      </w:r>
      <w:r>
        <w:t>, since the system is interference-limited, the bandwidth change has no significant impact in the SINR distribution.</w:t>
      </w:r>
    </w:p>
    <w:p w:rsidR="001F1BB2" w:rsidRPr="00802A11" w:rsidRDefault="001F1BB2" w:rsidP="001F1BB2">
      <w:pPr>
        <w:pStyle w:val="FigureNo"/>
        <w:rPr>
          <w:color w:val="1F497D" w:themeColor="text2"/>
        </w:rPr>
      </w:pPr>
      <w:bookmarkStart w:id="29" w:name="_Ref73001512"/>
      <w:r w:rsidRPr="00802A11">
        <w:rPr>
          <w:color w:val="1F497D" w:themeColor="text2"/>
        </w:rPr>
        <w:t xml:space="preserve">Figure </w:t>
      </w:r>
      <w:r w:rsidRPr="00802A11">
        <w:rPr>
          <w:color w:val="1F497D" w:themeColor="text2"/>
        </w:rPr>
        <w:fldChar w:fldCharType="begin"/>
      </w:r>
      <w:r w:rsidRPr="00802A11">
        <w:rPr>
          <w:color w:val="1F497D" w:themeColor="text2"/>
        </w:rPr>
        <w:instrText xml:space="preserve"> SEQ Figure \* ARABIC </w:instrText>
      </w:r>
      <w:r w:rsidRPr="00802A11">
        <w:rPr>
          <w:color w:val="1F497D" w:themeColor="text2"/>
        </w:rPr>
        <w:fldChar w:fldCharType="separate"/>
      </w:r>
      <w:r w:rsidRPr="00802A11">
        <w:rPr>
          <w:noProof/>
          <w:color w:val="1F497D" w:themeColor="text2"/>
        </w:rPr>
        <w:t>9</w:t>
      </w:r>
      <w:r w:rsidRPr="00802A11">
        <w:rPr>
          <w:color w:val="1F497D" w:themeColor="text2"/>
        </w:rPr>
        <w:fldChar w:fldCharType="end"/>
      </w:r>
      <w:bookmarkEnd w:id="29"/>
    </w:p>
    <w:p w:rsidR="001F1BB2" w:rsidRPr="001F1BB2" w:rsidRDefault="001F1BB2" w:rsidP="001F1BB2">
      <w:pPr>
        <w:pStyle w:val="Figuretitle"/>
        <w:rPr>
          <w:color w:val="548DD4" w:themeColor="text2" w:themeTint="99"/>
        </w:rPr>
      </w:pPr>
      <w:r w:rsidRPr="00802A11">
        <w:rPr>
          <w:color w:val="1F497D" w:themeColor="text2"/>
        </w:rPr>
        <w:t xml:space="preserve">Performance </w:t>
      </w:r>
      <w:r w:rsidRPr="00802A11">
        <w:rPr>
          <w:noProof/>
          <w:color w:val="1F497D" w:themeColor="text2"/>
        </w:rPr>
        <w:t>comparison for bandwidth 1.728</w:t>
      </w:r>
      <w:r w:rsidR="00262A46">
        <w:rPr>
          <w:noProof/>
          <w:color w:val="1F497D" w:themeColor="text2"/>
        </w:rPr>
        <w:t> </w:t>
      </w:r>
      <w:r w:rsidRPr="00802A11">
        <w:rPr>
          <w:noProof/>
          <w:color w:val="1F497D" w:themeColor="text2"/>
        </w:rPr>
        <w:t>MHz vs. 3.456</w:t>
      </w:r>
      <w:r w:rsidR="00802A11">
        <w:rPr>
          <w:noProof/>
          <w:color w:val="1F497D" w:themeColor="text2"/>
        </w:rPr>
        <w:t> </w:t>
      </w:r>
      <w:r w:rsidRPr="00802A11">
        <w:rPr>
          <w:noProof/>
          <w:color w:val="1F497D" w:themeColor="text2"/>
        </w:rPr>
        <w:t xml:space="preserve">MHz and various </w:t>
      </w:r>
      <w:r w:rsidR="00330C12" w:rsidRPr="00802A11">
        <w:rPr>
          <w:noProof/>
          <w:color w:val="1F497D" w:themeColor="text2"/>
        </w:rPr>
        <w:br/>
      </w:r>
      <w:r w:rsidRPr="00802A11">
        <w:rPr>
          <w:noProof/>
          <w:color w:val="1F497D" w:themeColor="text2"/>
        </w:rPr>
        <w:t>antenna/beamforming configurations</w:t>
      </w:r>
    </w:p>
    <w:p w:rsidR="008C134E" w:rsidRDefault="008C134E" w:rsidP="001F2AD1">
      <w:pPr>
        <w:keepNext/>
        <w:jc w:val="center"/>
      </w:pPr>
      <w:r>
        <w:rPr>
          <w:noProof/>
          <w:lang w:val="en-US"/>
        </w:rPr>
        <w:drawing>
          <wp:inline distT="0" distB="0" distL="0" distR="0" wp14:anchorId="6D93CBBE" wp14:editId="59FC2545">
            <wp:extent cx="5361867" cy="35144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6856" cy="3517699"/>
                    </a:xfrm>
                    <a:prstGeom prst="rect">
                      <a:avLst/>
                    </a:prstGeom>
                    <a:noFill/>
                    <a:ln>
                      <a:noFill/>
                    </a:ln>
                  </pic:spPr>
                </pic:pic>
              </a:graphicData>
            </a:graphic>
          </wp:inline>
        </w:drawing>
      </w:r>
    </w:p>
    <w:p w:rsidR="008C134E" w:rsidRDefault="008C134E" w:rsidP="001F2AD1">
      <w:pPr>
        <w:pStyle w:val="Caption"/>
        <w:jc w:val="center"/>
      </w:pPr>
    </w:p>
    <w:tbl>
      <w:tblPr>
        <w:tblStyle w:val="TableGrid"/>
        <w:tblW w:w="0" w:type="auto"/>
        <w:jc w:val="center"/>
        <w:tblLook w:val="04A0" w:firstRow="1" w:lastRow="0" w:firstColumn="1" w:lastColumn="0" w:noHBand="0" w:noVBand="1"/>
      </w:tblPr>
      <w:tblGrid>
        <w:gridCol w:w="4225"/>
        <w:gridCol w:w="2009"/>
      </w:tblGrid>
      <w:tr w:rsidR="008C134E" w:rsidRPr="00EA5AD8" w:rsidTr="004160DC">
        <w:trPr>
          <w:jc w:val="center"/>
        </w:trPr>
        <w:tc>
          <w:tcPr>
            <w:tcW w:w="4225" w:type="dxa"/>
          </w:tcPr>
          <w:p w:rsidR="008C134E" w:rsidRPr="001F1BB2" w:rsidRDefault="008C134E" w:rsidP="001F1BB2">
            <w:pPr>
              <w:pStyle w:val="Tabletext"/>
            </w:pPr>
            <w:r w:rsidRPr="001F1BB2">
              <w:t>Setup (Configuration A @ 4GHz)</w:t>
            </w:r>
          </w:p>
        </w:tc>
        <w:tc>
          <w:tcPr>
            <w:tcW w:w="2009" w:type="dxa"/>
          </w:tcPr>
          <w:p w:rsidR="008C134E" w:rsidRPr="001F1BB2" w:rsidRDefault="008C134E" w:rsidP="001F1BB2">
            <w:pPr>
              <w:pStyle w:val="Tabletext"/>
            </w:pPr>
            <w:r w:rsidRPr="001F1BB2">
              <w:t>5th percentile point of the SINR CDF</w:t>
            </w:r>
          </w:p>
        </w:tc>
      </w:tr>
      <w:tr w:rsidR="008C134E" w:rsidRPr="00EA5AD8" w:rsidTr="004160DC">
        <w:trPr>
          <w:jc w:val="center"/>
        </w:trPr>
        <w:tc>
          <w:tcPr>
            <w:tcW w:w="4225" w:type="dxa"/>
          </w:tcPr>
          <w:p w:rsidR="008C134E" w:rsidRPr="001F1BB2" w:rsidRDefault="008C134E" w:rsidP="001F1BB2">
            <w:pPr>
              <w:pStyle w:val="Tabletext"/>
            </w:pPr>
            <w:r w:rsidRPr="001F1BB2">
              <w:t xml:space="preserve">SISO @ 1.728 MHz </w:t>
            </w:r>
          </w:p>
        </w:tc>
        <w:tc>
          <w:tcPr>
            <w:tcW w:w="2009" w:type="dxa"/>
          </w:tcPr>
          <w:p w:rsidR="008C134E" w:rsidRPr="001F1BB2" w:rsidRDefault="008C134E" w:rsidP="001F1BB2">
            <w:pPr>
              <w:pStyle w:val="Tabletext"/>
            </w:pPr>
            <w:r w:rsidRPr="001F1BB2">
              <w:t>-7.1 dB</w:t>
            </w:r>
          </w:p>
        </w:tc>
      </w:tr>
      <w:tr w:rsidR="008C134E" w:rsidRPr="00EA5AD8" w:rsidTr="004160DC">
        <w:trPr>
          <w:jc w:val="center"/>
        </w:trPr>
        <w:tc>
          <w:tcPr>
            <w:tcW w:w="4225" w:type="dxa"/>
          </w:tcPr>
          <w:p w:rsidR="008C134E" w:rsidRPr="001F1BB2" w:rsidRDefault="008C134E" w:rsidP="001F1BB2">
            <w:pPr>
              <w:pStyle w:val="Tabletext"/>
            </w:pPr>
            <w:r w:rsidRPr="001F1BB2">
              <w:t>2x2 MRT @ 1.728 MHz</w:t>
            </w:r>
          </w:p>
        </w:tc>
        <w:tc>
          <w:tcPr>
            <w:tcW w:w="2009" w:type="dxa"/>
          </w:tcPr>
          <w:p w:rsidR="008C134E" w:rsidRPr="001F1BB2" w:rsidRDefault="008C134E" w:rsidP="001F1BB2">
            <w:pPr>
              <w:pStyle w:val="Tabletext"/>
            </w:pPr>
            <w:r w:rsidRPr="001F1BB2">
              <w:t>7.9 dB</w:t>
            </w:r>
          </w:p>
        </w:tc>
      </w:tr>
      <w:tr w:rsidR="008C134E" w:rsidRPr="00EA5AD8" w:rsidTr="004160DC">
        <w:trPr>
          <w:jc w:val="center"/>
        </w:trPr>
        <w:tc>
          <w:tcPr>
            <w:tcW w:w="4225" w:type="dxa"/>
          </w:tcPr>
          <w:p w:rsidR="008C134E" w:rsidRPr="001F1BB2" w:rsidRDefault="008C134E" w:rsidP="001F1BB2">
            <w:pPr>
              <w:pStyle w:val="Tabletext"/>
            </w:pPr>
            <w:r w:rsidRPr="001F1BB2">
              <w:t>5x4 MRT @ 1.728 MHz</w:t>
            </w:r>
          </w:p>
        </w:tc>
        <w:tc>
          <w:tcPr>
            <w:tcW w:w="2009" w:type="dxa"/>
          </w:tcPr>
          <w:p w:rsidR="008C134E" w:rsidRPr="001F1BB2" w:rsidRDefault="008C134E" w:rsidP="001F1BB2">
            <w:pPr>
              <w:pStyle w:val="Tabletext"/>
            </w:pPr>
            <w:r w:rsidRPr="001F1BB2">
              <w:t>12.3 dB</w:t>
            </w:r>
          </w:p>
        </w:tc>
      </w:tr>
      <w:tr w:rsidR="008C134E" w:rsidRPr="00EA5AD8" w:rsidTr="004160DC">
        <w:trPr>
          <w:jc w:val="center"/>
        </w:trPr>
        <w:tc>
          <w:tcPr>
            <w:tcW w:w="4225" w:type="dxa"/>
          </w:tcPr>
          <w:p w:rsidR="008C134E" w:rsidRPr="001F1BB2" w:rsidRDefault="008C134E" w:rsidP="001F1BB2">
            <w:pPr>
              <w:pStyle w:val="Tabletext"/>
            </w:pPr>
            <w:r w:rsidRPr="001F1BB2">
              <w:t>SISO @ 3.456 MHz</w:t>
            </w:r>
          </w:p>
        </w:tc>
        <w:tc>
          <w:tcPr>
            <w:tcW w:w="2009" w:type="dxa"/>
          </w:tcPr>
          <w:p w:rsidR="008C134E" w:rsidRPr="001F1BB2" w:rsidRDefault="008C134E" w:rsidP="001F1BB2">
            <w:pPr>
              <w:pStyle w:val="Tabletext"/>
            </w:pPr>
            <w:r w:rsidRPr="001F1BB2">
              <w:t>-11.1 dB</w:t>
            </w:r>
          </w:p>
        </w:tc>
      </w:tr>
      <w:tr w:rsidR="008C134E" w:rsidRPr="00EA5AD8" w:rsidTr="004160DC">
        <w:trPr>
          <w:jc w:val="center"/>
        </w:trPr>
        <w:tc>
          <w:tcPr>
            <w:tcW w:w="4225" w:type="dxa"/>
          </w:tcPr>
          <w:p w:rsidR="008C134E" w:rsidRPr="001F1BB2" w:rsidRDefault="008C134E" w:rsidP="001F1BB2">
            <w:pPr>
              <w:pStyle w:val="Tabletext"/>
            </w:pPr>
            <w:r w:rsidRPr="001F1BB2">
              <w:t>2x2 MRT @ 3.456 MHz</w:t>
            </w:r>
          </w:p>
        </w:tc>
        <w:tc>
          <w:tcPr>
            <w:tcW w:w="2009" w:type="dxa"/>
          </w:tcPr>
          <w:p w:rsidR="008C134E" w:rsidRPr="001F1BB2" w:rsidRDefault="008C134E" w:rsidP="001F1BB2">
            <w:pPr>
              <w:pStyle w:val="Tabletext"/>
            </w:pPr>
            <w:r w:rsidRPr="001F1BB2">
              <w:t>7.79 dB</w:t>
            </w:r>
          </w:p>
        </w:tc>
      </w:tr>
      <w:tr w:rsidR="008C134E" w:rsidRPr="00EA5AD8" w:rsidTr="004160DC">
        <w:trPr>
          <w:jc w:val="center"/>
        </w:trPr>
        <w:tc>
          <w:tcPr>
            <w:tcW w:w="4225" w:type="dxa"/>
          </w:tcPr>
          <w:p w:rsidR="008C134E" w:rsidRPr="001F1BB2" w:rsidRDefault="008C134E" w:rsidP="001F1BB2">
            <w:pPr>
              <w:pStyle w:val="Tabletext"/>
            </w:pPr>
            <w:r w:rsidRPr="001F1BB2">
              <w:t>5x4 MRT @ 3.456 MHz</w:t>
            </w:r>
          </w:p>
        </w:tc>
        <w:tc>
          <w:tcPr>
            <w:tcW w:w="2009" w:type="dxa"/>
          </w:tcPr>
          <w:p w:rsidR="008C134E" w:rsidRPr="001F1BB2" w:rsidRDefault="008C134E" w:rsidP="001F1BB2">
            <w:pPr>
              <w:pStyle w:val="Tabletext"/>
            </w:pPr>
            <w:r w:rsidRPr="001F1BB2">
              <w:t>12.19 dB</w:t>
            </w:r>
          </w:p>
        </w:tc>
      </w:tr>
    </w:tbl>
    <w:p w:rsidR="008C134E" w:rsidRPr="005A6BC6" w:rsidRDefault="008C134E" w:rsidP="001F1BB2">
      <w:pPr>
        <w:pStyle w:val="Tablefin"/>
      </w:pPr>
    </w:p>
    <w:p w:rsidR="008C134E" w:rsidRDefault="008C134E" w:rsidP="003F07D1">
      <w:pPr>
        <w:pStyle w:val="Heading3"/>
        <w:jc w:val="both"/>
      </w:pPr>
      <w:r w:rsidRPr="001C6C4C">
        <w:t>Link-level results</w:t>
      </w:r>
    </w:p>
    <w:p w:rsidR="008C134E" w:rsidRDefault="008C134E" w:rsidP="001E117D">
      <w:pPr>
        <w:spacing w:line="276" w:lineRule="auto"/>
        <w:jc w:val="both"/>
      </w:pPr>
      <w:r>
        <w:t>The analysis of the system-level results clearly indicate that depending on the i) configuration, ii) antenna/beamforming strategy, iii) frequency reuse strategy and iv) channel bandwidth, the SINR distribution and the 5</w:t>
      </w:r>
      <w:r w:rsidRPr="005A6BC6">
        <w:rPr>
          <w:vertAlign w:val="superscript"/>
        </w:rPr>
        <w:t>th</w:t>
      </w:r>
      <w:r>
        <w:t xml:space="preserve"> percentile point changes. </w:t>
      </w:r>
    </w:p>
    <w:p w:rsidR="008C134E" w:rsidRDefault="008C134E" w:rsidP="00C24E17">
      <w:pPr>
        <w:spacing w:line="276" w:lineRule="auto"/>
        <w:jc w:val="both"/>
      </w:pPr>
      <w:r>
        <w:t>In order to produce general and fair results overall, it was decided to use the SISO configuration, and its corresponding SINR performance as a reference for system level. Therefore, when performing link-level simulations, for each channel instantiation, results for all investigated antenna/beamforming configurations are performed. Then, the packet error rate performance for all antenna/beamforming setups is extracted.</w:t>
      </w:r>
    </w:p>
    <w:p w:rsidR="008C134E" w:rsidRDefault="008C134E" w:rsidP="00C24E17">
      <w:pPr>
        <w:tabs>
          <w:tab w:val="clear" w:pos="1134"/>
          <w:tab w:val="clear" w:pos="1871"/>
          <w:tab w:val="clear" w:pos="2268"/>
        </w:tabs>
        <w:overflowPunct/>
        <w:autoSpaceDE/>
        <w:autoSpaceDN/>
        <w:adjustRightInd/>
        <w:spacing w:before="0" w:after="160" w:line="276" w:lineRule="auto"/>
        <w:jc w:val="both"/>
        <w:textAlignment w:val="auto"/>
      </w:pPr>
      <w:r>
        <w:t xml:space="preserve">In </w:t>
      </w:r>
      <w:r>
        <w:fldChar w:fldCharType="begin"/>
      </w:r>
      <w:r>
        <w:instrText xml:space="preserve"> REF _Ref73004694 \h </w:instrText>
      </w:r>
      <w:r>
        <w:fldChar w:fldCharType="separate"/>
      </w:r>
      <w:r>
        <w:t xml:space="preserve">Figure </w:t>
      </w:r>
      <w:r>
        <w:rPr>
          <w:noProof/>
        </w:rPr>
        <w:t>10</w:t>
      </w:r>
      <w:r>
        <w:fldChar w:fldCharType="end"/>
      </w:r>
      <w:r>
        <w:t xml:space="preserve"> and </w:t>
      </w:r>
      <w:r>
        <w:fldChar w:fldCharType="begin"/>
      </w:r>
      <w:r>
        <w:instrText xml:space="preserve"> REF _Ref73008708 \h </w:instrText>
      </w:r>
      <w:r>
        <w:fldChar w:fldCharType="separate"/>
      </w:r>
      <w:r>
        <w:t xml:space="preserve">Figure </w:t>
      </w:r>
      <w:r>
        <w:rPr>
          <w:noProof/>
        </w:rPr>
        <w:t>11</w:t>
      </w:r>
      <w:r>
        <w:fldChar w:fldCharType="end"/>
      </w:r>
      <w:r>
        <w:t xml:space="preserve"> packet error rate results are presented vs the equivalent SINR of the SISO case. </w:t>
      </w:r>
    </w:p>
    <w:p w:rsidR="001F1BB2" w:rsidRPr="00802A11" w:rsidRDefault="001F1BB2" w:rsidP="001F1BB2">
      <w:pPr>
        <w:pStyle w:val="FigureNo"/>
        <w:rPr>
          <w:color w:val="1F497D" w:themeColor="text2"/>
        </w:rPr>
      </w:pPr>
      <w:bookmarkStart w:id="30" w:name="_Ref73004694"/>
      <w:r w:rsidRPr="00802A11">
        <w:rPr>
          <w:color w:val="1F497D" w:themeColor="text2"/>
        </w:rPr>
        <w:t xml:space="preserve">Figure </w:t>
      </w:r>
      <w:r w:rsidRPr="00802A11">
        <w:rPr>
          <w:color w:val="1F497D" w:themeColor="text2"/>
        </w:rPr>
        <w:fldChar w:fldCharType="begin"/>
      </w:r>
      <w:r w:rsidRPr="00802A11">
        <w:rPr>
          <w:color w:val="1F497D" w:themeColor="text2"/>
        </w:rPr>
        <w:instrText xml:space="preserve"> SEQ Figure \* ARABIC </w:instrText>
      </w:r>
      <w:r w:rsidRPr="00802A11">
        <w:rPr>
          <w:color w:val="1F497D" w:themeColor="text2"/>
        </w:rPr>
        <w:fldChar w:fldCharType="separate"/>
      </w:r>
      <w:r w:rsidRPr="00802A11">
        <w:rPr>
          <w:noProof/>
          <w:color w:val="1F497D" w:themeColor="text2"/>
        </w:rPr>
        <w:t>10</w:t>
      </w:r>
      <w:r w:rsidRPr="00802A11">
        <w:rPr>
          <w:color w:val="1F497D" w:themeColor="text2"/>
        </w:rPr>
        <w:fldChar w:fldCharType="end"/>
      </w:r>
      <w:bookmarkEnd w:id="30"/>
    </w:p>
    <w:p w:rsidR="001F1BB2" w:rsidRPr="001F1BB2" w:rsidRDefault="001F1BB2" w:rsidP="001F1BB2">
      <w:pPr>
        <w:pStyle w:val="Figuretitle"/>
        <w:rPr>
          <w:color w:val="548DD4" w:themeColor="text2" w:themeTint="99"/>
        </w:rPr>
      </w:pPr>
      <w:r w:rsidRPr="00802A11">
        <w:rPr>
          <w:color w:val="1F497D" w:themeColor="text2"/>
        </w:rPr>
        <w:t>PER vs SINR for LoS scenarios</w:t>
      </w:r>
    </w:p>
    <w:p w:rsidR="008C134E" w:rsidRDefault="008C134E" w:rsidP="001E117D">
      <w:pPr>
        <w:keepNext/>
        <w:jc w:val="center"/>
      </w:pPr>
      <w:r>
        <w:rPr>
          <w:noProof/>
          <w:lang w:val="en-US"/>
        </w:rPr>
        <w:drawing>
          <wp:inline distT="0" distB="0" distL="0" distR="0" wp14:anchorId="392E9B9D" wp14:editId="4C149DD1">
            <wp:extent cx="5441324" cy="37147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43511" cy="3716243"/>
                    </a:xfrm>
                    <a:prstGeom prst="rect">
                      <a:avLst/>
                    </a:prstGeom>
                    <a:noFill/>
                    <a:ln>
                      <a:noFill/>
                    </a:ln>
                  </pic:spPr>
                </pic:pic>
              </a:graphicData>
            </a:graphic>
          </wp:inline>
        </w:drawing>
      </w:r>
    </w:p>
    <w:p w:rsidR="001F1BB2" w:rsidRDefault="001F1BB2">
      <w:pPr>
        <w:tabs>
          <w:tab w:val="clear" w:pos="1134"/>
          <w:tab w:val="clear" w:pos="1871"/>
          <w:tab w:val="clear" w:pos="2268"/>
        </w:tabs>
        <w:overflowPunct/>
        <w:autoSpaceDE/>
        <w:autoSpaceDN/>
        <w:adjustRightInd/>
        <w:spacing w:before="0"/>
        <w:textAlignment w:val="auto"/>
        <w:rPr>
          <w:caps/>
          <w:color w:val="548DD4" w:themeColor="text2" w:themeTint="99"/>
          <w:sz w:val="20"/>
          <w:lang w:val="it-IT"/>
        </w:rPr>
      </w:pPr>
      <w:bookmarkStart w:id="31" w:name="_Ref73008708"/>
      <w:r>
        <w:rPr>
          <w:color w:val="548DD4" w:themeColor="text2" w:themeTint="99"/>
          <w:lang w:val="it-IT"/>
        </w:rPr>
        <w:br w:type="page"/>
      </w:r>
    </w:p>
    <w:p w:rsidR="001F1BB2" w:rsidRPr="00802A11" w:rsidRDefault="001F1BB2" w:rsidP="001F1BB2">
      <w:pPr>
        <w:pStyle w:val="FigureNo"/>
        <w:rPr>
          <w:color w:val="1F497D" w:themeColor="text2"/>
          <w:lang w:val="it-IT"/>
        </w:rPr>
      </w:pPr>
      <w:r w:rsidRPr="00802A11">
        <w:rPr>
          <w:color w:val="1F497D" w:themeColor="text2"/>
          <w:lang w:val="it-IT"/>
        </w:rPr>
        <w:t xml:space="preserve">Figure </w:t>
      </w:r>
      <w:r w:rsidRPr="00802A11">
        <w:rPr>
          <w:color w:val="1F497D" w:themeColor="text2"/>
        </w:rPr>
        <w:fldChar w:fldCharType="begin"/>
      </w:r>
      <w:r w:rsidRPr="00802A11">
        <w:rPr>
          <w:color w:val="1F497D" w:themeColor="text2"/>
          <w:lang w:val="it-IT"/>
        </w:rPr>
        <w:instrText xml:space="preserve"> SEQ Figure \* ARABIC </w:instrText>
      </w:r>
      <w:r w:rsidRPr="00802A11">
        <w:rPr>
          <w:color w:val="1F497D" w:themeColor="text2"/>
        </w:rPr>
        <w:fldChar w:fldCharType="separate"/>
      </w:r>
      <w:r w:rsidRPr="00802A11">
        <w:rPr>
          <w:noProof/>
          <w:color w:val="1F497D" w:themeColor="text2"/>
          <w:lang w:val="it-IT"/>
        </w:rPr>
        <w:t>11</w:t>
      </w:r>
      <w:r w:rsidRPr="00802A11">
        <w:rPr>
          <w:color w:val="1F497D" w:themeColor="text2"/>
        </w:rPr>
        <w:fldChar w:fldCharType="end"/>
      </w:r>
      <w:bookmarkEnd w:id="31"/>
    </w:p>
    <w:p w:rsidR="001F1BB2" w:rsidRPr="001F1BB2" w:rsidRDefault="001F1BB2" w:rsidP="001F1BB2">
      <w:pPr>
        <w:pStyle w:val="Figuretitle"/>
        <w:rPr>
          <w:color w:val="548DD4" w:themeColor="text2" w:themeTint="99"/>
          <w:lang w:val="it-IT"/>
        </w:rPr>
      </w:pPr>
      <w:r w:rsidRPr="00802A11">
        <w:rPr>
          <w:color w:val="1F497D" w:themeColor="text2"/>
          <w:lang w:val="it-IT"/>
        </w:rPr>
        <w:t>PER vs SNR for NLoS scenarios</w:t>
      </w:r>
    </w:p>
    <w:p w:rsidR="008C134E" w:rsidRDefault="008C134E" w:rsidP="001E117D">
      <w:pPr>
        <w:keepNext/>
        <w:jc w:val="center"/>
      </w:pPr>
      <w:r>
        <w:rPr>
          <w:noProof/>
          <w:lang w:val="en-US"/>
        </w:rPr>
        <w:drawing>
          <wp:inline distT="0" distB="0" distL="0" distR="0" wp14:anchorId="4DF73537" wp14:editId="1FC1541A">
            <wp:extent cx="5734050" cy="38932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5178" cy="3894029"/>
                    </a:xfrm>
                    <a:prstGeom prst="rect">
                      <a:avLst/>
                    </a:prstGeom>
                    <a:noFill/>
                    <a:ln>
                      <a:noFill/>
                    </a:ln>
                  </pic:spPr>
                </pic:pic>
              </a:graphicData>
            </a:graphic>
          </wp:inline>
        </w:drawing>
      </w:r>
    </w:p>
    <w:p w:rsidR="008C134E" w:rsidRDefault="008C134E" w:rsidP="001E117D">
      <w:pPr>
        <w:spacing w:line="276" w:lineRule="auto"/>
        <w:jc w:val="both"/>
      </w:pPr>
      <w:r>
        <w:t>From the two figures, the fulfilment of the Packet Error Rate requirement can be checked for any SINR threshold.</w:t>
      </w:r>
    </w:p>
    <w:p w:rsidR="008C134E" w:rsidRDefault="008C134E" w:rsidP="001E117D">
      <w:pPr>
        <w:spacing w:line="276" w:lineRule="auto"/>
        <w:jc w:val="both"/>
      </w:pPr>
      <w:r>
        <w:t xml:space="preserve">The results are presented in </w:t>
      </w:r>
      <w:r>
        <w:fldChar w:fldCharType="begin"/>
      </w:r>
      <w:r>
        <w:instrText xml:space="preserve"> REF _Ref73009971 \h </w:instrText>
      </w:r>
      <w:r>
        <w:fldChar w:fldCharType="separate"/>
      </w:r>
      <w:r>
        <w:t xml:space="preserve">Table </w:t>
      </w:r>
      <w:r>
        <w:rPr>
          <w:noProof/>
        </w:rPr>
        <w:t>4</w:t>
      </w:r>
      <w:r>
        <w:fldChar w:fldCharType="end"/>
      </w:r>
      <w:r>
        <w:t xml:space="preserve"> of Paragraph </w:t>
      </w:r>
      <w:r w:rsidRPr="00C1787A">
        <w:rPr>
          <w:rFonts w:eastAsia="MS Mincho"/>
          <w:lang w:val="en-US"/>
        </w:rPr>
        <w:t>I</w:t>
      </w:r>
      <w:r>
        <w:rPr>
          <w:rFonts w:eastAsia="MS Mincho"/>
          <w:lang w:val="en-US"/>
        </w:rPr>
        <w:t>I</w:t>
      </w:r>
      <w:r w:rsidRPr="00C1787A">
        <w:rPr>
          <w:rFonts w:eastAsia="MS Mincho"/>
          <w:lang w:val="en-US"/>
        </w:rPr>
        <w:t>-</w:t>
      </w:r>
      <w:r>
        <w:rPr>
          <w:rFonts w:eastAsia="MS Mincho"/>
          <w:lang w:val="en-US"/>
        </w:rPr>
        <w:t>E-2-4</w:t>
      </w:r>
      <w:r>
        <w:t>. It is noticed that fulfilment of the requirement is considered achieved either through LoS or NLoS analysis.</w:t>
      </w:r>
    </w:p>
    <w:p w:rsidR="008C134E" w:rsidRDefault="008C134E" w:rsidP="003F07D1">
      <w:pPr>
        <w:pStyle w:val="Heading2"/>
        <w:rPr>
          <w:rFonts w:eastAsia="MS Mincho"/>
          <w:sz w:val="28"/>
          <w:szCs w:val="22"/>
          <w:lang w:val="en-US"/>
        </w:rPr>
      </w:pPr>
      <w:r w:rsidRPr="003F07D1">
        <w:rPr>
          <w:rFonts w:eastAsia="MS Mincho"/>
          <w:sz w:val="28"/>
          <w:szCs w:val="22"/>
          <w:lang w:val="en-US"/>
        </w:rPr>
        <w:t xml:space="preserve">Connection Density </w:t>
      </w:r>
    </w:p>
    <w:p w:rsidR="008C134E" w:rsidRPr="00C20044" w:rsidRDefault="008C134E" w:rsidP="008824DD">
      <w:pPr>
        <w:spacing w:line="276" w:lineRule="auto"/>
        <w:jc w:val="both"/>
        <w:rPr>
          <w:rFonts w:eastAsia="MS Mincho"/>
          <w:color w:val="548DD4" w:themeColor="text2" w:themeTint="99"/>
          <w:lang w:val="en-US"/>
        </w:rPr>
      </w:pPr>
      <w:r w:rsidRPr="00C20044">
        <w:rPr>
          <w:rFonts w:eastAsia="MS Mincho"/>
          <w:color w:val="548DD4" w:themeColor="text2" w:themeTint="99"/>
        </w:rPr>
        <w:t xml:space="preserve">The system simulation procedure for the evaluation and validation of the KPI for connection density is detailed in M.2412, for cellular topology only. However, the DECT-2020 NR RIT introduces a mesh network topology and system operation, where network devices can communicate directly to each other for extending the range of network and increasing the reliability of communication. Since M.2412 does not address the methodological framework for mesh topologies, WWRF IEG devoted significant resources for rigorously defining all the additional aspects required for performing such an evaluation. As a result a configuration and a simulation procedure is determined that is able to put the DECT-2020 NR RIT and its adhoc/relaying component under test </w:t>
      </w:r>
      <w:r w:rsidRPr="00C20044">
        <w:rPr>
          <w:rFonts w:eastAsia="MS Mincho"/>
          <w:color w:val="548DD4" w:themeColor="text2" w:themeTint="99"/>
          <w:lang w:val="en-US"/>
        </w:rPr>
        <w:t>according to the principles and objectives of the M.2412 guidelines.</w:t>
      </w:r>
    </w:p>
    <w:p w:rsidR="008C134E" w:rsidRDefault="008C134E" w:rsidP="001E117D">
      <w:pPr>
        <w:spacing w:line="276" w:lineRule="auto"/>
        <w:jc w:val="both"/>
      </w:pPr>
      <w:r>
        <w:t xml:space="preserve">An End-to-End Physical Layer simulator of the DECT-2020 NR technology was developed by WWRF IEG in MATLAB, able to perform jointly system-level and link-level experiments. </w:t>
      </w:r>
    </w:p>
    <w:p w:rsidR="008C134E" w:rsidRDefault="008C134E" w:rsidP="001E117D">
      <w:pPr>
        <w:spacing w:line="276" w:lineRule="auto"/>
        <w:jc w:val="both"/>
      </w:pPr>
      <w:r>
        <w:t>WWRF IEG addressed the following issues:</w:t>
      </w:r>
    </w:p>
    <w:p w:rsidR="008C134E" w:rsidRPr="009042BB" w:rsidRDefault="001F1BB2" w:rsidP="001F1BB2">
      <w:pPr>
        <w:pStyle w:val="enumlev1"/>
      </w:pPr>
      <w:r>
        <w:t>•</w:t>
      </w:r>
      <w:r>
        <w:tab/>
      </w:r>
      <w:r w:rsidR="008C134E">
        <w:t xml:space="preserve">System model definition/extension including relay/forwarding nodes in addition to standard </w:t>
      </w:r>
      <w:r w:rsidR="008C134E" w:rsidRPr="0033642B">
        <w:rPr>
          <w:rFonts w:eastAsia="MS Mincho"/>
        </w:rPr>
        <w:t>cellular UEs.</w:t>
      </w:r>
    </w:p>
    <w:p w:rsidR="008C134E" w:rsidRPr="009042BB" w:rsidRDefault="001F1BB2" w:rsidP="001F1BB2">
      <w:pPr>
        <w:pStyle w:val="enumlev1"/>
      </w:pPr>
      <w:r>
        <w:t>•</w:t>
      </w:r>
      <w:r>
        <w:tab/>
      </w:r>
      <w:r w:rsidR="008C134E">
        <w:rPr>
          <w:rFonts w:eastAsia="MS Mincho"/>
        </w:rPr>
        <w:t>Introduction of a simple but effective protocol for multi-hop communications</w:t>
      </w:r>
    </w:p>
    <w:p w:rsidR="008C134E" w:rsidRPr="009042BB" w:rsidRDefault="001F1BB2" w:rsidP="001F1BB2">
      <w:pPr>
        <w:pStyle w:val="enumlev1"/>
      </w:pPr>
      <w:r>
        <w:t>•</w:t>
      </w:r>
      <w:r>
        <w:tab/>
      </w:r>
      <w:r w:rsidR="008C134E">
        <w:t xml:space="preserve">Definition of a relay selection </w:t>
      </w:r>
      <w:r w:rsidR="008C134E" w:rsidRPr="0033642B">
        <w:rPr>
          <w:rFonts w:eastAsia="MS Mincho"/>
        </w:rPr>
        <w:t>scheme based on channel quality conditions.</w:t>
      </w:r>
    </w:p>
    <w:p w:rsidR="008C134E" w:rsidRDefault="001F1BB2" w:rsidP="001F1BB2">
      <w:pPr>
        <w:pStyle w:val="enumlev1"/>
      </w:pPr>
      <w:r>
        <w:t>•</w:t>
      </w:r>
      <w:r>
        <w:tab/>
      </w:r>
      <w:r w:rsidR="008C134E">
        <w:t>Consideration of device-to-device channel models for relay communication, not previously considered in cellular technologies evaluation.</w:t>
      </w:r>
    </w:p>
    <w:p w:rsidR="008C134E" w:rsidRPr="00C20044" w:rsidRDefault="008C134E" w:rsidP="001E117D">
      <w:pPr>
        <w:spacing w:line="276" w:lineRule="auto"/>
        <w:jc w:val="both"/>
        <w:rPr>
          <w:rFonts w:eastAsia="MS Mincho"/>
          <w:color w:val="548DD4" w:themeColor="text2" w:themeTint="99"/>
        </w:rPr>
      </w:pPr>
      <w:r w:rsidRPr="00C20044">
        <w:rPr>
          <w:rFonts w:eastAsia="MS Mincho"/>
          <w:color w:val="548DD4" w:themeColor="text2" w:themeTint="99"/>
        </w:rPr>
        <w:t>WWRF IEG developed a system model simulator that is able to take into account the particularities of the DECT-2020 NR RIT, while remaining aligned with the evaluation guidelines defined in ITU-R M.2412-0 Report.</w:t>
      </w:r>
    </w:p>
    <w:p w:rsidR="008C134E" w:rsidRPr="00C20044" w:rsidRDefault="008C134E" w:rsidP="001E117D">
      <w:pPr>
        <w:spacing w:line="276" w:lineRule="auto"/>
        <w:jc w:val="both"/>
        <w:rPr>
          <w:rFonts w:eastAsia="MS Mincho"/>
          <w:color w:val="548DD4" w:themeColor="text2" w:themeTint="99"/>
        </w:rPr>
      </w:pPr>
      <w:r>
        <w:rPr>
          <w:rFonts w:eastAsia="MS Mincho"/>
        </w:rPr>
        <w:t xml:space="preserve">In the following paragraphs, a brief description of the simulator and the used methodology that was adopted by WWRF IEG for the Connection Density evaluations are presented. </w:t>
      </w:r>
      <w:r w:rsidRPr="00C20044">
        <w:rPr>
          <w:rFonts w:eastAsia="MS Mincho"/>
          <w:color w:val="548DD4" w:themeColor="text2" w:themeTint="99"/>
        </w:rPr>
        <w:t xml:space="preserve">Finally, the conclusive simulation results are presented and analysed. </w:t>
      </w:r>
    </w:p>
    <w:p w:rsidR="008C134E" w:rsidRDefault="008C134E" w:rsidP="0054085C">
      <w:pPr>
        <w:pStyle w:val="Heading3"/>
        <w:jc w:val="both"/>
      </w:pPr>
      <w:r w:rsidRPr="005311E5">
        <w:t>PHY Configuration</w:t>
      </w:r>
    </w:p>
    <w:p w:rsidR="008C134E" w:rsidRDefault="008C134E" w:rsidP="00033DF0">
      <w:pPr>
        <w:spacing w:line="276" w:lineRule="auto"/>
        <w:jc w:val="both"/>
      </w:pPr>
      <w:r>
        <w:t xml:space="preserve">Since the guidelines for Connection Density evaluation do not impose any throughput requirements, the considered PHY parameterization for the mMTC simulation campaigns is selected in order to maximize reliability. Thus, low-rank modulation and low core-rate FEC is selected. (QPSK with ½ turbo coding). </w:t>
      </w:r>
    </w:p>
    <w:p w:rsidR="008C134E" w:rsidRDefault="008C134E" w:rsidP="0054085C">
      <w:pPr>
        <w:jc w:val="both"/>
      </w:pPr>
      <w:r>
        <w:t>The numerology that is considered is:</w:t>
      </w:r>
    </w:p>
    <w:p w:rsidR="001F1BB2" w:rsidRPr="00802A11" w:rsidRDefault="008C134E" w:rsidP="00330C12">
      <w:pPr>
        <w:pStyle w:val="TableNo"/>
        <w:rPr>
          <w:noProof/>
          <w:color w:val="1F497D" w:themeColor="text2"/>
        </w:rPr>
      </w:pPr>
      <w:r w:rsidRPr="00802A11">
        <w:rPr>
          <w:noProof/>
          <w:color w:val="1F497D" w:themeColor="text2"/>
        </w:rPr>
        <w:t xml:space="preserve">Table </w:t>
      </w:r>
      <w:r w:rsidRPr="00802A11">
        <w:rPr>
          <w:noProof/>
          <w:color w:val="1F497D" w:themeColor="text2"/>
        </w:rPr>
        <w:fldChar w:fldCharType="begin"/>
      </w:r>
      <w:r w:rsidRPr="00802A11">
        <w:rPr>
          <w:noProof/>
          <w:color w:val="1F497D" w:themeColor="text2"/>
        </w:rPr>
        <w:instrText xml:space="preserve"> SEQ Table \* ARABIC </w:instrText>
      </w:r>
      <w:r w:rsidRPr="00802A11">
        <w:rPr>
          <w:noProof/>
          <w:color w:val="1F497D" w:themeColor="text2"/>
        </w:rPr>
        <w:fldChar w:fldCharType="separate"/>
      </w:r>
      <w:r w:rsidRPr="00802A11">
        <w:rPr>
          <w:noProof/>
          <w:color w:val="1F497D" w:themeColor="text2"/>
        </w:rPr>
        <w:t>15</w:t>
      </w:r>
      <w:r w:rsidRPr="00802A11">
        <w:rPr>
          <w:noProof/>
          <w:color w:val="1F497D" w:themeColor="text2"/>
        </w:rPr>
        <w:fldChar w:fldCharType="end"/>
      </w:r>
    </w:p>
    <w:p w:rsidR="008C134E" w:rsidRPr="001F1BB2" w:rsidRDefault="008C134E" w:rsidP="001F1BB2">
      <w:pPr>
        <w:pStyle w:val="Tabletitle"/>
        <w:rPr>
          <w:color w:val="548DD4" w:themeColor="text2" w:themeTint="99"/>
        </w:rPr>
      </w:pPr>
      <w:r w:rsidRPr="00802A11">
        <w:rPr>
          <w:noProof/>
          <w:color w:val="1F497D" w:themeColor="text2"/>
        </w:rPr>
        <w:t>Adopted numerology for mMTC simulations</w:t>
      </w:r>
    </w:p>
    <w:tbl>
      <w:tblPr>
        <w:tblStyle w:val="TableGrid"/>
        <w:tblW w:w="5852" w:type="dxa"/>
        <w:jc w:val="center"/>
        <w:tblLook w:val="04A0" w:firstRow="1" w:lastRow="0" w:firstColumn="1" w:lastColumn="0" w:noHBand="0" w:noVBand="1"/>
      </w:tblPr>
      <w:tblGrid>
        <w:gridCol w:w="1435"/>
        <w:gridCol w:w="947"/>
        <w:gridCol w:w="1393"/>
        <w:gridCol w:w="2077"/>
      </w:tblGrid>
      <w:tr w:rsidR="008C134E" w:rsidRPr="00B22207" w:rsidTr="004160DC">
        <w:trPr>
          <w:trHeight w:val="670"/>
          <w:jc w:val="center"/>
        </w:trPr>
        <w:tc>
          <w:tcPr>
            <w:tcW w:w="1435" w:type="dxa"/>
          </w:tcPr>
          <w:p w:rsidR="008C134E" w:rsidRPr="009509E7" w:rsidRDefault="008C134E" w:rsidP="004160DC">
            <w:pPr>
              <w:pStyle w:val="Tablehead"/>
              <w:jc w:val="both"/>
              <w:rPr>
                <w:rFonts w:asciiTheme="minorHAnsi" w:hAnsiTheme="minorHAnsi" w:cstheme="minorHAnsi"/>
              </w:rPr>
            </w:pPr>
            <w:r w:rsidRPr="009509E7">
              <w:rPr>
                <w:rFonts w:asciiTheme="minorHAnsi" w:hAnsiTheme="minorHAnsi" w:cstheme="minorHAnsi"/>
              </w:rPr>
              <w:t>(μ,β)</w:t>
            </w:r>
          </w:p>
        </w:tc>
        <w:tc>
          <w:tcPr>
            <w:tcW w:w="947" w:type="dxa"/>
          </w:tcPr>
          <w:p w:rsidR="008C134E" w:rsidRPr="009509E7" w:rsidRDefault="008C134E" w:rsidP="004160DC">
            <w:pPr>
              <w:pStyle w:val="Tablehead"/>
              <w:jc w:val="both"/>
              <w:rPr>
                <w:rFonts w:asciiTheme="minorHAnsi" w:hAnsiTheme="minorHAnsi" w:cstheme="minorHAnsi"/>
              </w:rPr>
            </w:pPr>
            <w:r w:rsidRPr="009509E7">
              <w:rPr>
                <w:rFonts w:asciiTheme="minorHAnsi" w:hAnsiTheme="minorHAnsi" w:cstheme="minorHAnsi"/>
              </w:rPr>
              <w:t>SCS</w:t>
            </w:r>
          </w:p>
        </w:tc>
        <w:tc>
          <w:tcPr>
            <w:tcW w:w="1393" w:type="dxa"/>
          </w:tcPr>
          <w:p w:rsidR="008C134E" w:rsidRPr="009509E7" w:rsidRDefault="008C134E" w:rsidP="004160DC">
            <w:pPr>
              <w:pStyle w:val="Tablehead"/>
              <w:jc w:val="both"/>
              <w:rPr>
                <w:rFonts w:asciiTheme="minorHAnsi" w:hAnsiTheme="minorHAnsi" w:cstheme="minorHAnsi"/>
              </w:rPr>
            </w:pPr>
            <w:r w:rsidRPr="009509E7">
              <w:rPr>
                <w:rFonts w:asciiTheme="minorHAnsi" w:hAnsiTheme="minorHAnsi" w:cstheme="minorHAnsi"/>
              </w:rPr>
              <w:t>DFT</w:t>
            </w:r>
          </w:p>
        </w:tc>
        <w:tc>
          <w:tcPr>
            <w:tcW w:w="2077" w:type="dxa"/>
          </w:tcPr>
          <w:p w:rsidR="008C134E" w:rsidRPr="009509E7" w:rsidRDefault="008C134E" w:rsidP="004160DC">
            <w:pPr>
              <w:pStyle w:val="Tablehead"/>
              <w:jc w:val="both"/>
              <w:rPr>
                <w:rFonts w:asciiTheme="minorHAnsi" w:hAnsiTheme="minorHAnsi" w:cstheme="minorHAnsi"/>
              </w:rPr>
            </w:pPr>
            <w:r w:rsidRPr="009509E7">
              <w:rPr>
                <w:rFonts w:asciiTheme="minorHAnsi" w:hAnsiTheme="minorHAnsi" w:cstheme="minorHAnsi"/>
              </w:rPr>
              <w:t>B</w:t>
            </w:r>
          </w:p>
        </w:tc>
      </w:tr>
      <w:tr w:rsidR="008C134E" w:rsidRPr="0064423F" w:rsidTr="004160DC">
        <w:trPr>
          <w:jc w:val="center"/>
        </w:trPr>
        <w:tc>
          <w:tcPr>
            <w:tcW w:w="1435" w:type="dxa"/>
          </w:tcPr>
          <w:p w:rsidR="008C134E" w:rsidRPr="009509E7" w:rsidRDefault="008C134E" w:rsidP="004160DC">
            <w:pPr>
              <w:pStyle w:val="Tabletext"/>
              <w:rPr>
                <w:rFonts w:asciiTheme="minorHAnsi" w:hAnsiTheme="minorHAnsi" w:cstheme="minorHAnsi"/>
              </w:rPr>
            </w:pPr>
            <w:r w:rsidRPr="009509E7">
              <w:rPr>
                <w:rFonts w:asciiTheme="minorHAnsi" w:hAnsiTheme="minorHAnsi" w:cstheme="minorHAnsi"/>
              </w:rPr>
              <w:t>(1,1)</w:t>
            </w:r>
          </w:p>
        </w:tc>
        <w:tc>
          <w:tcPr>
            <w:tcW w:w="947" w:type="dxa"/>
          </w:tcPr>
          <w:p w:rsidR="008C134E" w:rsidRPr="009509E7" w:rsidRDefault="008C134E" w:rsidP="004160DC">
            <w:pPr>
              <w:pStyle w:val="Tabletext"/>
              <w:rPr>
                <w:rFonts w:asciiTheme="minorHAnsi" w:hAnsiTheme="minorHAnsi" w:cstheme="minorHAnsi"/>
              </w:rPr>
            </w:pPr>
            <w:r w:rsidRPr="009509E7">
              <w:rPr>
                <w:rFonts w:asciiTheme="minorHAnsi" w:hAnsiTheme="minorHAnsi" w:cstheme="minorHAnsi"/>
              </w:rPr>
              <w:t>27 kHz</w:t>
            </w:r>
          </w:p>
        </w:tc>
        <w:tc>
          <w:tcPr>
            <w:tcW w:w="1393" w:type="dxa"/>
          </w:tcPr>
          <w:p w:rsidR="008C134E" w:rsidRPr="009509E7" w:rsidRDefault="008C134E" w:rsidP="004160DC">
            <w:pPr>
              <w:pStyle w:val="Tabletext"/>
              <w:rPr>
                <w:rFonts w:asciiTheme="minorHAnsi" w:hAnsiTheme="minorHAnsi" w:cstheme="minorHAnsi"/>
              </w:rPr>
            </w:pPr>
            <w:r w:rsidRPr="009509E7">
              <w:rPr>
                <w:rFonts w:asciiTheme="minorHAnsi" w:hAnsiTheme="minorHAnsi" w:cstheme="minorHAnsi"/>
              </w:rPr>
              <w:t>64</w:t>
            </w:r>
          </w:p>
        </w:tc>
        <w:tc>
          <w:tcPr>
            <w:tcW w:w="2077" w:type="dxa"/>
          </w:tcPr>
          <w:p w:rsidR="008C134E" w:rsidRPr="009509E7" w:rsidRDefault="008C134E" w:rsidP="004160DC">
            <w:pPr>
              <w:pStyle w:val="Tabletext"/>
              <w:rPr>
                <w:rFonts w:asciiTheme="minorHAnsi" w:hAnsiTheme="minorHAnsi" w:cstheme="minorHAnsi"/>
              </w:rPr>
            </w:pPr>
            <w:r w:rsidRPr="009509E7">
              <w:rPr>
                <w:rFonts w:asciiTheme="minorHAnsi" w:hAnsiTheme="minorHAnsi" w:cstheme="minorHAnsi"/>
              </w:rPr>
              <w:t>1.728 MHz</w:t>
            </w:r>
          </w:p>
        </w:tc>
      </w:tr>
    </w:tbl>
    <w:p w:rsidR="008C134E" w:rsidRDefault="008C134E" w:rsidP="001F1BB2">
      <w:pPr>
        <w:pStyle w:val="Tablefin"/>
      </w:pPr>
    </w:p>
    <w:p w:rsidR="008C134E" w:rsidRDefault="008C134E" w:rsidP="00033DF0">
      <w:pPr>
        <w:spacing w:line="276" w:lineRule="auto"/>
      </w:pPr>
      <w:r>
        <w:t>It is noted that HARQ is included. For initial tests, 4 HARQ processes are supported.</w:t>
      </w:r>
    </w:p>
    <w:p w:rsidR="008C134E" w:rsidRDefault="008C134E" w:rsidP="00033DF0">
      <w:pPr>
        <w:pStyle w:val="Heading3"/>
        <w:spacing w:line="276" w:lineRule="auto"/>
        <w:jc w:val="both"/>
      </w:pPr>
      <w:r>
        <w:t>Power and Frequency bands</w:t>
      </w:r>
    </w:p>
    <w:p w:rsidR="008C134E" w:rsidRDefault="008C134E" w:rsidP="00033DF0">
      <w:pPr>
        <w:spacing w:line="276" w:lineRule="auto"/>
        <w:jc w:val="both"/>
      </w:pPr>
      <w:r>
        <w:t xml:space="preserve">As described in Annex III, “Reliability”, the transmission power profiles defined in  ETSI DECT-2020 standards specify that the maximum transmitted power is 23 dB, with no distinction between the TRxP and the UT. Therefore, 23dBm power was considered for both downlink and uplink.  </w:t>
      </w:r>
    </w:p>
    <w:p w:rsidR="008C134E" w:rsidRPr="005D5A34" w:rsidRDefault="008C134E" w:rsidP="00033DF0">
      <w:pPr>
        <w:spacing w:line="276" w:lineRule="auto"/>
        <w:jc w:val="both"/>
        <w:rPr>
          <w:color w:val="548DD4" w:themeColor="text2" w:themeTint="99"/>
        </w:rPr>
      </w:pPr>
      <w:r>
        <w:t xml:space="preserve">In ETSI TS103636-2, specific frequency bands and channelization for DECT-2020 NR are defined. The center frequency value for the evaluation experiments were set to: Band 6 corresponding to </w:t>
      </w:r>
      <w:r w:rsidRPr="000E2843">
        <w:t xml:space="preserve">698 </w:t>
      </w:r>
      <w:r>
        <w:t xml:space="preserve">– </w:t>
      </w:r>
      <w:r w:rsidRPr="000E2843">
        <w:t>806</w:t>
      </w:r>
      <w:r>
        <w:t xml:space="preserve"> MHz. A segment of 8.64 MHz is selected for Configuration A. For configuration B, the </w:t>
      </w:r>
      <w:r w:rsidRPr="00C20044">
        <w:rPr>
          <w:color w:val="548DD4" w:themeColor="text2" w:themeTint="99"/>
        </w:rPr>
        <w:t>same transmission power profile is used, while a larger bandwidth of approximately 38MHz (less than 40</w:t>
      </w:r>
      <w:r w:rsidR="00802A11">
        <w:rPr>
          <w:color w:val="548DD4" w:themeColor="text2" w:themeTint="99"/>
        </w:rPr>
        <w:t> </w:t>
      </w:r>
      <w:r w:rsidRPr="00C20044">
        <w:rPr>
          <w:color w:val="548DD4" w:themeColor="text2" w:themeTint="99"/>
        </w:rPr>
        <w:t xml:space="preserve">MHz) was considered. It was selected to also use a frequency </w:t>
      </w:r>
      <w:r w:rsidRPr="005D5A34">
        <w:rPr>
          <w:color w:val="548DD4" w:themeColor="text2" w:themeTint="99"/>
        </w:rPr>
        <w:t>reuse factor of 1/3 and assign more channels (22) at each TxRP, rather than use a factor of 1/7 with less channels per TxRP.</w:t>
      </w:r>
    </w:p>
    <w:p w:rsidR="008C134E" w:rsidRPr="005D5A34" w:rsidRDefault="008C134E" w:rsidP="0054085C">
      <w:pPr>
        <w:pStyle w:val="Heading3"/>
        <w:jc w:val="both"/>
        <w:rPr>
          <w:color w:val="548DD4" w:themeColor="text2" w:themeTint="99"/>
        </w:rPr>
      </w:pPr>
      <w:r w:rsidRPr="005D5A34">
        <w:rPr>
          <w:color w:val="548DD4" w:themeColor="text2" w:themeTint="99"/>
        </w:rPr>
        <w:t>System Level Simulator</w:t>
      </w:r>
    </w:p>
    <w:p w:rsidR="008C134E" w:rsidRPr="005D5A34" w:rsidRDefault="008C134E" w:rsidP="00930AE4">
      <w:pPr>
        <w:spacing w:line="276" w:lineRule="auto"/>
        <w:jc w:val="both"/>
        <w:rPr>
          <w:color w:val="548DD4" w:themeColor="text2" w:themeTint="99"/>
        </w:rPr>
      </w:pPr>
      <w:r w:rsidRPr="005D5A34">
        <w:rPr>
          <w:color w:val="548DD4" w:themeColor="text2" w:themeTint="99"/>
        </w:rPr>
        <w:t xml:space="preserve">In </w:t>
      </w:r>
      <w:r w:rsidRPr="005D5A34">
        <w:rPr>
          <w:color w:val="548DD4" w:themeColor="text2" w:themeTint="99"/>
        </w:rPr>
        <w:fldChar w:fldCharType="begin"/>
      </w:r>
      <w:r w:rsidRPr="005D5A34">
        <w:rPr>
          <w:color w:val="548DD4" w:themeColor="text2" w:themeTint="99"/>
        </w:rPr>
        <w:instrText xml:space="preserve"> REF _Ref72971683 \h </w:instrText>
      </w:r>
      <w:r w:rsidRPr="005D5A34">
        <w:rPr>
          <w:color w:val="548DD4" w:themeColor="text2" w:themeTint="99"/>
        </w:rPr>
      </w:r>
      <w:r w:rsidRPr="005D5A34">
        <w:rPr>
          <w:color w:val="548DD4" w:themeColor="text2" w:themeTint="99"/>
        </w:rPr>
        <w:fldChar w:fldCharType="separate"/>
      </w:r>
      <w:r w:rsidRPr="005D5A34">
        <w:rPr>
          <w:color w:val="548DD4" w:themeColor="text2" w:themeTint="99"/>
        </w:rPr>
        <w:t xml:space="preserve">Table </w:t>
      </w:r>
      <w:r w:rsidRPr="005D5A34">
        <w:rPr>
          <w:noProof/>
          <w:color w:val="548DD4" w:themeColor="text2" w:themeTint="99"/>
        </w:rPr>
        <w:t>16</w:t>
      </w:r>
      <w:r w:rsidRPr="005D5A34">
        <w:rPr>
          <w:color w:val="548DD4" w:themeColor="text2" w:themeTint="99"/>
        </w:rPr>
        <w:fldChar w:fldCharType="end"/>
      </w:r>
      <w:r w:rsidRPr="005D5A34">
        <w:rPr>
          <w:color w:val="548DD4" w:themeColor="text2" w:themeTint="99"/>
        </w:rPr>
        <w:t xml:space="preserve">, the summary of the simulator setup and its compliance with the ITU-R recommended configurations according to Report </w:t>
      </w:r>
      <w:r w:rsidRPr="005D5A34">
        <w:rPr>
          <w:rFonts w:cstheme="minorHAnsi"/>
          <w:color w:val="548DD4" w:themeColor="text2" w:themeTint="99"/>
        </w:rPr>
        <w:t>ITU-R M.2412-0 is presented.</w:t>
      </w:r>
    </w:p>
    <w:p w:rsidR="001F1BB2" w:rsidRPr="00802A11" w:rsidRDefault="008C134E" w:rsidP="001F1BB2">
      <w:pPr>
        <w:pStyle w:val="TableNo"/>
        <w:rPr>
          <w:noProof/>
          <w:color w:val="1F497D" w:themeColor="text2"/>
        </w:rPr>
      </w:pPr>
      <w:bookmarkStart w:id="32" w:name="_Ref72971683"/>
      <w:r w:rsidRPr="00802A11">
        <w:rPr>
          <w:color w:val="1F497D" w:themeColor="text2"/>
        </w:rPr>
        <w:t xml:space="preserve">Table </w:t>
      </w:r>
      <w:r w:rsidRPr="00802A11">
        <w:rPr>
          <w:color w:val="1F497D" w:themeColor="text2"/>
        </w:rPr>
        <w:fldChar w:fldCharType="begin"/>
      </w:r>
      <w:r w:rsidRPr="00802A11">
        <w:rPr>
          <w:color w:val="1F497D" w:themeColor="text2"/>
        </w:rPr>
        <w:instrText xml:space="preserve"> SEQ Table \* ARABIC </w:instrText>
      </w:r>
      <w:r w:rsidRPr="00802A11">
        <w:rPr>
          <w:color w:val="1F497D" w:themeColor="text2"/>
        </w:rPr>
        <w:fldChar w:fldCharType="separate"/>
      </w:r>
      <w:r w:rsidRPr="00802A11">
        <w:rPr>
          <w:noProof/>
          <w:color w:val="1F497D" w:themeColor="text2"/>
        </w:rPr>
        <w:t>16</w:t>
      </w:r>
      <w:r w:rsidRPr="00802A11">
        <w:rPr>
          <w:noProof/>
          <w:color w:val="1F497D" w:themeColor="text2"/>
        </w:rPr>
        <w:fldChar w:fldCharType="end"/>
      </w:r>
      <w:bookmarkEnd w:id="32"/>
    </w:p>
    <w:p w:rsidR="008C134E" w:rsidRPr="001F1BB2" w:rsidRDefault="008C134E" w:rsidP="001F1BB2">
      <w:pPr>
        <w:pStyle w:val="Tabletitle"/>
        <w:rPr>
          <w:color w:val="365F91" w:themeColor="accent1" w:themeShade="BF"/>
        </w:rPr>
      </w:pPr>
      <w:r w:rsidRPr="00802A11">
        <w:rPr>
          <w:noProof/>
          <w:color w:val="1F497D" w:themeColor="text2"/>
        </w:rPr>
        <w:t>Connection Density evaluation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3"/>
        <w:gridCol w:w="3310"/>
        <w:gridCol w:w="3546"/>
      </w:tblGrid>
      <w:tr w:rsidR="008C134E" w:rsidTr="004160DC">
        <w:trPr>
          <w:cantSplit/>
          <w:tblHeader/>
          <w:jc w:val="center"/>
        </w:trPr>
        <w:tc>
          <w:tcPr>
            <w:tcW w:w="2783" w:type="dxa"/>
            <w:vMerge w:val="restart"/>
            <w:tcBorders>
              <w:top w:val="single" w:sz="4" w:space="0" w:color="auto"/>
              <w:left w:val="single" w:sz="4" w:space="0" w:color="auto"/>
              <w:bottom w:val="single" w:sz="4" w:space="0" w:color="auto"/>
              <w:right w:val="single" w:sz="4" w:space="0" w:color="auto"/>
            </w:tcBorders>
            <w:vAlign w:val="center"/>
            <w:hideMark/>
          </w:tcPr>
          <w:p w:rsidR="008C134E" w:rsidRDefault="008C134E" w:rsidP="004160DC">
            <w:pPr>
              <w:pStyle w:val="Tablehead"/>
              <w:rPr>
                <w:lang w:eastAsia="zh-CN"/>
              </w:rPr>
            </w:pPr>
            <w:r>
              <w:rPr>
                <w:lang w:eastAsia="zh-CN"/>
              </w:rPr>
              <w:t>Parameters</w:t>
            </w:r>
          </w:p>
        </w:tc>
        <w:tc>
          <w:tcPr>
            <w:tcW w:w="6856" w:type="dxa"/>
            <w:gridSpan w:val="2"/>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pStyle w:val="Tablehead"/>
              <w:rPr>
                <w:rFonts w:asciiTheme="minorHAnsi" w:hAnsiTheme="minorHAnsi"/>
                <w:lang w:eastAsia="ja-JP"/>
              </w:rPr>
            </w:pPr>
            <w:r w:rsidRPr="002F26AB">
              <w:rPr>
                <w:rFonts w:asciiTheme="minorHAnsi" w:hAnsiTheme="minorHAnsi"/>
                <w:lang w:eastAsia="zh-CN"/>
              </w:rPr>
              <w:t>Urban Macro–mMTC</w:t>
            </w:r>
          </w:p>
        </w:tc>
      </w:tr>
      <w:tr w:rsidR="008C134E" w:rsidTr="004160DC">
        <w:trPr>
          <w:cantSplit/>
          <w:tblHeader/>
          <w:jc w:val="center"/>
        </w:trPr>
        <w:tc>
          <w:tcPr>
            <w:tcW w:w="2783" w:type="dxa"/>
            <w:vMerge/>
            <w:tcBorders>
              <w:top w:val="single" w:sz="4" w:space="0" w:color="auto"/>
              <w:left w:val="single" w:sz="4" w:space="0" w:color="auto"/>
              <w:bottom w:val="single" w:sz="4" w:space="0" w:color="auto"/>
              <w:right w:val="single" w:sz="4" w:space="0" w:color="auto"/>
            </w:tcBorders>
            <w:vAlign w:val="center"/>
            <w:hideMark/>
          </w:tcPr>
          <w:p w:rsidR="008C134E" w:rsidRDefault="008C134E" w:rsidP="004160DC">
            <w:pPr>
              <w:rPr>
                <w:rFonts w:ascii="Times New Roman Bold" w:hAnsi="Times New Roman Bold" w:cs="Times New Roman Bold"/>
                <w:b/>
                <w:sz w:val="20"/>
                <w:lang w:eastAsia="zh-CN"/>
              </w:rPr>
            </w:pPr>
          </w:p>
        </w:tc>
        <w:tc>
          <w:tcPr>
            <w:tcW w:w="6856" w:type="dxa"/>
            <w:gridSpan w:val="2"/>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pStyle w:val="Tablehead"/>
              <w:rPr>
                <w:rFonts w:asciiTheme="minorHAnsi" w:hAnsiTheme="minorHAnsi"/>
                <w:lang w:eastAsia="ja-JP"/>
              </w:rPr>
            </w:pPr>
            <w:r w:rsidRPr="002F26AB">
              <w:rPr>
                <w:rFonts w:asciiTheme="minorHAnsi" w:hAnsiTheme="minorHAnsi"/>
                <w:lang w:eastAsia="ja-JP"/>
              </w:rPr>
              <w:t>Connection Density Evaluation</w:t>
            </w:r>
          </w:p>
        </w:tc>
      </w:tr>
      <w:tr w:rsidR="008C134E" w:rsidTr="004160DC">
        <w:trPr>
          <w:cantSplit/>
          <w:tblHeader/>
          <w:jc w:val="center"/>
        </w:trPr>
        <w:tc>
          <w:tcPr>
            <w:tcW w:w="2783" w:type="dxa"/>
            <w:vMerge/>
            <w:tcBorders>
              <w:top w:val="single" w:sz="4" w:space="0" w:color="auto"/>
              <w:left w:val="single" w:sz="4" w:space="0" w:color="auto"/>
              <w:bottom w:val="single" w:sz="4" w:space="0" w:color="auto"/>
              <w:right w:val="single" w:sz="4" w:space="0" w:color="auto"/>
            </w:tcBorders>
            <w:vAlign w:val="center"/>
            <w:hideMark/>
          </w:tcPr>
          <w:p w:rsidR="008C134E" w:rsidRDefault="008C134E" w:rsidP="004160DC">
            <w:pPr>
              <w:rPr>
                <w:rFonts w:ascii="Times New Roman Bold" w:hAnsi="Times New Roman Bold" w:cs="Times New Roman Bold"/>
                <w:b/>
                <w:sz w:val="20"/>
                <w:lang w:eastAsia="zh-CN"/>
              </w:rPr>
            </w:pPr>
          </w:p>
        </w:tc>
        <w:tc>
          <w:tcPr>
            <w:tcW w:w="3310" w:type="dxa"/>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pStyle w:val="Tablehead"/>
              <w:rPr>
                <w:rFonts w:asciiTheme="minorHAnsi" w:hAnsiTheme="minorHAnsi"/>
                <w:lang w:eastAsia="ja-JP"/>
              </w:rPr>
            </w:pPr>
            <w:r w:rsidRPr="002F26AB">
              <w:rPr>
                <w:rFonts w:asciiTheme="minorHAnsi" w:hAnsiTheme="minorHAnsi"/>
                <w:lang w:eastAsia="ja-JP"/>
              </w:rPr>
              <w:t>Configuration A</w:t>
            </w:r>
          </w:p>
        </w:tc>
        <w:tc>
          <w:tcPr>
            <w:tcW w:w="3546" w:type="dxa"/>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pStyle w:val="Tablehead"/>
              <w:rPr>
                <w:rFonts w:asciiTheme="minorHAnsi" w:hAnsiTheme="minorHAnsi"/>
                <w:lang w:eastAsia="ja-JP"/>
              </w:rPr>
            </w:pPr>
            <w:r w:rsidRPr="002F26AB">
              <w:rPr>
                <w:rFonts w:asciiTheme="minorHAnsi" w:hAnsiTheme="minorHAnsi"/>
                <w:lang w:eastAsia="ja-JP"/>
              </w:rPr>
              <w:t>Configuration B</w:t>
            </w:r>
          </w:p>
        </w:tc>
      </w:tr>
      <w:tr w:rsidR="008C134E" w:rsidTr="004160DC">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C134E" w:rsidRPr="002F26AB" w:rsidRDefault="008C134E" w:rsidP="004160DC">
            <w:pPr>
              <w:pStyle w:val="Tabletext"/>
              <w:jc w:val="center"/>
              <w:rPr>
                <w:rFonts w:asciiTheme="minorHAnsi" w:hAnsiTheme="minorHAnsi"/>
                <w:b/>
                <w:bCs/>
                <w:lang w:eastAsia="ja-JP"/>
              </w:rPr>
            </w:pPr>
            <w:r w:rsidRPr="002F26AB">
              <w:rPr>
                <w:rFonts w:asciiTheme="minorHAnsi" w:hAnsiTheme="minorHAnsi"/>
                <w:b/>
                <w:bCs/>
                <w:lang w:eastAsia="ja-JP"/>
              </w:rPr>
              <w:t>Baseline evaluation configuration parameters</w:t>
            </w:r>
          </w:p>
        </w:tc>
      </w:tr>
      <w:tr w:rsidR="008C134E"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rPr>
            </w:pPr>
            <w:r w:rsidRPr="002F26AB">
              <w:rPr>
                <w:rFonts w:asciiTheme="minorHAnsi" w:eastAsia="SimSun" w:hAnsiTheme="minorHAnsi"/>
              </w:rPr>
              <w:t>Carrier frequency for evaluation</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cstheme="minorHAnsi"/>
                <w:lang w:eastAsia="ja-JP"/>
              </w:rPr>
            </w:pPr>
            <w:r w:rsidRPr="002F26AB">
              <w:rPr>
                <w:rFonts w:asciiTheme="minorHAnsi" w:hAnsiTheme="minorHAnsi" w:cstheme="minorHAnsi"/>
                <w:lang w:eastAsia="ja-JP"/>
              </w:rPr>
              <w:t>700 MHz</w:t>
            </w:r>
          </w:p>
          <w:p w:rsidR="008C134E" w:rsidRPr="002F26AB" w:rsidRDefault="008C134E" w:rsidP="004160DC">
            <w:pPr>
              <w:pStyle w:val="Tabletext"/>
              <w:jc w:val="center"/>
              <w:rPr>
                <w:rFonts w:asciiTheme="minorHAnsi" w:eastAsia="Dotum" w:hAnsiTheme="minorHAnsi" w:cstheme="majorBidi"/>
              </w:rPr>
            </w:pPr>
            <w:r w:rsidRPr="002F26AB">
              <w:rPr>
                <w:rFonts w:asciiTheme="minorHAnsi" w:hAnsiTheme="minorHAnsi" w:cstheme="minorHAnsi"/>
                <w:lang w:eastAsia="ja-JP"/>
              </w:rPr>
              <w:t>(698 – 806 MHz)</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cstheme="minorHAnsi"/>
                <w:lang w:eastAsia="ja-JP"/>
              </w:rPr>
            </w:pPr>
            <w:r w:rsidRPr="002F26AB">
              <w:rPr>
                <w:rFonts w:asciiTheme="minorHAnsi" w:hAnsiTheme="minorHAnsi" w:cstheme="minorHAnsi"/>
                <w:lang w:eastAsia="ja-JP"/>
              </w:rPr>
              <w:t>700 MHz</w:t>
            </w:r>
          </w:p>
          <w:p w:rsidR="008C134E" w:rsidRPr="002F26AB" w:rsidRDefault="008C134E" w:rsidP="004160DC">
            <w:pPr>
              <w:pStyle w:val="Tabletext"/>
              <w:jc w:val="center"/>
              <w:rPr>
                <w:rFonts w:asciiTheme="minorHAnsi" w:hAnsiTheme="minorHAnsi"/>
                <w:kern w:val="24"/>
              </w:rPr>
            </w:pPr>
            <w:r w:rsidRPr="002F26AB">
              <w:rPr>
                <w:rFonts w:asciiTheme="minorHAnsi" w:hAnsiTheme="minorHAnsi" w:cstheme="minorHAnsi"/>
                <w:lang w:eastAsia="ja-JP"/>
              </w:rPr>
              <w:t>(698 – 806 MHz)</w:t>
            </w:r>
          </w:p>
        </w:tc>
      </w:tr>
      <w:tr w:rsidR="008C134E"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rPr>
            </w:pPr>
            <w:r w:rsidRPr="002F26AB">
              <w:rPr>
                <w:rFonts w:asciiTheme="minorHAnsi" w:eastAsia="SimSun" w:hAnsiTheme="minorHAnsi"/>
              </w:rPr>
              <w:t>BS antenna height</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25 m</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rPr>
            </w:pPr>
            <w:r w:rsidRPr="002F26AB">
              <w:rPr>
                <w:rFonts w:asciiTheme="minorHAnsi" w:hAnsiTheme="minorHAnsi"/>
                <w:kern w:val="24"/>
                <w:lang w:eastAsia="zh-CN"/>
              </w:rPr>
              <w:t>25 m</w:t>
            </w:r>
          </w:p>
        </w:tc>
      </w:tr>
      <w:tr w:rsidR="008C134E"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lang w:eastAsia="zh-CN"/>
              </w:rPr>
            </w:pPr>
            <w:r w:rsidRPr="002F26AB">
              <w:rPr>
                <w:rFonts w:asciiTheme="minorHAnsi" w:eastAsia="SimSun" w:hAnsiTheme="minorHAnsi"/>
              </w:rPr>
              <w:t>Total transmit power per TRxP</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cstheme="minorHAnsi"/>
                <w:kern w:val="24"/>
              </w:rPr>
            </w:pPr>
            <w:r w:rsidRPr="002F26AB">
              <w:rPr>
                <w:rFonts w:asciiTheme="minorHAnsi" w:hAnsiTheme="minorHAnsi" w:cstheme="minorHAnsi"/>
                <w:kern w:val="24"/>
              </w:rPr>
              <w:t>23 dBm for the Operational Bandwidth (1.728 MHz).</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cstheme="minorHAnsi"/>
                <w:kern w:val="24"/>
              </w:rPr>
            </w:pPr>
            <w:r w:rsidRPr="002F26AB">
              <w:rPr>
                <w:rFonts w:asciiTheme="minorHAnsi" w:hAnsiTheme="minorHAnsi" w:cstheme="minorHAnsi"/>
                <w:kern w:val="24"/>
              </w:rPr>
              <w:t>23 dBm for the Operational Bandwidth (1.728 MHz).</w:t>
            </w:r>
          </w:p>
        </w:tc>
      </w:tr>
      <w:tr w:rsidR="008C134E"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lang w:eastAsia="zh-CN"/>
              </w:rPr>
            </w:pPr>
            <w:r w:rsidRPr="002F26AB">
              <w:rPr>
                <w:rFonts w:asciiTheme="minorHAnsi" w:eastAsia="SimSun" w:hAnsiTheme="minorHAnsi"/>
              </w:rPr>
              <w:t>U</w:t>
            </w:r>
            <w:r w:rsidRPr="002F26AB">
              <w:rPr>
                <w:rFonts w:asciiTheme="minorHAnsi" w:hAnsiTheme="minorHAnsi"/>
                <w:lang w:eastAsia="zh-CN"/>
              </w:rPr>
              <w:t>E</w:t>
            </w:r>
            <w:r w:rsidRPr="002F26AB">
              <w:rPr>
                <w:rFonts w:asciiTheme="minorHAnsi" w:eastAsia="SimSun" w:hAnsiTheme="minorHAnsi"/>
              </w:rPr>
              <w:t xml:space="preserve"> power class</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rPr>
            </w:pPr>
            <w:r w:rsidRPr="002F26AB">
              <w:rPr>
                <w:rFonts w:asciiTheme="minorHAnsi" w:hAnsiTheme="minorHAnsi"/>
                <w:kern w:val="24"/>
              </w:rPr>
              <w:t>23 dBm</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rPr>
            </w:pPr>
            <w:r w:rsidRPr="002F26AB">
              <w:rPr>
                <w:rFonts w:asciiTheme="minorHAnsi" w:hAnsiTheme="minorHAnsi"/>
                <w:kern w:val="24"/>
              </w:rPr>
              <w:t>23 dBm</w:t>
            </w:r>
          </w:p>
        </w:tc>
      </w:tr>
      <w:tr w:rsidR="008C134E"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lang w:eastAsia="zh-CN"/>
              </w:rPr>
            </w:pPr>
            <w:r w:rsidRPr="002F26AB">
              <w:rPr>
                <w:rFonts w:asciiTheme="minorHAnsi" w:eastAsia="SimSun" w:hAnsiTheme="minorHAnsi"/>
              </w:rPr>
              <w:t>Percentage of high loss and low loss building type</w:t>
            </w:r>
            <w:r w:rsidRPr="002F26AB">
              <w:rPr>
                <w:rFonts w:asciiTheme="minorHAnsi" w:hAnsiTheme="minorHAnsi"/>
                <w:lang w:eastAsia="zh-CN"/>
              </w:rPr>
              <w:t xml:space="preserve"> </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rPr>
              <w:t>20% high loss, 80% low loss</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rPr>
              <w:t>20% high loss, 80% low loss</w:t>
            </w:r>
          </w:p>
        </w:tc>
      </w:tr>
      <w:tr w:rsidR="008C134E" w:rsidRPr="00094D63" w:rsidTr="004160DC">
        <w:trPr>
          <w:cantSplit/>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C134E" w:rsidRPr="002F26AB" w:rsidRDefault="008C134E" w:rsidP="004160DC">
            <w:pPr>
              <w:pStyle w:val="Tabletext"/>
              <w:jc w:val="center"/>
              <w:rPr>
                <w:rFonts w:asciiTheme="minorHAnsi" w:hAnsiTheme="minorHAnsi"/>
                <w:b/>
                <w:bCs/>
                <w:kern w:val="24"/>
              </w:rPr>
            </w:pPr>
            <w:r w:rsidRPr="002F26AB">
              <w:rPr>
                <w:rFonts w:asciiTheme="minorHAnsi" w:hAnsiTheme="minorHAnsi"/>
                <w:b/>
                <w:bCs/>
                <w:lang w:eastAsia="ja-JP"/>
              </w:rPr>
              <w:t>Additional parameters for system-level simulation</w:t>
            </w:r>
          </w:p>
        </w:tc>
      </w:tr>
      <w:tr w:rsidR="008C134E"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kern w:val="2"/>
              </w:rPr>
            </w:pPr>
            <w:r w:rsidRPr="002F26AB">
              <w:rPr>
                <w:rFonts w:asciiTheme="minorHAnsi" w:hAnsiTheme="minorHAnsi"/>
              </w:rPr>
              <w:t>Inter-</w:t>
            </w:r>
            <w:r w:rsidRPr="002F26AB">
              <w:rPr>
                <w:rFonts w:asciiTheme="minorHAnsi" w:hAnsiTheme="minorHAnsi"/>
                <w:lang w:eastAsia="zh-CN"/>
              </w:rPr>
              <w:t>site</w:t>
            </w:r>
            <w:r w:rsidRPr="002F26AB">
              <w:rPr>
                <w:rFonts w:asciiTheme="minorHAnsi" w:hAnsiTheme="minorHAnsi"/>
              </w:rPr>
              <w:t xml:space="preserve"> distance</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lang w:eastAsia="zh-CN"/>
              </w:rPr>
            </w:pPr>
            <w:r w:rsidRPr="002F26AB">
              <w:rPr>
                <w:rFonts w:asciiTheme="minorHAnsi" w:hAnsiTheme="minorHAnsi"/>
                <w:lang w:eastAsia="zh-CN"/>
              </w:rPr>
              <w:t>500 m</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lang w:eastAsia="zh-CN"/>
              </w:rPr>
              <w:t>1</w:t>
            </w:r>
            <w:r w:rsidR="00802A11">
              <w:rPr>
                <w:rFonts w:asciiTheme="minorHAnsi" w:hAnsiTheme="minorHAnsi"/>
                <w:lang w:eastAsia="zh-CN"/>
              </w:rPr>
              <w:t> </w:t>
            </w:r>
            <w:r w:rsidRPr="002F26AB">
              <w:rPr>
                <w:rFonts w:asciiTheme="minorHAnsi" w:hAnsiTheme="minorHAnsi"/>
                <w:lang w:eastAsia="zh-CN"/>
              </w:rPr>
              <w:t>732 m</w:t>
            </w:r>
          </w:p>
        </w:tc>
      </w:tr>
      <w:tr w:rsidR="008C134E"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lang w:eastAsia="zh-CN"/>
              </w:rPr>
            </w:pPr>
            <w:r w:rsidRPr="002F26AB">
              <w:rPr>
                <w:rFonts w:asciiTheme="minorHAnsi" w:eastAsia="SimSun" w:hAnsiTheme="minorHAnsi"/>
              </w:rPr>
              <w:t>Number of antenna elements per TRxP</w:t>
            </w:r>
          </w:p>
        </w:tc>
        <w:tc>
          <w:tcPr>
            <w:tcW w:w="3310" w:type="dxa"/>
            <w:tcBorders>
              <w:top w:val="single" w:sz="4" w:space="0" w:color="auto"/>
              <w:left w:val="single" w:sz="4" w:space="0" w:color="auto"/>
              <w:bottom w:val="single" w:sz="4" w:space="0" w:color="auto"/>
              <w:right w:val="single" w:sz="4" w:space="0" w:color="auto"/>
            </w:tcBorders>
            <w:hideMark/>
          </w:tcPr>
          <w:p w:rsidR="008C134E" w:rsidRPr="005D5A34" w:rsidRDefault="008C134E" w:rsidP="004160DC">
            <w:pPr>
              <w:pStyle w:val="Tabletext"/>
              <w:jc w:val="center"/>
              <w:rPr>
                <w:rFonts w:asciiTheme="minorHAnsi" w:hAnsiTheme="minorHAnsi"/>
                <w:color w:val="548DD4" w:themeColor="text2" w:themeTint="99"/>
                <w:lang w:eastAsia="zh-CN"/>
              </w:rPr>
            </w:pPr>
            <w:r w:rsidRPr="005D5A34">
              <w:rPr>
                <w:rFonts w:asciiTheme="minorHAnsi" w:hAnsiTheme="minorHAnsi"/>
                <w:color w:val="548DD4" w:themeColor="text2" w:themeTint="99"/>
                <w:lang w:eastAsia="zh-CN"/>
              </w:rPr>
              <w:t>1 or 2 antennas (MRC reception)</w:t>
            </w:r>
          </w:p>
        </w:tc>
        <w:tc>
          <w:tcPr>
            <w:tcW w:w="3546" w:type="dxa"/>
            <w:tcBorders>
              <w:top w:val="single" w:sz="4" w:space="0" w:color="auto"/>
              <w:left w:val="single" w:sz="4" w:space="0" w:color="auto"/>
              <w:bottom w:val="single" w:sz="4" w:space="0" w:color="auto"/>
              <w:right w:val="single" w:sz="4" w:space="0" w:color="auto"/>
            </w:tcBorders>
            <w:hideMark/>
          </w:tcPr>
          <w:p w:rsidR="008C134E" w:rsidRPr="005D5A34" w:rsidRDefault="008C134E" w:rsidP="004160DC">
            <w:pPr>
              <w:pStyle w:val="Tabletext"/>
              <w:jc w:val="center"/>
              <w:rPr>
                <w:rFonts w:asciiTheme="minorHAnsi" w:eastAsia="SimSun" w:hAnsiTheme="minorHAnsi"/>
                <w:color w:val="548DD4" w:themeColor="text2" w:themeTint="99"/>
                <w:kern w:val="24"/>
              </w:rPr>
            </w:pPr>
            <w:r w:rsidRPr="005D5A34">
              <w:rPr>
                <w:rFonts w:asciiTheme="minorHAnsi" w:hAnsiTheme="minorHAnsi"/>
                <w:color w:val="548DD4" w:themeColor="text2" w:themeTint="99"/>
                <w:lang w:eastAsia="zh-CN"/>
              </w:rPr>
              <w:t>1 or 2 antennas (MRC reception)</w:t>
            </w:r>
          </w:p>
        </w:tc>
      </w:tr>
      <w:tr w:rsidR="008C134E"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lang w:eastAsia="zh-CN"/>
              </w:rPr>
            </w:pPr>
            <w:r w:rsidRPr="002F26AB">
              <w:rPr>
                <w:rFonts w:asciiTheme="minorHAnsi" w:hAnsiTheme="minorHAnsi"/>
                <w:lang w:eastAsia="zh-CN"/>
              </w:rPr>
              <w:t>Number of UE antenna elements</w:t>
            </w:r>
          </w:p>
        </w:tc>
        <w:tc>
          <w:tcPr>
            <w:tcW w:w="3310" w:type="dxa"/>
            <w:tcBorders>
              <w:top w:val="single" w:sz="4" w:space="0" w:color="auto"/>
              <w:left w:val="single" w:sz="4" w:space="0" w:color="auto"/>
              <w:bottom w:val="single" w:sz="4" w:space="0" w:color="auto"/>
              <w:right w:val="single" w:sz="4" w:space="0" w:color="auto"/>
            </w:tcBorders>
            <w:hideMark/>
          </w:tcPr>
          <w:p w:rsidR="008C134E" w:rsidRPr="005D5A34" w:rsidRDefault="008C134E" w:rsidP="004160DC">
            <w:pPr>
              <w:pStyle w:val="Tabletext"/>
              <w:jc w:val="center"/>
              <w:rPr>
                <w:rFonts w:asciiTheme="minorHAnsi" w:hAnsiTheme="minorHAnsi"/>
                <w:i/>
                <w:color w:val="548DD4" w:themeColor="text2" w:themeTint="99"/>
                <w:lang w:eastAsia="zh-CN"/>
              </w:rPr>
            </w:pPr>
            <w:r w:rsidRPr="005D5A34">
              <w:rPr>
                <w:rFonts w:asciiTheme="minorHAnsi" w:hAnsiTheme="minorHAnsi"/>
                <w:color w:val="548DD4" w:themeColor="text2" w:themeTint="99"/>
                <w:lang w:eastAsia="zh-CN"/>
              </w:rPr>
              <w:t>2 isotropic</w:t>
            </w:r>
          </w:p>
        </w:tc>
        <w:tc>
          <w:tcPr>
            <w:tcW w:w="3546" w:type="dxa"/>
            <w:tcBorders>
              <w:top w:val="single" w:sz="4" w:space="0" w:color="auto"/>
              <w:left w:val="single" w:sz="4" w:space="0" w:color="auto"/>
              <w:bottom w:val="single" w:sz="4" w:space="0" w:color="auto"/>
              <w:right w:val="single" w:sz="4" w:space="0" w:color="auto"/>
            </w:tcBorders>
            <w:hideMark/>
          </w:tcPr>
          <w:p w:rsidR="008C134E" w:rsidRPr="005D5A34" w:rsidRDefault="008C134E" w:rsidP="004160DC">
            <w:pPr>
              <w:pStyle w:val="Tabletext"/>
              <w:jc w:val="center"/>
              <w:rPr>
                <w:rFonts w:asciiTheme="minorHAnsi" w:hAnsiTheme="minorHAnsi"/>
                <w:color w:val="548DD4" w:themeColor="text2" w:themeTint="99"/>
                <w:kern w:val="24"/>
                <w:lang w:eastAsia="zh-CN"/>
              </w:rPr>
            </w:pPr>
            <w:r w:rsidRPr="005D5A34">
              <w:rPr>
                <w:rFonts w:asciiTheme="minorHAnsi" w:hAnsiTheme="minorHAnsi"/>
                <w:color w:val="548DD4" w:themeColor="text2" w:themeTint="99"/>
                <w:lang w:eastAsia="zh-CN"/>
              </w:rPr>
              <w:t>2 isotropic</w:t>
            </w:r>
          </w:p>
        </w:tc>
      </w:tr>
      <w:tr w:rsidR="008C134E" w:rsidRPr="00094D63"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kern w:val="2"/>
                <w:lang w:eastAsia="zh-CN"/>
              </w:rPr>
            </w:pPr>
            <w:r w:rsidRPr="002F26AB">
              <w:rPr>
                <w:rFonts w:asciiTheme="minorHAnsi" w:hAnsiTheme="minorHAnsi"/>
                <w:kern w:val="2"/>
                <w:lang w:eastAsia="zh-CN"/>
              </w:rPr>
              <w:t>Device deployment</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eastAsia="MS Mincho" w:hAnsiTheme="minorHAnsi"/>
                <w:lang w:eastAsia="ja-JP"/>
              </w:rPr>
            </w:pPr>
            <w:r w:rsidRPr="002F26AB">
              <w:rPr>
                <w:rFonts w:asciiTheme="minorHAnsi" w:hAnsiTheme="minorHAnsi"/>
                <w:lang w:eastAsia="zh-CN"/>
              </w:rPr>
              <w:t>80% indoor, 20% outdoor</w:t>
            </w:r>
          </w:p>
          <w:p w:rsidR="008C134E" w:rsidRPr="002F26AB" w:rsidRDefault="008C134E" w:rsidP="004160DC">
            <w:pPr>
              <w:pStyle w:val="Tabletext"/>
              <w:jc w:val="center"/>
              <w:rPr>
                <w:rFonts w:asciiTheme="minorHAnsi" w:eastAsia="MS Mincho" w:hAnsiTheme="minorHAnsi"/>
                <w:lang w:eastAsia="ja-JP"/>
              </w:rPr>
            </w:pPr>
            <w:r w:rsidRPr="002F26AB">
              <w:rPr>
                <w:rFonts w:asciiTheme="minorHAnsi" w:hAnsiTheme="minorHAnsi"/>
                <w:color w:val="000000"/>
                <w:kern w:val="24"/>
                <w:lang w:eastAsia="zh-CN"/>
              </w:rPr>
              <w:t>Randomly and uniformly distributed over the area</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eastAsia="MS Mincho" w:hAnsiTheme="minorHAnsi"/>
                <w:lang w:eastAsia="ja-JP"/>
              </w:rPr>
            </w:pPr>
            <w:r w:rsidRPr="002F26AB">
              <w:rPr>
                <w:rFonts w:asciiTheme="minorHAnsi" w:hAnsiTheme="minorHAnsi"/>
                <w:lang w:eastAsia="zh-CN"/>
              </w:rPr>
              <w:t>80% indoor, 20% outdoor</w:t>
            </w:r>
          </w:p>
          <w:p w:rsidR="008C134E" w:rsidRPr="002F26AB" w:rsidRDefault="008C134E" w:rsidP="004160DC">
            <w:pPr>
              <w:pStyle w:val="Tabletext"/>
              <w:jc w:val="center"/>
              <w:rPr>
                <w:rFonts w:asciiTheme="minorHAnsi" w:eastAsia="MS Mincho" w:hAnsiTheme="minorHAnsi"/>
                <w:kern w:val="24"/>
                <w:lang w:eastAsia="ja-JP"/>
              </w:rPr>
            </w:pPr>
            <w:r w:rsidRPr="002F26AB">
              <w:rPr>
                <w:rFonts w:asciiTheme="minorHAnsi" w:hAnsiTheme="minorHAnsi"/>
                <w:color w:val="000000"/>
                <w:kern w:val="24"/>
                <w:lang w:eastAsia="zh-CN"/>
              </w:rPr>
              <w:t>Randomly and uniformly distributed over the area</w:t>
            </w:r>
          </w:p>
        </w:tc>
      </w:tr>
      <w:tr w:rsidR="008C134E" w:rsidRPr="002F26AB"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kern w:val="2"/>
              </w:rPr>
            </w:pPr>
            <w:r w:rsidRPr="002F26AB">
              <w:rPr>
                <w:rFonts w:asciiTheme="minorHAnsi" w:hAnsiTheme="minorHAnsi"/>
                <w:bCs/>
              </w:rPr>
              <w:t>UE mobility model</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eastAsia="SimSun" w:hAnsiTheme="minorHAnsi"/>
              </w:rPr>
            </w:pPr>
            <w:r w:rsidRPr="002F26AB">
              <w:rPr>
                <w:rFonts w:asciiTheme="minorHAnsi" w:eastAsia="SimSun" w:hAnsiTheme="minorHAnsi"/>
              </w:rPr>
              <w:t>Fixed and identical speed |v| of all UEs of the same mobility class, randomly and uniformly distributed direction.</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eastAsia="SimSun" w:hAnsiTheme="minorHAnsi"/>
              </w:rPr>
            </w:pPr>
            <w:r w:rsidRPr="002F26AB">
              <w:rPr>
                <w:rFonts w:asciiTheme="minorHAnsi" w:eastAsia="SimSun" w:hAnsiTheme="minorHAnsi"/>
              </w:rPr>
              <w:t>Fixed and identical speed |v| of all UEs of the same mobility class, randomly and uniformly distributed direction.</w:t>
            </w:r>
          </w:p>
        </w:tc>
      </w:tr>
      <w:tr w:rsidR="008C134E" w:rsidRPr="002F26AB"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kern w:val="2"/>
              </w:rPr>
            </w:pPr>
            <w:r w:rsidRPr="002F26AB">
              <w:rPr>
                <w:rFonts w:asciiTheme="minorHAnsi" w:hAnsiTheme="minorHAnsi"/>
                <w:bCs/>
              </w:rPr>
              <w:t>U</w:t>
            </w:r>
            <w:r w:rsidRPr="002F26AB">
              <w:rPr>
                <w:rFonts w:asciiTheme="minorHAnsi" w:hAnsiTheme="minorHAnsi"/>
                <w:bCs/>
                <w:lang w:eastAsia="zh-CN"/>
              </w:rPr>
              <w:t>E</w:t>
            </w:r>
            <w:r w:rsidRPr="002F26AB">
              <w:rPr>
                <w:rFonts w:asciiTheme="minorHAnsi" w:hAnsiTheme="minorHAnsi"/>
                <w:bCs/>
              </w:rPr>
              <w:t xml:space="preserve"> speeds of interest</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rPr>
              <w:t>3 km/h for indoor and outdoor</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rPr>
              <w:t>3 km/h for indoor and outdo</w:t>
            </w:r>
            <w:r w:rsidRPr="002F26AB">
              <w:rPr>
                <w:rFonts w:asciiTheme="minorHAnsi" w:hAnsiTheme="minorHAnsi"/>
                <w:lang w:eastAsia="ja-JP"/>
              </w:rPr>
              <w:t>or</w:t>
            </w:r>
          </w:p>
        </w:tc>
      </w:tr>
      <w:tr w:rsidR="008C134E" w:rsidRPr="002F26AB"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kern w:val="2"/>
              </w:rPr>
            </w:pPr>
            <w:r w:rsidRPr="002F26AB">
              <w:rPr>
                <w:rFonts w:asciiTheme="minorHAnsi" w:hAnsiTheme="minorHAnsi"/>
                <w:bCs/>
              </w:rPr>
              <w:t>Inter-site interference modelling</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eastAsia="SimSun" w:hAnsiTheme="minorHAnsi"/>
                <w:kern w:val="2"/>
              </w:rPr>
            </w:pPr>
            <w:r w:rsidRPr="002F26AB">
              <w:rPr>
                <w:rFonts w:asciiTheme="minorHAnsi" w:eastAsia="SimSun" w:hAnsiTheme="minorHAnsi"/>
              </w:rPr>
              <w:t>Explicitly model</w:t>
            </w:r>
            <w:r w:rsidRPr="002F26AB">
              <w:rPr>
                <w:rFonts w:asciiTheme="minorHAnsi" w:eastAsia="SimSun" w:hAnsiTheme="minorHAnsi"/>
                <w:lang w:eastAsia="zh-CN"/>
              </w:rPr>
              <w:t>l</w:t>
            </w:r>
            <w:r w:rsidRPr="002F26AB">
              <w:rPr>
                <w:rFonts w:asciiTheme="minorHAnsi" w:eastAsia="SimSun" w:hAnsiTheme="minorHAnsi"/>
              </w:rPr>
              <w:t>ed</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eastAsia="SimSun" w:hAnsiTheme="minorHAnsi"/>
                <w:kern w:val="24"/>
              </w:rPr>
            </w:pPr>
            <w:r w:rsidRPr="002F26AB">
              <w:rPr>
                <w:rFonts w:asciiTheme="minorHAnsi" w:eastAsia="SimSun" w:hAnsiTheme="minorHAnsi"/>
              </w:rPr>
              <w:t>Explicitly model</w:t>
            </w:r>
            <w:r w:rsidRPr="002F26AB">
              <w:rPr>
                <w:rFonts w:asciiTheme="minorHAnsi" w:eastAsia="SimSun" w:hAnsiTheme="minorHAnsi"/>
                <w:lang w:eastAsia="zh-CN"/>
              </w:rPr>
              <w:t>l</w:t>
            </w:r>
            <w:r w:rsidRPr="002F26AB">
              <w:rPr>
                <w:rFonts w:asciiTheme="minorHAnsi" w:eastAsia="SimSun" w:hAnsiTheme="minorHAnsi"/>
              </w:rPr>
              <w:t>ed</w:t>
            </w:r>
          </w:p>
        </w:tc>
      </w:tr>
      <w:tr w:rsidR="008C134E" w:rsidRPr="002F26AB"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kern w:val="2"/>
              </w:rPr>
            </w:pPr>
            <w:r w:rsidRPr="002F26AB">
              <w:rPr>
                <w:rFonts w:asciiTheme="minorHAnsi" w:hAnsiTheme="minorHAnsi"/>
                <w:kern w:val="24"/>
              </w:rPr>
              <w:t>BS noise figure</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5</w:t>
            </w:r>
            <w:r w:rsidRPr="002F26AB">
              <w:rPr>
                <w:rFonts w:asciiTheme="minorHAnsi" w:hAnsiTheme="minorHAnsi"/>
                <w:kern w:val="24"/>
                <w:lang w:eastAsia="ja-JP"/>
              </w:rPr>
              <w:t xml:space="preserve"> </w:t>
            </w:r>
            <w:r w:rsidRPr="002F26AB">
              <w:rPr>
                <w:rFonts w:asciiTheme="minorHAnsi" w:hAnsiTheme="minorHAnsi"/>
                <w:kern w:val="24"/>
                <w:lang w:eastAsia="zh-CN"/>
              </w:rPr>
              <w:t>dB</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5</w:t>
            </w:r>
            <w:r w:rsidRPr="002F26AB">
              <w:rPr>
                <w:rFonts w:asciiTheme="minorHAnsi" w:hAnsiTheme="minorHAnsi"/>
                <w:kern w:val="24"/>
                <w:lang w:eastAsia="ja-JP"/>
              </w:rPr>
              <w:t xml:space="preserve"> </w:t>
            </w:r>
            <w:r w:rsidRPr="002F26AB">
              <w:rPr>
                <w:rFonts w:asciiTheme="minorHAnsi" w:hAnsiTheme="minorHAnsi"/>
                <w:kern w:val="24"/>
                <w:lang w:eastAsia="zh-CN"/>
              </w:rPr>
              <w:t>dB</w:t>
            </w:r>
          </w:p>
        </w:tc>
      </w:tr>
      <w:tr w:rsidR="008C134E" w:rsidRPr="002F26AB"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kern w:val="2"/>
              </w:rPr>
            </w:pPr>
            <w:r w:rsidRPr="002F26AB">
              <w:rPr>
                <w:rFonts w:asciiTheme="minorHAnsi" w:hAnsiTheme="minorHAnsi"/>
                <w:bCs/>
              </w:rPr>
              <w:t>UE noise figure</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ja-JP"/>
              </w:rPr>
            </w:pPr>
            <w:r w:rsidRPr="002F26AB">
              <w:rPr>
                <w:rFonts w:asciiTheme="minorHAnsi" w:hAnsiTheme="minorHAnsi"/>
                <w:kern w:val="24"/>
                <w:lang w:eastAsia="zh-CN"/>
              </w:rPr>
              <w:t>7</w:t>
            </w:r>
            <w:r w:rsidRPr="002F26AB">
              <w:rPr>
                <w:rFonts w:asciiTheme="minorHAnsi" w:hAnsiTheme="minorHAnsi"/>
                <w:kern w:val="24"/>
                <w:lang w:eastAsia="ja-JP"/>
              </w:rPr>
              <w:t xml:space="preserve"> </w:t>
            </w:r>
            <w:r w:rsidRPr="002F26AB">
              <w:rPr>
                <w:rFonts w:asciiTheme="minorHAnsi" w:hAnsiTheme="minorHAnsi"/>
                <w:kern w:val="24"/>
                <w:lang w:eastAsia="zh-CN"/>
              </w:rPr>
              <w:t>dB</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7</w:t>
            </w:r>
            <w:r w:rsidRPr="002F26AB">
              <w:rPr>
                <w:rFonts w:asciiTheme="minorHAnsi" w:hAnsiTheme="minorHAnsi"/>
                <w:kern w:val="24"/>
                <w:lang w:eastAsia="ja-JP"/>
              </w:rPr>
              <w:t xml:space="preserve"> </w:t>
            </w:r>
            <w:r w:rsidRPr="002F26AB">
              <w:rPr>
                <w:rFonts w:asciiTheme="minorHAnsi" w:hAnsiTheme="minorHAnsi"/>
                <w:kern w:val="24"/>
                <w:lang w:eastAsia="zh-CN"/>
              </w:rPr>
              <w:t>dB</w:t>
            </w:r>
          </w:p>
        </w:tc>
      </w:tr>
      <w:tr w:rsidR="008C134E" w:rsidRPr="002F26AB"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kern w:val="2"/>
              </w:rPr>
            </w:pPr>
            <w:r w:rsidRPr="002F26AB">
              <w:rPr>
                <w:rFonts w:asciiTheme="minorHAnsi" w:hAnsiTheme="minorHAnsi"/>
                <w:bCs/>
              </w:rPr>
              <w:t>BS antenna element gain</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8</w:t>
            </w:r>
            <w:r w:rsidRPr="002F26AB">
              <w:rPr>
                <w:rFonts w:asciiTheme="minorHAnsi" w:hAnsiTheme="minorHAnsi"/>
                <w:kern w:val="24"/>
                <w:lang w:eastAsia="ja-JP"/>
              </w:rPr>
              <w:t xml:space="preserve"> </w:t>
            </w:r>
            <w:r w:rsidRPr="002F26AB">
              <w:rPr>
                <w:rFonts w:asciiTheme="minorHAnsi" w:hAnsiTheme="minorHAnsi"/>
                <w:kern w:val="24"/>
                <w:lang w:eastAsia="zh-CN"/>
              </w:rPr>
              <w:t>dBi</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8</w:t>
            </w:r>
            <w:r w:rsidRPr="002F26AB">
              <w:rPr>
                <w:rFonts w:asciiTheme="minorHAnsi" w:hAnsiTheme="minorHAnsi"/>
                <w:kern w:val="24"/>
                <w:lang w:eastAsia="ja-JP"/>
              </w:rPr>
              <w:t xml:space="preserve"> </w:t>
            </w:r>
            <w:r w:rsidRPr="002F26AB">
              <w:rPr>
                <w:rFonts w:asciiTheme="minorHAnsi" w:hAnsiTheme="minorHAnsi"/>
                <w:kern w:val="24"/>
                <w:lang w:eastAsia="zh-CN"/>
              </w:rPr>
              <w:t>dBi</w:t>
            </w:r>
          </w:p>
        </w:tc>
      </w:tr>
      <w:tr w:rsidR="008C134E" w:rsidRPr="002F26AB"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kern w:val="2"/>
              </w:rPr>
            </w:pPr>
            <w:r w:rsidRPr="002F26AB">
              <w:rPr>
                <w:rFonts w:asciiTheme="minorHAnsi" w:hAnsiTheme="minorHAnsi"/>
                <w:bCs/>
              </w:rPr>
              <w:t>UE antenna element gain</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0</w:t>
            </w:r>
            <w:r w:rsidRPr="002F26AB">
              <w:rPr>
                <w:rFonts w:asciiTheme="minorHAnsi" w:hAnsiTheme="minorHAnsi"/>
                <w:kern w:val="24"/>
                <w:lang w:eastAsia="ja-JP"/>
              </w:rPr>
              <w:t xml:space="preserve"> </w:t>
            </w:r>
            <w:r w:rsidRPr="002F26AB">
              <w:rPr>
                <w:rFonts w:asciiTheme="minorHAnsi" w:hAnsiTheme="minorHAnsi"/>
                <w:kern w:val="24"/>
                <w:lang w:eastAsia="zh-CN"/>
              </w:rPr>
              <w:t>dBi</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0</w:t>
            </w:r>
            <w:r w:rsidRPr="002F26AB">
              <w:rPr>
                <w:rFonts w:asciiTheme="minorHAnsi" w:hAnsiTheme="minorHAnsi"/>
                <w:kern w:val="24"/>
                <w:lang w:eastAsia="ja-JP"/>
              </w:rPr>
              <w:t xml:space="preserve"> </w:t>
            </w:r>
            <w:r w:rsidRPr="002F26AB">
              <w:rPr>
                <w:rFonts w:asciiTheme="minorHAnsi" w:hAnsiTheme="minorHAnsi"/>
                <w:kern w:val="24"/>
                <w:lang w:eastAsia="zh-CN"/>
              </w:rPr>
              <w:t>dBi</w:t>
            </w:r>
          </w:p>
        </w:tc>
      </w:tr>
      <w:tr w:rsidR="008C134E" w:rsidRPr="002F26AB" w:rsidTr="004160DC">
        <w:trPr>
          <w:cantSplit/>
          <w:jc w:val="center"/>
        </w:trPr>
        <w:tc>
          <w:tcPr>
            <w:tcW w:w="2783"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eastAsia="SimSun" w:hAnsiTheme="minorHAnsi"/>
                <w:kern w:val="2"/>
              </w:rPr>
            </w:pPr>
            <w:r w:rsidRPr="002F26AB">
              <w:rPr>
                <w:rFonts w:asciiTheme="minorHAnsi" w:hAnsiTheme="minorHAnsi"/>
                <w:bCs/>
              </w:rPr>
              <w:t>Thermal noise level</w:t>
            </w:r>
          </w:p>
        </w:tc>
        <w:tc>
          <w:tcPr>
            <w:tcW w:w="331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color w:val="000000"/>
                <w:kern w:val="24"/>
                <w:lang w:eastAsia="zh-CN"/>
              </w:rPr>
              <w:t>‒</w:t>
            </w:r>
            <w:r w:rsidRPr="002F26AB">
              <w:rPr>
                <w:rFonts w:asciiTheme="minorHAnsi" w:hAnsiTheme="minorHAnsi"/>
                <w:kern w:val="24"/>
                <w:lang w:eastAsia="zh-CN"/>
              </w:rPr>
              <w:t>174 dBm/Hz</w:t>
            </w:r>
          </w:p>
        </w:tc>
        <w:tc>
          <w:tcPr>
            <w:tcW w:w="3546"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color w:val="000000"/>
                <w:kern w:val="24"/>
                <w:lang w:eastAsia="zh-CN"/>
              </w:rPr>
              <w:t>‒</w:t>
            </w:r>
            <w:r w:rsidRPr="002F26AB">
              <w:rPr>
                <w:rFonts w:asciiTheme="minorHAnsi" w:hAnsiTheme="minorHAnsi"/>
                <w:kern w:val="24"/>
                <w:lang w:eastAsia="zh-CN"/>
              </w:rPr>
              <w:t>174 dBm/Hz</w:t>
            </w:r>
          </w:p>
        </w:tc>
      </w:tr>
    </w:tbl>
    <w:p w:rsidR="008C134E" w:rsidRPr="002F26AB" w:rsidRDefault="008C134E" w:rsidP="0054085C"/>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3"/>
        <w:gridCol w:w="3310"/>
        <w:gridCol w:w="3546"/>
      </w:tblGrid>
      <w:tr w:rsidR="008C134E" w:rsidRPr="002F26AB" w:rsidTr="004160DC">
        <w:trPr>
          <w:cantSplit/>
          <w:tblHeader/>
          <w:jc w:val="center"/>
        </w:trPr>
        <w:tc>
          <w:tcPr>
            <w:tcW w:w="2820" w:type="dxa"/>
            <w:vMerge w:val="restart"/>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pStyle w:val="Tablehead"/>
              <w:rPr>
                <w:rFonts w:asciiTheme="minorHAnsi" w:hAnsiTheme="minorHAnsi"/>
                <w:lang w:eastAsia="zh-CN"/>
              </w:rPr>
            </w:pPr>
            <w:r w:rsidRPr="002F26AB">
              <w:rPr>
                <w:rFonts w:asciiTheme="minorHAnsi" w:hAnsiTheme="minorHAnsi"/>
                <w:lang w:eastAsia="zh-CN"/>
              </w:rPr>
              <w:t>Parameters</w:t>
            </w: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pStyle w:val="Tablehead"/>
              <w:rPr>
                <w:rFonts w:asciiTheme="minorHAnsi" w:hAnsiTheme="minorHAnsi"/>
                <w:lang w:eastAsia="ja-JP"/>
              </w:rPr>
            </w:pPr>
            <w:r w:rsidRPr="002F26AB">
              <w:rPr>
                <w:rFonts w:asciiTheme="minorHAnsi" w:hAnsiTheme="minorHAnsi"/>
                <w:lang w:eastAsia="zh-CN"/>
              </w:rPr>
              <w:t>Urban Macro–mMTC</w:t>
            </w:r>
          </w:p>
        </w:tc>
      </w:tr>
      <w:tr w:rsidR="008C134E" w:rsidRPr="002F26AB" w:rsidTr="004160DC">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rPr>
                <w:rFonts w:cs="Times New Roman Bold"/>
                <w:b/>
                <w:sz w:val="20"/>
                <w:lang w:eastAsia="zh-CN"/>
              </w:rPr>
            </w:pPr>
          </w:p>
        </w:tc>
        <w:tc>
          <w:tcPr>
            <w:tcW w:w="6950" w:type="dxa"/>
            <w:gridSpan w:val="2"/>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pStyle w:val="Tablehead"/>
              <w:rPr>
                <w:rFonts w:asciiTheme="minorHAnsi" w:hAnsiTheme="minorHAnsi"/>
                <w:lang w:eastAsia="ja-JP"/>
              </w:rPr>
            </w:pPr>
            <w:r w:rsidRPr="002F26AB">
              <w:rPr>
                <w:rFonts w:asciiTheme="minorHAnsi" w:hAnsiTheme="minorHAnsi"/>
                <w:lang w:eastAsia="ja-JP"/>
              </w:rPr>
              <w:t>Connection Density Evaluation</w:t>
            </w:r>
          </w:p>
        </w:tc>
      </w:tr>
      <w:tr w:rsidR="008C134E" w:rsidRPr="002F26AB" w:rsidTr="004160DC">
        <w:trPr>
          <w:cantSplit/>
          <w:tblHeader/>
          <w:jc w:val="center"/>
        </w:trPr>
        <w:tc>
          <w:tcPr>
            <w:tcW w:w="2820" w:type="dxa"/>
            <w:vMerge/>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rPr>
                <w:rFonts w:cs="Times New Roman Bold"/>
                <w:b/>
                <w:sz w:val="20"/>
                <w:lang w:eastAsia="zh-CN"/>
              </w:rPr>
            </w:pPr>
          </w:p>
        </w:tc>
        <w:tc>
          <w:tcPr>
            <w:tcW w:w="3355" w:type="dxa"/>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pStyle w:val="Tablehead"/>
              <w:rPr>
                <w:rFonts w:asciiTheme="minorHAnsi" w:hAnsiTheme="minorHAnsi"/>
                <w:lang w:eastAsia="ja-JP"/>
              </w:rPr>
            </w:pPr>
            <w:r w:rsidRPr="002F26AB">
              <w:rPr>
                <w:rFonts w:asciiTheme="minorHAnsi" w:hAnsiTheme="minorHAnsi"/>
                <w:lang w:eastAsia="ja-JP"/>
              </w:rPr>
              <w:t>Configuration A</w:t>
            </w:r>
          </w:p>
        </w:tc>
        <w:tc>
          <w:tcPr>
            <w:tcW w:w="3595" w:type="dxa"/>
            <w:tcBorders>
              <w:top w:val="single" w:sz="4" w:space="0" w:color="auto"/>
              <w:left w:val="single" w:sz="4" w:space="0" w:color="auto"/>
              <w:bottom w:val="single" w:sz="4" w:space="0" w:color="auto"/>
              <w:right w:val="single" w:sz="4" w:space="0" w:color="auto"/>
            </w:tcBorders>
            <w:vAlign w:val="center"/>
            <w:hideMark/>
          </w:tcPr>
          <w:p w:rsidR="008C134E" w:rsidRPr="002F26AB" w:rsidRDefault="008C134E" w:rsidP="004160DC">
            <w:pPr>
              <w:pStyle w:val="Tablehead"/>
              <w:rPr>
                <w:rFonts w:asciiTheme="minorHAnsi" w:hAnsiTheme="minorHAnsi"/>
                <w:lang w:eastAsia="ja-JP"/>
              </w:rPr>
            </w:pPr>
            <w:r w:rsidRPr="002F26AB">
              <w:rPr>
                <w:rFonts w:asciiTheme="minorHAnsi" w:hAnsiTheme="minorHAnsi"/>
                <w:lang w:eastAsia="ja-JP"/>
              </w:rPr>
              <w:t>Configuration B</w:t>
            </w:r>
          </w:p>
        </w:tc>
      </w:tr>
      <w:tr w:rsidR="008C134E" w:rsidRPr="002F26AB" w:rsidTr="004160DC">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bCs/>
                <w:lang w:eastAsia="zh-CN"/>
              </w:rPr>
            </w:pPr>
            <w:r w:rsidRPr="002F26AB">
              <w:rPr>
                <w:rFonts w:asciiTheme="minorHAnsi" w:hAnsiTheme="minorHAnsi"/>
                <w:bCs/>
                <w:lang w:eastAsia="zh-CN"/>
              </w:rPr>
              <w:t>Traffic model</w:t>
            </w:r>
          </w:p>
        </w:tc>
        <w:tc>
          <w:tcPr>
            <w:tcW w:w="3355"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With layer 2 PDU</w:t>
            </w:r>
            <w:r w:rsidRPr="002F26AB">
              <w:rPr>
                <w:rFonts w:asciiTheme="minorHAnsi" w:eastAsia="MS Mincho" w:hAnsiTheme="minorHAnsi"/>
                <w:kern w:val="24"/>
                <w:lang w:eastAsia="ja-JP"/>
              </w:rPr>
              <w:t xml:space="preserve"> </w:t>
            </w:r>
            <w:r w:rsidRPr="002F26AB">
              <w:rPr>
                <w:rFonts w:asciiTheme="minorHAnsi" w:hAnsiTheme="minorHAnsi"/>
                <w:kern w:val="24"/>
                <w:lang w:eastAsia="zh-CN"/>
              </w:rPr>
              <w:t>(Protocol Data Unit) message size of 32 bytes:</w:t>
            </w:r>
          </w:p>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1 message/day/device</w:t>
            </w:r>
          </w:p>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or</w:t>
            </w:r>
          </w:p>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1 message/2 hours/device</w:t>
            </w:r>
          </w:p>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 xml:space="preserve">Packet arrival follows Poisson arrival process for non-full buffer </w:t>
            </w:r>
            <w:r w:rsidRPr="002F26AB">
              <w:rPr>
                <w:rFonts w:asciiTheme="minorHAnsi" w:hAnsiTheme="minorHAnsi"/>
              </w:rPr>
              <w:t>system</w:t>
            </w:r>
            <w:r w:rsidRPr="002F26AB">
              <w:rPr>
                <w:rFonts w:asciiTheme="minorHAnsi" w:eastAsia="MS Mincho" w:hAnsiTheme="minorHAnsi"/>
                <w:lang w:eastAsia="ja-JP"/>
              </w:rPr>
              <w:t>-</w:t>
            </w:r>
            <w:r w:rsidRPr="002F26AB">
              <w:rPr>
                <w:rFonts w:asciiTheme="minorHAnsi" w:hAnsiTheme="minorHAnsi"/>
              </w:rPr>
              <w:t>level simulation</w:t>
            </w:r>
          </w:p>
        </w:tc>
        <w:tc>
          <w:tcPr>
            <w:tcW w:w="3595"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With layer 2 PDU</w:t>
            </w:r>
            <w:r w:rsidRPr="002F26AB">
              <w:rPr>
                <w:rFonts w:asciiTheme="minorHAnsi" w:eastAsia="MS Mincho" w:hAnsiTheme="minorHAnsi"/>
                <w:kern w:val="24"/>
                <w:lang w:eastAsia="ja-JP"/>
              </w:rPr>
              <w:t xml:space="preserve"> </w:t>
            </w:r>
            <w:r w:rsidRPr="002F26AB">
              <w:rPr>
                <w:rFonts w:asciiTheme="minorHAnsi" w:hAnsiTheme="minorHAnsi"/>
                <w:kern w:val="24"/>
                <w:lang w:eastAsia="zh-CN"/>
              </w:rPr>
              <w:t>(Protocol Data Unit) message size of 32 bytes:</w:t>
            </w:r>
          </w:p>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1 message/day/device</w:t>
            </w:r>
          </w:p>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or</w:t>
            </w:r>
          </w:p>
          <w:p w:rsidR="008C134E" w:rsidRPr="002F26AB" w:rsidRDefault="008C134E" w:rsidP="004160DC">
            <w:pPr>
              <w:pStyle w:val="Tabletext"/>
              <w:jc w:val="center"/>
              <w:rPr>
                <w:rFonts w:asciiTheme="minorHAnsi" w:hAnsiTheme="minorHAnsi"/>
                <w:kern w:val="24"/>
                <w:lang w:eastAsia="zh-CN"/>
              </w:rPr>
            </w:pPr>
            <w:r w:rsidRPr="002F26AB">
              <w:rPr>
                <w:rFonts w:asciiTheme="minorHAnsi" w:hAnsiTheme="minorHAnsi"/>
                <w:kern w:val="24"/>
                <w:lang w:eastAsia="zh-CN"/>
              </w:rPr>
              <w:t>1 message/2 hours/devic</w:t>
            </w:r>
            <w:r>
              <w:rPr>
                <w:rFonts w:asciiTheme="minorHAnsi" w:hAnsiTheme="minorHAnsi"/>
                <w:kern w:val="24"/>
                <w:lang w:eastAsia="zh-CN"/>
              </w:rPr>
              <w:t>e</w:t>
            </w:r>
          </w:p>
          <w:p w:rsidR="008C134E" w:rsidRPr="002F26AB" w:rsidRDefault="008C134E" w:rsidP="004160DC">
            <w:pPr>
              <w:pStyle w:val="Tabletext"/>
              <w:jc w:val="center"/>
              <w:rPr>
                <w:rFonts w:asciiTheme="minorHAnsi" w:hAnsiTheme="minorHAnsi"/>
                <w:color w:val="000000"/>
                <w:kern w:val="24"/>
                <w:lang w:eastAsia="zh-CN"/>
              </w:rPr>
            </w:pPr>
            <w:r w:rsidRPr="002F26AB">
              <w:rPr>
                <w:rFonts w:asciiTheme="minorHAnsi" w:hAnsiTheme="minorHAnsi"/>
                <w:kern w:val="24"/>
                <w:lang w:eastAsia="zh-CN"/>
              </w:rPr>
              <w:t xml:space="preserve">Packet arrival follows Poisson arrival process for non-full buffer </w:t>
            </w:r>
            <w:r w:rsidRPr="002F26AB">
              <w:rPr>
                <w:rFonts w:asciiTheme="minorHAnsi" w:hAnsiTheme="minorHAnsi"/>
              </w:rPr>
              <w:t>system</w:t>
            </w:r>
            <w:r w:rsidRPr="002F26AB">
              <w:rPr>
                <w:rFonts w:asciiTheme="minorHAnsi" w:eastAsia="MS Mincho" w:hAnsiTheme="minorHAnsi"/>
                <w:lang w:eastAsia="ja-JP"/>
              </w:rPr>
              <w:t>-</w:t>
            </w:r>
            <w:r w:rsidRPr="002F26AB">
              <w:rPr>
                <w:rFonts w:asciiTheme="minorHAnsi" w:hAnsiTheme="minorHAnsi"/>
              </w:rPr>
              <w:t>level simulation</w:t>
            </w:r>
          </w:p>
        </w:tc>
      </w:tr>
      <w:tr w:rsidR="008C134E" w:rsidRPr="002F26AB" w:rsidTr="004160DC">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bCs/>
                <w:lang w:eastAsia="zh-CN"/>
              </w:rPr>
            </w:pPr>
            <w:r w:rsidRPr="002F26AB">
              <w:rPr>
                <w:rFonts w:asciiTheme="minorHAnsi" w:hAnsiTheme="minorHAnsi"/>
                <w:bCs/>
                <w:lang w:eastAsia="zh-CN"/>
              </w:rPr>
              <w:t>Simulation bandwidth</w:t>
            </w:r>
          </w:p>
        </w:tc>
        <w:tc>
          <w:tcPr>
            <w:tcW w:w="3355" w:type="dxa"/>
            <w:tcBorders>
              <w:top w:val="single" w:sz="4" w:space="0" w:color="auto"/>
              <w:left w:val="single" w:sz="4" w:space="0" w:color="auto"/>
              <w:bottom w:val="single" w:sz="4" w:space="0" w:color="auto"/>
              <w:right w:val="single" w:sz="4" w:space="0" w:color="auto"/>
            </w:tcBorders>
            <w:hideMark/>
          </w:tcPr>
          <w:p w:rsidR="008C134E" w:rsidRPr="000727F3" w:rsidRDefault="008C134E" w:rsidP="004160DC">
            <w:pPr>
              <w:pStyle w:val="Tabletext"/>
              <w:jc w:val="center"/>
              <w:rPr>
                <w:rFonts w:asciiTheme="minorHAnsi" w:hAnsiTheme="minorHAnsi"/>
                <w:kern w:val="24"/>
                <w:lang w:val="en-US" w:eastAsia="zh-CN"/>
              </w:rPr>
            </w:pPr>
            <w:r w:rsidRPr="002F26AB">
              <w:rPr>
                <w:rFonts w:asciiTheme="minorHAnsi" w:hAnsiTheme="minorHAnsi"/>
                <w:kern w:val="24"/>
                <w:lang w:eastAsia="ja-JP"/>
              </w:rPr>
              <w:t xml:space="preserve">8.64 </w:t>
            </w:r>
            <w:r w:rsidRPr="002F26AB">
              <w:rPr>
                <w:rFonts w:asciiTheme="minorHAnsi" w:hAnsiTheme="minorHAnsi"/>
                <w:kern w:val="24"/>
                <w:lang w:eastAsia="zh-CN"/>
              </w:rPr>
              <w:t>MHz (5 channels of 1.728</w:t>
            </w:r>
            <w:r w:rsidR="00330C12">
              <w:rPr>
                <w:rFonts w:asciiTheme="minorHAnsi" w:hAnsiTheme="minorHAnsi"/>
                <w:kern w:val="24"/>
                <w:lang w:eastAsia="zh-CN"/>
              </w:rPr>
              <w:t> </w:t>
            </w:r>
            <w:r w:rsidRPr="002F26AB">
              <w:rPr>
                <w:rFonts w:asciiTheme="minorHAnsi" w:hAnsiTheme="minorHAnsi"/>
                <w:kern w:val="24"/>
                <w:lang w:eastAsia="zh-CN"/>
              </w:rPr>
              <w:t xml:space="preserve">MHz) – Frequency reuse </w:t>
            </w:r>
            <w:r>
              <w:rPr>
                <w:rFonts w:asciiTheme="minorHAnsi" w:hAnsiTheme="minorHAnsi"/>
                <w:kern w:val="24"/>
                <w:lang w:eastAsia="zh-CN"/>
              </w:rPr>
              <w:t>1/3</w:t>
            </w:r>
          </w:p>
        </w:tc>
        <w:tc>
          <w:tcPr>
            <w:tcW w:w="3595"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zh-CN"/>
              </w:rPr>
            </w:pPr>
            <w:r>
              <w:rPr>
                <w:rFonts w:asciiTheme="minorHAnsi" w:hAnsiTheme="minorHAnsi"/>
                <w:color w:val="FF0000"/>
                <w:kern w:val="24"/>
                <w:lang w:eastAsia="ja-JP"/>
              </w:rPr>
              <w:t>3</w:t>
            </w:r>
            <w:r w:rsidRPr="00A264C1">
              <w:rPr>
                <w:rFonts w:asciiTheme="minorHAnsi" w:hAnsiTheme="minorHAnsi"/>
                <w:color w:val="FF0000"/>
                <w:kern w:val="24"/>
                <w:lang w:eastAsia="ja-JP"/>
              </w:rPr>
              <w:t>8.</w:t>
            </w:r>
            <w:r>
              <w:rPr>
                <w:rFonts w:asciiTheme="minorHAnsi" w:hAnsiTheme="minorHAnsi"/>
                <w:color w:val="FF0000"/>
                <w:kern w:val="24"/>
                <w:lang w:eastAsia="ja-JP"/>
              </w:rPr>
              <w:t>016</w:t>
            </w:r>
            <w:r w:rsidRPr="00A264C1">
              <w:rPr>
                <w:rFonts w:asciiTheme="minorHAnsi" w:hAnsiTheme="minorHAnsi"/>
                <w:color w:val="FF0000"/>
                <w:kern w:val="24"/>
                <w:lang w:eastAsia="ja-JP"/>
              </w:rPr>
              <w:t xml:space="preserve"> </w:t>
            </w:r>
            <w:r w:rsidRPr="00A264C1">
              <w:rPr>
                <w:rFonts w:asciiTheme="minorHAnsi" w:hAnsiTheme="minorHAnsi"/>
                <w:color w:val="FF0000"/>
                <w:kern w:val="24"/>
                <w:lang w:eastAsia="zh-CN"/>
              </w:rPr>
              <w:t>MHz (</w:t>
            </w:r>
            <w:r>
              <w:rPr>
                <w:rFonts w:asciiTheme="minorHAnsi" w:hAnsiTheme="minorHAnsi"/>
                <w:color w:val="FF0000"/>
                <w:kern w:val="24"/>
                <w:lang w:eastAsia="zh-CN"/>
              </w:rPr>
              <w:t>22</w:t>
            </w:r>
            <w:r w:rsidRPr="00A264C1">
              <w:rPr>
                <w:rFonts w:asciiTheme="minorHAnsi" w:hAnsiTheme="minorHAnsi"/>
                <w:color w:val="FF0000"/>
                <w:kern w:val="24"/>
                <w:lang w:eastAsia="zh-CN"/>
              </w:rPr>
              <w:t xml:space="preserve"> channels of 1.728</w:t>
            </w:r>
            <w:r w:rsidR="00802A11">
              <w:rPr>
                <w:rFonts w:asciiTheme="minorHAnsi" w:hAnsiTheme="minorHAnsi"/>
                <w:color w:val="FF0000"/>
                <w:kern w:val="24"/>
                <w:lang w:eastAsia="zh-CN"/>
              </w:rPr>
              <w:t> </w:t>
            </w:r>
            <w:r w:rsidRPr="00A264C1">
              <w:rPr>
                <w:rFonts w:asciiTheme="minorHAnsi" w:hAnsiTheme="minorHAnsi"/>
                <w:color w:val="FF0000"/>
                <w:kern w:val="24"/>
                <w:lang w:eastAsia="zh-CN"/>
              </w:rPr>
              <w:t>MHz) – Frequency reuse 1/3</w:t>
            </w:r>
          </w:p>
        </w:tc>
      </w:tr>
      <w:tr w:rsidR="008C134E" w:rsidRPr="002F26AB" w:rsidTr="004160DC">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bCs/>
                <w:lang w:eastAsia="zh-CN"/>
              </w:rPr>
            </w:pPr>
            <w:r w:rsidRPr="002F26AB">
              <w:rPr>
                <w:rFonts w:asciiTheme="minorHAnsi" w:hAnsiTheme="minorHAnsi"/>
                <w:bCs/>
                <w:lang w:eastAsia="zh-CN"/>
              </w:rPr>
              <w:t>UE density</w:t>
            </w:r>
          </w:p>
        </w:tc>
        <w:tc>
          <w:tcPr>
            <w:tcW w:w="3355"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rPr>
            </w:pPr>
            <w:r w:rsidRPr="002F26AB">
              <w:rPr>
                <w:rFonts w:asciiTheme="minorHAnsi" w:hAnsiTheme="minorHAnsi"/>
              </w:rPr>
              <w:t>Not applicable for non-full buffer system</w:t>
            </w:r>
            <w:r w:rsidRPr="002F26AB">
              <w:rPr>
                <w:rFonts w:asciiTheme="minorHAnsi" w:eastAsia="MS Mincho" w:hAnsiTheme="minorHAnsi"/>
                <w:lang w:eastAsia="ja-JP"/>
              </w:rPr>
              <w:t>-</w:t>
            </w:r>
            <w:r w:rsidRPr="002F26AB">
              <w:rPr>
                <w:rFonts w:asciiTheme="minorHAnsi" w:hAnsiTheme="minorHAnsi"/>
              </w:rPr>
              <w:t>level simulation as evaluation methodology of connection density</w:t>
            </w:r>
          </w:p>
        </w:tc>
        <w:tc>
          <w:tcPr>
            <w:tcW w:w="3595"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rPr>
            </w:pPr>
            <w:r w:rsidRPr="002F26AB">
              <w:rPr>
                <w:rFonts w:asciiTheme="minorHAnsi" w:hAnsiTheme="minorHAnsi"/>
              </w:rPr>
              <w:t>Not applicable for non-full buffer system</w:t>
            </w:r>
            <w:r w:rsidRPr="002F26AB">
              <w:rPr>
                <w:rFonts w:asciiTheme="minorHAnsi" w:eastAsia="MS Mincho" w:hAnsiTheme="minorHAnsi"/>
                <w:lang w:eastAsia="ja-JP"/>
              </w:rPr>
              <w:t>-</w:t>
            </w:r>
            <w:r w:rsidRPr="002F26AB">
              <w:rPr>
                <w:rFonts w:asciiTheme="minorHAnsi" w:hAnsiTheme="minorHAnsi"/>
              </w:rPr>
              <w:t>level simulation as evaluation methodology of connection density</w:t>
            </w:r>
          </w:p>
          <w:p w:rsidR="008C134E" w:rsidRPr="002F26AB" w:rsidRDefault="008C134E" w:rsidP="004160DC">
            <w:pPr>
              <w:pStyle w:val="Tabletext"/>
              <w:rPr>
                <w:rFonts w:asciiTheme="minorHAnsi" w:hAnsiTheme="minorHAnsi"/>
                <w:kern w:val="24"/>
              </w:rPr>
            </w:pPr>
          </w:p>
        </w:tc>
      </w:tr>
      <w:tr w:rsidR="008C134E" w:rsidRPr="002F26AB" w:rsidTr="004160DC">
        <w:trPr>
          <w:cantSplit/>
          <w:jc w:val="center"/>
        </w:trPr>
        <w:tc>
          <w:tcPr>
            <w:tcW w:w="2820"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rPr>
                <w:rFonts w:asciiTheme="minorHAnsi" w:hAnsiTheme="minorHAnsi"/>
                <w:bCs/>
                <w:lang w:eastAsia="ja-JP"/>
              </w:rPr>
            </w:pPr>
            <w:r w:rsidRPr="002F26AB">
              <w:rPr>
                <w:rFonts w:asciiTheme="minorHAnsi" w:hAnsiTheme="minorHAnsi"/>
                <w:bCs/>
                <w:lang w:eastAsia="ja-JP"/>
              </w:rPr>
              <w:t>UE antenna height</w:t>
            </w:r>
          </w:p>
        </w:tc>
        <w:tc>
          <w:tcPr>
            <w:tcW w:w="3355"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lang w:eastAsia="ja-JP"/>
              </w:rPr>
            </w:pPr>
            <w:r w:rsidRPr="002F26AB">
              <w:rPr>
                <w:rFonts w:asciiTheme="minorHAnsi" w:hAnsiTheme="minorHAnsi"/>
                <w:lang w:eastAsia="ja-JP"/>
              </w:rPr>
              <w:t>1.5</w:t>
            </w:r>
            <w:r w:rsidR="00330C12">
              <w:rPr>
                <w:rFonts w:asciiTheme="minorHAnsi" w:hAnsiTheme="minorHAnsi"/>
                <w:lang w:eastAsia="ja-JP"/>
              </w:rPr>
              <w:t> </w:t>
            </w:r>
            <w:r w:rsidRPr="002F26AB">
              <w:rPr>
                <w:rFonts w:asciiTheme="minorHAnsi" w:hAnsiTheme="minorHAnsi"/>
                <w:lang w:eastAsia="ja-JP"/>
              </w:rPr>
              <w:t>m</w:t>
            </w:r>
          </w:p>
        </w:tc>
        <w:tc>
          <w:tcPr>
            <w:tcW w:w="3595" w:type="dxa"/>
            <w:tcBorders>
              <w:top w:val="single" w:sz="4" w:space="0" w:color="auto"/>
              <w:left w:val="single" w:sz="4" w:space="0" w:color="auto"/>
              <w:bottom w:val="single" w:sz="4" w:space="0" w:color="auto"/>
              <w:right w:val="single" w:sz="4" w:space="0" w:color="auto"/>
            </w:tcBorders>
            <w:hideMark/>
          </w:tcPr>
          <w:p w:rsidR="008C134E" w:rsidRPr="002F26AB" w:rsidRDefault="008C134E" w:rsidP="004160DC">
            <w:pPr>
              <w:pStyle w:val="Tabletext"/>
              <w:jc w:val="center"/>
              <w:rPr>
                <w:rFonts w:asciiTheme="minorHAnsi" w:hAnsiTheme="minorHAnsi"/>
                <w:kern w:val="24"/>
                <w:lang w:eastAsia="ja-JP"/>
              </w:rPr>
            </w:pPr>
            <w:r w:rsidRPr="002F26AB">
              <w:rPr>
                <w:rFonts w:asciiTheme="minorHAnsi" w:hAnsiTheme="minorHAnsi"/>
                <w:lang w:eastAsia="ja-JP"/>
              </w:rPr>
              <w:t>1.5 m</w:t>
            </w:r>
          </w:p>
        </w:tc>
      </w:tr>
    </w:tbl>
    <w:p w:rsidR="008C134E" w:rsidRPr="006C5F3C" w:rsidRDefault="008C134E" w:rsidP="001F1BB2">
      <w:pPr>
        <w:pStyle w:val="Tablefin"/>
      </w:pPr>
    </w:p>
    <w:p w:rsidR="001F1BB2" w:rsidRPr="00802A11" w:rsidRDefault="008C134E" w:rsidP="001F1BB2">
      <w:pPr>
        <w:pStyle w:val="TableNo"/>
        <w:rPr>
          <w:noProof/>
          <w:color w:val="1F497D" w:themeColor="text2"/>
        </w:rPr>
      </w:pPr>
      <w:bookmarkStart w:id="33" w:name="_Ref72974217"/>
      <w:r w:rsidRPr="00802A11">
        <w:rPr>
          <w:color w:val="1F497D" w:themeColor="text2"/>
        </w:rPr>
        <w:t xml:space="preserve">Table </w:t>
      </w:r>
      <w:r w:rsidRPr="00802A11">
        <w:rPr>
          <w:color w:val="1F497D" w:themeColor="text2"/>
        </w:rPr>
        <w:fldChar w:fldCharType="begin"/>
      </w:r>
      <w:r w:rsidRPr="00802A11">
        <w:rPr>
          <w:color w:val="1F497D" w:themeColor="text2"/>
        </w:rPr>
        <w:instrText xml:space="preserve"> SEQ Table \* ARABIC </w:instrText>
      </w:r>
      <w:r w:rsidRPr="00802A11">
        <w:rPr>
          <w:color w:val="1F497D" w:themeColor="text2"/>
        </w:rPr>
        <w:fldChar w:fldCharType="separate"/>
      </w:r>
      <w:r w:rsidRPr="00802A11">
        <w:rPr>
          <w:noProof/>
          <w:color w:val="1F497D" w:themeColor="text2"/>
        </w:rPr>
        <w:t>17</w:t>
      </w:r>
      <w:r w:rsidRPr="00802A11">
        <w:rPr>
          <w:noProof/>
          <w:color w:val="1F497D" w:themeColor="text2"/>
        </w:rPr>
        <w:fldChar w:fldCharType="end"/>
      </w:r>
      <w:bookmarkEnd w:id="33"/>
    </w:p>
    <w:p w:rsidR="008C134E" w:rsidRPr="001F1BB2" w:rsidRDefault="008C134E" w:rsidP="001F1BB2">
      <w:pPr>
        <w:pStyle w:val="Tabletitle"/>
        <w:rPr>
          <w:color w:val="365F91" w:themeColor="accent1" w:themeShade="BF"/>
        </w:rPr>
      </w:pPr>
      <w:r w:rsidRPr="00802A11">
        <w:rPr>
          <w:noProof/>
          <w:color w:val="1F497D" w:themeColor="text2"/>
        </w:rPr>
        <w:t xml:space="preserve"> Channel model parameters for Connection Density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3240"/>
        <w:gridCol w:w="3780"/>
      </w:tblGrid>
      <w:tr w:rsidR="008C134E" w:rsidRPr="00094D63" w:rsidTr="004160DC">
        <w:trPr>
          <w:cantSplit/>
          <w:tblHeader/>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34E" w:rsidRPr="00330C12" w:rsidRDefault="008C134E" w:rsidP="00330C12">
            <w:pPr>
              <w:pStyle w:val="Tablehead"/>
            </w:pPr>
            <w:r w:rsidRPr="00330C12">
              <w:t>Parameters</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34E" w:rsidRPr="00330C12" w:rsidRDefault="008C134E" w:rsidP="00330C12">
            <w:pPr>
              <w:pStyle w:val="Tablehead"/>
            </w:pPr>
            <w:r w:rsidRPr="00330C12">
              <w:t>Urban Macro–mMTC</w:t>
            </w:r>
          </w:p>
          <w:p w:rsidR="008C134E" w:rsidRPr="00330C12" w:rsidRDefault="008C134E" w:rsidP="00330C12">
            <w:pPr>
              <w:pStyle w:val="Tablehead"/>
            </w:pPr>
            <w:r w:rsidRPr="00330C12">
              <w:t>(for Connection density)</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34E" w:rsidRPr="00330C12" w:rsidRDefault="008C134E" w:rsidP="00330C12">
            <w:pPr>
              <w:pStyle w:val="Tablehead"/>
            </w:pPr>
            <w:r w:rsidRPr="00330C12">
              <w:t>Urban Macro–URLLC</w:t>
            </w:r>
          </w:p>
          <w:p w:rsidR="008C134E" w:rsidRPr="00330C12" w:rsidRDefault="008C134E" w:rsidP="00330C12">
            <w:pPr>
              <w:pStyle w:val="Tablehead"/>
            </w:pPr>
            <w:r w:rsidRPr="00330C12">
              <w:t>(for Reliability)</w:t>
            </w:r>
          </w:p>
        </w:tc>
      </w:tr>
      <w:tr w:rsidR="008C134E" w:rsidRPr="00094D63" w:rsidTr="004160DC">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34E" w:rsidRPr="00802A11" w:rsidRDefault="008C134E" w:rsidP="004160DC">
            <w:pPr>
              <w:pStyle w:val="Tabletext"/>
            </w:pPr>
            <w:r w:rsidRPr="00802A11">
              <w:t>Link</w:t>
            </w:r>
            <w:r w:rsidRPr="00802A11">
              <w:rPr>
                <w:rFonts w:eastAsia="MS Mincho"/>
                <w:lang w:eastAsia="ja-JP"/>
              </w:rPr>
              <w:t>-</w:t>
            </w:r>
            <w:r w:rsidRPr="00802A11">
              <w:t>level Channel model</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134E" w:rsidRPr="00802A11" w:rsidRDefault="008C134E" w:rsidP="004160DC">
            <w:pPr>
              <w:pStyle w:val="Tabletext"/>
              <w:jc w:val="center"/>
              <w:rPr>
                <w:lang w:val="en-US"/>
              </w:rPr>
            </w:pPr>
            <w:r w:rsidRPr="00802A11">
              <w:rPr>
                <w:lang w:val="en-US"/>
              </w:rPr>
              <w:t>NLOS: TDL-iii and CDL-iii</w:t>
            </w:r>
          </w:p>
          <w:p w:rsidR="008C134E" w:rsidRPr="00802A11" w:rsidRDefault="008C134E" w:rsidP="004160DC">
            <w:pPr>
              <w:pStyle w:val="Tabletext"/>
              <w:jc w:val="center"/>
              <w:rPr>
                <w:lang w:val="es-ES_tradnl"/>
              </w:rPr>
            </w:pPr>
            <w:r w:rsidRPr="00802A11">
              <w:rPr>
                <w:lang w:val="es-ES_tradnl"/>
              </w:rPr>
              <w:t>LOS: TDL-v and CDL-iii</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134E" w:rsidRPr="00802A11" w:rsidRDefault="008C134E" w:rsidP="004160DC">
            <w:pPr>
              <w:pStyle w:val="Tabletext"/>
              <w:jc w:val="center"/>
              <w:rPr>
                <w:lang w:val="en-US"/>
              </w:rPr>
            </w:pPr>
            <w:r w:rsidRPr="00802A11">
              <w:rPr>
                <w:lang w:val="en-US"/>
              </w:rPr>
              <w:t>NLOS: TDL-iii and CDL-iii</w:t>
            </w:r>
          </w:p>
          <w:p w:rsidR="008C134E" w:rsidRPr="00802A11" w:rsidRDefault="008C134E" w:rsidP="004160DC">
            <w:pPr>
              <w:pStyle w:val="Tabletext"/>
              <w:jc w:val="center"/>
              <w:rPr>
                <w:lang w:val="es-ES_tradnl"/>
              </w:rPr>
            </w:pPr>
            <w:r w:rsidRPr="00802A11">
              <w:rPr>
                <w:lang w:val="es-ES_tradnl"/>
              </w:rPr>
              <w:t>LOS: TDL-v and CDL-iii</w:t>
            </w:r>
          </w:p>
        </w:tc>
      </w:tr>
      <w:tr w:rsidR="008C134E" w:rsidRPr="00094D63" w:rsidTr="004160DC">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34E" w:rsidRPr="006C5F3C" w:rsidRDefault="008C134E" w:rsidP="004160DC">
            <w:pPr>
              <w:pStyle w:val="Tabletext"/>
              <w:rPr>
                <w:sz w:val="18"/>
                <w:szCs w:val="18"/>
              </w:rPr>
            </w:pPr>
            <w:r w:rsidRPr="006C5F3C">
              <w:rPr>
                <w:sz w:val="18"/>
                <w:szCs w:val="18"/>
              </w:rPr>
              <w:t>Delay spread scaling parameter</w:t>
            </w:r>
            <w:r>
              <w:rPr>
                <w:noProof/>
                <w:sz w:val="18"/>
                <w:szCs w:val="18"/>
                <w:lang w:val="en-US"/>
              </w:rPr>
              <w:drawing>
                <wp:inline distT="0" distB="0" distL="0" distR="0" wp14:anchorId="56C42A1B" wp14:editId="3E9044A5">
                  <wp:extent cx="302260" cy="151130"/>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6C5F3C">
              <w:rPr>
                <w:sz w:val="18"/>
                <w:szCs w:val="18"/>
              </w:rPr>
              <w:t xml:space="preserve"> (s)</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134E" w:rsidRPr="006C5F3C" w:rsidRDefault="008C134E" w:rsidP="004160DC">
            <w:pPr>
              <w:pStyle w:val="Tabletext"/>
              <w:jc w:val="center"/>
              <w:rPr>
                <w:sz w:val="18"/>
                <w:szCs w:val="18"/>
              </w:rPr>
            </w:pPr>
            <w:r w:rsidRPr="006C5F3C">
              <w:rPr>
                <w:sz w:val="18"/>
                <w:szCs w:val="18"/>
              </w:rPr>
              <w:t>Log10(</w:t>
            </w:r>
            <w:r>
              <w:rPr>
                <w:noProof/>
                <w:sz w:val="18"/>
                <w:szCs w:val="18"/>
                <w:lang w:val="en-US"/>
              </w:rPr>
              <w:drawing>
                <wp:inline distT="0" distB="0" distL="0" distR="0" wp14:anchorId="3FA64AEE" wp14:editId="69954FE5">
                  <wp:extent cx="302260" cy="151130"/>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6C5F3C">
              <w:rPr>
                <w:sz w:val="18"/>
                <w:szCs w:val="18"/>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lgDS</w:t>
            </w:r>
            <w:r w:rsidRPr="006C5F3C">
              <w:rPr>
                <w:sz w:val="18"/>
                <w:szCs w:val="18"/>
              </w:rPr>
              <w:t xml:space="preserve"> in </w:t>
            </w:r>
            <w:r w:rsidRPr="006C5F3C">
              <w:rPr>
                <w:sz w:val="18"/>
                <w:szCs w:val="18"/>
              </w:rPr>
              <w:br/>
              <w:t>Table A4-9 (UMa) in Annex 1</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134E" w:rsidRPr="006C5F3C" w:rsidRDefault="008C134E" w:rsidP="004160DC">
            <w:pPr>
              <w:pStyle w:val="Tabletext"/>
              <w:jc w:val="center"/>
              <w:rPr>
                <w:sz w:val="18"/>
                <w:szCs w:val="18"/>
              </w:rPr>
            </w:pPr>
            <w:r w:rsidRPr="006C5F3C">
              <w:rPr>
                <w:sz w:val="18"/>
                <w:szCs w:val="18"/>
              </w:rPr>
              <w:t>Log10(</w:t>
            </w:r>
            <w:r>
              <w:rPr>
                <w:noProof/>
                <w:sz w:val="18"/>
                <w:szCs w:val="18"/>
                <w:lang w:val="en-US"/>
              </w:rPr>
              <w:drawing>
                <wp:inline distT="0" distB="0" distL="0" distR="0" wp14:anchorId="2026F051" wp14:editId="10DE0B07">
                  <wp:extent cx="302260" cy="151130"/>
                  <wp:effectExtent l="0" t="0" r="254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6C5F3C">
              <w:rPr>
                <w:sz w:val="18"/>
                <w:szCs w:val="18"/>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lgDS</w:t>
            </w:r>
            <w:r w:rsidRPr="006C5F3C">
              <w:rPr>
                <w:sz w:val="18"/>
                <w:szCs w:val="18"/>
              </w:rPr>
              <w:t xml:space="preserve"> in </w:t>
            </w:r>
            <w:r w:rsidRPr="006C5F3C">
              <w:rPr>
                <w:sz w:val="18"/>
                <w:szCs w:val="18"/>
              </w:rPr>
              <w:br/>
              <w:t>Table A4-9 (UMa) in Annex 1</w:t>
            </w:r>
          </w:p>
        </w:tc>
      </w:tr>
      <w:tr w:rsidR="008C134E" w:rsidRPr="00094D63" w:rsidTr="004160DC">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34E" w:rsidRPr="006C5F3C" w:rsidRDefault="008C134E" w:rsidP="004160DC">
            <w:pPr>
              <w:pStyle w:val="Tabletext"/>
              <w:rPr>
                <w:sz w:val="18"/>
                <w:szCs w:val="18"/>
              </w:rPr>
            </w:pPr>
            <w:r w:rsidRPr="006C5F3C">
              <w:rPr>
                <w:sz w:val="18"/>
                <w:szCs w:val="18"/>
              </w:rPr>
              <w:t xml:space="preserve">AoA, AoD, ZoA angular spreads scaling parameter </w:t>
            </w:r>
            <w:r>
              <w:rPr>
                <w:noProof/>
                <w:sz w:val="18"/>
                <w:szCs w:val="18"/>
                <w:lang w:val="en-US"/>
              </w:rPr>
              <w:drawing>
                <wp:inline distT="0" distB="0" distL="0" distR="0" wp14:anchorId="3159B67A" wp14:editId="59BA433B">
                  <wp:extent cx="334010" cy="17462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rPr>
              <w:t> </w:t>
            </w:r>
            <w:r w:rsidRPr="006C5F3C">
              <w:rPr>
                <w:sz w:val="18"/>
                <w:szCs w:val="18"/>
              </w:rPr>
              <w:br/>
              <w:t>(degree)</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134E" w:rsidRPr="006C5F3C" w:rsidRDefault="008C134E" w:rsidP="004160DC">
            <w:pPr>
              <w:pStyle w:val="Tabletext"/>
              <w:jc w:val="center"/>
              <w:rPr>
                <w:sz w:val="18"/>
                <w:szCs w:val="18"/>
              </w:rPr>
            </w:pPr>
            <w:r w:rsidRPr="006C5F3C">
              <w:rPr>
                <w:sz w:val="18"/>
                <w:szCs w:val="18"/>
              </w:rPr>
              <w:t>Log10(</w:t>
            </w:r>
            <w:r>
              <w:rPr>
                <w:noProof/>
                <w:sz w:val="18"/>
                <w:szCs w:val="18"/>
                <w:lang w:val="en-US"/>
              </w:rPr>
              <w:drawing>
                <wp:inline distT="0" distB="0" distL="0" distR="0" wp14:anchorId="59B21143" wp14:editId="1F4D2796">
                  <wp:extent cx="334010" cy="1746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lgASA</w:t>
            </w:r>
            <w:r w:rsidRPr="006C5F3C">
              <w:rPr>
                <w:sz w:val="18"/>
                <w:szCs w:val="18"/>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lgASD</w:t>
            </w:r>
            <w:r w:rsidRPr="006C5F3C">
              <w:rPr>
                <w:sz w:val="18"/>
                <w:szCs w:val="18"/>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lgZSA</w:t>
            </w:r>
            <w:r w:rsidRPr="006C5F3C">
              <w:rPr>
                <w:sz w:val="18"/>
                <w:szCs w:val="18"/>
              </w:rPr>
              <w:t xml:space="preserve"> in Table A4</w:t>
            </w:r>
            <w:r>
              <w:rPr>
                <w:sz w:val="18"/>
                <w:szCs w:val="18"/>
              </w:rPr>
              <w:noBreakHyphen/>
            </w:r>
            <w:r w:rsidRPr="006C5F3C">
              <w:rPr>
                <w:sz w:val="18"/>
                <w:szCs w:val="18"/>
              </w:rPr>
              <w:t>9 (UMa) in Annex 1</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134E" w:rsidRPr="006C5F3C" w:rsidRDefault="008C134E" w:rsidP="004160DC">
            <w:pPr>
              <w:pStyle w:val="Tabletext"/>
              <w:jc w:val="center"/>
              <w:rPr>
                <w:sz w:val="18"/>
                <w:szCs w:val="18"/>
              </w:rPr>
            </w:pPr>
            <w:r w:rsidRPr="006C5F3C">
              <w:rPr>
                <w:sz w:val="18"/>
                <w:szCs w:val="18"/>
              </w:rPr>
              <w:t>Log10(</w:t>
            </w:r>
            <w:r>
              <w:rPr>
                <w:noProof/>
                <w:sz w:val="18"/>
                <w:szCs w:val="18"/>
                <w:lang w:val="en-US"/>
              </w:rPr>
              <w:drawing>
                <wp:inline distT="0" distB="0" distL="0" distR="0" wp14:anchorId="6DF45CB6" wp14:editId="5295AD4C">
                  <wp:extent cx="334010" cy="1746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lgASA</w:t>
            </w:r>
            <w:r w:rsidRPr="006C5F3C">
              <w:rPr>
                <w:sz w:val="18"/>
                <w:szCs w:val="18"/>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lgASD</w:t>
            </w:r>
            <w:r w:rsidRPr="006C5F3C">
              <w:rPr>
                <w:sz w:val="18"/>
                <w:szCs w:val="18"/>
              </w:rPr>
              <w:t xml:space="preserve">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lgZSA</w:t>
            </w:r>
            <w:r w:rsidRPr="006C5F3C">
              <w:rPr>
                <w:sz w:val="18"/>
                <w:szCs w:val="18"/>
              </w:rPr>
              <w:t xml:space="preserve"> in Table A4</w:t>
            </w:r>
            <w:r>
              <w:rPr>
                <w:sz w:val="18"/>
                <w:szCs w:val="18"/>
              </w:rPr>
              <w:noBreakHyphen/>
            </w:r>
            <w:r w:rsidRPr="006C5F3C">
              <w:rPr>
                <w:sz w:val="18"/>
                <w:szCs w:val="18"/>
              </w:rPr>
              <w:t>9 (UMa) in Annex 1</w:t>
            </w:r>
          </w:p>
        </w:tc>
      </w:tr>
      <w:tr w:rsidR="008C134E" w:rsidRPr="00094D63" w:rsidTr="004160DC">
        <w:trPr>
          <w:cantSplit/>
          <w:jc w:val="center"/>
        </w:trPr>
        <w:tc>
          <w:tcPr>
            <w:tcW w:w="23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C134E" w:rsidRPr="006C5F3C" w:rsidRDefault="008C134E" w:rsidP="004160DC">
            <w:pPr>
              <w:pStyle w:val="Tabletext"/>
              <w:rPr>
                <w:sz w:val="18"/>
                <w:szCs w:val="18"/>
              </w:rPr>
            </w:pPr>
            <w:r w:rsidRPr="006C5F3C">
              <w:rPr>
                <w:sz w:val="18"/>
                <w:szCs w:val="18"/>
              </w:rPr>
              <w:t xml:space="preserve">ZoD angular spreads scaling parameter </w:t>
            </w:r>
            <w:r>
              <w:rPr>
                <w:noProof/>
                <w:sz w:val="18"/>
                <w:szCs w:val="18"/>
                <w:lang w:val="en-US"/>
              </w:rPr>
              <w:drawing>
                <wp:inline distT="0" distB="0" distL="0" distR="0" wp14:anchorId="53262E20" wp14:editId="7AC46294">
                  <wp:extent cx="334010" cy="17462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rPr>
              <w:t> </w:t>
            </w:r>
            <w:r w:rsidRPr="006C5F3C">
              <w:rPr>
                <w:sz w:val="18"/>
                <w:szCs w:val="18"/>
              </w:rPr>
              <w:br/>
              <w:t>(degree)</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134E" w:rsidRPr="006C5F3C" w:rsidRDefault="008C134E" w:rsidP="004160DC">
            <w:pPr>
              <w:pStyle w:val="Tabletext"/>
              <w:jc w:val="center"/>
              <w:rPr>
                <w:sz w:val="18"/>
                <w:szCs w:val="18"/>
              </w:rPr>
            </w:pPr>
            <w:r w:rsidRPr="006C5F3C">
              <w:rPr>
                <w:sz w:val="18"/>
                <w:szCs w:val="18"/>
              </w:rPr>
              <w:t>Log10(</w:t>
            </w:r>
            <w:r>
              <w:rPr>
                <w:noProof/>
                <w:sz w:val="18"/>
                <w:szCs w:val="18"/>
                <w:lang w:val="en-US"/>
              </w:rPr>
              <w:drawing>
                <wp:inline distT="0" distB="0" distL="0" distR="0" wp14:anchorId="5B06C99D" wp14:editId="2E7183FF">
                  <wp:extent cx="334010" cy="1746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lgZSD</w:t>
            </w:r>
            <w:r w:rsidRPr="006C5F3C">
              <w:rPr>
                <w:sz w:val="18"/>
                <w:szCs w:val="18"/>
              </w:rPr>
              <w:t xml:space="preserve"> in Table A4</w:t>
            </w:r>
            <w:r w:rsidRPr="006C5F3C">
              <w:rPr>
                <w:sz w:val="18"/>
                <w:szCs w:val="18"/>
              </w:rPr>
              <w:noBreakHyphen/>
              <w:t>10 (UMa) in Annex 1</w:t>
            </w:r>
          </w:p>
        </w:tc>
        <w:tc>
          <w:tcPr>
            <w:tcW w:w="37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C134E" w:rsidRPr="006C5F3C" w:rsidRDefault="008C134E" w:rsidP="004160DC">
            <w:pPr>
              <w:pStyle w:val="Tabletext"/>
              <w:jc w:val="center"/>
              <w:rPr>
                <w:sz w:val="18"/>
                <w:szCs w:val="18"/>
              </w:rPr>
            </w:pPr>
            <w:r w:rsidRPr="006C5F3C">
              <w:rPr>
                <w:sz w:val="18"/>
                <w:szCs w:val="18"/>
              </w:rPr>
              <w:t>Log10(</w:t>
            </w:r>
            <w:r>
              <w:rPr>
                <w:noProof/>
                <w:sz w:val="18"/>
                <w:szCs w:val="18"/>
                <w:lang w:val="en-US"/>
              </w:rPr>
              <w:drawing>
                <wp:inline distT="0" distB="0" distL="0" distR="0" wp14:anchorId="53E1A00F" wp14:editId="11C631CC">
                  <wp:extent cx="334010" cy="1746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6C5F3C">
              <w:rPr>
                <w:sz w:val="18"/>
                <w:szCs w:val="18"/>
              </w:rPr>
              <w:t>) =</w:t>
            </w:r>
            <w:r w:rsidRPr="00902CDB">
              <w:rPr>
                <w:rFonts w:ascii="Symbol" w:eastAsia="SimSun" w:hAnsi="Symbol" w:cstheme="majorBidi"/>
                <w:iCs/>
                <w:sz w:val="18"/>
                <w:szCs w:val="18"/>
              </w:rPr>
              <w:t></w:t>
            </w:r>
            <w:r w:rsidRPr="006C5F3C">
              <w:rPr>
                <w:rFonts w:asciiTheme="majorBidi" w:eastAsia="SimSun" w:hAnsiTheme="majorBidi" w:cstheme="majorBidi"/>
                <w:sz w:val="18"/>
                <w:szCs w:val="18"/>
                <w:vertAlign w:val="subscript"/>
              </w:rPr>
              <w:t>lgZSD</w:t>
            </w:r>
            <w:r w:rsidRPr="006C5F3C">
              <w:rPr>
                <w:sz w:val="18"/>
                <w:szCs w:val="18"/>
              </w:rPr>
              <w:t xml:space="preserve"> in Table A4</w:t>
            </w:r>
            <w:r w:rsidRPr="006C5F3C">
              <w:rPr>
                <w:sz w:val="18"/>
                <w:szCs w:val="18"/>
              </w:rPr>
              <w:noBreakHyphen/>
              <w:t>10 (UMa) in Annex 1</w:t>
            </w:r>
          </w:p>
        </w:tc>
      </w:tr>
    </w:tbl>
    <w:p w:rsidR="008C134E" w:rsidRDefault="008C134E" w:rsidP="001F1BB2">
      <w:pPr>
        <w:pStyle w:val="Tablefin"/>
      </w:pPr>
    </w:p>
    <w:p w:rsidR="008C134E" w:rsidRDefault="008C134E" w:rsidP="00930AE4">
      <w:pPr>
        <w:spacing w:line="276" w:lineRule="auto"/>
        <w:jc w:val="both"/>
      </w:pPr>
      <w:r>
        <w:t xml:space="preserve">The event-based simulator that was developed for the evaluation of the Connection Density configurations is implemented in MATLAB as an addon to the DECT-2020 NR simulator used for the Reliability evaluation. </w:t>
      </w:r>
    </w:p>
    <w:p w:rsidR="008C134E" w:rsidRDefault="008C134E" w:rsidP="00930AE4">
      <w:pPr>
        <w:spacing w:line="276" w:lineRule="auto"/>
        <w:jc w:val="both"/>
      </w:pPr>
      <w:r>
        <w:t xml:space="preserve">The simulator includes the multi-hop operation that is part of the DECT-2020 RIT, and its functionality is presented in </w:t>
      </w:r>
      <w:r>
        <w:fldChar w:fldCharType="begin"/>
      </w:r>
      <w:r>
        <w:instrText xml:space="preserve"> REF _Ref72972389 \h </w:instrText>
      </w:r>
      <w:r>
        <w:fldChar w:fldCharType="separate"/>
      </w:r>
      <w:r>
        <w:t xml:space="preserve">Figure </w:t>
      </w:r>
      <w:r>
        <w:rPr>
          <w:noProof/>
        </w:rPr>
        <w:t>12</w:t>
      </w:r>
      <w:r>
        <w:fldChar w:fldCharType="end"/>
      </w:r>
      <w:r>
        <w:t>.  The process is described with the following steps:</w:t>
      </w:r>
    </w:p>
    <w:p w:rsidR="008C134E" w:rsidRDefault="008C134E" w:rsidP="001E117D">
      <w:pPr>
        <w:spacing w:line="276" w:lineRule="auto"/>
        <w:jc w:val="both"/>
      </w:pPr>
      <w:r w:rsidRPr="00707E64">
        <w:rPr>
          <w:i/>
          <w:iCs/>
          <w:u w:val="single"/>
        </w:rPr>
        <w:t>Step 1</w:t>
      </w:r>
      <w:r>
        <w:t>:  A frequency reuse scheme is defined based on the available number of channels. For configuration A, since 5 channels can fit into the 10</w:t>
      </w:r>
      <w:r w:rsidR="00330C12">
        <w:t> </w:t>
      </w:r>
      <w:r>
        <w:t>MHz overall bandwidth defined by the</w:t>
      </w:r>
      <w:r w:rsidR="00802A11">
        <w:br/>
      </w:r>
      <w:r>
        <w:t xml:space="preserve"> ITU-R guidelines, frequency reuse of factor 1/3 is selected.</w:t>
      </w:r>
    </w:p>
    <w:p w:rsidR="008C134E" w:rsidRPr="00C038E2" w:rsidRDefault="008C134E" w:rsidP="001E117D">
      <w:pPr>
        <w:spacing w:line="276" w:lineRule="auto"/>
        <w:jc w:val="both"/>
        <w:rPr>
          <w:color w:val="548DD4" w:themeColor="text2" w:themeTint="99"/>
        </w:rPr>
      </w:pPr>
      <w:r w:rsidRPr="00C038E2">
        <w:rPr>
          <w:i/>
          <w:iCs/>
          <w:color w:val="548DD4" w:themeColor="text2" w:themeTint="99"/>
          <w:u w:val="single"/>
        </w:rPr>
        <w:t>Step</w:t>
      </w:r>
      <w:r w:rsidR="00330C12">
        <w:rPr>
          <w:i/>
          <w:iCs/>
          <w:color w:val="548DD4" w:themeColor="text2" w:themeTint="99"/>
          <w:u w:val="single"/>
        </w:rPr>
        <w:t xml:space="preserve"> </w:t>
      </w:r>
      <w:r w:rsidRPr="00C038E2">
        <w:rPr>
          <w:i/>
          <w:iCs/>
          <w:color w:val="548DD4" w:themeColor="text2" w:themeTint="99"/>
          <w:u w:val="single"/>
        </w:rPr>
        <w:t>2</w:t>
      </w:r>
      <w:r w:rsidRPr="00C038E2">
        <w:rPr>
          <w:color w:val="548DD4" w:themeColor="text2" w:themeTint="99"/>
        </w:rPr>
        <w:t xml:space="preserve">: System Level simulation using the Configuration A and the Configuration B parameters presented in </w:t>
      </w:r>
      <w:r w:rsidRPr="00C038E2">
        <w:rPr>
          <w:color w:val="548DD4" w:themeColor="text2" w:themeTint="99"/>
        </w:rPr>
        <w:fldChar w:fldCharType="begin"/>
      </w:r>
      <w:r w:rsidRPr="00C038E2">
        <w:rPr>
          <w:color w:val="548DD4" w:themeColor="text2" w:themeTint="99"/>
        </w:rPr>
        <w:instrText xml:space="preserve"> REF _Ref72971683 \h  \* MERGEFORMAT </w:instrText>
      </w:r>
      <w:r w:rsidRPr="00C038E2">
        <w:rPr>
          <w:color w:val="548DD4" w:themeColor="text2" w:themeTint="99"/>
        </w:rPr>
      </w:r>
      <w:r w:rsidRPr="00C038E2">
        <w:rPr>
          <w:color w:val="548DD4" w:themeColor="text2" w:themeTint="99"/>
        </w:rPr>
        <w:fldChar w:fldCharType="separate"/>
      </w:r>
      <w:r w:rsidRPr="00C038E2">
        <w:rPr>
          <w:color w:val="548DD4" w:themeColor="text2" w:themeTint="99"/>
        </w:rPr>
        <w:t xml:space="preserve">Table </w:t>
      </w:r>
      <w:r w:rsidRPr="00C038E2">
        <w:rPr>
          <w:noProof/>
          <w:color w:val="548DD4" w:themeColor="text2" w:themeTint="99"/>
        </w:rPr>
        <w:t>16</w:t>
      </w:r>
      <w:r w:rsidRPr="00C038E2">
        <w:rPr>
          <w:color w:val="548DD4" w:themeColor="text2" w:themeTint="99"/>
        </w:rPr>
        <w:fldChar w:fldCharType="end"/>
      </w:r>
      <w:r w:rsidRPr="00C038E2">
        <w:rPr>
          <w:color w:val="548DD4" w:themeColor="text2" w:themeTint="99"/>
        </w:rPr>
        <w:t xml:space="preserve"> is implemented in a network layout similar with the one described in Annex III “Reliability”. The frequency reuse factor is set to 1/3 and a full-buffer traffic model is considered in order to create a simulation scenario where all available resources are occupied.  As a result, the SINR Cumulative Density Function (CDF) distribution is extracted. Since, for the Connection Density evaluations, high congestion of users is expected, the CDF can be used in order to statistically generate the SINR for each user, when performing mMTC system-level simulations. The results of the simulation are presented in the following section </w:t>
      </w:r>
      <w:r w:rsidRPr="00C038E2">
        <w:rPr>
          <w:i/>
          <w:iCs/>
          <w:color w:val="548DD4" w:themeColor="text2" w:themeTint="99"/>
        </w:rPr>
        <w:t>Simulation setup and Results</w:t>
      </w:r>
      <w:r w:rsidRPr="00C038E2">
        <w:rPr>
          <w:color w:val="548DD4" w:themeColor="text2" w:themeTint="99"/>
        </w:rPr>
        <w:t xml:space="preserve">. </w:t>
      </w:r>
    </w:p>
    <w:p w:rsidR="008C134E" w:rsidRPr="00C038E2" w:rsidRDefault="008C134E" w:rsidP="001E117D">
      <w:pPr>
        <w:spacing w:line="276" w:lineRule="auto"/>
        <w:jc w:val="both"/>
        <w:rPr>
          <w:color w:val="548DD4" w:themeColor="text2" w:themeTint="99"/>
        </w:rPr>
      </w:pPr>
      <w:r w:rsidRPr="00C038E2">
        <w:rPr>
          <w:i/>
          <w:iCs/>
          <w:color w:val="548DD4" w:themeColor="text2" w:themeTint="99"/>
          <w:u w:val="single"/>
        </w:rPr>
        <w:t>Step 3</w:t>
      </w:r>
      <w:r w:rsidRPr="00C038E2">
        <w:rPr>
          <w:color w:val="548DD4" w:themeColor="text2" w:themeTint="99"/>
        </w:rPr>
        <w:t xml:space="preserve">: Link Level simulation is performed for the specified PHY configuration, the channel model setups described in </w:t>
      </w:r>
      <w:r w:rsidRPr="00C038E2">
        <w:rPr>
          <w:color w:val="548DD4" w:themeColor="text2" w:themeTint="99"/>
        </w:rPr>
        <w:fldChar w:fldCharType="begin"/>
      </w:r>
      <w:r w:rsidRPr="00C038E2">
        <w:rPr>
          <w:color w:val="548DD4" w:themeColor="text2" w:themeTint="99"/>
        </w:rPr>
        <w:instrText xml:space="preserve"> REF _Ref72974217 \h </w:instrText>
      </w:r>
      <w:r w:rsidRPr="00C038E2">
        <w:rPr>
          <w:color w:val="548DD4" w:themeColor="text2" w:themeTint="99"/>
        </w:rPr>
      </w:r>
      <w:r w:rsidRPr="00C038E2">
        <w:rPr>
          <w:color w:val="548DD4" w:themeColor="text2" w:themeTint="99"/>
        </w:rPr>
        <w:fldChar w:fldCharType="separate"/>
      </w:r>
      <w:r w:rsidRPr="00C038E2">
        <w:rPr>
          <w:color w:val="548DD4" w:themeColor="text2" w:themeTint="99"/>
        </w:rPr>
        <w:t xml:space="preserve">Table </w:t>
      </w:r>
      <w:r w:rsidRPr="00C038E2">
        <w:rPr>
          <w:noProof/>
          <w:color w:val="548DD4" w:themeColor="text2" w:themeTint="99"/>
        </w:rPr>
        <w:t>17</w:t>
      </w:r>
      <w:r w:rsidRPr="00C038E2">
        <w:rPr>
          <w:color w:val="548DD4" w:themeColor="text2" w:themeTint="99"/>
        </w:rPr>
        <w:fldChar w:fldCharType="end"/>
      </w:r>
      <w:r w:rsidRPr="00C038E2">
        <w:rPr>
          <w:color w:val="548DD4" w:themeColor="text2" w:themeTint="99"/>
        </w:rPr>
        <w:t xml:space="preserve"> for a wide- range of SINRs. The packet error rate curves are calculated. The results of the simulation are presented in the following section </w:t>
      </w:r>
      <w:r w:rsidRPr="00C038E2">
        <w:rPr>
          <w:i/>
          <w:iCs/>
          <w:color w:val="548DD4" w:themeColor="text2" w:themeTint="99"/>
        </w:rPr>
        <w:t>Simulation setup and Results</w:t>
      </w:r>
      <w:r w:rsidRPr="00C038E2">
        <w:rPr>
          <w:color w:val="548DD4" w:themeColor="text2" w:themeTint="99"/>
        </w:rPr>
        <w:t>.</w:t>
      </w:r>
    </w:p>
    <w:p w:rsidR="008C134E" w:rsidRPr="00C038E2" w:rsidRDefault="008C134E" w:rsidP="001E117D">
      <w:pPr>
        <w:spacing w:line="276" w:lineRule="auto"/>
        <w:jc w:val="both"/>
        <w:rPr>
          <w:color w:val="548DD4" w:themeColor="text2" w:themeTint="99"/>
        </w:rPr>
      </w:pPr>
      <w:r w:rsidRPr="00C038E2">
        <w:rPr>
          <w:i/>
          <w:iCs/>
          <w:color w:val="548DD4" w:themeColor="text2" w:themeTint="99"/>
          <w:u w:val="single"/>
        </w:rPr>
        <w:t>Step 4</w:t>
      </w:r>
      <w:r w:rsidRPr="00C038E2">
        <w:rPr>
          <w:color w:val="548DD4" w:themeColor="text2" w:themeTint="99"/>
        </w:rPr>
        <w:t>:  The following investigation focuses on the procedures that take place in one site hosting three TRxPs.  A large number of users is dropped into the cell. More specifically, for Configuration A, 120,000 users are uniformly generated for each sector. (Note: In order to fulfil the connection density requirement for Configuration A, complete transmission by approximately 70,000 users is required. However, due to the stochastic generation of traffic, some users may attempt more than one transmission in the time period of interest, while other users remain silent. Through test and trial, it was found that for 120,000 generated users, the probability that at least 72,000 will attempt transmission approaches 1). It is noted that the connection density requirement for Configuration A per sector is 73,000. In case of Configuration B, the connection density requirement per sector is 866,000. In this case 1.1</w:t>
      </w:r>
      <w:r w:rsidR="00330C12">
        <w:rPr>
          <w:color w:val="548DD4" w:themeColor="text2" w:themeTint="99"/>
        </w:rPr>
        <w:t xml:space="preserve"> </w:t>
      </w:r>
      <w:r w:rsidRPr="00C038E2">
        <w:rPr>
          <w:color w:val="548DD4" w:themeColor="text2" w:themeTint="99"/>
        </w:rPr>
        <w:t>M users were uniformly dropped for each sector.</w:t>
      </w:r>
    </w:p>
    <w:p w:rsidR="008C134E" w:rsidRDefault="008C134E" w:rsidP="001E117D">
      <w:pPr>
        <w:spacing w:line="276" w:lineRule="auto"/>
        <w:jc w:val="both"/>
      </w:pPr>
      <w:r w:rsidRPr="00707E64">
        <w:rPr>
          <w:i/>
          <w:iCs/>
          <w:u w:val="single"/>
        </w:rPr>
        <w:t>Step 5</w:t>
      </w:r>
      <w:r>
        <w:t xml:space="preserve">:  Through the Poisson point process, the packets are generated for all users. More specifically, 32 bytes for each are considered, and the output of the process is the time when the packet is available at the UT for transmission. In the following analysis, the DECT slot is considered as the sampling period/time granular for the simulator. Thus, new events are taken into account at a slot-by-slot basis. The transmission times are “translated” to slot indexes, that indicate when each UT is ready to transmit. The traffic generation process is described in </w:t>
      </w:r>
      <w:r>
        <w:fldChar w:fldCharType="begin"/>
      </w:r>
      <w:r>
        <w:instrText xml:space="preserve"> REF _Ref72972389 \h </w:instrText>
      </w:r>
      <w:r>
        <w:fldChar w:fldCharType="separate"/>
      </w:r>
      <w:r>
        <w:t xml:space="preserve">Figure </w:t>
      </w:r>
      <w:r>
        <w:rPr>
          <w:noProof/>
        </w:rPr>
        <w:t>12</w:t>
      </w:r>
      <w:r>
        <w:fldChar w:fldCharType="end"/>
      </w:r>
      <w:r>
        <w:t xml:space="preserve"> (upper left flow diagram).</w:t>
      </w:r>
    </w:p>
    <w:p w:rsidR="008C134E" w:rsidRDefault="008C134E" w:rsidP="001E117D">
      <w:pPr>
        <w:spacing w:line="276" w:lineRule="auto"/>
        <w:jc w:val="both"/>
      </w:pPr>
      <w:r w:rsidRPr="00707E64">
        <w:rPr>
          <w:i/>
          <w:iCs/>
          <w:u w:val="single"/>
        </w:rPr>
        <w:t>Step 6</w:t>
      </w:r>
      <w:r>
        <w:rPr>
          <w:i/>
          <w:iCs/>
        </w:rPr>
        <w:t xml:space="preserve">: </w:t>
      </w:r>
      <w:r>
        <w:t xml:space="preserve">A simple but efficient scheduler is defined. A FIFO queue is implemented at the scheduler. When a UT has data available for transmission, it requests the first available uplink slot (the UT enters the queue). All packets have the same priority (data packets, retransmissions, or relay packets). A specific number of slots is defined available for uplink transmission. For initial tests, the number of uplink slots was 6 (out of 24 slots per frame). The remaining slots are considered for downlink and periodic beacon broadcasts. </w:t>
      </w:r>
    </w:p>
    <w:p w:rsidR="008C134E" w:rsidRPr="00C038E2" w:rsidRDefault="008C134E" w:rsidP="001E117D">
      <w:pPr>
        <w:spacing w:line="276" w:lineRule="auto"/>
        <w:jc w:val="both"/>
        <w:rPr>
          <w:color w:val="548DD4" w:themeColor="text2" w:themeTint="99"/>
        </w:rPr>
      </w:pPr>
      <w:r w:rsidRPr="00C038E2">
        <w:rPr>
          <w:i/>
          <w:iCs/>
          <w:color w:val="548DD4" w:themeColor="text2" w:themeTint="99"/>
          <w:u w:val="single"/>
        </w:rPr>
        <w:t>Step 7</w:t>
      </w:r>
      <w:r w:rsidRPr="00C038E2">
        <w:rPr>
          <w:color w:val="548DD4" w:themeColor="text2" w:themeTint="99"/>
        </w:rPr>
        <w:t>: A percentage of UTs are selected to also act as a relay. It is noted that according to the DECT-2020 NR RIT all UTs can be considered potential relays. However, the management of a very large population of relays is a cumbersome task for the simulator. Therefore, only a small percentage is considered available to relay. For initial tests, this value was set to 0.2% of all PTs – leading to 240 relays per sector for the Configuration A ISD and 2,200 relays per sector for the Configuration B. This means that a very dense grid of relays is defined. The PTs with the relay property is selected randomly. From now on, UTs with the relaying capability are denoted as RTs (Relay Terminals).</w:t>
      </w:r>
    </w:p>
    <w:p w:rsidR="008C134E" w:rsidRDefault="008C134E" w:rsidP="001E117D">
      <w:pPr>
        <w:spacing w:line="276" w:lineRule="auto"/>
        <w:jc w:val="both"/>
      </w:pPr>
      <w:r w:rsidRPr="004B11C8">
        <w:rPr>
          <w:i/>
          <w:iCs/>
          <w:u w:val="single"/>
        </w:rPr>
        <w:t>Step 8</w:t>
      </w:r>
      <w:r w:rsidRPr="004B11C8">
        <w:t>: For all UTs, the SINR for the TRxP link is generated from the SINR CDF that was extracted in Step 2 of this process.</w:t>
      </w:r>
      <w:r>
        <w:t xml:space="preserve"> </w:t>
      </w:r>
    </w:p>
    <w:p w:rsidR="008C134E" w:rsidRDefault="008C134E" w:rsidP="001E117D">
      <w:pPr>
        <w:spacing w:line="276" w:lineRule="auto"/>
        <w:jc w:val="both"/>
      </w:pPr>
      <w:r w:rsidRPr="00707E64">
        <w:rPr>
          <w:i/>
          <w:iCs/>
          <w:u w:val="single"/>
        </w:rPr>
        <w:t>Step 9</w:t>
      </w:r>
      <w:r>
        <w:t xml:space="preserve">: For all UTs, the SINR with all possible relays is generated from the SINR CDF that was extracted in Step 2. For more accurate results, since the RTs have different antenna configurations and heights from the TRxPs, a different SINR CDF should be extracted. </w:t>
      </w:r>
    </w:p>
    <w:p w:rsidR="008C134E" w:rsidRDefault="008C134E" w:rsidP="001E117D">
      <w:pPr>
        <w:spacing w:line="276" w:lineRule="auto"/>
        <w:jc w:val="both"/>
      </w:pPr>
      <w:r w:rsidRPr="00A757CC">
        <w:rPr>
          <w:i/>
          <w:iCs/>
          <w:u w:val="single"/>
        </w:rPr>
        <w:t>Step 10</w:t>
      </w:r>
      <w:r>
        <w:t>: The following simple but effective relaying protocol is defined:</w:t>
      </w:r>
    </w:p>
    <w:p w:rsidR="008C134E" w:rsidRDefault="001F1BB2" w:rsidP="001F1BB2">
      <w:pPr>
        <w:pStyle w:val="enumlev1"/>
      </w:pPr>
      <w:r>
        <w:t>•</w:t>
      </w:r>
      <w:r>
        <w:tab/>
      </w:r>
      <w:r w:rsidR="008C134E">
        <w:t>Upon transmission, the UT uses a simple SINR threshold to decide if the UT will attempt direct transmission towards the TRxP, or through a relay. After simulation and for the supported HARQ processes, SINR</w:t>
      </w:r>
      <w:r w:rsidR="008C134E">
        <w:rPr>
          <w:vertAlign w:val="subscript"/>
        </w:rPr>
        <w:t>Threshold</w:t>
      </w:r>
      <w:r w:rsidR="008C134E">
        <w:t>=8 dB is defined. For four HARQ processes, the MCS-1 scheme, and the considered channel models, with 8 dB SINR, the Packet Error Probability is less than 10</w:t>
      </w:r>
      <w:r w:rsidR="008C134E">
        <w:rPr>
          <w:vertAlign w:val="superscript"/>
        </w:rPr>
        <w:t>-5</w:t>
      </w:r>
      <w:r w:rsidR="008C134E">
        <w:t>. Thus, the UT enters the FIFO queue in order to access the resources</w:t>
      </w:r>
      <w:r w:rsidR="008C134E">
        <w:rPr>
          <w:rStyle w:val="FootnoteReference"/>
        </w:rPr>
        <w:footnoteReference w:id="3"/>
      </w:r>
      <w:r w:rsidR="008C134E">
        <w:t xml:space="preserve">. </w:t>
      </w:r>
    </w:p>
    <w:p w:rsidR="008C134E" w:rsidRPr="001F1BB2" w:rsidRDefault="001F1BB2" w:rsidP="001F1BB2">
      <w:pPr>
        <w:pStyle w:val="enumlev1"/>
        <w:rPr>
          <w:color w:val="548DD4" w:themeColor="text2" w:themeTint="99"/>
        </w:rPr>
      </w:pPr>
      <w:r w:rsidRPr="007C5CB7">
        <w:rPr>
          <w:color w:val="548DD4" w:themeColor="text2" w:themeTint="99"/>
        </w:rPr>
        <w:t>•</w:t>
      </w:r>
      <w:r>
        <w:tab/>
      </w:r>
      <w:r w:rsidR="008C134E" w:rsidRPr="001F1BB2">
        <w:rPr>
          <w:color w:val="548DD4" w:themeColor="text2" w:themeTint="99"/>
        </w:rPr>
        <w:t>If the use of a relay is decided then the UT checks the RSSI for the two-hop process by taking into account the Channel Quality Metrics that are included in the latest</w:t>
      </w:r>
      <w:r w:rsidR="008C134E" w:rsidRPr="001F1BB2">
        <w:rPr>
          <w:color w:val="365F91" w:themeColor="accent1" w:themeShade="BF"/>
        </w:rPr>
        <w:t xml:space="preserve"> </w:t>
      </w:r>
      <w:r w:rsidR="008C134E" w:rsidRPr="001F1BB2">
        <w:rPr>
          <w:color w:val="548DD4" w:themeColor="text2" w:themeTint="99"/>
        </w:rPr>
        <w:t>received beacon from the three preferable relays. For each relay, the RSSI of the process is defined as the minimum RSSI for all paths:</w:t>
      </w:r>
    </w:p>
    <w:p w:rsidR="008C134E" w:rsidRPr="00C038E2" w:rsidRDefault="00DB17FA" w:rsidP="00330C12">
      <w:pPr>
        <w:pStyle w:val="Equation"/>
      </w:pPr>
      <m:oMathPara>
        <m:oMath>
          <m:sSub>
            <m:sSubPr>
              <m:ctrlPr>
                <w:rPr>
                  <w:rFonts w:ascii="Cambria Math" w:hAnsi="Cambria Math"/>
                  <w:color w:val="548DD4" w:themeColor="text2" w:themeTint="99"/>
                </w:rPr>
              </m:ctrlPr>
            </m:sSubPr>
            <m:e>
              <m:r>
                <w:rPr>
                  <w:rFonts w:ascii="Cambria Math" w:hAnsi="Cambria Math"/>
                  <w:color w:val="548DD4" w:themeColor="text2" w:themeTint="99"/>
                </w:rPr>
                <m:t>RSSI</m:t>
              </m:r>
            </m:e>
            <m:sub>
              <m:r>
                <w:rPr>
                  <w:rFonts w:ascii="Cambria Math" w:hAnsi="Cambria Math"/>
                  <w:color w:val="548DD4" w:themeColor="text2" w:themeTint="99"/>
                </w:rPr>
                <m:t>RT</m:t>
              </m:r>
            </m:sub>
          </m:sSub>
          <m:r>
            <m:rPr>
              <m:sty m:val="p"/>
            </m:rPr>
            <w:rPr>
              <w:rFonts w:ascii="Cambria Math" w:hAnsi="Cambria Math"/>
              <w:color w:val="548DD4" w:themeColor="text2" w:themeTint="99"/>
            </w:rPr>
            <m:t>=</m:t>
          </m:r>
          <m:r>
            <w:rPr>
              <w:rFonts w:ascii="Cambria Math" w:hAnsi="Cambria Math"/>
              <w:color w:val="548DD4" w:themeColor="text2" w:themeTint="99"/>
            </w:rPr>
            <m:t>min</m:t>
          </m:r>
          <m:d>
            <m:dPr>
              <m:begChr m:val="["/>
              <m:endChr m:val="]"/>
              <m:ctrlPr>
                <w:rPr>
                  <w:rFonts w:ascii="Cambria Math" w:hAnsi="Cambria Math"/>
                  <w:color w:val="548DD4" w:themeColor="text2" w:themeTint="99"/>
                </w:rPr>
              </m:ctrlPr>
            </m:dPr>
            <m:e>
              <m:m>
                <m:mPr>
                  <m:mcs>
                    <m:mc>
                      <m:mcPr>
                        <m:count m:val="2"/>
                        <m:mcJc m:val="center"/>
                      </m:mcPr>
                    </m:mc>
                  </m:mcs>
                  <m:ctrlPr>
                    <w:rPr>
                      <w:rFonts w:ascii="Cambria Math" w:hAnsi="Cambria Math"/>
                      <w:color w:val="548DD4" w:themeColor="text2" w:themeTint="99"/>
                    </w:rPr>
                  </m:ctrlPr>
                </m:mPr>
                <m:mr>
                  <m:e>
                    <m:sSub>
                      <m:sSubPr>
                        <m:ctrlPr>
                          <w:rPr>
                            <w:rFonts w:ascii="Cambria Math" w:hAnsi="Cambria Math"/>
                            <w:color w:val="548DD4" w:themeColor="text2" w:themeTint="99"/>
                          </w:rPr>
                        </m:ctrlPr>
                      </m:sSubPr>
                      <m:e>
                        <m:r>
                          <w:rPr>
                            <w:rFonts w:ascii="Cambria Math" w:hAnsi="Cambria Math"/>
                            <w:color w:val="548DD4" w:themeColor="text2" w:themeTint="99"/>
                          </w:rPr>
                          <m:t>RSSI</m:t>
                        </m:r>
                      </m:e>
                      <m:sub>
                        <m:r>
                          <w:rPr>
                            <w:rFonts w:ascii="Cambria Math" w:hAnsi="Cambria Math"/>
                            <w:color w:val="548DD4" w:themeColor="text2" w:themeTint="99"/>
                          </w:rPr>
                          <m:t>UT</m:t>
                        </m:r>
                        <m:r>
                          <m:rPr>
                            <m:sty m:val="p"/>
                          </m:rPr>
                          <w:rPr>
                            <w:rFonts w:ascii="Cambria Math" w:hAnsi="Cambria Math"/>
                            <w:color w:val="548DD4" w:themeColor="text2" w:themeTint="99"/>
                          </w:rPr>
                          <m:t>→</m:t>
                        </m:r>
                        <m:r>
                          <w:rPr>
                            <w:rFonts w:ascii="Cambria Math" w:hAnsi="Cambria Math"/>
                            <w:color w:val="548DD4" w:themeColor="text2" w:themeTint="99"/>
                          </w:rPr>
                          <m:t>RT</m:t>
                        </m:r>
                      </m:sub>
                    </m:sSub>
                  </m:e>
                  <m:e>
                    <m:sSub>
                      <m:sSubPr>
                        <m:ctrlPr>
                          <w:rPr>
                            <w:rFonts w:ascii="Cambria Math" w:hAnsi="Cambria Math"/>
                            <w:color w:val="548DD4" w:themeColor="text2" w:themeTint="99"/>
                          </w:rPr>
                        </m:ctrlPr>
                      </m:sSubPr>
                      <m:e>
                        <m:r>
                          <w:rPr>
                            <w:rFonts w:ascii="Cambria Math" w:hAnsi="Cambria Math"/>
                            <w:color w:val="548DD4" w:themeColor="text2" w:themeTint="99"/>
                          </w:rPr>
                          <m:t>RSSI</m:t>
                        </m:r>
                      </m:e>
                      <m:sub>
                        <m:r>
                          <w:rPr>
                            <w:rFonts w:ascii="Cambria Math" w:hAnsi="Cambria Math"/>
                            <w:color w:val="548DD4" w:themeColor="text2" w:themeTint="99"/>
                          </w:rPr>
                          <m:t>RT</m:t>
                        </m:r>
                        <m:r>
                          <m:rPr>
                            <m:sty m:val="p"/>
                          </m:rPr>
                          <w:rPr>
                            <w:rFonts w:ascii="Cambria Math" w:hAnsi="Cambria Math"/>
                            <w:color w:val="548DD4" w:themeColor="text2" w:themeTint="99"/>
                          </w:rPr>
                          <m:t>→</m:t>
                        </m:r>
                        <m:r>
                          <w:rPr>
                            <w:rFonts w:ascii="Cambria Math" w:hAnsi="Cambria Math"/>
                            <w:color w:val="548DD4" w:themeColor="text2" w:themeTint="99"/>
                          </w:rPr>
                          <m:t>TRxP</m:t>
                        </m:r>
                      </m:sub>
                    </m:sSub>
                  </m:e>
                </m:mr>
              </m:m>
            </m:e>
          </m:d>
        </m:oMath>
      </m:oMathPara>
    </w:p>
    <w:p w:rsidR="008C134E" w:rsidRPr="00330C12" w:rsidRDefault="008C134E" w:rsidP="001E117D">
      <w:pPr>
        <w:pStyle w:val="ListParagraph"/>
        <w:spacing w:line="276" w:lineRule="auto"/>
        <w:jc w:val="both"/>
        <w:rPr>
          <w:rFonts w:eastAsia="Times New Roman"/>
          <w:color w:val="548DD4" w:themeColor="text2" w:themeTint="99"/>
        </w:rPr>
      </w:pPr>
      <w:r w:rsidRPr="00330C12">
        <w:rPr>
          <w:rFonts w:eastAsia="Times New Roman"/>
          <w:color w:val="548DD4" w:themeColor="text2" w:themeTint="99"/>
        </w:rPr>
        <w:t>And the selected RSSI is the one with the maximum metric for the three preferable RTs:</w:t>
      </w:r>
    </w:p>
    <w:p w:rsidR="008C134E" w:rsidRPr="00C038E2" w:rsidRDefault="008C134E" w:rsidP="00330C12">
      <w:pPr>
        <w:pStyle w:val="Equation"/>
      </w:pPr>
      <m:oMathPara>
        <m:oMath>
          <m:r>
            <w:rPr>
              <w:rFonts w:ascii="Cambria Math" w:hAnsi="Cambria Math"/>
              <w:color w:val="548DD4" w:themeColor="text2" w:themeTint="99"/>
            </w:rPr>
            <m:t>Selected</m:t>
          </m:r>
          <m:r>
            <m:rPr>
              <m:sty m:val="p"/>
            </m:rPr>
            <w:rPr>
              <w:rFonts w:ascii="Cambria Math" w:hAnsi="Cambria Math"/>
              <w:color w:val="548DD4" w:themeColor="text2" w:themeTint="99"/>
            </w:rPr>
            <m:t xml:space="preserve"> </m:t>
          </m:r>
          <m:r>
            <w:rPr>
              <w:rFonts w:ascii="Cambria Math" w:hAnsi="Cambria Math"/>
              <w:color w:val="548DD4" w:themeColor="text2" w:themeTint="99"/>
            </w:rPr>
            <m:t>Relay</m:t>
          </m:r>
          <m:r>
            <m:rPr>
              <m:sty m:val="p"/>
            </m:rPr>
            <w:rPr>
              <w:rFonts w:ascii="Cambria Math" w:hAnsi="Cambria Math"/>
              <w:color w:val="548DD4" w:themeColor="text2" w:themeTint="99"/>
            </w:rPr>
            <m:t xml:space="preserve"> </m:t>
          </m:r>
          <m:acc>
            <m:accPr>
              <m:ctrlPr>
                <w:rPr>
                  <w:rFonts w:ascii="Cambria Math" w:hAnsi="Cambria Math"/>
                  <w:color w:val="548DD4" w:themeColor="text2" w:themeTint="99"/>
                </w:rPr>
              </m:ctrlPr>
            </m:accPr>
            <m:e>
              <m:r>
                <w:rPr>
                  <w:rFonts w:ascii="Cambria Math" w:hAnsi="Cambria Math"/>
                  <w:color w:val="548DD4" w:themeColor="text2" w:themeTint="99"/>
                </w:rPr>
                <m:t>i</m:t>
              </m:r>
            </m:e>
          </m:acc>
          <m:r>
            <m:rPr>
              <m:sty m:val="p"/>
            </m:rPr>
            <w:rPr>
              <w:rFonts w:ascii="Cambria Math" w:hAnsi="Cambria Math"/>
              <w:color w:val="548DD4" w:themeColor="text2" w:themeTint="99"/>
            </w:rPr>
            <m:t>=</m:t>
          </m:r>
          <m:r>
            <w:rPr>
              <w:rFonts w:ascii="Cambria Math" w:hAnsi="Cambria Math"/>
              <w:color w:val="548DD4" w:themeColor="text2" w:themeTint="99"/>
            </w:rPr>
            <m:t>argmax</m:t>
          </m:r>
          <m:d>
            <m:dPr>
              <m:begChr m:val="["/>
              <m:endChr m:val="]"/>
              <m:ctrlPr>
                <w:rPr>
                  <w:rFonts w:ascii="Cambria Math" w:hAnsi="Cambria Math"/>
                  <w:color w:val="548DD4" w:themeColor="text2" w:themeTint="99"/>
                </w:rPr>
              </m:ctrlPr>
            </m:dPr>
            <m:e>
              <m:sSub>
                <m:sSubPr>
                  <m:ctrlPr>
                    <w:rPr>
                      <w:rFonts w:ascii="Cambria Math" w:hAnsi="Cambria Math"/>
                      <w:color w:val="548DD4" w:themeColor="text2" w:themeTint="99"/>
                    </w:rPr>
                  </m:ctrlPr>
                </m:sSubPr>
                <m:e>
                  <m:r>
                    <w:rPr>
                      <w:rFonts w:ascii="Cambria Math" w:hAnsi="Cambria Math"/>
                      <w:color w:val="548DD4" w:themeColor="text2" w:themeTint="99"/>
                    </w:rPr>
                    <m:t>RSSI</m:t>
                  </m:r>
                </m:e>
                <m:sub>
                  <m:sSub>
                    <m:sSubPr>
                      <m:ctrlPr>
                        <w:rPr>
                          <w:rFonts w:ascii="Cambria Math" w:hAnsi="Cambria Math"/>
                          <w:color w:val="548DD4" w:themeColor="text2" w:themeTint="99"/>
                        </w:rPr>
                      </m:ctrlPr>
                    </m:sSubPr>
                    <m:e>
                      <m:r>
                        <w:rPr>
                          <w:rFonts w:ascii="Cambria Math" w:hAnsi="Cambria Math"/>
                          <w:color w:val="548DD4" w:themeColor="text2" w:themeTint="99"/>
                        </w:rPr>
                        <m:t>RT</m:t>
                      </m:r>
                    </m:e>
                    <m:sub>
                      <m:r>
                        <w:rPr>
                          <w:rFonts w:ascii="Cambria Math" w:hAnsi="Cambria Math"/>
                          <w:color w:val="548DD4" w:themeColor="text2" w:themeTint="99"/>
                        </w:rPr>
                        <m:t>i</m:t>
                      </m:r>
                    </m:sub>
                  </m:sSub>
                </m:sub>
              </m:sSub>
            </m:e>
          </m:d>
        </m:oMath>
      </m:oMathPara>
    </w:p>
    <w:p w:rsidR="008C134E" w:rsidRPr="00C038E2" w:rsidRDefault="008C134E" w:rsidP="001E117D">
      <w:pPr>
        <w:spacing w:line="276" w:lineRule="auto"/>
        <w:ind w:left="720"/>
        <w:jc w:val="both"/>
        <w:rPr>
          <w:color w:val="548DD4" w:themeColor="text2" w:themeTint="99"/>
        </w:rPr>
      </w:pPr>
      <w:r w:rsidRPr="00C038E2">
        <w:rPr>
          <w:color w:val="548DD4" w:themeColor="text2" w:themeTint="99"/>
        </w:rPr>
        <w:t>The procedure is described for a single relay hop. However, it can easily be extended for multiple hops. Nevertheless, it is noted that preliminary results indicate that the use of a single relay should be sufficient to fulfil the requirements. It is noted that the DECT-2020 protocol describes a procedure where RSSI values are exchanged for relaying purposes, and this is the reason that RSSI is also used in this procedure. In case of RRC message exchange with SINR values exchange, SINR should be used by the relaying protocol as more suitable metric.</w:t>
      </w:r>
    </w:p>
    <w:p w:rsidR="008C134E" w:rsidRDefault="008C134E" w:rsidP="001E117D">
      <w:pPr>
        <w:spacing w:line="276" w:lineRule="auto"/>
        <w:jc w:val="both"/>
      </w:pPr>
      <w:r w:rsidRPr="00A757CC">
        <w:rPr>
          <w:i/>
          <w:iCs/>
          <w:u w:val="single"/>
        </w:rPr>
        <w:t>Step 1</w:t>
      </w:r>
      <w:r>
        <w:rPr>
          <w:i/>
          <w:iCs/>
          <w:u w:val="single"/>
        </w:rPr>
        <w:t>1</w:t>
      </w:r>
      <w:r>
        <w:t>:  The first hop of each relay is implemented in an overlay transmission mode, i.e. a slot is allocated from the scheduler for the first hop of the relaying process. In order to simplify the procedure, a specific set of slots at each frame may be defined for relay use.</w:t>
      </w:r>
    </w:p>
    <w:p w:rsidR="008C134E" w:rsidRDefault="008C134E" w:rsidP="001E117D">
      <w:pPr>
        <w:spacing w:line="276" w:lineRule="auto"/>
        <w:jc w:val="both"/>
      </w:pPr>
      <w:r w:rsidRPr="00A73994">
        <w:rPr>
          <w:i/>
          <w:iCs/>
          <w:u w:val="single"/>
        </w:rPr>
        <w:t>Step 12</w:t>
      </w:r>
      <w:r>
        <w:t xml:space="preserve">:  At this point, the main loop of the simulation engine can be executed. The logical flow is presented in </w:t>
      </w:r>
      <w:r>
        <w:fldChar w:fldCharType="begin"/>
      </w:r>
      <w:r>
        <w:instrText xml:space="preserve"> REF _Ref72972389 \h </w:instrText>
      </w:r>
      <w:r>
        <w:fldChar w:fldCharType="separate"/>
      </w:r>
      <w:r>
        <w:t xml:space="preserve">Figure </w:t>
      </w:r>
      <w:r>
        <w:rPr>
          <w:noProof/>
        </w:rPr>
        <w:t>12</w:t>
      </w:r>
      <w:r>
        <w:fldChar w:fldCharType="end"/>
      </w:r>
      <w:r>
        <w:t>. The loop simulated the time succession of slots and frames during the time period of interest. More specifically,</w:t>
      </w:r>
    </w:p>
    <w:p w:rsidR="008C134E" w:rsidRDefault="00330C12" w:rsidP="00330C12">
      <w:pPr>
        <w:pStyle w:val="enumlev1"/>
      </w:pPr>
      <w:r>
        <w:t>•</w:t>
      </w:r>
      <w:r>
        <w:tab/>
      </w:r>
      <w:r w:rsidR="008C134E">
        <w:t xml:space="preserve">At the beginning of each frame all new UTs that have available data for transmission are inserted into the FIFO queue. </w:t>
      </w:r>
    </w:p>
    <w:p w:rsidR="008C134E" w:rsidRDefault="00330C12" w:rsidP="00330C12">
      <w:pPr>
        <w:pStyle w:val="enumlev1"/>
      </w:pPr>
      <w:r>
        <w:t>•</w:t>
      </w:r>
      <w:r>
        <w:tab/>
      </w:r>
      <w:r w:rsidR="008C134E">
        <w:t xml:space="preserve">The scheduler assigns sequentially the available resources to the UTs. </w:t>
      </w:r>
    </w:p>
    <w:p w:rsidR="008C134E" w:rsidRDefault="00330C12" w:rsidP="00330C12">
      <w:pPr>
        <w:pStyle w:val="enumlev1"/>
      </w:pPr>
      <w:r>
        <w:t>•</w:t>
      </w:r>
      <w:r>
        <w:tab/>
      </w:r>
      <w:r w:rsidR="008C134E">
        <w:t>At each slot, the allocated UT attempts transmission following the relaying protocol.</w:t>
      </w:r>
    </w:p>
    <w:p w:rsidR="008C134E" w:rsidRDefault="00330C12" w:rsidP="00330C12">
      <w:pPr>
        <w:pStyle w:val="enumlev2"/>
      </w:pPr>
      <w:r>
        <w:t>˚</w:t>
      </w:r>
      <w:r>
        <w:tab/>
      </w:r>
      <w:r w:rsidR="008C134E">
        <w:t>In case, direct communication is selected, and for the given SINR, the probability of Packet Error is calculated by the link-level simulation curves, and with the use of a random variable, it is decided if the transmission is successful or not.</w:t>
      </w:r>
    </w:p>
    <w:p w:rsidR="008C134E" w:rsidRDefault="00330C12" w:rsidP="00330C12">
      <w:pPr>
        <w:pStyle w:val="enumlev2"/>
      </w:pPr>
      <w:r>
        <w:t>˚</w:t>
      </w:r>
      <w:r>
        <w:tab/>
      </w:r>
      <w:r w:rsidR="008C134E">
        <w:t xml:space="preserve">In case of an unsuccessful transmission, the HARQ process is activated. Thus, after a time period corresponding to the HARQ feedback time, the packet will re-enter the FIFO queue and eventually re-attempt transmission. </w:t>
      </w:r>
    </w:p>
    <w:p w:rsidR="008C134E" w:rsidRDefault="00330C12" w:rsidP="00330C12">
      <w:pPr>
        <w:pStyle w:val="enumlev2"/>
      </w:pPr>
      <w:r>
        <w:t>˚</w:t>
      </w:r>
      <w:r>
        <w:tab/>
      </w:r>
      <w:r w:rsidR="008C134E">
        <w:t>If the HARQ process number is exhausted, the transmission failure is recorded.</w:t>
      </w:r>
    </w:p>
    <w:p w:rsidR="008C134E" w:rsidRDefault="00330C12" w:rsidP="00330C12">
      <w:pPr>
        <w:pStyle w:val="enumlev2"/>
      </w:pPr>
      <w:r>
        <w:t>˚</w:t>
      </w:r>
      <w:r>
        <w:tab/>
      </w:r>
      <w:r w:rsidR="008C134E">
        <w:t xml:space="preserve">If the transmission is successful, the latency from the packet generation time is calculated and if it is under 10 seconds, the transmission has succeeded. Otherwise, it is considered a failure. </w:t>
      </w:r>
    </w:p>
    <w:p w:rsidR="008C134E" w:rsidRDefault="00330C12" w:rsidP="00330C12">
      <w:pPr>
        <w:pStyle w:val="enumlev2"/>
      </w:pPr>
      <w:r>
        <w:t>˚</w:t>
      </w:r>
      <w:r>
        <w:tab/>
      </w:r>
      <w:r w:rsidR="008C134E">
        <w:t>In case of a relay, the UT waits for the allocated slot and attempts transmission towards the relay. In general, due to the high density of RTs, the first hop consists of high-SINR links with extremely low error probability. In case of an error, HARQ is activated.</w:t>
      </w:r>
    </w:p>
    <w:p w:rsidR="008C134E" w:rsidRDefault="00330C12" w:rsidP="00330C12">
      <w:pPr>
        <w:pStyle w:val="enumlev2"/>
      </w:pPr>
      <w:r>
        <w:t>˚</w:t>
      </w:r>
      <w:r>
        <w:tab/>
      </w:r>
      <w:r w:rsidR="008C134E">
        <w:t>Upon reception, the RT considers the new packet as its own and enters the FIFO queue at the scheduler. The process now is identical with the case of direct UT-TRxP communications.</w:t>
      </w:r>
    </w:p>
    <w:p w:rsidR="008C134E" w:rsidRDefault="00330C12" w:rsidP="00330C12">
      <w:pPr>
        <w:pStyle w:val="enumlev2"/>
      </w:pPr>
      <w:r>
        <w:t>˚</w:t>
      </w:r>
      <w:r>
        <w:tab/>
      </w:r>
      <w:r w:rsidR="008C134E">
        <w:t xml:space="preserve">After the completion of the second hop, the latency from the packet generation time is calculated and if less than 10 seconds, the transmission is considered successful. </w:t>
      </w:r>
    </w:p>
    <w:p w:rsidR="008C134E" w:rsidRDefault="008C134E" w:rsidP="001E117D">
      <w:pPr>
        <w:spacing w:line="276" w:lineRule="auto"/>
        <w:jc w:val="both"/>
      </w:pPr>
      <w:r>
        <w:t>The results of the analysis are presented in the following section.</w:t>
      </w:r>
    </w:p>
    <w:p w:rsidR="008B67F3" w:rsidRDefault="008B67F3" w:rsidP="001E117D">
      <w:pPr>
        <w:spacing w:line="276" w:lineRule="auto"/>
        <w:jc w:val="both"/>
        <w:sectPr w:rsidR="008B67F3" w:rsidSect="008B67F3">
          <w:pgSz w:w="12240" w:h="15840" w:code="1"/>
          <w:pgMar w:top="1440" w:right="1440" w:bottom="1440" w:left="1440" w:header="720" w:footer="720" w:gutter="0"/>
          <w:cols w:space="720"/>
          <w:docGrid w:linePitch="360"/>
        </w:sectPr>
      </w:pPr>
    </w:p>
    <w:p w:rsidR="008B67F3" w:rsidRPr="008B67F3" w:rsidRDefault="008B67F3" w:rsidP="008B67F3">
      <w:pPr>
        <w:pStyle w:val="TableNo"/>
        <w:spacing w:before="240"/>
        <w:rPr>
          <w:color w:val="365F91" w:themeColor="accent1" w:themeShade="BF"/>
        </w:rPr>
      </w:pPr>
      <w:r w:rsidRPr="008B67F3">
        <w:rPr>
          <w:color w:val="365F91" w:themeColor="accent1" w:themeShade="BF"/>
        </w:rPr>
        <w:t xml:space="preserve">Figure </w:t>
      </w:r>
      <w:r w:rsidRPr="008B67F3">
        <w:rPr>
          <w:color w:val="365F91" w:themeColor="accent1" w:themeShade="BF"/>
        </w:rPr>
        <w:fldChar w:fldCharType="begin"/>
      </w:r>
      <w:r w:rsidRPr="008B67F3">
        <w:rPr>
          <w:color w:val="365F91" w:themeColor="accent1" w:themeShade="BF"/>
        </w:rPr>
        <w:instrText xml:space="preserve"> SEQ Figure \* ARABIC </w:instrText>
      </w:r>
      <w:r w:rsidRPr="008B67F3">
        <w:rPr>
          <w:color w:val="365F91" w:themeColor="accent1" w:themeShade="BF"/>
        </w:rPr>
        <w:fldChar w:fldCharType="separate"/>
      </w:r>
      <w:r w:rsidRPr="008B67F3">
        <w:rPr>
          <w:noProof/>
          <w:color w:val="365F91" w:themeColor="accent1" w:themeShade="BF"/>
        </w:rPr>
        <w:t>12</w:t>
      </w:r>
      <w:r w:rsidRPr="008B67F3">
        <w:rPr>
          <w:noProof/>
          <w:color w:val="365F91" w:themeColor="accent1" w:themeShade="BF"/>
        </w:rPr>
        <w:fldChar w:fldCharType="end"/>
      </w:r>
    </w:p>
    <w:p w:rsidR="008C134E" w:rsidRDefault="008B67F3" w:rsidP="00BF00CE">
      <w:pPr>
        <w:pStyle w:val="Tabletitle"/>
        <w:spacing w:after="240"/>
      </w:pPr>
      <w:r w:rsidRPr="008B67F3">
        <w:rPr>
          <w:color w:val="365F91" w:themeColor="accent1" w:themeShade="BF"/>
        </w:rPr>
        <w:t>Connection Density Simulation Methodology</w:t>
      </w:r>
      <w:r>
        <w:object w:dxaOrig="22148" w:dyaOrig="12068" w14:anchorId="7B712A7C">
          <v:shape id="_x0000_i1026" type="#_x0000_t75" style="width:687.75pt;height:382.5pt" o:ole="">
            <v:imagedata r:id="rId47" o:title=""/>
          </v:shape>
          <o:OLEObject Type="Embed" ProgID="Visio.Drawing.15" ShapeID="_x0000_i1026" DrawAspect="Content" ObjectID="_1697959889" r:id="rId48"/>
        </w:object>
      </w:r>
    </w:p>
    <w:p w:rsidR="00330C12" w:rsidRPr="00330C12" w:rsidRDefault="00330C12" w:rsidP="00330C12"/>
    <w:p w:rsidR="008C134E" w:rsidRPr="000617E2" w:rsidRDefault="008C134E" w:rsidP="0054085C">
      <w:pPr>
        <w:jc w:val="both"/>
        <w:sectPr w:rsidR="008C134E" w:rsidRPr="000617E2" w:rsidSect="0054085C">
          <w:pgSz w:w="15840" w:h="12240" w:orient="landscape"/>
          <w:pgMar w:top="1440" w:right="1440" w:bottom="1440" w:left="1440" w:header="720" w:footer="720" w:gutter="0"/>
          <w:cols w:space="720"/>
          <w:docGrid w:linePitch="360"/>
        </w:sectPr>
      </w:pPr>
    </w:p>
    <w:p w:rsidR="008C134E" w:rsidRPr="00C038E2" w:rsidRDefault="008C134E" w:rsidP="000559E4">
      <w:pPr>
        <w:pStyle w:val="Heading3"/>
        <w:spacing w:line="276" w:lineRule="auto"/>
        <w:ind w:left="0" w:firstLine="0"/>
        <w:jc w:val="both"/>
        <w:rPr>
          <w:color w:val="548DD4" w:themeColor="text2" w:themeTint="99"/>
        </w:rPr>
      </w:pPr>
      <w:r w:rsidRPr="00C038E2">
        <w:rPr>
          <w:color w:val="548DD4" w:themeColor="text2" w:themeTint="99"/>
        </w:rPr>
        <w:t>Simulation setup and results</w:t>
      </w:r>
    </w:p>
    <w:p w:rsidR="008C134E" w:rsidRPr="00C038E2" w:rsidRDefault="008C134E" w:rsidP="00A47C72">
      <w:pPr>
        <w:spacing w:line="276" w:lineRule="auto"/>
        <w:jc w:val="both"/>
        <w:rPr>
          <w:color w:val="548DD4" w:themeColor="text2" w:themeTint="99"/>
        </w:rPr>
      </w:pPr>
      <w:r w:rsidRPr="00C038E2">
        <w:rPr>
          <w:color w:val="548DD4" w:themeColor="text2" w:themeTint="99"/>
        </w:rPr>
        <w:t>A summary of the simulation parameters is the following:</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ISD of 500</w:t>
      </w:r>
      <w:r w:rsidR="007708F3">
        <w:rPr>
          <w:color w:val="548DD4" w:themeColor="text2" w:themeTint="99"/>
        </w:rPr>
        <w:t> </w:t>
      </w:r>
      <w:r w:rsidR="008C134E" w:rsidRPr="00387A2C">
        <w:rPr>
          <w:color w:val="548DD4" w:themeColor="text2" w:themeTint="99"/>
        </w:rPr>
        <w:t>m (for Configuration A) and 1</w:t>
      </w:r>
      <w:r w:rsidR="007708F3">
        <w:rPr>
          <w:color w:val="548DD4" w:themeColor="text2" w:themeTint="99"/>
        </w:rPr>
        <w:t> </w:t>
      </w:r>
      <w:r w:rsidR="008C134E" w:rsidRPr="00387A2C">
        <w:rPr>
          <w:color w:val="548DD4" w:themeColor="text2" w:themeTint="99"/>
        </w:rPr>
        <w:t>732</w:t>
      </w:r>
      <w:r w:rsidR="007708F3">
        <w:rPr>
          <w:color w:val="548DD4" w:themeColor="text2" w:themeTint="99"/>
        </w:rPr>
        <w:t> </w:t>
      </w:r>
      <w:r w:rsidR="008C134E" w:rsidRPr="00387A2C">
        <w:rPr>
          <w:color w:val="548DD4" w:themeColor="text2" w:themeTint="99"/>
        </w:rPr>
        <w:t>m (for Configuration B) was used.</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 xml:space="preserve">Tx power of 23 dBm and total bandwidth of 8.64 MHz was considered for both configurations. </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 xml:space="preserve">Frequency reuse scheme with reuse factor 1/3 is considered. </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2 antennas were assumed at the UE and 1 or 2 antennas at the TxRP.</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The scheduling is performed in Frame-By-Frame basis, i.e., every 10 msec.</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 xml:space="preserve">For each frame, 5 (out of 24 available) slots are considered for uplink communications. The rest of the slots are considered for signalling, initialization process, downlink and guard intervals. </w:t>
      </w:r>
    </w:p>
    <w:p w:rsidR="008C134E" w:rsidRPr="00C038E2" w:rsidRDefault="00387A2C" w:rsidP="00387A2C">
      <w:pPr>
        <w:pStyle w:val="enumlev1"/>
      </w:pPr>
      <w:r w:rsidRPr="00387A2C">
        <w:rPr>
          <w:color w:val="548DD4" w:themeColor="text2" w:themeTint="99"/>
        </w:rPr>
        <w:t>•</w:t>
      </w:r>
      <w:r w:rsidRPr="00387A2C">
        <w:rPr>
          <w:color w:val="548DD4" w:themeColor="text2" w:themeTint="99"/>
        </w:rPr>
        <w:tab/>
      </w:r>
      <w:r w:rsidR="008C134E" w:rsidRPr="00387A2C">
        <w:rPr>
          <w:color w:val="548DD4" w:themeColor="text2" w:themeTint="99"/>
        </w:rPr>
        <w:t>A set of 0.2% of randomly selected UEs from the available set are considered as potential relays.</w:t>
      </w:r>
      <w:r w:rsidR="008C134E" w:rsidRPr="00C038E2">
        <w:t xml:space="preserve"> </w:t>
      </w:r>
    </w:p>
    <w:p w:rsidR="008C134E" w:rsidRPr="00C038E2" w:rsidRDefault="008C134E" w:rsidP="006B403D">
      <w:pPr>
        <w:spacing w:line="276" w:lineRule="auto"/>
        <w:jc w:val="both"/>
        <w:rPr>
          <w:i/>
          <w:iCs/>
          <w:color w:val="548DD4" w:themeColor="text2" w:themeTint="99"/>
          <w:u w:val="single"/>
        </w:rPr>
      </w:pPr>
      <w:r w:rsidRPr="00C038E2">
        <w:rPr>
          <w:i/>
          <w:iCs/>
          <w:color w:val="548DD4" w:themeColor="text2" w:themeTint="99"/>
          <w:u w:val="single"/>
        </w:rPr>
        <w:t>The SINR Cumulative Density Function (CDF) results</w:t>
      </w:r>
    </w:p>
    <w:p w:rsidR="008C134E" w:rsidRPr="00C038E2" w:rsidRDefault="008C134E" w:rsidP="006B403D">
      <w:pPr>
        <w:spacing w:line="276" w:lineRule="auto"/>
        <w:jc w:val="both"/>
        <w:rPr>
          <w:color w:val="548DD4" w:themeColor="text2" w:themeTint="99"/>
        </w:rPr>
      </w:pPr>
      <w:r w:rsidRPr="00C038E2">
        <w:rPr>
          <w:color w:val="548DD4" w:themeColor="text2" w:themeTint="99"/>
        </w:rPr>
        <w:t>The results correspond to the procedure described at Step 2 of the overall system simulation process.</w:t>
      </w:r>
    </w:p>
    <w:p w:rsidR="008C134E" w:rsidRPr="00C038E2" w:rsidRDefault="00387A2C" w:rsidP="00387A2C">
      <w:pPr>
        <w:pStyle w:val="enumlev1"/>
      </w:pPr>
      <w:r w:rsidRPr="00387A2C">
        <w:rPr>
          <w:color w:val="548DD4" w:themeColor="text2" w:themeTint="99"/>
        </w:rPr>
        <w:t>•</w:t>
      </w:r>
      <w:r w:rsidRPr="00387A2C">
        <w:rPr>
          <w:color w:val="548DD4" w:themeColor="text2" w:themeTint="99"/>
        </w:rPr>
        <w:tab/>
      </w:r>
      <w:r w:rsidR="008C134E" w:rsidRPr="00387A2C">
        <w:rPr>
          <w:color w:val="548DD4" w:themeColor="text2" w:themeTint="99"/>
        </w:rPr>
        <w:t>Four transmission schemes were considered and simulated:</w:t>
      </w:r>
    </w:p>
    <w:p w:rsidR="008C134E" w:rsidRPr="00C038E2" w:rsidRDefault="008C134E" w:rsidP="00777720">
      <w:pPr>
        <w:pStyle w:val="ListParagraph"/>
        <w:numPr>
          <w:ilvl w:val="1"/>
          <w:numId w:val="35"/>
        </w:numPr>
        <w:spacing w:line="276" w:lineRule="auto"/>
        <w:jc w:val="both"/>
        <w:rPr>
          <w:color w:val="548DD4" w:themeColor="text2" w:themeTint="99"/>
        </w:rPr>
      </w:pPr>
      <w:r w:rsidRPr="00C038E2">
        <w:rPr>
          <w:color w:val="548DD4" w:themeColor="text2" w:themeTint="99"/>
        </w:rPr>
        <w:t xml:space="preserve">2 isotropic antennas at the UE and 1 sectoral antenna at the TxRP with use of </w:t>
      </w:r>
    </w:p>
    <w:p w:rsidR="008C134E" w:rsidRPr="00C038E2" w:rsidRDefault="008C134E" w:rsidP="00777720">
      <w:pPr>
        <w:pStyle w:val="ListParagraph"/>
        <w:numPr>
          <w:ilvl w:val="2"/>
          <w:numId w:val="35"/>
        </w:numPr>
        <w:spacing w:line="276" w:lineRule="auto"/>
        <w:jc w:val="both"/>
        <w:rPr>
          <w:color w:val="548DD4" w:themeColor="text2" w:themeTint="99"/>
        </w:rPr>
      </w:pPr>
      <w:r w:rsidRPr="00C038E2">
        <w:rPr>
          <w:color w:val="548DD4" w:themeColor="text2" w:themeTint="99"/>
        </w:rPr>
        <w:t>Transmit diversity according to the DECT-2020 standard.</w:t>
      </w:r>
    </w:p>
    <w:p w:rsidR="008C134E" w:rsidRPr="00C038E2" w:rsidRDefault="008C134E" w:rsidP="00777720">
      <w:pPr>
        <w:pStyle w:val="ListParagraph"/>
        <w:numPr>
          <w:ilvl w:val="2"/>
          <w:numId w:val="35"/>
        </w:numPr>
        <w:spacing w:line="276" w:lineRule="auto"/>
        <w:jc w:val="both"/>
        <w:rPr>
          <w:color w:val="548DD4" w:themeColor="text2" w:themeTint="99"/>
        </w:rPr>
      </w:pPr>
      <w:r w:rsidRPr="00C038E2">
        <w:rPr>
          <w:color w:val="548DD4" w:themeColor="text2" w:themeTint="99"/>
        </w:rPr>
        <w:t>Maximal Ratio Transmission (MRT) beamforming.</w:t>
      </w:r>
    </w:p>
    <w:p w:rsidR="008C134E" w:rsidRPr="00C038E2" w:rsidRDefault="008C134E" w:rsidP="00777720">
      <w:pPr>
        <w:pStyle w:val="ListParagraph"/>
        <w:numPr>
          <w:ilvl w:val="1"/>
          <w:numId w:val="35"/>
        </w:numPr>
        <w:spacing w:line="276" w:lineRule="auto"/>
        <w:jc w:val="both"/>
        <w:rPr>
          <w:color w:val="548DD4" w:themeColor="text2" w:themeTint="99"/>
        </w:rPr>
      </w:pPr>
      <w:r w:rsidRPr="00C038E2">
        <w:rPr>
          <w:color w:val="548DD4" w:themeColor="text2" w:themeTint="99"/>
        </w:rPr>
        <w:t xml:space="preserve">2 isotropic antennas at the UE and 2 sectoral antennas at the TxRP with the use of </w:t>
      </w:r>
    </w:p>
    <w:p w:rsidR="008C134E" w:rsidRPr="00C038E2" w:rsidRDefault="008C134E" w:rsidP="00C11729">
      <w:pPr>
        <w:pStyle w:val="ListParagraph"/>
        <w:numPr>
          <w:ilvl w:val="2"/>
          <w:numId w:val="35"/>
        </w:numPr>
        <w:spacing w:line="276" w:lineRule="auto"/>
        <w:jc w:val="both"/>
        <w:rPr>
          <w:color w:val="548DD4" w:themeColor="text2" w:themeTint="99"/>
        </w:rPr>
      </w:pPr>
      <w:r w:rsidRPr="00C038E2">
        <w:rPr>
          <w:color w:val="548DD4" w:themeColor="text2" w:themeTint="99"/>
        </w:rPr>
        <w:t>Transmit diversity according to the DECT-2020 standard.</w:t>
      </w:r>
    </w:p>
    <w:p w:rsidR="008C134E" w:rsidRPr="00C038E2" w:rsidRDefault="008C134E" w:rsidP="00C11729">
      <w:pPr>
        <w:pStyle w:val="ListParagraph"/>
        <w:numPr>
          <w:ilvl w:val="2"/>
          <w:numId w:val="35"/>
        </w:numPr>
        <w:spacing w:line="276" w:lineRule="auto"/>
        <w:jc w:val="both"/>
        <w:rPr>
          <w:color w:val="548DD4" w:themeColor="text2" w:themeTint="99"/>
        </w:rPr>
      </w:pPr>
      <w:r w:rsidRPr="00C038E2">
        <w:rPr>
          <w:color w:val="548DD4" w:themeColor="text2" w:themeTint="99"/>
        </w:rPr>
        <w:t>Maximal Ratio Transmission (MRT) beamforming.</w:t>
      </w:r>
    </w:p>
    <w:p w:rsidR="008C134E" w:rsidRPr="00C038E2" w:rsidRDefault="008C134E" w:rsidP="00C11729">
      <w:pPr>
        <w:pStyle w:val="ListParagraph"/>
        <w:spacing w:line="276" w:lineRule="auto"/>
        <w:ind w:left="1440"/>
        <w:jc w:val="both"/>
        <w:rPr>
          <w:color w:val="548DD4" w:themeColor="text2" w:themeTint="99"/>
        </w:rPr>
      </w:pPr>
      <w:r w:rsidRPr="00C038E2">
        <w:rPr>
          <w:color w:val="548DD4" w:themeColor="text2" w:themeTint="99"/>
        </w:rPr>
        <w:t>At the TxRP receiver, maximal ratio combining (MRC) diversity scheme was applied.</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Frequency reuse of factor 1/3 is considered with channel bandwidth of 1.728 MHz for both configurations was used.</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For all transmissions, a worst-case interference limited scenario was considered. This means that in order to extract the CDF curves, full-buffer assumption was used with no scheduling coordination among TxRPs using the same frequencies. This practically means that for each transmission at a given cell, interference from UEs from all (19) TxRPs with the same frequencies will be taken into account for the SINR estimation.</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 xml:space="preserve">Results show that MRT outperforms Transmit Diversity and the use of 2 antennas at the receiver will provide an additional 3-dB gain. </w:t>
      </w:r>
    </w:p>
    <w:p w:rsidR="008C134E" w:rsidRPr="00387A2C" w:rsidRDefault="00387A2C" w:rsidP="00387A2C">
      <w:pPr>
        <w:pStyle w:val="enumlev1"/>
        <w:rPr>
          <w:color w:val="548DD4" w:themeColor="text2" w:themeTint="99"/>
        </w:rPr>
      </w:pPr>
      <w:r w:rsidRPr="00387A2C">
        <w:rPr>
          <w:color w:val="548DD4" w:themeColor="text2" w:themeTint="99"/>
        </w:rPr>
        <w:t>•</w:t>
      </w:r>
      <w:r w:rsidRPr="00387A2C">
        <w:rPr>
          <w:color w:val="548DD4" w:themeColor="text2" w:themeTint="99"/>
        </w:rPr>
        <w:tab/>
      </w:r>
      <w:r w:rsidR="008C134E" w:rsidRPr="00387A2C">
        <w:rPr>
          <w:color w:val="548DD4" w:themeColor="text2" w:themeTint="99"/>
        </w:rPr>
        <w:t>The extracted empirical CDFs are used at Step 8 of the aforementioned simulation process.</w:t>
      </w:r>
    </w:p>
    <w:p w:rsidR="008C134E" w:rsidRDefault="00387A2C" w:rsidP="00387A2C">
      <w:pPr>
        <w:pStyle w:val="enumlev1"/>
      </w:pPr>
      <w:r w:rsidRPr="00387A2C">
        <w:rPr>
          <w:color w:val="548DD4" w:themeColor="text2" w:themeTint="99"/>
        </w:rPr>
        <w:t>•</w:t>
      </w:r>
      <w:r w:rsidRPr="00387A2C">
        <w:rPr>
          <w:color w:val="548DD4" w:themeColor="text2" w:themeTint="99"/>
        </w:rPr>
        <w:tab/>
      </w:r>
      <w:r w:rsidR="008C134E" w:rsidRPr="00387A2C">
        <w:rPr>
          <w:color w:val="548DD4" w:themeColor="text2" w:themeTint="99"/>
        </w:rPr>
        <w:t>The SISO curve is used as a reference.</w:t>
      </w:r>
      <w:r w:rsidR="008C134E" w:rsidRPr="00C038E2">
        <w:t xml:space="preserve"> </w:t>
      </w:r>
    </w:p>
    <w:p w:rsidR="008B67F3" w:rsidRPr="008B67F3" w:rsidRDefault="008B67F3" w:rsidP="008B67F3">
      <w:pPr>
        <w:pStyle w:val="FigureNo"/>
        <w:rPr>
          <w:color w:val="365F91" w:themeColor="accent1" w:themeShade="BF"/>
        </w:rPr>
      </w:pPr>
      <w:r w:rsidRPr="008B67F3">
        <w:rPr>
          <w:color w:val="365F91" w:themeColor="accent1" w:themeShade="BF"/>
        </w:rPr>
        <w:t xml:space="preserve">Figure </w:t>
      </w:r>
      <w:r w:rsidRPr="008B67F3">
        <w:rPr>
          <w:color w:val="365F91" w:themeColor="accent1" w:themeShade="BF"/>
        </w:rPr>
        <w:fldChar w:fldCharType="begin"/>
      </w:r>
      <w:r w:rsidRPr="008B67F3">
        <w:rPr>
          <w:color w:val="365F91" w:themeColor="accent1" w:themeShade="BF"/>
        </w:rPr>
        <w:instrText xml:space="preserve"> SEQ Figure \* ARABIC </w:instrText>
      </w:r>
      <w:r w:rsidRPr="008B67F3">
        <w:rPr>
          <w:color w:val="365F91" w:themeColor="accent1" w:themeShade="BF"/>
        </w:rPr>
        <w:fldChar w:fldCharType="separate"/>
      </w:r>
      <w:r w:rsidRPr="008B67F3">
        <w:rPr>
          <w:noProof/>
          <w:color w:val="365F91" w:themeColor="accent1" w:themeShade="BF"/>
        </w:rPr>
        <w:t>13</w:t>
      </w:r>
      <w:r w:rsidRPr="008B67F3">
        <w:rPr>
          <w:color w:val="365F91" w:themeColor="accent1" w:themeShade="BF"/>
        </w:rPr>
        <w:fldChar w:fldCharType="end"/>
      </w:r>
    </w:p>
    <w:p w:rsidR="008B67F3" w:rsidRPr="00C038E2" w:rsidRDefault="008B67F3" w:rsidP="008B67F3">
      <w:pPr>
        <w:pStyle w:val="Figuretitle"/>
      </w:pPr>
      <w:r w:rsidRPr="008B67F3">
        <w:rPr>
          <w:color w:val="365F91" w:themeColor="accent1" w:themeShade="BF"/>
        </w:rPr>
        <w:t>CDFs from System Level Simulation results for ISD=500</w:t>
      </w:r>
      <w:r>
        <w:rPr>
          <w:color w:val="365F91" w:themeColor="accent1" w:themeShade="BF"/>
        </w:rPr>
        <w:t xml:space="preserve"> </w:t>
      </w:r>
      <w:r w:rsidRPr="008B67F3">
        <w:rPr>
          <w:color w:val="365F91" w:themeColor="accent1" w:themeShade="BF"/>
        </w:rPr>
        <w:t>m and various Tx diversity and</w:t>
      </w:r>
      <w:r>
        <w:rPr>
          <w:color w:val="365F91" w:themeColor="accent1" w:themeShade="BF"/>
        </w:rPr>
        <w:br/>
      </w:r>
      <w:r w:rsidRPr="008B67F3">
        <w:rPr>
          <w:color w:val="365F91" w:themeColor="accent1" w:themeShade="BF"/>
        </w:rPr>
        <w:t xml:space="preserve"> MRT beamforming schemes</w:t>
      </w:r>
      <w:r>
        <w:t>.</w:t>
      </w:r>
    </w:p>
    <w:p w:rsidR="008C134E" w:rsidRDefault="008C134E" w:rsidP="00B93121">
      <w:pPr>
        <w:keepNext/>
        <w:spacing w:line="276" w:lineRule="auto"/>
        <w:ind w:left="-360"/>
        <w:jc w:val="both"/>
      </w:pPr>
      <w:r>
        <w:rPr>
          <w:noProof/>
          <w:lang w:val="en-US"/>
        </w:rPr>
        <w:drawing>
          <wp:inline distT="0" distB="0" distL="0" distR="0" wp14:anchorId="3F77CCE9" wp14:editId="71FCD5D7">
            <wp:extent cx="6572250" cy="37706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84174" cy="3777459"/>
                    </a:xfrm>
                    <a:prstGeom prst="rect">
                      <a:avLst/>
                    </a:prstGeom>
                    <a:noFill/>
                    <a:ln>
                      <a:noFill/>
                    </a:ln>
                  </pic:spPr>
                </pic:pic>
              </a:graphicData>
            </a:graphic>
          </wp:inline>
        </w:drawing>
      </w:r>
    </w:p>
    <w:p w:rsidR="008B67F3" w:rsidRDefault="008B67F3">
      <w:pPr>
        <w:tabs>
          <w:tab w:val="clear" w:pos="1134"/>
          <w:tab w:val="clear" w:pos="1871"/>
          <w:tab w:val="clear" w:pos="2268"/>
        </w:tabs>
        <w:overflowPunct/>
        <w:autoSpaceDE/>
        <w:autoSpaceDN/>
        <w:adjustRightInd/>
        <w:spacing w:before="0"/>
        <w:textAlignment w:val="auto"/>
        <w:rPr>
          <w:caps/>
          <w:color w:val="365F91" w:themeColor="accent1" w:themeShade="BF"/>
          <w:sz w:val="20"/>
        </w:rPr>
      </w:pPr>
      <w:r>
        <w:rPr>
          <w:color w:val="365F91" w:themeColor="accent1" w:themeShade="BF"/>
        </w:rPr>
        <w:br w:type="page"/>
      </w:r>
    </w:p>
    <w:p w:rsidR="008B67F3" w:rsidRPr="008B67F3" w:rsidRDefault="008B67F3" w:rsidP="008B67F3">
      <w:pPr>
        <w:pStyle w:val="TableNo"/>
        <w:spacing w:before="120"/>
        <w:rPr>
          <w:color w:val="365F91" w:themeColor="accent1" w:themeShade="BF"/>
        </w:rPr>
      </w:pPr>
      <w:r w:rsidRPr="008B67F3">
        <w:rPr>
          <w:color w:val="365F91" w:themeColor="accent1" w:themeShade="BF"/>
        </w:rPr>
        <w:t xml:space="preserve">Figure </w:t>
      </w:r>
      <w:r w:rsidRPr="008B67F3">
        <w:rPr>
          <w:color w:val="365F91" w:themeColor="accent1" w:themeShade="BF"/>
        </w:rPr>
        <w:fldChar w:fldCharType="begin"/>
      </w:r>
      <w:r w:rsidRPr="008B67F3">
        <w:rPr>
          <w:color w:val="365F91" w:themeColor="accent1" w:themeShade="BF"/>
        </w:rPr>
        <w:instrText xml:space="preserve"> SEQ Figure \* ARABIC </w:instrText>
      </w:r>
      <w:r w:rsidRPr="008B67F3">
        <w:rPr>
          <w:color w:val="365F91" w:themeColor="accent1" w:themeShade="BF"/>
        </w:rPr>
        <w:fldChar w:fldCharType="separate"/>
      </w:r>
      <w:r w:rsidRPr="008B67F3">
        <w:rPr>
          <w:noProof/>
          <w:color w:val="365F91" w:themeColor="accent1" w:themeShade="BF"/>
        </w:rPr>
        <w:t>14</w:t>
      </w:r>
      <w:r w:rsidRPr="008B67F3">
        <w:rPr>
          <w:color w:val="365F91" w:themeColor="accent1" w:themeShade="BF"/>
        </w:rPr>
        <w:fldChar w:fldCharType="end"/>
      </w:r>
    </w:p>
    <w:p w:rsidR="008B67F3" w:rsidRPr="008B67F3" w:rsidRDefault="008B67F3" w:rsidP="008B67F3">
      <w:pPr>
        <w:pStyle w:val="Tabletitle"/>
        <w:rPr>
          <w:color w:val="365F91" w:themeColor="accent1" w:themeShade="BF"/>
        </w:rPr>
      </w:pPr>
      <w:r w:rsidRPr="008B67F3">
        <w:rPr>
          <w:color w:val="365F91" w:themeColor="accent1" w:themeShade="BF"/>
        </w:rPr>
        <w:t>CDFs from System Level Simulation results for ISD=1</w:t>
      </w:r>
      <w:r>
        <w:rPr>
          <w:color w:val="365F91" w:themeColor="accent1" w:themeShade="BF"/>
        </w:rPr>
        <w:t> </w:t>
      </w:r>
      <w:r w:rsidRPr="008B67F3">
        <w:rPr>
          <w:color w:val="365F91" w:themeColor="accent1" w:themeShade="BF"/>
        </w:rPr>
        <w:t>732</w:t>
      </w:r>
      <w:r>
        <w:rPr>
          <w:color w:val="365F91" w:themeColor="accent1" w:themeShade="BF"/>
        </w:rPr>
        <w:t> </w:t>
      </w:r>
      <w:r w:rsidRPr="008B67F3">
        <w:rPr>
          <w:color w:val="365F91" w:themeColor="accent1" w:themeShade="BF"/>
        </w:rPr>
        <w:t xml:space="preserve">m and various Tx diversity </w:t>
      </w:r>
      <w:r w:rsidR="007708F3">
        <w:rPr>
          <w:color w:val="365F91" w:themeColor="accent1" w:themeShade="BF"/>
        </w:rPr>
        <w:br/>
      </w:r>
      <w:r w:rsidRPr="008B67F3">
        <w:rPr>
          <w:color w:val="365F91" w:themeColor="accent1" w:themeShade="BF"/>
        </w:rPr>
        <w:t>and MRT beamforming schemes.</w:t>
      </w:r>
    </w:p>
    <w:p w:rsidR="008C134E" w:rsidRDefault="008C134E" w:rsidP="00B93121">
      <w:pPr>
        <w:keepNext/>
        <w:ind w:left="-450"/>
      </w:pPr>
      <w:r>
        <w:rPr>
          <w:noProof/>
          <w:lang w:val="en-US"/>
        </w:rPr>
        <w:drawing>
          <wp:inline distT="0" distB="0" distL="0" distR="0" wp14:anchorId="0BA49916" wp14:editId="44919DC2">
            <wp:extent cx="6533607" cy="38576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7400" cy="3859865"/>
                    </a:xfrm>
                    <a:prstGeom prst="rect">
                      <a:avLst/>
                    </a:prstGeom>
                    <a:noFill/>
                    <a:ln>
                      <a:noFill/>
                    </a:ln>
                  </pic:spPr>
                </pic:pic>
              </a:graphicData>
            </a:graphic>
          </wp:inline>
        </w:drawing>
      </w:r>
    </w:p>
    <w:p w:rsidR="008C134E" w:rsidRPr="00C038E2" w:rsidRDefault="008C134E" w:rsidP="00583327">
      <w:pPr>
        <w:spacing w:line="276" w:lineRule="auto"/>
        <w:jc w:val="both"/>
        <w:rPr>
          <w:i/>
          <w:iCs/>
          <w:color w:val="548DD4" w:themeColor="text2" w:themeTint="99"/>
          <w:u w:val="single"/>
        </w:rPr>
      </w:pPr>
      <w:r w:rsidRPr="00C038E2">
        <w:rPr>
          <w:i/>
          <w:iCs/>
          <w:color w:val="548DD4" w:themeColor="text2" w:themeTint="99"/>
          <w:u w:val="single"/>
        </w:rPr>
        <w:t xml:space="preserve">The link-level simulation Packet Error Rate Results </w:t>
      </w:r>
    </w:p>
    <w:p w:rsidR="008C134E" w:rsidRPr="00C038E2" w:rsidRDefault="008C134E" w:rsidP="008E73CB">
      <w:pPr>
        <w:spacing w:line="276" w:lineRule="auto"/>
        <w:jc w:val="both"/>
        <w:rPr>
          <w:color w:val="548DD4" w:themeColor="text2" w:themeTint="99"/>
        </w:rPr>
      </w:pPr>
      <w:r w:rsidRPr="00C038E2">
        <w:rPr>
          <w:color w:val="548DD4" w:themeColor="text2" w:themeTint="99"/>
        </w:rPr>
        <w:t xml:space="preserve">The results correspond to the procedure described at Step 3 of the overall system simulation process. The results are extracted for all transmission schemes mentioned at the previous paragraph, while Packet Error Rate (PER) curves are extracted for Line-of-Sight (LoS) and Non-Line-of-Sight (NLoS) schemes. </w:t>
      </w:r>
    </w:p>
    <w:p w:rsidR="008C134E" w:rsidRPr="00C038E2" w:rsidRDefault="008C134E" w:rsidP="008E73CB">
      <w:pPr>
        <w:spacing w:line="276" w:lineRule="auto"/>
        <w:jc w:val="both"/>
        <w:rPr>
          <w:color w:val="548DD4" w:themeColor="text2" w:themeTint="99"/>
        </w:rPr>
      </w:pPr>
      <w:r w:rsidRPr="00C038E2">
        <w:rPr>
          <w:color w:val="548DD4" w:themeColor="text2" w:themeTint="99"/>
        </w:rPr>
        <w:t xml:space="preserve">It is noted that in link-level simulation, the interference is considered an independent variable, therefore the results are applicable to both Configurations and ISD cases. </w:t>
      </w:r>
    </w:p>
    <w:p w:rsidR="008C134E" w:rsidRPr="00C038E2" w:rsidRDefault="008C134E" w:rsidP="008E73CB">
      <w:pPr>
        <w:spacing w:line="276" w:lineRule="auto"/>
        <w:jc w:val="both"/>
        <w:rPr>
          <w:color w:val="548DD4" w:themeColor="text2" w:themeTint="99"/>
        </w:rPr>
      </w:pPr>
      <w:r w:rsidRPr="00C038E2">
        <w:rPr>
          <w:color w:val="548DD4" w:themeColor="text2" w:themeTint="99"/>
        </w:rPr>
        <w:t>The PER results are used in Step 12 of the simulation process, in order to determine stochastically the transmission success or failure of a packet for a given link SINR. The PER curve is selected depending on the propagation conditions (LoS or NLoS – statistically determined) and the transmission scheme.</w:t>
      </w:r>
    </w:p>
    <w:p w:rsidR="008B67F3" w:rsidRPr="008B67F3" w:rsidRDefault="008B67F3" w:rsidP="008B67F3">
      <w:pPr>
        <w:pStyle w:val="FigureNo"/>
        <w:rPr>
          <w:color w:val="365F91" w:themeColor="accent1" w:themeShade="BF"/>
        </w:rPr>
      </w:pPr>
      <w:r w:rsidRPr="008B67F3">
        <w:rPr>
          <w:color w:val="365F91" w:themeColor="accent1" w:themeShade="BF"/>
        </w:rPr>
        <w:t xml:space="preserve">Figure </w:t>
      </w:r>
      <w:r w:rsidRPr="008B67F3">
        <w:rPr>
          <w:color w:val="365F91" w:themeColor="accent1" w:themeShade="BF"/>
        </w:rPr>
        <w:fldChar w:fldCharType="begin"/>
      </w:r>
      <w:r w:rsidRPr="008B67F3">
        <w:rPr>
          <w:color w:val="365F91" w:themeColor="accent1" w:themeShade="BF"/>
        </w:rPr>
        <w:instrText xml:space="preserve"> SEQ Figure \* ARABIC </w:instrText>
      </w:r>
      <w:r w:rsidRPr="008B67F3">
        <w:rPr>
          <w:color w:val="365F91" w:themeColor="accent1" w:themeShade="BF"/>
        </w:rPr>
        <w:fldChar w:fldCharType="separate"/>
      </w:r>
      <w:r w:rsidRPr="008B67F3">
        <w:rPr>
          <w:noProof/>
          <w:color w:val="365F91" w:themeColor="accent1" w:themeShade="BF"/>
        </w:rPr>
        <w:t>15</w:t>
      </w:r>
      <w:r w:rsidRPr="008B67F3">
        <w:rPr>
          <w:color w:val="365F91" w:themeColor="accent1" w:themeShade="BF"/>
        </w:rPr>
        <w:fldChar w:fldCharType="end"/>
      </w:r>
    </w:p>
    <w:p w:rsidR="008C134E" w:rsidRDefault="008B67F3" w:rsidP="008B67F3">
      <w:pPr>
        <w:pStyle w:val="Figuretitle"/>
      </w:pPr>
      <w:r w:rsidRPr="008B67F3">
        <w:rPr>
          <w:color w:val="365F91" w:themeColor="accent1" w:themeShade="BF"/>
        </w:rPr>
        <w:t>Packet Error Rate assuming LoS conditions, UMA_A channels, 2 antennas at the UE and 1 or 2 antennas at the TxRP with use of Tx Diversity</w:t>
      </w:r>
    </w:p>
    <w:p w:rsidR="008C134E" w:rsidRDefault="008C134E" w:rsidP="004E3A5D">
      <w:pPr>
        <w:keepNext/>
        <w:spacing w:line="276" w:lineRule="auto"/>
        <w:ind w:left="-180"/>
      </w:pPr>
      <w:r>
        <w:rPr>
          <w:noProof/>
          <w:lang w:val="en-US"/>
        </w:rPr>
        <w:drawing>
          <wp:inline distT="0" distB="0" distL="0" distR="0" wp14:anchorId="215E013B" wp14:editId="2E620189">
            <wp:extent cx="6172200" cy="361034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85057" cy="3617863"/>
                    </a:xfrm>
                    <a:prstGeom prst="rect">
                      <a:avLst/>
                    </a:prstGeom>
                    <a:noFill/>
                    <a:ln>
                      <a:noFill/>
                    </a:ln>
                  </pic:spPr>
                </pic:pic>
              </a:graphicData>
            </a:graphic>
          </wp:inline>
        </w:drawing>
      </w:r>
    </w:p>
    <w:p w:rsidR="008B67F3" w:rsidRPr="008B67F3" w:rsidRDefault="008B67F3" w:rsidP="008B67F3">
      <w:pPr>
        <w:pStyle w:val="FigureNo"/>
        <w:rPr>
          <w:color w:val="365F91" w:themeColor="accent1" w:themeShade="BF"/>
        </w:rPr>
      </w:pPr>
      <w:r w:rsidRPr="008B67F3">
        <w:rPr>
          <w:color w:val="365F91" w:themeColor="accent1" w:themeShade="BF"/>
        </w:rPr>
        <w:t xml:space="preserve">Figure </w:t>
      </w:r>
      <w:r w:rsidRPr="008B67F3">
        <w:rPr>
          <w:color w:val="365F91" w:themeColor="accent1" w:themeShade="BF"/>
        </w:rPr>
        <w:fldChar w:fldCharType="begin"/>
      </w:r>
      <w:r w:rsidRPr="008B67F3">
        <w:rPr>
          <w:color w:val="365F91" w:themeColor="accent1" w:themeShade="BF"/>
        </w:rPr>
        <w:instrText xml:space="preserve"> SEQ Figure \* ARABIC </w:instrText>
      </w:r>
      <w:r w:rsidRPr="008B67F3">
        <w:rPr>
          <w:color w:val="365F91" w:themeColor="accent1" w:themeShade="BF"/>
        </w:rPr>
        <w:fldChar w:fldCharType="separate"/>
      </w:r>
      <w:r w:rsidRPr="008B67F3">
        <w:rPr>
          <w:noProof/>
          <w:color w:val="365F91" w:themeColor="accent1" w:themeShade="BF"/>
        </w:rPr>
        <w:t>16</w:t>
      </w:r>
      <w:r w:rsidRPr="008B67F3">
        <w:rPr>
          <w:color w:val="365F91" w:themeColor="accent1" w:themeShade="BF"/>
        </w:rPr>
        <w:fldChar w:fldCharType="end"/>
      </w:r>
    </w:p>
    <w:p w:rsidR="008C134E" w:rsidRDefault="008B67F3" w:rsidP="008B67F3">
      <w:pPr>
        <w:pStyle w:val="Figuretitle"/>
      </w:pPr>
      <w:r w:rsidRPr="008B67F3">
        <w:rPr>
          <w:color w:val="365F91" w:themeColor="accent1" w:themeShade="BF"/>
        </w:rPr>
        <w:t>Packet Error Rate assuming LoS conditions, UMA_A channels, 2 antennas at the UE and 1 or 2 antennas at the TxRP with use of MRT beamforming</w:t>
      </w:r>
    </w:p>
    <w:p w:rsidR="008C134E" w:rsidRDefault="008C134E" w:rsidP="00C83BF6">
      <w:pPr>
        <w:keepNext/>
      </w:pPr>
      <w:r>
        <w:rPr>
          <w:noProof/>
          <w:lang w:val="en-US"/>
        </w:rPr>
        <w:drawing>
          <wp:inline distT="0" distB="0" distL="0" distR="0" wp14:anchorId="00E1BB17" wp14:editId="6ED31E6B">
            <wp:extent cx="6193286" cy="3622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4611" cy="3629300"/>
                    </a:xfrm>
                    <a:prstGeom prst="rect">
                      <a:avLst/>
                    </a:prstGeom>
                    <a:noFill/>
                    <a:ln>
                      <a:noFill/>
                    </a:ln>
                  </pic:spPr>
                </pic:pic>
              </a:graphicData>
            </a:graphic>
          </wp:inline>
        </w:drawing>
      </w:r>
    </w:p>
    <w:p w:rsidR="008B67F3" w:rsidRPr="00BF00CE" w:rsidRDefault="008B67F3" w:rsidP="008B67F3">
      <w:pPr>
        <w:pStyle w:val="FigureNo"/>
        <w:rPr>
          <w:color w:val="1F497D" w:themeColor="text2"/>
        </w:rPr>
      </w:pPr>
      <w:r w:rsidRPr="00BF00CE">
        <w:rPr>
          <w:color w:val="1F497D" w:themeColor="text2"/>
        </w:rPr>
        <w:t xml:space="preserve">Figure </w:t>
      </w:r>
      <w:r w:rsidRPr="00BF00CE">
        <w:rPr>
          <w:color w:val="1F497D" w:themeColor="text2"/>
        </w:rPr>
        <w:fldChar w:fldCharType="begin"/>
      </w:r>
      <w:r w:rsidRPr="00BF00CE">
        <w:rPr>
          <w:color w:val="1F497D" w:themeColor="text2"/>
        </w:rPr>
        <w:instrText xml:space="preserve"> SEQ Figure \* ARABIC </w:instrText>
      </w:r>
      <w:r w:rsidRPr="00BF00CE">
        <w:rPr>
          <w:color w:val="1F497D" w:themeColor="text2"/>
        </w:rPr>
        <w:fldChar w:fldCharType="separate"/>
      </w:r>
      <w:r w:rsidRPr="00BF00CE">
        <w:rPr>
          <w:noProof/>
          <w:color w:val="1F497D" w:themeColor="text2"/>
        </w:rPr>
        <w:t>17</w:t>
      </w:r>
      <w:r w:rsidRPr="00BF00CE">
        <w:rPr>
          <w:color w:val="1F497D" w:themeColor="text2"/>
        </w:rPr>
        <w:fldChar w:fldCharType="end"/>
      </w:r>
    </w:p>
    <w:p w:rsidR="008C134E" w:rsidRDefault="008B67F3" w:rsidP="008B67F3">
      <w:pPr>
        <w:pStyle w:val="Figuretitle"/>
      </w:pPr>
      <w:r w:rsidRPr="00BF00CE">
        <w:rPr>
          <w:color w:val="1F497D" w:themeColor="text2"/>
        </w:rPr>
        <w:t xml:space="preserve"> Packet Error Rate assuming NLoS conditions, UMA_A channels, 2 antennas at the UE and 1 or 2 antennas at the TxRP with use of Tx Diversity</w:t>
      </w:r>
    </w:p>
    <w:p w:rsidR="008B67F3" w:rsidRDefault="008C134E" w:rsidP="008B67F3">
      <w:pPr>
        <w:pStyle w:val="FigureNo"/>
      </w:pPr>
      <w:r>
        <w:rPr>
          <w:noProof/>
          <w:lang w:val="en-US"/>
        </w:rPr>
        <w:drawing>
          <wp:inline distT="0" distB="0" distL="0" distR="0" wp14:anchorId="3442F080" wp14:editId="071126A9">
            <wp:extent cx="6010275" cy="3810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2681" cy="3824894"/>
                    </a:xfrm>
                    <a:prstGeom prst="rect">
                      <a:avLst/>
                    </a:prstGeom>
                    <a:noFill/>
                    <a:ln>
                      <a:noFill/>
                    </a:ln>
                  </pic:spPr>
                </pic:pic>
              </a:graphicData>
            </a:graphic>
          </wp:inline>
        </w:drawing>
      </w:r>
      <w:r w:rsidR="008B67F3" w:rsidRPr="008B67F3">
        <w:t xml:space="preserve"> </w:t>
      </w:r>
    </w:p>
    <w:p w:rsidR="008B67F3" w:rsidRDefault="008B67F3">
      <w:pPr>
        <w:tabs>
          <w:tab w:val="clear" w:pos="1134"/>
          <w:tab w:val="clear" w:pos="1871"/>
          <w:tab w:val="clear" w:pos="2268"/>
        </w:tabs>
        <w:overflowPunct/>
        <w:autoSpaceDE/>
        <w:autoSpaceDN/>
        <w:adjustRightInd/>
        <w:spacing w:before="0"/>
        <w:textAlignment w:val="auto"/>
        <w:rPr>
          <w:caps/>
          <w:sz w:val="20"/>
        </w:rPr>
      </w:pPr>
    </w:p>
    <w:p w:rsidR="008B67F3" w:rsidRPr="008B67F3" w:rsidRDefault="008B67F3" w:rsidP="008B67F3">
      <w:pPr>
        <w:pStyle w:val="FigureNo"/>
        <w:rPr>
          <w:color w:val="365F91" w:themeColor="accent1" w:themeShade="BF"/>
        </w:rPr>
      </w:pPr>
      <w:r w:rsidRPr="008B67F3">
        <w:rPr>
          <w:color w:val="365F91" w:themeColor="accent1" w:themeShade="BF"/>
        </w:rPr>
        <w:t xml:space="preserve">Figure </w:t>
      </w:r>
      <w:r w:rsidRPr="008B67F3">
        <w:rPr>
          <w:color w:val="365F91" w:themeColor="accent1" w:themeShade="BF"/>
        </w:rPr>
        <w:fldChar w:fldCharType="begin"/>
      </w:r>
      <w:r w:rsidRPr="008B67F3">
        <w:rPr>
          <w:color w:val="365F91" w:themeColor="accent1" w:themeShade="BF"/>
        </w:rPr>
        <w:instrText xml:space="preserve"> SEQ Figure \* ARABIC </w:instrText>
      </w:r>
      <w:r w:rsidRPr="008B67F3">
        <w:rPr>
          <w:color w:val="365F91" w:themeColor="accent1" w:themeShade="BF"/>
        </w:rPr>
        <w:fldChar w:fldCharType="separate"/>
      </w:r>
      <w:r w:rsidRPr="008B67F3">
        <w:rPr>
          <w:noProof/>
          <w:color w:val="365F91" w:themeColor="accent1" w:themeShade="BF"/>
        </w:rPr>
        <w:t>18</w:t>
      </w:r>
      <w:r w:rsidRPr="008B67F3">
        <w:rPr>
          <w:color w:val="365F91" w:themeColor="accent1" w:themeShade="BF"/>
        </w:rPr>
        <w:fldChar w:fldCharType="end"/>
      </w:r>
    </w:p>
    <w:p w:rsidR="008C134E" w:rsidRPr="008B67F3" w:rsidRDefault="008B67F3" w:rsidP="008B67F3">
      <w:pPr>
        <w:pStyle w:val="Figuretitle"/>
        <w:rPr>
          <w:color w:val="365F91" w:themeColor="accent1" w:themeShade="BF"/>
        </w:rPr>
      </w:pPr>
      <w:r w:rsidRPr="008B67F3">
        <w:rPr>
          <w:color w:val="365F91" w:themeColor="accent1" w:themeShade="BF"/>
        </w:rPr>
        <w:t xml:space="preserve">Packet Error Rate assuming NLoS conditions, UMA_A channels, 2 antennas at the UE and 1 or 2 antennas </w:t>
      </w:r>
      <w:r w:rsidR="00BF00CE">
        <w:rPr>
          <w:color w:val="365F91" w:themeColor="accent1" w:themeShade="BF"/>
        </w:rPr>
        <w:br/>
      </w:r>
      <w:r w:rsidRPr="008B67F3">
        <w:rPr>
          <w:color w:val="365F91" w:themeColor="accent1" w:themeShade="BF"/>
        </w:rPr>
        <w:t>at the TxRP with use of MRT beamforming.</w:t>
      </w:r>
    </w:p>
    <w:p w:rsidR="008C134E" w:rsidRDefault="008C134E" w:rsidP="004E3A5D">
      <w:pPr>
        <w:keepNext/>
        <w:jc w:val="center"/>
      </w:pPr>
      <w:r>
        <w:rPr>
          <w:noProof/>
          <w:lang w:val="en-US"/>
        </w:rPr>
        <w:drawing>
          <wp:inline distT="0" distB="0" distL="0" distR="0" wp14:anchorId="3804D1CD" wp14:editId="2BF165FD">
            <wp:extent cx="5857746" cy="39960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59801" cy="3997457"/>
                    </a:xfrm>
                    <a:prstGeom prst="rect">
                      <a:avLst/>
                    </a:prstGeom>
                    <a:noFill/>
                    <a:ln>
                      <a:noFill/>
                    </a:ln>
                  </pic:spPr>
                </pic:pic>
              </a:graphicData>
            </a:graphic>
          </wp:inline>
        </w:drawing>
      </w:r>
    </w:p>
    <w:p w:rsidR="008C134E" w:rsidRPr="007303D5" w:rsidRDefault="008C134E" w:rsidP="00A50783">
      <w:pPr>
        <w:spacing w:line="276" w:lineRule="auto"/>
        <w:jc w:val="both"/>
        <w:rPr>
          <w:i/>
          <w:iCs/>
          <w:color w:val="548DD4" w:themeColor="text2" w:themeTint="99"/>
          <w:u w:val="single"/>
        </w:rPr>
      </w:pPr>
      <w:r w:rsidRPr="007303D5">
        <w:rPr>
          <w:i/>
          <w:iCs/>
          <w:color w:val="548DD4" w:themeColor="text2" w:themeTint="99"/>
          <w:u w:val="single"/>
        </w:rPr>
        <w:t>Simulation of the relays</w:t>
      </w:r>
    </w:p>
    <w:p w:rsidR="008C134E" w:rsidRPr="007303D5" w:rsidRDefault="008C134E" w:rsidP="00A50783">
      <w:pPr>
        <w:spacing w:line="276" w:lineRule="auto"/>
        <w:jc w:val="both"/>
        <w:rPr>
          <w:color w:val="548DD4" w:themeColor="text2" w:themeTint="99"/>
        </w:rPr>
      </w:pPr>
      <w:r w:rsidRPr="007303D5">
        <w:rPr>
          <w:color w:val="548DD4" w:themeColor="text2" w:themeTint="99"/>
        </w:rPr>
        <w:t xml:space="preserve">Since the guidelines in M.2412 do not consider multi-hop communications as a possibility, an ambiguous point of the process is the definition of the number and behaviour of the relays. Regarding the number of the relays, it was desired to assume that a small percent of nodes provide a relaying service, in order to keep the simulation time as low as possible. Tests indicated that the allocation of relays at the 0.2% of the overall number of UEs provide more than adequate coverage for two-hop communication alternatives. This means that approximately 240 relays per TxRP were assigned for Configuration A and 2,200 relays per TxRP were allocated or Configuration B. It is noted however, that despite the different number of relays per TxRPs, the spatial distribution and density of the relays for both Configurations is the same. </w:t>
      </w:r>
    </w:p>
    <w:p w:rsidR="008C134E" w:rsidRPr="007303D5" w:rsidRDefault="008C134E" w:rsidP="00A50783">
      <w:pPr>
        <w:spacing w:line="276" w:lineRule="auto"/>
        <w:jc w:val="both"/>
        <w:rPr>
          <w:color w:val="548DD4" w:themeColor="text2" w:themeTint="99"/>
        </w:rPr>
      </w:pPr>
      <w:r w:rsidRPr="007303D5">
        <w:rPr>
          <w:color w:val="548DD4" w:themeColor="text2" w:themeTint="99"/>
        </w:rPr>
        <w:t xml:space="preserve">In </w:t>
      </w:r>
      <w:r w:rsidRPr="007303D5">
        <w:rPr>
          <w:color w:val="548DD4" w:themeColor="text2" w:themeTint="99"/>
        </w:rPr>
        <w:fldChar w:fldCharType="begin"/>
      </w:r>
      <w:r w:rsidRPr="007303D5">
        <w:rPr>
          <w:color w:val="548DD4" w:themeColor="text2" w:themeTint="99"/>
        </w:rPr>
        <w:instrText xml:space="preserve"> REF _Ref79558048 \h </w:instrText>
      </w:r>
      <w:r w:rsidRPr="007303D5">
        <w:rPr>
          <w:color w:val="548DD4" w:themeColor="text2" w:themeTint="99"/>
        </w:rPr>
      </w:r>
      <w:r w:rsidRPr="007303D5">
        <w:rPr>
          <w:color w:val="548DD4" w:themeColor="text2" w:themeTint="99"/>
        </w:rPr>
        <w:fldChar w:fldCharType="separate"/>
      </w:r>
      <w:r w:rsidRPr="007303D5">
        <w:rPr>
          <w:color w:val="548DD4" w:themeColor="text2" w:themeTint="99"/>
        </w:rPr>
        <w:t xml:space="preserve">Figure </w:t>
      </w:r>
      <w:r w:rsidRPr="007303D5">
        <w:rPr>
          <w:noProof/>
          <w:color w:val="548DD4" w:themeColor="text2" w:themeTint="99"/>
        </w:rPr>
        <w:t>19</w:t>
      </w:r>
      <w:r w:rsidRPr="007303D5">
        <w:rPr>
          <w:color w:val="548DD4" w:themeColor="text2" w:themeTint="99"/>
        </w:rPr>
        <w:fldChar w:fldCharType="end"/>
      </w:r>
      <w:r w:rsidRPr="007303D5">
        <w:rPr>
          <w:color w:val="548DD4" w:themeColor="text2" w:themeTint="99"/>
        </w:rPr>
        <w:t xml:space="preserve">, the distribution of distances of each node from its preferred relay according to the relay density and the relay protocol (Step 10) is extracted through simulation. </w:t>
      </w:r>
    </w:p>
    <w:p w:rsidR="008C134E" w:rsidRPr="007303D5" w:rsidRDefault="008C134E" w:rsidP="00A50783">
      <w:pPr>
        <w:spacing w:line="276" w:lineRule="auto"/>
        <w:jc w:val="both"/>
        <w:rPr>
          <w:color w:val="548DD4" w:themeColor="text2" w:themeTint="99"/>
        </w:rPr>
      </w:pPr>
      <w:r w:rsidRPr="007303D5">
        <w:rPr>
          <w:color w:val="548DD4" w:themeColor="text2" w:themeTint="99"/>
        </w:rPr>
        <w:t>A disadvantage of the adopted procedure is that the guidelines of M.2412 do not define a channel model for the node-relay communication link. However, it is necessary to determine the CDFs for the UE-RT link in order to implement the overall system simulation procedure.</w:t>
      </w:r>
    </w:p>
    <w:p w:rsidR="008C134E" w:rsidRDefault="00C47FD8" w:rsidP="00C47FD8">
      <w:pPr>
        <w:pStyle w:val="FigureNo"/>
        <w:rPr>
          <w:color w:val="FF0000"/>
        </w:rPr>
      </w:pPr>
      <w:r w:rsidRPr="007C5CB7">
        <w:rPr>
          <w:color w:val="365F91" w:themeColor="accent1" w:themeShade="BF"/>
        </w:rPr>
        <w:t xml:space="preserve">Figure </w:t>
      </w:r>
      <w:r w:rsidRPr="007C5CB7">
        <w:rPr>
          <w:color w:val="365F91" w:themeColor="accent1" w:themeShade="BF"/>
        </w:rPr>
        <w:fldChar w:fldCharType="begin"/>
      </w:r>
      <w:r w:rsidRPr="007C5CB7">
        <w:rPr>
          <w:color w:val="365F91" w:themeColor="accent1" w:themeShade="BF"/>
        </w:rPr>
        <w:instrText xml:space="preserve"> SEQ Figure \* ARABIC </w:instrText>
      </w:r>
      <w:r w:rsidRPr="007C5CB7">
        <w:rPr>
          <w:color w:val="365F91" w:themeColor="accent1" w:themeShade="BF"/>
        </w:rPr>
        <w:fldChar w:fldCharType="separate"/>
      </w:r>
      <w:r w:rsidRPr="007C5CB7">
        <w:rPr>
          <w:color w:val="365F91" w:themeColor="accent1" w:themeShade="BF"/>
        </w:rPr>
        <w:t>19</w:t>
      </w:r>
      <w:r w:rsidRPr="007C5CB7">
        <w:rPr>
          <w:color w:val="365F91" w:themeColor="accent1" w:themeShade="BF"/>
        </w:rPr>
        <w:fldChar w:fldCharType="end"/>
      </w:r>
    </w:p>
    <w:p w:rsidR="008C134E" w:rsidRDefault="008C134E" w:rsidP="000E0AE7">
      <w:pPr>
        <w:keepNext/>
        <w:spacing w:line="276" w:lineRule="auto"/>
        <w:jc w:val="center"/>
      </w:pPr>
      <w:r w:rsidRPr="000E0AE7">
        <w:rPr>
          <w:noProof/>
          <w:lang w:val="en-US"/>
        </w:rPr>
        <w:drawing>
          <wp:inline distT="0" distB="0" distL="0" distR="0" wp14:anchorId="66E25D72" wp14:editId="1527C3A5">
            <wp:extent cx="5934075" cy="3486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rsidR="008C134E" w:rsidRDefault="00C47FD8" w:rsidP="00C47FD8">
      <w:pPr>
        <w:pStyle w:val="FigureNo"/>
        <w:spacing w:before="240"/>
      </w:pPr>
      <w:bookmarkStart w:id="34" w:name="_Ref79559201"/>
      <w:r w:rsidRPr="00C47FD8">
        <w:rPr>
          <w:color w:val="365F91" w:themeColor="accent1" w:themeShade="BF"/>
        </w:rPr>
        <w:t xml:space="preserve">Figure </w:t>
      </w:r>
      <w:r w:rsidRPr="00C47FD8">
        <w:rPr>
          <w:color w:val="365F91" w:themeColor="accent1" w:themeShade="BF"/>
        </w:rPr>
        <w:fldChar w:fldCharType="begin"/>
      </w:r>
      <w:r w:rsidRPr="00C47FD8">
        <w:rPr>
          <w:color w:val="365F91" w:themeColor="accent1" w:themeShade="BF"/>
        </w:rPr>
        <w:instrText xml:space="preserve"> SEQ Figure \* ARABIC </w:instrText>
      </w:r>
      <w:r w:rsidRPr="00C47FD8">
        <w:rPr>
          <w:color w:val="365F91" w:themeColor="accent1" w:themeShade="BF"/>
        </w:rPr>
        <w:fldChar w:fldCharType="separate"/>
      </w:r>
      <w:r w:rsidRPr="00C47FD8">
        <w:rPr>
          <w:noProof/>
          <w:color w:val="365F91" w:themeColor="accent1" w:themeShade="BF"/>
        </w:rPr>
        <w:t>20</w:t>
      </w:r>
      <w:r w:rsidRPr="00C47FD8">
        <w:rPr>
          <w:color w:val="365F91" w:themeColor="accent1" w:themeShade="BF"/>
        </w:rPr>
        <w:fldChar w:fldCharType="end"/>
      </w:r>
      <w:bookmarkEnd w:id="34"/>
    </w:p>
    <w:p w:rsidR="008C134E" w:rsidRDefault="008C134E" w:rsidP="00C0593F">
      <w:pPr>
        <w:spacing w:line="276" w:lineRule="auto"/>
        <w:jc w:val="both"/>
      </w:pPr>
      <w:r w:rsidRPr="00161514">
        <w:rPr>
          <w:i/>
          <w:iCs/>
          <w:u w:val="single"/>
        </w:rPr>
        <w:t xml:space="preserve"> </w:t>
      </w:r>
      <w:r>
        <w:rPr>
          <w:noProof/>
          <w:lang w:val="en-US"/>
        </w:rPr>
        <w:drawing>
          <wp:inline distT="0" distB="0" distL="0" distR="0" wp14:anchorId="318953A1" wp14:editId="7C5A1449">
            <wp:extent cx="5836722" cy="39245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37764" cy="3925265"/>
                    </a:xfrm>
                    <a:prstGeom prst="rect">
                      <a:avLst/>
                    </a:prstGeom>
                    <a:noFill/>
                    <a:ln>
                      <a:noFill/>
                    </a:ln>
                  </pic:spPr>
                </pic:pic>
              </a:graphicData>
            </a:graphic>
          </wp:inline>
        </w:drawing>
      </w:r>
    </w:p>
    <w:p w:rsidR="008C134E" w:rsidRDefault="008C134E" w:rsidP="00C0593F">
      <w:pPr>
        <w:pStyle w:val="Caption"/>
        <w:jc w:val="center"/>
      </w:pPr>
    </w:p>
    <w:p w:rsidR="008C134E" w:rsidRDefault="008C134E" w:rsidP="006664C6"/>
    <w:p w:rsidR="008C134E" w:rsidRPr="007303D5" w:rsidRDefault="008C134E" w:rsidP="00C80FE8">
      <w:pPr>
        <w:spacing w:line="276" w:lineRule="auto"/>
        <w:jc w:val="both"/>
        <w:rPr>
          <w:color w:val="548DD4" w:themeColor="text2" w:themeTint="99"/>
        </w:rPr>
      </w:pPr>
      <w:r w:rsidRPr="007303D5">
        <w:rPr>
          <w:color w:val="548DD4" w:themeColor="text2" w:themeTint="99"/>
        </w:rPr>
        <w:t>Various scenarios were considered, like e.g. the Indoor Hotspot-eMBB channels, due to the fact that at indoor environments both link ends are considered at relatively low heights (3</w:t>
      </w:r>
      <w:r w:rsidR="004F35F4">
        <w:rPr>
          <w:color w:val="548DD4" w:themeColor="text2" w:themeTint="99"/>
        </w:rPr>
        <w:t> </w:t>
      </w:r>
      <w:r w:rsidRPr="007303D5">
        <w:rPr>
          <w:color w:val="548DD4" w:themeColor="text2" w:themeTint="99"/>
        </w:rPr>
        <w:t>m and 1.5</w:t>
      </w:r>
      <w:r w:rsidR="004F35F4">
        <w:rPr>
          <w:color w:val="548DD4" w:themeColor="text2" w:themeTint="99"/>
        </w:rPr>
        <w:t> </w:t>
      </w:r>
      <w:r w:rsidRPr="007303D5">
        <w:rPr>
          <w:color w:val="548DD4" w:themeColor="text2" w:themeTint="99"/>
        </w:rPr>
        <w:t>m). Moreover, UMa_A and UMa_B models were modified in order to support “base stations” at lower heights and cancel gains introduced by the assumed base station height (25</w:t>
      </w:r>
      <w:r w:rsidR="004F35F4">
        <w:rPr>
          <w:color w:val="548DD4" w:themeColor="text2" w:themeTint="99"/>
        </w:rPr>
        <w:t> </w:t>
      </w:r>
      <w:r w:rsidRPr="007303D5">
        <w:rPr>
          <w:color w:val="548DD4" w:themeColor="text2" w:themeTint="99"/>
        </w:rPr>
        <w:t>m).</w:t>
      </w:r>
    </w:p>
    <w:p w:rsidR="008C134E" w:rsidRPr="007303D5" w:rsidRDefault="008C134E" w:rsidP="003E2554">
      <w:pPr>
        <w:spacing w:line="276" w:lineRule="auto"/>
        <w:jc w:val="both"/>
        <w:rPr>
          <w:color w:val="548DD4" w:themeColor="text2" w:themeTint="99"/>
        </w:rPr>
      </w:pPr>
      <w:r w:rsidRPr="007303D5">
        <w:rPr>
          <w:color w:val="548DD4" w:themeColor="text2" w:themeTint="99"/>
        </w:rPr>
        <w:t>In all cases, the SINRs between the nodes and the preferred relays provided exceptionally high values. Thus, packet errors at the first hop of a two-hop communication scheme under the assumed conditions are very rare – and the channel model selection is not significantly critical as far as the PER performance is concerned.</w:t>
      </w:r>
    </w:p>
    <w:p w:rsidR="008C134E" w:rsidRPr="007303D5" w:rsidRDefault="008C134E" w:rsidP="003E2554">
      <w:pPr>
        <w:spacing w:line="276" w:lineRule="auto"/>
        <w:jc w:val="both"/>
        <w:rPr>
          <w:color w:val="548DD4" w:themeColor="text2" w:themeTint="99"/>
        </w:rPr>
      </w:pPr>
      <w:r w:rsidRPr="007303D5">
        <w:rPr>
          <w:color w:val="548DD4" w:themeColor="text2" w:themeTint="99"/>
        </w:rPr>
        <w:t xml:space="preserve">In </w:t>
      </w:r>
      <w:r w:rsidRPr="007303D5">
        <w:rPr>
          <w:color w:val="548DD4" w:themeColor="text2" w:themeTint="99"/>
        </w:rPr>
        <w:fldChar w:fldCharType="begin"/>
      </w:r>
      <w:r w:rsidRPr="007303D5">
        <w:rPr>
          <w:color w:val="548DD4" w:themeColor="text2" w:themeTint="99"/>
        </w:rPr>
        <w:instrText xml:space="preserve"> REF _Ref79559201 \h </w:instrText>
      </w:r>
      <w:r w:rsidRPr="007303D5">
        <w:rPr>
          <w:color w:val="548DD4" w:themeColor="text2" w:themeTint="99"/>
        </w:rPr>
      </w:r>
      <w:r w:rsidRPr="007303D5">
        <w:rPr>
          <w:color w:val="548DD4" w:themeColor="text2" w:themeTint="99"/>
        </w:rPr>
        <w:fldChar w:fldCharType="separate"/>
      </w:r>
      <w:r w:rsidRPr="007303D5">
        <w:rPr>
          <w:color w:val="548DD4" w:themeColor="text2" w:themeTint="99"/>
        </w:rPr>
        <w:t xml:space="preserve">Figure </w:t>
      </w:r>
      <w:r w:rsidRPr="007303D5">
        <w:rPr>
          <w:noProof/>
          <w:color w:val="548DD4" w:themeColor="text2" w:themeTint="99"/>
        </w:rPr>
        <w:t>20</w:t>
      </w:r>
      <w:r w:rsidRPr="007303D5">
        <w:rPr>
          <w:color w:val="548DD4" w:themeColor="text2" w:themeTint="99"/>
        </w:rPr>
        <w:fldChar w:fldCharType="end"/>
      </w:r>
      <w:r w:rsidRPr="007303D5">
        <w:rPr>
          <w:color w:val="548DD4" w:themeColor="text2" w:themeTint="99"/>
        </w:rPr>
        <w:t>, the CDFs for the 2x2 UE-RT links are provided using the modified UMa_A channel model. SINR for ISD=1</w:t>
      </w:r>
      <w:r w:rsidR="004F35F4">
        <w:rPr>
          <w:color w:val="548DD4" w:themeColor="text2" w:themeTint="99"/>
        </w:rPr>
        <w:t> </w:t>
      </w:r>
      <w:r w:rsidRPr="007303D5">
        <w:rPr>
          <w:color w:val="548DD4" w:themeColor="text2" w:themeTint="99"/>
        </w:rPr>
        <w:t xml:space="preserve">732 is significantly improved due to lower interference. </w:t>
      </w:r>
    </w:p>
    <w:p w:rsidR="008C134E" w:rsidRPr="007303D5" w:rsidRDefault="008C134E" w:rsidP="00CD0221">
      <w:pPr>
        <w:spacing w:line="276" w:lineRule="auto"/>
        <w:rPr>
          <w:i/>
          <w:iCs/>
          <w:color w:val="548DD4" w:themeColor="text2" w:themeTint="99"/>
          <w:u w:val="single"/>
        </w:rPr>
      </w:pPr>
      <w:r w:rsidRPr="007303D5">
        <w:rPr>
          <w:i/>
          <w:iCs/>
          <w:color w:val="548DD4" w:themeColor="text2" w:themeTint="99"/>
          <w:u w:val="single"/>
        </w:rPr>
        <w:t>Conclusive Results</w:t>
      </w:r>
    </w:p>
    <w:p w:rsidR="008C134E" w:rsidRPr="007303D5" w:rsidRDefault="008C134E" w:rsidP="00642B92">
      <w:pPr>
        <w:spacing w:line="276" w:lineRule="auto"/>
        <w:jc w:val="both"/>
        <w:rPr>
          <w:color w:val="548DD4" w:themeColor="text2" w:themeTint="99"/>
        </w:rPr>
      </w:pPr>
      <w:r w:rsidRPr="007303D5">
        <w:rPr>
          <w:color w:val="548DD4" w:themeColor="text2" w:themeTint="99"/>
        </w:rPr>
        <w:t>The complete simulation procedure was executed assuming various message transmission periods. A transmission is considered as a failure if:</w:t>
      </w:r>
    </w:p>
    <w:p w:rsidR="008C134E" w:rsidRPr="009D16EA" w:rsidRDefault="00024E6A" w:rsidP="009D16EA">
      <w:pPr>
        <w:pStyle w:val="enumlev1"/>
        <w:rPr>
          <w:color w:val="548DD4" w:themeColor="text2" w:themeTint="99"/>
        </w:rPr>
      </w:pPr>
      <w:r w:rsidRPr="009D16EA">
        <w:rPr>
          <w:color w:val="548DD4" w:themeColor="text2" w:themeTint="99"/>
        </w:rPr>
        <w:t>•</w:t>
      </w:r>
      <w:r w:rsidRPr="009D16EA">
        <w:rPr>
          <w:color w:val="548DD4" w:themeColor="text2" w:themeTint="99"/>
        </w:rPr>
        <w:tab/>
      </w:r>
      <w:r w:rsidR="008C134E" w:rsidRPr="009D16EA">
        <w:rPr>
          <w:color w:val="548DD4" w:themeColor="text2" w:themeTint="99"/>
        </w:rPr>
        <w:t>The transmitted packet does not reach the receiver after the conclusion of 4 HARQ processes – either directly or through a relay.</w:t>
      </w:r>
    </w:p>
    <w:p w:rsidR="008C134E" w:rsidRPr="009D16EA" w:rsidRDefault="00024E6A" w:rsidP="009D16EA">
      <w:pPr>
        <w:pStyle w:val="enumlev1"/>
        <w:rPr>
          <w:color w:val="548DD4" w:themeColor="text2" w:themeTint="99"/>
        </w:rPr>
      </w:pPr>
      <w:r w:rsidRPr="009D16EA">
        <w:rPr>
          <w:color w:val="548DD4" w:themeColor="text2" w:themeTint="99"/>
        </w:rPr>
        <w:t>•</w:t>
      </w:r>
      <w:r w:rsidRPr="009D16EA">
        <w:rPr>
          <w:color w:val="548DD4" w:themeColor="text2" w:themeTint="99"/>
        </w:rPr>
        <w:tab/>
      </w:r>
      <w:r w:rsidR="008C134E" w:rsidRPr="009D16EA">
        <w:rPr>
          <w:color w:val="548DD4" w:themeColor="text2" w:themeTint="99"/>
        </w:rPr>
        <w:t>The Tx packet reaches the receiver with latency that surpasses the 10 second limit.</w:t>
      </w:r>
    </w:p>
    <w:p w:rsidR="008C134E" w:rsidRDefault="008C134E" w:rsidP="005B1580">
      <w:pPr>
        <w:keepNext/>
        <w:spacing w:line="276" w:lineRule="auto"/>
        <w:jc w:val="both"/>
        <w:rPr>
          <w:color w:val="FF0000"/>
        </w:rPr>
      </w:pPr>
      <w:r w:rsidRPr="007303D5">
        <w:rPr>
          <w:color w:val="548DD4" w:themeColor="text2" w:themeTint="99"/>
        </w:rPr>
        <w:t>The results for Configuration B (ISD = 1</w:t>
      </w:r>
      <w:r w:rsidR="004F35F4">
        <w:rPr>
          <w:color w:val="548DD4" w:themeColor="text2" w:themeTint="99"/>
        </w:rPr>
        <w:t> </w:t>
      </w:r>
      <w:r w:rsidRPr="007303D5">
        <w:rPr>
          <w:color w:val="548DD4" w:themeColor="text2" w:themeTint="99"/>
        </w:rPr>
        <w:t xml:space="preserve">732 m) and MRT beamforming are presented in </w:t>
      </w:r>
      <w:r w:rsidRPr="007303D5">
        <w:rPr>
          <w:color w:val="548DD4" w:themeColor="text2" w:themeTint="99"/>
        </w:rPr>
        <w:fldChar w:fldCharType="begin"/>
      </w:r>
      <w:r w:rsidRPr="007303D5">
        <w:rPr>
          <w:color w:val="548DD4" w:themeColor="text2" w:themeTint="99"/>
        </w:rPr>
        <w:instrText xml:space="preserve"> REF _Ref79571181 \h </w:instrText>
      </w:r>
      <w:r w:rsidRPr="007303D5">
        <w:rPr>
          <w:color w:val="548DD4" w:themeColor="text2" w:themeTint="99"/>
        </w:rPr>
      </w:r>
      <w:r w:rsidRPr="007303D5">
        <w:rPr>
          <w:color w:val="548DD4" w:themeColor="text2" w:themeTint="99"/>
        </w:rPr>
        <w:fldChar w:fldCharType="separate"/>
      </w:r>
      <w:r w:rsidRPr="007303D5">
        <w:rPr>
          <w:color w:val="548DD4" w:themeColor="text2" w:themeTint="99"/>
        </w:rPr>
        <w:t xml:space="preserve">Figure </w:t>
      </w:r>
      <w:r w:rsidRPr="007303D5">
        <w:rPr>
          <w:noProof/>
          <w:color w:val="548DD4" w:themeColor="text2" w:themeTint="99"/>
        </w:rPr>
        <w:t>21</w:t>
      </w:r>
      <w:r w:rsidRPr="007303D5">
        <w:rPr>
          <w:color w:val="548DD4" w:themeColor="text2" w:themeTint="99"/>
        </w:rPr>
        <w:fldChar w:fldCharType="end"/>
      </w:r>
      <w:r w:rsidR="009D16EA">
        <w:rPr>
          <w:color w:val="548DD4" w:themeColor="text2" w:themeTint="99"/>
        </w:rPr>
        <w:t xml:space="preserve"> </w:t>
      </w:r>
      <w:r w:rsidRPr="007303D5">
        <w:rPr>
          <w:color w:val="548DD4" w:themeColor="text2" w:themeTint="99"/>
        </w:rPr>
        <w:t xml:space="preserve">and </w:t>
      </w:r>
      <w:r w:rsidRPr="007303D5">
        <w:rPr>
          <w:color w:val="548DD4" w:themeColor="text2" w:themeTint="99"/>
        </w:rPr>
        <w:fldChar w:fldCharType="begin"/>
      </w:r>
      <w:r w:rsidRPr="007303D5">
        <w:rPr>
          <w:color w:val="548DD4" w:themeColor="text2" w:themeTint="99"/>
        </w:rPr>
        <w:instrText xml:space="preserve"> REF _Ref79571183 \h </w:instrText>
      </w:r>
      <w:r w:rsidRPr="007303D5">
        <w:rPr>
          <w:color w:val="548DD4" w:themeColor="text2" w:themeTint="99"/>
        </w:rPr>
      </w:r>
      <w:r w:rsidRPr="007303D5">
        <w:rPr>
          <w:color w:val="548DD4" w:themeColor="text2" w:themeTint="99"/>
        </w:rPr>
        <w:fldChar w:fldCharType="separate"/>
      </w:r>
      <w:r w:rsidRPr="007303D5">
        <w:rPr>
          <w:color w:val="548DD4" w:themeColor="text2" w:themeTint="99"/>
        </w:rPr>
        <w:t xml:space="preserve">Figure </w:t>
      </w:r>
      <w:r w:rsidRPr="007303D5">
        <w:rPr>
          <w:noProof/>
          <w:color w:val="548DD4" w:themeColor="text2" w:themeTint="99"/>
        </w:rPr>
        <w:t>22</w:t>
      </w:r>
      <w:r w:rsidRPr="007303D5">
        <w:rPr>
          <w:color w:val="548DD4" w:themeColor="text2" w:themeTint="99"/>
        </w:rPr>
        <w:fldChar w:fldCharType="end"/>
      </w:r>
      <w:r w:rsidRPr="007303D5">
        <w:rPr>
          <w:color w:val="548DD4" w:themeColor="text2" w:themeTint="99"/>
        </w:rPr>
        <w:t>. The thresholds are depicted with the yellow and red horizontal lines respectively</w:t>
      </w:r>
      <w:r>
        <w:rPr>
          <w:color w:val="FF0000"/>
        </w:rPr>
        <w:t>.</w:t>
      </w:r>
    </w:p>
    <w:p w:rsidR="00024E6A" w:rsidRPr="00024E6A" w:rsidRDefault="00024E6A" w:rsidP="00024E6A">
      <w:pPr>
        <w:pStyle w:val="FigureNo"/>
        <w:rPr>
          <w:color w:val="365F91" w:themeColor="accent1" w:themeShade="BF"/>
        </w:rPr>
      </w:pPr>
      <w:r w:rsidRPr="00024E6A">
        <w:rPr>
          <w:color w:val="365F91" w:themeColor="accent1" w:themeShade="BF"/>
        </w:rPr>
        <w:t xml:space="preserve">Figure </w:t>
      </w:r>
      <w:r w:rsidRPr="00024E6A">
        <w:rPr>
          <w:color w:val="365F91" w:themeColor="accent1" w:themeShade="BF"/>
        </w:rPr>
        <w:fldChar w:fldCharType="begin"/>
      </w:r>
      <w:r w:rsidRPr="00024E6A">
        <w:rPr>
          <w:color w:val="365F91" w:themeColor="accent1" w:themeShade="BF"/>
        </w:rPr>
        <w:instrText xml:space="preserve"> SEQ Figure \* ARABIC </w:instrText>
      </w:r>
      <w:r w:rsidRPr="00024E6A">
        <w:rPr>
          <w:color w:val="365F91" w:themeColor="accent1" w:themeShade="BF"/>
        </w:rPr>
        <w:fldChar w:fldCharType="separate"/>
      </w:r>
      <w:r w:rsidRPr="00024E6A">
        <w:rPr>
          <w:noProof/>
          <w:color w:val="365F91" w:themeColor="accent1" w:themeShade="BF"/>
        </w:rPr>
        <w:t>21</w:t>
      </w:r>
      <w:r w:rsidRPr="00024E6A">
        <w:rPr>
          <w:color w:val="365F91" w:themeColor="accent1" w:themeShade="BF"/>
        </w:rPr>
        <w:fldChar w:fldCharType="end"/>
      </w:r>
    </w:p>
    <w:p w:rsidR="00024E6A" w:rsidRPr="00024E6A" w:rsidRDefault="00024E6A" w:rsidP="00024E6A">
      <w:pPr>
        <w:pStyle w:val="Figuretitle"/>
        <w:rPr>
          <w:color w:val="365F91" w:themeColor="accent1" w:themeShade="BF"/>
        </w:rPr>
      </w:pPr>
      <w:r>
        <w:t xml:space="preserve"> </w:t>
      </w:r>
      <w:r w:rsidRPr="00024E6A">
        <w:rPr>
          <w:color w:val="365F91" w:themeColor="accent1" w:themeShade="BF"/>
        </w:rPr>
        <w:t>Number of served users per squared km in millions vs. message transmission period in minutes for configuration B.</w:t>
      </w:r>
    </w:p>
    <w:p w:rsidR="008C134E" w:rsidRDefault="008C134E" w:rsidP="0081206F">
      <w:pPr>
        <w:keepNext/>
        <w:spacing w:line="276" w:lineRule="auto"/>
      </w:pPr>
      <w:r>
        <w:rPr>
          <w:noProof/>
          <w:color w:val="FF0000"/>
          <w:lang w:val="en-US"/>
        </w:rPr>
        <w:drawing>
          <wp:inline distT="0" distB="0" distL="0" distR="0" wp14:anchorId="26C93BB1" wp14:editId="1103C2DB">
            <wp:extent cx="5943600" cy="316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024E6A" w:rsidRDefault="00024E6A">
      <w:pPr>
        <w:tabs>
          <w:tab w:val="clear" w:pos="1134"/>
          <w:tab w:val="clear" w:pos="1871"/>
          <w:tab w:val="clear" w:pos="2268"/>
        </w:tabs>
        <w:overflowPunct/>
        <w:autoSpaceDE/>
        <w:autoSpaceDN/>
        <w:adjustRightInd/>
        <w:spacing w:before="0"/>
        <w:textAlignment w:val="auto"/>
        <w:rPr>
          <w:caps/>
          <w:color w:val="365F91" w:themeColor="accent1" w:themeShade="BF"/>
          <w:sz w:val="20"/>
        </w:rPr>
      </w:pPr>
      <w:bookmarkStart w:id="35" w:name="_Ref79571183"/>
      <w:r>
        <w:rPr>
          <w:color w:val="365F91" w:themeColor="accent1" w:themeShade="BF"/>
        </w:rPr>
        <w:br w:type="page"/>
      </w:r>
    </w:p>
    <w:p w:rsidR="00024E6A" w:rsidRPr="00024E6A" w:rsidRDefault="00024E6A" w:rsidP="00024E6A">
      <w:pPr>
        <w:pStyle w:val="FigureNo"/>
        <w:rPr>
          <w:color w:val="365F91" w:themeColor="accent1" w:themeShade="BF"/>
        </w:rPr>
      </w:pPr>
      <w:r w:rsidRPr="00024E6A">
        <w:rPr>
          <w:color w:val="365F91" w:themeColor="accent1" w:themeShade="BF"/>
        </w:rPr>
        <w:t xml:space="preserve">Figure </w:t>
      </w:r>
      <w:r w:rsidRPr="00024E6A">
        <w:rPr>
          <w:color w:val="365F91" w:themeColor="accent1" w:themeShade="BF"/>
        </w:rPr>
        <w:fldChar w:fldCharType="begin"/>
      </w:r>
      <w:r w:rsidRPr="00024E6A">
        <w:rPr>
          <w:color w:val="365F91" w:themeColor="accent1" w:themeShade="BF"/>
        </w:rPr>
        <w:instrText xml:space="preserve"> SEQ Figure \* ARABIC </w:instrText>
      </w:r>
      <w:r w:rsidRPr="00024E6A">
        <w:rPr>
          <w:color w:val="365F91" w:themeColor="accent1" w:themeShade="BF"/>
        </w:rPr>
        <w:fldChar w:fldCharType="separate"/>
      </w:r>
      <w:r w:rsidRPr="00024E6A">
        <w:rPr>
          <w:noProof/>
          <w:color w:val="365F91" w:themeColor="accent1" w:themeShade="BF"/>
        </w:rPr>
        <w:t>22</w:t>
      </w:r>
      <w:r w:rsidRPr="00024E6A">
        <w:rPr>
          <w:color w:val="365F91" w:themeColor="accent1" w:themeShade="BF"/>
        </w:rPr>
        <w:fldChar w:fldCharType="end"/>
      </w:r>
      <w:bookmarkEnd w:id="35"/>
    </w:p>
    <w:p w:rsidR="00024E6A" w:rsidRDefault="00024E6A" w:rsidP="00024E6A">
      <w:pPr>
        <w:pStyle w:val="Figuretitle"/>
        <w:rPr>
          <w:color w:val="FF0000"/>
        </w:rPr>
      </w:pPr>
      <w:r w:rsidRPr="00024E6A">
        <w:rPr>
          <w:color w:val="365F91" w:themeColor="accent1" w:themeShade="BF"/>
        </w:rPr>
        <w:t>QoS outage for users per squared km in millions vs. message transmission period in minutes for configuration B.</w:t>
      </w:r>
    </w:p>
    <w:p w:rsidR="008C134E" w:rsidRDefault="008C134E" w:rsidP="0081206F">
      <w:pPr>
        <w:keepNext/>
        <w:spacing w:line="276" w:lineRule="auto"/>
      </w:pPr>
      <w:r>
        <w:rPr>
          <w:noProof/>
          <w:color w:val="FF0000"/>
          <w:lang w:val="en-US"/>
        </w:rPr>
        <w:drawing>
          <wp:inline distT="0" distB="0" distL="0" distR="0" wp14:anchorId="5856FEF5" wp14:editId="1C7FEE13">
            <wp:extent cx="5934075" cy="3438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075" cy="3438525"/>
                    </a:xfrm>
                    <a:prstGeom prst="rect">
                      <a:avLst/>
                    </a:prstGeom>
                    <a:noFill/>
                    <a:ln>
                      <a:noFill/>
                    </a:ln>
                  </pic:spPr>
                </pic:pic>
              </a:graphicData>
            </a:graphic>
          </wp:inline>
        </w:drawing>
      </w:r>
    </w:p>
    <w:p w:rsidR="008C134E" w:rsidRPr="007303D5" w:rsidRDefault="008C134E" w:rsidP="00CD0221">
      <w:pPr>
        <w:spacing w:line="276" w:lineRule="auto"/>
        <w:rPr>
          <w:color w:val="548DD4" w:themeColor="text2" w:themeTint="99"/>
        </w:rPr>
      </w:pPr>
      <w:r w:rsidRPr="007303D5">
        <w:rPr>
          <w:color w:val="548DD4" w:themeColor="text2" w:themeTint="99"/>
        </w:rPr>
        <w:t>The results clearly show that the connection density requirement for given QoS level is fulfilled for transmission periods higher than 12 minutes.</w:t>
      </w:r>
    </w:p>
    <w:p w:rsidR="008C134E" w:rsidRDefault="008C134E" w:rsidP="00CD0221">
      <w:pPr>
        <w:spacing w:line="276" w:lineRule="auto"/>
        <w:rPr>
          <w:color w:val="548DD4" w:themeColor="text2" w:themeTint="99"/>
        </w:rPr>
      </w:pPr>
      <w:r w:rsidRPr="007303D5">
        <w:rPr>
          <w:color w:val="548DD4" w:themeColor="text2" w:themeTint="99"/>
        </w:rPr>
        <w:t xml:space="preserve">The respective results for Configuration A (ISD = 500 m) are presented in </w:t>
      </w:r>
      <w:r w:rsidRPr="007303D5">
        <w:rPr>
          <w:color w:val="548DD4" w:themeColor="text2" w:themeTint="99"/>
        </w:rPr>
        <w:fldChar w:fldCharType="begin"/>
      </w:r>
      <w:r w:rsidRPr="007303D5">
        <w:rPr>
          <w:color w:val="548DD4" w:themeColor="text2" w:themeTint="99"/>
        </w:rPr>
        <w:instrText xml:space="preserve"> REF _Ref79595281 \h </w:instrText>
      </w:r>
      <w:r w:rsidRPr="007303D5">
        <w:rPr>
          <w:color w:val="548DD4" w:themeColor="text2" w:themeTint="99"/>
        </w:rPr>
      </w:r>
      <w:r w:rsidRPr="007303D5">
        <w:rPr>
          <w:color w:val="548DD4" w:themeColor="text2" w:themeTint="99"/>
        </w:rPr>
        <w:fldChar w:fldCharType="separate"/>
      </w:r>
      <w:r w:rsidRPr="007303D5">
        <w:rPr>
          <w:color w:val="548DD4" w:themeColor="text2" w:themeTint="99"/>
        </w:rPr>
        <w:t xml:space="preserve">Figure </w:t>
      </w:r>
      <w:r w:rsidRPr="007303D5">
        <w:rPr>
          <w:noProof/>
          <w:color w:val="548DD4" w:themeColor="text2" w:themeTint="99"/>
        </w:rPr>
        <w:t>23</w:t>
      </w:r>
      <w:r w:rsidRPr="007303D5">
        <w:rPr>
          <w:color w:val="548DD4" w:themeColor="text2" w:themeTint="99"/>
        </w:rPr>
        <w:fldChar w:fldCharType="end"/>
      </w:r>
      <w:r w:rsidRPr="007303D5">
        <w:rPr>
          <w:color w:val="548DD4" w:themeColor="text2" w:themeTint="99"/>
        </w:rPr>
        <w:t xml:space="preserve"> and </w:t>
      </w:r>
      <w:r w:rsidRPr="007303D5">
        <w:rPr>
          <w:color w:val="548DD4" w:themeColor="text2" w:themeTint="99"/>
        </w:rPr>
        <w:fldChar w:fldCharType="begin"/>
      </w:r>
      <w:r w:rsidRPr="007303D5">
        <w:rPr>
          <w:color w:val="548DD4" w:themeColor="text2" w:themeTint="99"/>
        </w:rPr>
        <w:instrText xml:space="preserve"> REF _Ref79595283 \h </w:instrText>
      </w:r>
      <w:r w:rsidRPr="007303D5">
        <w:rPr>
          <w:color w:val="548DD4" w:themeColor="text2" w:themeTint="99"/>
        </w:rPr>
      </w:r>
      <w:r w:rsidRPr="007303D5">
        <w:rPr>
          <w:color w:val="548DD4" w:themeColor="text2" w:themeTint="99"/>
        </w:rPr>
        <w:fldChar w:fldCharType="separate"/>
      </w:r>
      <w:r w:rsidRPr="007303D5">
        <w:rPr>
          <w:color w:val="548DD4" w:themeColor="text2" w:themeTint="99"/>
        </w:rPr>
        <w:t xml:space="preserve">Figure </w:t>
      </w:r>
      <w:r w:rsidRPr="007303D5">
        <w:rPr>
          <w:noProof/>
          <w:color w:val="548DD4" w:themeColor="text2" w:themeTint="99"/>
        </w:rPr>
        <w:t>24</w:t>
      </w:r>
      <w:r w:rsidRPr="007303D5">
        <w:rPr>
          <w:color w:val="548DD4" w:themeColor="text2" w:themeTint="99"/>
        </w:rPr>
        <w:fldChar w:fldCharType="end"/>
      </w:r>
      <w:r w:rsidRPr="007303D5">
        <w:rPr>
          <w:color w:val="548DD4" w:themeColor="text2" w:themeTint="99"/>
        </w:rPr>
        <w:t xml:space="preserve">. </w:t>
      </w:r>
    </w:p>
    <w:p w:rsidR="00024E6A" w:rsidRPr="00024E6A" w:rsidRDefault="00024E6A" w:rsidP="00024E6A">
      <w:pPr>
        <w:pStyle w:val="FigureNo"/>
        <w:rPr>
          <w:color w:val="365F91" w:themeColor="accent1" w:themeShade="BF"/>
        </w:rPr>
      </w:pPr>
      <w:bookmarkStart w:id="36" w:name="_Ref79595281"/>
      <w:bookmarkStart w:id="37" w:name="_Ref79595276"/>
      <w:r w:rsidRPr="00024E6A">
        <w:rPr>
          <w:color w:val="365F91" w:themeColor="accent1" w:themeShade="BF"/>
        </w:rPr>
        <w:t xml:space="preserve">Figure </w:t>
      </w:r>
      <w:r w:rsidRPr="00024E6A">
        <w:rPr>
          <w:color w:val="365F91" w:themeColor="accent1" w:themeShade="BF"/>
        </w:rPr>
        <w:fldChar w:fldCharType="begin"/>
      </w:r>
      <w:r w:rsidRPr="00024E6A">
        <w:rPr>
          <w:color w:val="365F91" w:themeColor="accent1" w:themeShade="BF"/>
        </w:rPr>
        <w:instrText xml:space="preserve"> SEQ Figure \* ARABIC </w:instrText>
      </w:r>
      <w:r w:rsidRPr="00024E6A">
        <w:rPr>
          <w:color w:val="365F91" w:themeColor="accent1" w:themeShade="BF"/>
        </w:rPr>
        <w:fldChar w:fldCharType="separate"/>
      </w:r>
      <w:r w:rsidRPr="00024E6A">
        <w:rPr>
          <w:noProof/>
          <w:color w:val="365F91" w:themeColor="accent1" w:themeShade="BF"/>
        </w:rPr>
        <w:t>23</w:t>
      </w:r>
      <w:r w:rsidRPr="00024E6A">
        <w:rPr>
          <w:color w:val="365F91" w:themeColor="accent1" w:themeShade="BF"/>
        </w:rPr>
        <w:fldChar w:fldCharType="end"/>
      </w:r>
      <w:bookmarkEnd w:id="36"/>
    </w:p>
    <w:p w:rsidR="00024E6A" w:rsidRPr="00024E6A" w:rsidRDefault="00024E6A" w:rsidP="00024E6A">
      <w:pPr>
        <w:pStyle w:val="Figuretitle"/>
        <w:rPr>
          <w:color w:val="365F91" w:themeColor="accent1" w:themeShade="BF"/>
        </w:rPr>
      </w:pPr>
      <w:r w:rsidRPr="00024E6A">
        <w:rPr>
          <w:color w:val="365F91" w:themeColor="accent1" w:themeShade="BF"/>
        </w:rPr>
        <w:t xml:space="preserve">Number of served users per squared km in millions vs. message transmission period in minutes </w:t>
      </w:r>
      <w:r w:rsidR="009D16EA">
        <w:rPr>
          <w:color w:val="365F91" w:themeColor="accent1" w:themeShade="BF"/>
        </w:rPr>
        <w:br/>
      </w:r>
      <w:r w:rsidRPr="00024E6A">
        <w:rPr>
          <w:color w:val="365F91" w:themeColor="accent1" w:themeShade="BF"/>
        </w:rPr>
        <w:t>for configuration A.</w:t>
      </w:r>
      <w:bookmarkEnd w:id="37"/>
    </w:p>
    <w:p w:rsidR="008C134E" w:rsidRDefault="008C134E" w:rsidP="006B6452">
      <w:pPr>
        <w:keepNext/>
        <w:spacing w:line="276" w:lineRule="auto"/>
      </w:pPr>
      <w:r>
        <w:rPr>
          <w:noProof/>
          <w:color w:val="FF0000"/>
          <w:lang w:val="en-US"/>
        </w:rPr>
        <w:drawing>
          <wp:inline distT="0" distB="0" distL="0" distR="0" wp14:anchorId="72DD060C" wp14:editId="243DEE93">
            <wp:extent cx="5934075" cy="3314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rsidR="00C47FD8" w:rsidRPr="00C47FD8" w:rsidRDefault="0064363A" w:rsidP="00C47FD8">
      <w:pPr>
        <w:pStyle w:val="FigureNo"/>
        <w:rPr>
          <w:color w:val="365F91" w:themeColor="accent1" w:themeShade="BF"/>
        </w:rPr>
      </w:pPr>
      <w:bookmarkStart w:id="38" w:name="_Ref79595283"/>
      <w:r w:rsidRPr="00C47FD8">
        <w:rPr>
          <w:color w:val="365F91" w:themeColor="accent1" w:themeShade="BF"/>
        </w:rPr>
        <w:t xml:space="preserve">Figure </w:t>
      </w:r>
      <w:r w:rsidRPr="00C47FD8">
        <w:rPr>
          <w:color w:val="365F91" w:themeColor="accent1" w:themeShade="BF"/>
        </w:rPr>
        <w:fldChar w:fldCharType="begin"/>
      </w:r>
      <w:r w:rsidRPr="00C47FD8">
        <w:rPr>
          <w:color w:val="365F91" w:themeColor="accent1" w:themeShade="BF"/>
        </w:rPr>
        <w:instrText xml:space="preserve"> SEQ Figure \* ARABIC </w:instrText>
      </w:r>
      <w:r w:rsidRPr="00C47FD8">
        <w:rPr>
          <w:color w:val="365F91" w:themeColor="accent1" w:themeShade="BF"/>
        </w:rPr>
        <w:fldChar w:fldCharType="separate"/>
      </w:r>
      <w:r w:rsidRPr="00C47FD8">
        <w:rPr>
          <w:noProof/>
          <w:color w:val="365F91" w:themeColor="accent1" w:themeShade="BF"/>
        </w:rPr>
        <w:t>24</w:t>
      </w:r>
      <w:r w:rsidRPr="00C47FD8">
        <w:rPr>
          <w:color w:val="365F91" w:themeColor="accent1" w:themeShade="BF"/>
        </w:rPr>
        <w:fldChar w:fldCharType="end"/>
      </w:r>
      <w:bookmarkEnd w:id="38"/>
    </w:p>
    <w:p w:rsidR="0064363A" w:rsidRPr="00C47FD8" w:rsidRDefault="0064363A" w:rsidP="00C47FD8">
      <w:pPr>
        <w:pStyle w:val="Tabletitle"/>
        <w:rPr>
          <w:color w:val="365F91" w:themeColor="accent1" w:themeShade="BF"/>
        </w:rPr>
      </w:pPr>
      <w:r w:rsidRPr="00C47FD8">
        <w:rPr>
          <w:color w:val="365F91" w:themeColor="accent1" w:themeShade="BF"/>
        </w:rPr>
        <w:t>QoS outage for users per squared km in millions vs. message transmission period in minutes</w:t>
      </w:r>
      <w:r w:rsidR="00C47FD8" w:rsidRPr="00C47FD8">
        <w:rPr>
          <w:color w:val="365F91" w:themeColor="accent1" w:themeShade="BF"/>
        </w:rPr>
        <w:br/>
      </w:r>
      <w:r w:rsidRPr="00C47FD8">
        <w:rPr>
          <w:color w:val="365F91" w:themeColor="accent1" w:themeShade="BF"/>
        </w:rPr>
        <w:t xml:space="preserve"> for configuration A.</w:t>
      </w:r>
    </w:p>
    <w:p w:rsidR="008C134E" w:rsidRDefault="008C134E" w:rsidP="006B6452">
      <w:pPr>
        <w:keepNext/>
      </w:pPr>
      <w:r>
        <w:rPr>
          <w:noProof/>
          <w:lang w:val="en-US"/>
        </w:rPr>
        <w:drawing>
          <wp:inline distT="0" distB="0" distL="0" distR="0" wp14:anchorId="76F64CC0" wp14:editId="61EB494D">
            <wp:extent cx="5934075" cy="3533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rsidR="008C134E" w:rsidRDefault="008C134E" w:rsidP="00596CEA"/>
    <w:p w:rsidR="008C134E" w:rsidRPr="004A77BE" w:rsidRDefault="008C134E" w:rsidP="005E6B73">
      <w:pPr>
        <w:spacing w:line="276" w:lineRule="auto"/>
        <w:jc w:val="both"/>
        <w:rPr>
          <w:color w:val="548DD4" w:themeColor="text2" w:themeTint="99"/>
        </w:rPr>
      </w:pPr>
      <w:r w:rsidRPr="004A77BE">
        <w:rPr>
          <w:color w:val="548DD4" w:themeColor="text2" w:themeTint="99"/>
        </w:rPr>
        <w:t>It can be seen that for Configuration A due to decreased number of users per TxRP, and the different CDFs, the goal of approximately 73,000 users per TxRP and 1</w:t>
      </w:r>
      <w:r w:rsidR="009C7BF0">
        <w:rPr>
          <w:color w:val="548DD4" w:themeColor="text2" w:themeTint="99"/>
        </w:rPr>
        <w:t xml:space="preserve"> </w:t>
      </w:r>
      <w:r w:rsidRPr="004A77BE">
        <w:rPr>
          <w:color w:val="548DD4" w:themeColor="text2" w:themeTint="99"/>
        </w:rPr>
        <w:t>million users per km</w:t>
      </w:r>
      <w:r w:rsidRPr="004A77BE">
        <w:rPr>
          <w:color w:val="548DD4" w:themeColor="text2" w:themeTint="99"/>
          <w:vertAlign w:val="superscript"/>
        </w:rPr>
        <w:t>2</w:t>
      </w:r>
      <w:r w:rsidRPr="004A77BE">
        <w:rPr>
          <w:color w:val="548DD4" w:themeColor="text2" w:themeTint="99"/>
        </w:rPr>
        <w:t xml:space="preserve"> is achieved with message period of 6 minutes.</w:t>
      </w:r>
    </w:p>
    <w:p w:rsidR="008C134E" w:rsidRPr="004A77BE" w:rsidRDefault="008C134E" w:rsidP="005E6B73">
      <w:pPr>
        <w:spacing w:line="276" w:lineRule="auto"/>
        <w:jc w:val="both"/>
        <w:rPr>
          <w:color w:val="548DD4" w:themeColor="text2" w:themeTint="99"/>
          <w:lang w:val="en-US"/>
        </w:rPr>
      </w:pPr>
      <w:r w:rsidRPr="004A77BE">
        <w:rPr>
          <w:color w:val="548DD4" w:themeColor="text2" w:themeTint="99"/>
        </w:rPr>
        <w:t xml:space="preserve">In the specific analysis, we do not consider any MAC processing or signalling/scheduling latency (scheduling decisions are considered applicable to the next scheduling period, i.e. next frame), despite the fact that </w:t>
      </w:r>
      <w:r w:rsidRPr="004A77BE">
        <w:rPr>
          <w:color w:val="548DD4" w:themeColor="text2" w:themeTint="99"/>
          <w:lang w:val="en-US"/>
        </w:rPr>
        <w:t>only a subset of available slots are assigned for uplink transmissions</w:t>
      </w:r>
      <w:r w:rsidRPr="004A77BE">
        <w:rPr>
          <w:color w:val="548DD4" w:themeColor="text2" w:themeTint="99"/>
        </w:rPr>
        <w:t xml:space="preserve">. However, the results are definite and </w:t>
      </w:r>
      <w:r w:rsidRPr="004A77BE">
        <w:rPr>
          <w:color w:val="548DD4" w:themeColor="text2" w:themeTint="99"/>
          <w:lang w:val="en-US"/>
        </w:rPr>
        <w:t xml:space="preserve">by an order of magnitude better than the specified ITU-R requirement, thus, it can be claimed that the requirement is without any doubt fulfilled. </w:t>
      </w:r>
    </w:p>
    <w:p w:rsidR="008C134E" w:rsidRPr="00596CEA" w:rsidRDefault="008C134E" w:rsidP="00596CEA"/>
    <w:p w:rsidR="008C134E" w:rsidRDefault="008C134E" w:rsidP="0032202E">
      <w:pPr>
        <w:pStyle w:val="Reasons"/>
      </w:pPr>
    </w:p>
    <w:p w:rsidR="000069D4" w:rsidRPr="008C134E" w:rsidRDefault="008C134E" w:rsidP="00024E6A">
      <w:pPr>
        <w:jc w:val="center"/>
        <w:rPr>
          <w:lang w:eastAsia="zh-CN"/>
        </w:rPr>
      </w:pPr>
      <w:r>
        <w:t>______________</w:t>
      </w:r>
    </w:p>
    <w:sectPr w:rsidR="000069D4" w:rsidRPr="008C134E" w:rsidSect="00E31124">
      <w:headerReference w:type="default" r:id="rId61"/>
      <w:footerReference w:type="default" r:id="rId62"/>
      <w:headerReference w:type="first" r:id="rId63"/>
      <w:footerReference w:type="first" r:id="rId64"/>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7FA" w:rsidRDefault="00DB17FA">
      <w:r>
        <w:separator/>
      </w:r>
    </w:p>
  </w:endnote>
  <w:endnote w:type="continuationSeparator" w:id="0">
    <w:p w:rsidR="00DB17FA" w:rsidRDefault="00DB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34E" w:rsidRDefault="000753EA" w:rsidP="00C71DE7">
    <w:pPr>
      <w:pStyle w:val="Footer"/>
    </w:pPr>
    <w:fldSimple w:instr=" FILENAME \p  \* MERGEFORMAT ">
      <w:r w:rsidR="00836D52">
        <w:t>M:\BRSGD\TEXT2019\SG05\WP5D\700\736e.docx</w:t>
      </w:r>
    </w:fldSimple>
    <w:r w:rsidR="008C134E">
      <w:tab/>
    </w:r>
    <w:r w:rsidR="008C134E">
      <w:fldChar w:fldCharType="begin"/>
    </w:r>
    <w:r w:rsidR="008C134E">
      <w:instrText xml:space="preserve"> SAVEDATE \@ DD.MM.YY </w:instrText>
    </w:r>
    <w:r w:rsidR="008C134E">
      <w:fldChar w:fldCharType="separate"/>
    </w:r>
    <w:r w:rsidR="009658CD">
      <w:t>14.10.21</w:t>
    </w:r>
    <w:r w:rsidR="008C134E">
      <w:fldChar w:fldCharType="end"/>
    </w:r>
    <w:r w:rsidR="008C134E">
      <w:tab/>
    </w:r>
    <w:r w:rsidR="008C134E">
      <w:fldChar w:fldCharType="begin"/>
    </w:r>
    <w:r w:rsidR="008C134E">
      <w:instrText xml:space="preserve"> PRINTDATE \@ DD.MM.YY </w:instrText>
    </w:r>
    <w:r w:rsidR="008C134E">
      <w:fldChar w:fldCharType="separate"/>
    </w:r>
    <w:r w:rsidR="00836D52">
      <w:t>21.02.08</w:t>
    </w:r>
    <w:r w:rsidR="008C134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34E" w:rsidRDefault="000753EA" w:rsidP="008C134E">
    <w:pPr>
      <w:pStyle w:val="Footer"/>
    </w:pPr>
    <w:fldSimple w:instr=" FILENAME \p  \* MERGEFORMAT ">
      <w:r w:rsidR="00836D52">
        <w:t>M:\BRSGD\TEXT2019\SG05\WP5D\700\736e.docx</w:t>
      </w:r>
    </w:fldSimple>
    <w:r w:rsidR="008C134E">
      <w:tab/>
    </w:r>
    <w:r w:rsidR="008C134E">
      <w:fldChar w:fldCharType="begin"/>
    </w:r>
    <w:r w:rsidR="008C134E">
      <w:instrText xml:space="preserve"> SAVEDATE \@ DD.MM.YY </w:instrText>
    </w:r>
    <w:r w:rsidR="008C134E">
      <w:fldChar w:fldCharType="separate"/>
    </w:r>
    <w:r w:rsidR="009658CD">
      <w:t>14.10.21</w:t>
    </w:r>
    <w:r w:rsidR="008C134E">
      <w:fldChar w:fldCharType="end"/>
    </w:r>
    <w:r w:rsidR="008C134E">
      <w:tab/>
    </w:r>
    <w:r w:rsidR="008C134E">
      <w:fldChar w:fldCharType="begin"/>
    </w:r>
    <w:r w:rsidR="008C134E">
      <w:instrText xml:space="preserve"> PRINTDATE \@ DD.MM.YY </w:instrText>
    </w:r>
    <w:r w:rsidR="008C134E">
      <w:fldChar w:fldCharType="separate"/>
    </w:r>
    <w:r w:rsidR="008C134E">
      <w:t>21.02.08</w:t>
    </w:r>
    <w:r w:rsidR="008C134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0753EA">
    <w:pPr>
      <w:pStyle w:val="Footer"/>
      <w:rPr>
        <w:lang w:val="en-US"/>
      </w:rPr>
    </w:pPr>
    <w:fldSimple w:instr=" FILENAME \p \* MERGEFORMAT ">
      <w:r w:rsidR="00836D52" w:rsidRPr="00836D52">
        <w:rPr>
          <w:lang w:val="en-US"/>
        </w:rPr>
        <w:t>M</w:t>
      </w:r>
      <w:r w:rsidR="00836D52">
        <w:t>:\BRSGD\TEXT2019\SG05\WP5D\700\736e.docx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9658CD">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8C134E">
      <w:t>21.02.08</w:t>
    </w:r>
    <w:r w:rsidR="00D0271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0753EA" w:rsidP="00E6257C">
    <w:pPr>
      <w:pStyle w:val="Footer"/>
      <w:rPr>
        <w:lang w:val="en-US"/>
      </w:rPr>
    </w:pPr>
    <w:fldSimple w:instr=" FILENAME \p \* MERGEFORMAT ">
      <w:r w:rsidR="00836D52" w:rsidRPr="00836D52">
        <w:rPr>
          <w:lang w:val="en-US"/>
        </w:rPr>
        <w:t>M</w:t>
      </w:r>
      <w:r w:rsidR="00836D52">
        <w:t>:\BRSGD\TEXT2019\SG05\WP5D\700\736e.docx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9658CD">
      <w:t>14.10.21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8C134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7FA" w:rsidRDefault="00DB17FA">
      <w:r>
        <w:t>____________________</w:t>
      </w:r>
    </w:p>
  </w:footnote>
  <w:footnote w:type="continuationSeparator" w:id="0">
    <w:p w:rsidR="00DB17FA" w:rsidRDefault="00DB17FA">
      <w:r>
        <w:continuationSeparator/>
      </w:r>
    </w:p>
  </w:footnote>
  <w:footnote w:id="1">
    <w:p w:rsidR="008C134E" w:rsidRPr="008C0726" w:rsidRDefault="008C134E" w:rsidP="00BE3CF8">
      <w:pPr>
        <w:pStyle w:val="FootnoteText"/>
      </w:pPr>
      <w:r w:rsidRPr="008C0726">
        <w:rPr>
          <w:rStyle w:val="FootnoteReference"/>
        </w:rPr>
        <w:footnoteRef/>
      </w:r>
      <w:r w:rsidRPr="008C0726">
        <w:t xml:space="preserve"> The specifications also introduce a scheduled access data transfer approach in </w:t>
      </w:r>
      <w:r w:rsidRPr="008C0726">
        <w:rPr>
          <w:sz w:val="22"/>
          <w:szCs w:val="22"/>
          <w:lang w:val="en-US"/>
        </w:rPr>
        <w:t>ETSI TS 103 636-4, Section 5.4</w:t>
      </w:r>
    </w:p>
  </w:footnote>
  <w:footnote w:id="2">
    <w:p w:rsidR="008C134E" w:rsidRPr="008C0726" w:rsidRDefault="008C134E" w:rsidP="007C7B73">
      <w:pPr>
        <w:pStyle w:val="FootnoteText"/>
      </w:pPr>
      <w:r w:rsidRPr="008C0726">
        <w:rPr>
          <w:rStyle w:val="FootnoteReference"/>
        </w:rPr>
        <w:footnoteRef/>
      </w:r>
      <w:r w:rsidRPr="008C0726">
        <w:t xml:space="preserve"> </w:t>
      </w:r>
      <w:r w:rsidRPr="008C0726">
        <w:rPr>
          <w:lang w:val="en-US"/>
        </w:rPr>
        <w:t>Not included in the calculation of control-plane latency as it can be executed during battery-efficient state.</w:t>
      </w:r>
    </w:p>
  </w:footnote>
  <w:footnote w:id="3">
    <w:p w:rsidR="008C134E" w:rsidRPr="00375096" w:rsidRDefault="008C134E" w:rsidP="00375096">
      <w:pPr>
        <w:pStyle w:val="FootnoteText"/>
        <w:jc w:val="both"/>
        <w:rPr>
          <w:lang w:val="en-US"/>
        </w:rPr>
      </w:pPr>
      <w:r>
        <w:rPr>
          <w:rStyle w:val="FootnoteReference"/>
        </w:rPr>
        <w:footnoteRef/>
      </w:r>
      <w:r>
        <w:t xml:space="preserve"> It is noted that the DECT-2020 standardized beacon messages calculate the Channel Quality from RSSI and not SINR. Initial tests indicated that there is no significant/meaningful difference in the results provided by the relay protocol.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D52" w:rsidRDefault="00836D52" w:rsidP="00836D5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658CD">
      <w:rPr>
        <w:rStyle w:val="PageNumber"/>
        <w:noProof/>
      </w:rPr>
      <w:t>2</w:t>
    </w:r>
    <w:r>
      <w:rPr>
        <w:rStyle w:val="PageNumber"/>
      </w:rPr>
      <w:fldChar w:fldCharType="end"/>
    </w:r>
    <w:r>
      <w:rPr>
        <w:rStyle w:val="PageNumber"/>
      </w:rPr>
      <w:t xml:space="preserve"> -</w:t>
    </w:r>
  </w:p>
  <w:p w:rsidR="00836D52" w:rsidRDefault="00836D52" w:rsidP="0064411C">
    <w:pPr>
      <w:pStyle w:val="Header"/>
      <w:spacing w:after="120"/>
    </w:pPr>
    <w:r>
      <w:rPr>
        <w:lang w:val="en-US"/>
      </w:rPr>
      <w:t>5D/736-E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590DB9">
      <w:rPr>
        <w:rStyle w:val="PageNumber"/>
        <w:noProof/>
      </w:rPr>
      <w:t>63</w:t>
    </w:r>
    <w:r w:rsidR="00D02712">
      <w:rPr>
        <w:rStyle w:val="PageNumber"/>
      </w:rPr>
      <w:fldChar w:fldCharType="end"/>
    </w:r>
    <w:r>
      <w:rPr>
        <w:rStyle w:val="PageNumber"/>
      </w:rPr>
      <w:t xml:space="preserve"> -</w:t>
    </w:r>
  </w:p>
  <w:p w:rsidR="00FA124A" w:rsidRDefault="008C134E">
    <w:pPr>
      <w:pStyle w:val="Header"/>
      <w:rPr>
        <w:lang w:val="en-US"/>
      </w:rPr>
    </w:pPr>
    <w:r>
      <w:rPr>
        <w:lang w:val="en-US"/>
      </w:rPr>
      <w:t>5D/736-E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6C8" w:rsidRDefault="00B876C8" w:rsidP="00B876C8">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90DB9">
      <w:rPr>
        <w:rStyle w:val="PageNumber"/>
        <w:noProof/>
      </w:rPr>
      <w:t>53</w:t>
    </w:r>
    <w:r>
      <w:rPr>
        <w:rStyle w:val="PageNumber"/>
      </w:rPr>
      <w:fldChar w:fldCharType="end"/>
    </w:r>
    <w:r>
      <w:rPr>
        <w:rStyle w:val="PageNumber"/>
      </w:rPr>
      <w:t xml:space="preserve"> -</w:t>
    </w:r>
  </w:p>
  <w:p w:rsidR="00B876C8" w:rsidRDefault="00B876C8" w:rsidP="00B876C8">
    <w:pPr>
      <w:pStyle w:val="Header"/>
    </w:pPr>
    <w:r>
      <w:rPr>
        <w:lang w:val="en-US"/>
      </w:rPr>
      <w:t>5D/736-E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5AD"/>
    <w:multiLevelType w:val="hybridMultilevel"/>
    <w:tmpl w:val="0F3CD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D211D"/>
    <w:multiLevelType w:val="hybridMultilevel"/>
    <w:tmpl w:val="25CAF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4240"/>
    <w:multiLevelType w:val="hybridMultilevel"/>
    <w:tmpl w:val="AD1A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C6CFE"/>
    <w:multiLevelType w:val="hybridMultilevel"/>
    <w:tmpl w:val="2326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03C07"/>
    <w:multiLevelType w:val="hybridMultilevel"/>
    <w:tmpl w:val="4A006122"/>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855DC"/>
    <w:multiLevelType w:val="hybridMultilevel"/>
    <w:tmpl w:val="62D62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A6A2D"/>
    <w:multiLevelType w:val="hybridMultilevel"/>
    <w:tmpl w:val="1AD83B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805A91"/>
    <w:multiLevelType w:val="hybridMultilevel"/>
    <w:tmpl w:val="5E98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96AD6"/>
    <w:multiLevelType w:val="hybridMultilevel"/>
    <w:tmpl w:val="9DB6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2216A"/>
    <w:multiLevelType w:val="hybridMultilevel"/>
    <w:tmpl w:val="AC36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B4037"/>
    <w:multiLevelType w:val="hybridMultilevel"/>
    <w:tmpl w:val="681ED442"/>
    <w:lvl w:ilvl="0" w:tplc="FAAEAC44">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72995"/>
    <w:multiLevelType w:val="hybridMultilevel"/>
    <w:tmpl w:val="03C8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C1287"/>
    <w:multiLevelType w:val="hybridMultilevel"/>
    <w:tmpl w:val="EBC6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3B006E"/>
    <w:multiLevelType w:val="hybridMultilevel"/>
    <w:tmpl w:val="4C60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23C15"/>
    <w:multiLevelType w:val="hybridMultilevel"/>
    <w:tmpl w:val="819C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5B1775"/>
    <w:multiLevelType w:val="hybridMultilevel"/>
    <w:tmpl w:val="1986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F342A8"/>
    <w:multiLevelType w:val="hybridMultilevel"/>
    <w:tmpl w:val="B674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0B38B4"/>
    <w:multiLevelType w:val="hybridMultilevel"/>
    <w:tmpl w:val="430E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75CC0"/>
    <w:multiLevelType w:val="hybridMultilevel"/>
    <w:tmpl w:val="1B6E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2752C"/>
    <w:multiLevelType w:val="hybridMultilevel"/>
    <w:tmpl w:val="CE9A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2B5704"/>
    <w:multiLevelType w:val="hybridMultilevel"/>
    <w:tmpl w:val="21541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56D0E"/>
    <w:multiLevelType w:val="hybridMultilevel"/>
    <w:tmpl w:val="0116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3D07AB"/>
    <w:multiLevelType w:val="hybridMultilevel"/>
    <w:tmpl w:val="D3EC8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E51FEC"/>
    <w:multiLevelType w:val="hybridMultilevel"/>
    <w:tmpl w:val="D43A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46256A"/>
    <w:multiLevelType w:val="hybridMultilevel"/>
    <w:tmpl w:val="3BFA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29198E"/>
    <w:multiLevelType w:val="hybridMultilevel"/>
    <w:tmpl w:val="4828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811E89"/>
    <w:multiLevelType w:val="hybridMultilevel"/>
    <w:tmpl w:val="3756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AE386B"/>
    <w:multiLevelType w:val="hybridMultilevel"/>
    <w:tmpl w:val="4032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CA5E3A"/>
    <w:multiLevelType w:val="hybridMultilevel"/>
    <w:tmpl w:val="60A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01D0F"/>
    <w:multiLevelType w:val="hybridMultilevel"/>
    <w:tmpl w:val="1D0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065092"/>
    <w:multiLevelType w:val="hybridMultilevel"/>
    <w:tmpl w:val="48DA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58535B"/>
    <w:multiLevelType w:val="hybridMultilevel"/>
    <w:tmpl w:val="2D66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7425C3"/>
    <w:multiLevelType w:val="hybridMultilevel"/>
    <w:tmpl w:val="BBC6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D54C5"/>
    <w:multiLevelType w:val="hybridMultilevel"/>
    <w:tmpl w:val="81D06F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60106"/>
    <w:multiLevelType w:val="hybridMultilevel"/>
    <w:tmpl w:val="DE5E5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2C330D"/>
    <w:multiLevelType w:val="hybridMultilevel"/>
    <w:tmpl w:val="7AB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6"/>
  </w:num>
  <w:num w:numId="4">
    <w:abstractNumId w:val="7"/>
  </w:num>
  <w:num w:numId="5">
    <w:abstractNumId w:val="5"/>
  </w:num>
  <w:num w:numId="6">
    <w:abstractNumId w:val="3"/>
  </w:num>
  <w:num w:numId="7">
    <w:abstractNumId w:val="4"/>
  </w:num>
  <w:num w:numId="8">
    <w:abstractNumId w:val="24"/>
  </w:num>
  <w:num w:numId="9">
    <w:abstractNumId w:val="18"/>
  </w:num>
  <w:num w:numId="10">
    <w:abstractNumId w:val="10"/>
  </w:num>
  <w:num w:numId="11">
    <w:abstractNumId w:val="15"/>
  </w:num>
  <w:num w:numId="12">
    <w:abstractNumId w:val="32"/>
  </w:num>
  <w:num w:numId="13">
    <w:abstractNumId w:val="27"/>
  </w:num>
  <w:num w:numId="14">
    <w:abstractNumId w:val="29"/>
  </w:num>
  <w:num w:numId="15">
    <w:abstractNumId w:val="30"/>
  </w:num>
  <w:num w:numId="16">
    <w:abstractNumId w:val="26"/>
  </w:num>
  <w:num w:numId="17">
    <w:abstractNumId w:val="17"/>
  </w:num>
  <w:num w:numId="18">
    <w:abstractNumId w:val="9"/>
  </w:num>
  <w:num w:numId="19">
    <w:abstractNumId w:val="34"/>
  </w:num>
  <w:num w:numId="20">
    <w:abstractNumId w:val="22"/>
  </w:num>
  <w:num w:numId="21">
    <w:abstractNumId w:val="23"/>
  </w:num>
  <w:num w:numId="22">
    <w:abstractNumId w:val="28"/>
  </w:num>
  <w:num w:numId="23">
    <w:abstractNumId w:val="1"/>
  </w:num>
  <w:num w:numId="24">
    <w:abstractNumId w:val="21"/>
  </w:num>
  <w:num w:numId="25">
    <w:abstractNumId w:val="8"/>
  </w:num>
  <w:num w:numId="26">
    <w:abstractNumId w:val="2"/>
  </w:num>
  <w:num w:numId="27">
    <w:abstractNumId w:val="11"/>
  </w:num>
  <w:num w:numId="28">
    <w:abstractNumId w:val="35"/>
  </w:num>
  <w:num w:numId="29">
    <w:abstractNumId w:val="25"/>
  </w:num>
  <w:num w:numId="30">
    <w:abstractNumId w:val="19"/>
  </w:num>
  <w:num w:numId="31">
    <w:abstractNumId w:val="12"/>
  </w:num>
  <w:num w:numId="32">
    <w:abstractNumId w:val="33"/>
  </w:num>
  <w:num w:numId="33">
    <w:abstractNumId w:val="13"/>
  </w:num>
  <w:num w:numId="34">
    <w:abstractNumId w:val="16"/>
  </w:num>
  <w:num w:numId="35">
    <w:abstractNumId w:val="2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_tradnl" w:vendorID="64" w:dllVersion="0" w:nlCheck="1" w:checkStyle="0"/>
  <w:activeWritingStyle w:appName="MSWord" w:lang="en-CA"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34E"/>
    <w:rsid w:val="000069D4"/>
    <w:rsid w:val="000163CF"/>
    <w:rsid w:val="000174AD"/>
    <w:rsid w:val="00024E6A"/>
    <w:rsid w:val="00047A1D"/>
    <w:rsid w:val="000604B9"/>
    <w:rsid w:val="000753EA"/>
    <w:rsid w:val="000A7D55"/>
    <w:rsid w:val="000C12C8"/>
    <w:rsid w:val="000C2E8E"/>
    <w:rsid w:val="000E0E7C"/>
    <w:rsid w:val="000F1B4B"/>
    <w:rsid w:val="0012744F"/>
    <w:rsid w:val="00131178"/>
    <w:rsid w:val="00156F66"/>
    <w:rsid w:val="00163271"/>
    <w:rsid w:val="00172122"/>
    <w:rsid w:val="00182528"/>
    <w:rsid w:val="0018500B"/>
    <w:rsid w:val="00196A19"/>
    <w:rsid w:val="001F1BB2"/>
    <w:rsid w:val="00202DC1"/>
    <w:rsid w:val="002116EE"/>
    <w:rsid w:val="00221BFA"/>
    <w:rsid w:val="002309D8"/>
    <w:rsid w:val="00245A68"/>
    <w:rsid w:val="00262A46"/>
    <w:rsid w:val="00263D3E"/>
    <w:rsid w:val="002A7FE2"/>
    <w:rsid w:val="002E1B4F"/>
    <w:rsid w:val="002F2E67"/>
    <w:rsid w:val="002F7CB3"/>
    <w:rsid w:val="0030638A"/>
    <w:rsid w:val="00315546"/>
    <w:rsid w:val="00330567"/>
    <w:rsid w:val="00330C12"/>
    <w:rsid w:val="00386A9D"/>
    <w:rsid w:val="00387A2C"/>
    <w:rsid w:val="00391081"/>
    <w:rsid w:val="003B2789"/>
    <w:rsid w:val="003C13CE"/>
    <w:rsid w:val="003C697E"/>
    <w:rsid w:val="003E2518"/>
    <w:rsid w:val="003E7CEF"/>
    <w:rsid w:val="004B1EF7"/>
    <w:rsid w:val="004B3FAD"/>
    <w:rsid w:val="004C5749"/>
    <w:rsid w:val="004F35F4"/>
    <w:rsid w:val="00501DCA"/>
    <w:rsid w:val="00513A47"/>
    <w:rsid w:val="00531545"/>
    <w:rsid w:val="005408DF"/>
    <w:rsid w:val="00573344"/>
    <w:rsid w:val="00583F9B"/>
    <w:rsid w:val="00590DB9"/>
    <w:rsid w:val="00594F35"/>
    <w:rsid w:val="005B0D29"/>
    <w:rsid w:val="005E5C10"/>
    <w:rsid w:val="005F2C78"/>
    <w:rsid w:val="006144E4"/>
    <w:rsid w:val="0064363A"/>
    <w:rsid w:val="0064411C"/>
    <w:rsid w:val="00650299"/>
    <w:rsid w:val="00655FC5"/>
    <w:rsid w:val="006E0CDD"/>
    <w:rsid w:val="00753464"/>
    <w:rsid w:val="007708F3"/>
    <w:rsid w:val="007B52C3"/>
    <w:rsid w:val="007C5CB7"/>
    <w:rsid w:val="00802A11"/>
    <w:rsid w:val="0080538C"/>
    <w:rsid w:val="00814E0A"/>
    <w:rsid w:val="00822581"/>
    <w:rsid w:val="008309DD"/>
    <w:rsid w:val="0083227A"/>
    <w:rsid w:val="00836D52"/>
    <w:rsid w:val="00866900"/>
    <w:rsid w:val="00876A8A"/>
    <w:rsid w:val="00881BA1"/>
    <w:rsid w:val="008B36D0"/>
    <w:rsid w:val="008B67F3"/>
    <w:rsid w:val="008C134E"/>
    <w:rsid w:val="008C2302"/>
    <w:rsid w:val="008C26B8"/>
    <w:rsid w:val="008F208F"/>
    <w:rsid w:val="009201B6"/>
    <w:rsid w:val="009658CD"/>
    <w:rsid w:val="00966C43"/>
    <w:rsid w:val="00982084"/>
    <w:rsid w:val="00986E23"/>
    <w:rsid w:val="00995963"/>
    <w:rsid w:val="009967A8"/>
    <w:rsid w:val="009B61EB"/>
    <w:rsid w:val="009C185B"/>
    <w:rsid w:val="009C2064"/>
    <w:rsid w:val="009C7BF0"/>
    <w:rsid w:val="009D1697"/>
    <w:rsid w:val="009D16EA"/>
    <w:rsid w:val="009F3A46"/>
    <w:rsid w:val="009F6520"/>
    <w:rsid w:val="00A014F8"/>
    <w:rsid w:val="00A10EA3"/>
    <w:rsid w:val="00A35CBF"/>
    <w:rsid w:val="00A5173C"/>
    <w:rsid w:val="00A61AEF"/>
    <w:rsid w:val="00AB341D"/>
    <w:rsid w:val="00AD2345"/>
    <w:rsid w:val="00AF173A"/>
    <w:rsid w:val="00B066A4"/>
    <w:rsid w:val="00B07A13"/>
    <w:rsid w:val="00B4279B"/>
    <w:rsid w:val="00B45FC9"/>
    <w:rsid w:val="00B76F35"/>
    <w:rsid w:val="00B81138"/>
    <w:rsid w:val="00B876C8"/>
    <w:rsid w:val="00BC7CCF"/>
    <w:rsid w:val="00BE470B"/>
    <w:rsid w:val="00BF00CE"/>
    <w:rsid w:val="00C47FD8"/>
    <w:rsid w:val="00C57A91"/>
    <w:rsid w:val="00CC01C2"/>
    <w:rsid w:val="00CF21F2"/>
    <w:rsid w:val="00CF3062"/>
    <w:rsid w:val="00D02712"/>
    <w:rsid w:val="00D046A7"/>
    <w:rsid w:val="00D214D0"/>
    <w:rsid w:val="00D6546B"/>
    <w:rsid w:val="00DB178B"/>
    <w:rsid w:val="00DB17FA"/>
    <w:rsid w:val="00DC17D3"/>
    <w:rsid w:val="00DD4BED"/>
    <w:rsid w:val="00DE39F0"/>
    <w:rsid w:val="00DF0AF3"/>
    <w:rsid w:val="00DF7E9F"/>
    <w:rsid w:val="00E27D7E"/>
    <w:rsid w:val="00E31124"/>
    <w:rsid w:val="00E41B4C"/>
    <w:rsid w:val="00E42E13"/>
    <w:rsid w:val="00E56D5C"/>
    <w:rsid w:val="00E6257C"/>
    <w:rsid w:val="00E63C59"/>
    <w:rsid w:val="00F25662"/>
    <w:rsid w:val="00F54F84"/>
    <w:rsid w:val="00F64253"/>
    <w:rsid w:val="00F7539B"/>
    <w:rsid w:val="00FA124A"/>
    <w:rsid w:val="00FC08DD"/>
    <w:rsid w:val="00FC2316"/>
    <w:rsid w:val="00FC2CFD"/>
    <w:rsid w:val="00FC6D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8DAD11"/>
  <w15:docId w15:val="{520937A6-904A-4A39-8FEE-78F961374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0"/>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uiPriority w:val="99"/>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qFormat/>
    <w:rsid w:val="009C185B"/>
    <w:pPr>
      <w:tabs>
        <w:tab w:val="clear" w:pos="1134"/>
        <w:tab w:val="clear" w:pos="1871"/>
        <w:tab w:val="clear" w:pos="2268"/>
      </w:tabs>
      <w:spacing w:before="0"/>
    </w:pPr>
    <w:rPr>
      <w:sz w:val="20"/>
      <w:lang w:eastAsia="zh-CN"/>
    </w:rPr>
  </w:style>
  <w:style w:type="character" w:customStyle="1" w:styleId="NormalaftertitleChar">
    <w:name w:val="Normal_after_title Char"/>
    <w:basedOn w:val="DefaultParagraphFont"/>
    <w:link w:val="Normalaftertitle"/>
    <w:rsid w:val="008C134E"/>
    <w:rPr>
      <w:rFonts w:ascii="Times New Roman" w:hAnsi="Times New Roman"/>
      <w:sz w:val="24"/>
      <w:lang w:val="en-GB" w:eastAsia="en-US"/>
    </w:rPr>
  </w:style>
  <w:style w:type="character" w:customStyle="1" w:styleId="enumlev10">
    <w:name w:val="enumlev1 Знак"/>
    <w:link w:val="enumlev1"/>
    <w:locked/>
    <w:rsid w:val="008C134E"/>
    <w:rPr>
      <w:rFonts w:ascii="Times New Roman" w:hAnsi="Times New Roman"/>
      <w:sz w:val="24"/>
      <w:lang w:val="en-GB" w:eastAsia="en-US"/>
    </w:rPr>
  </w:style>
  <w:style w:type="character" w:customStyle="1" w:styleId="Recdef">
    <w:name w:val="Rec_def"/>
    <w:basedOn w:val="DefaultParagraphFont"/>
    <w:rsid w:val="008C134E"/>
    <w:rPr>
      <w:b/>
    </w:rPr>
  </w:style>
  <w:style w:type="character" w:customStyle="1" w:styleId="Resdef">
    <w:name w:val="Res_def"/>
    <w:basedOn w:val="DefaultParagraphFont"/>
    <w:rsid w:val="008C134E"/>
    <w:rPr>
      <w:rFonts w:ascii="Times New Roman" w:hAnsi="Times New Roman"/>
      <w:b/>
    </w:rPr>
  </w:style>
  <w:style w:type="paragraph" w:styleId="ListParagraph">
    <w:name w:val="List Paragraph"/>
    <w:aliases w:val="- Bullets,목록 단락,リスト段落,?? ??,?????,????"/>
    <w:basedOn w:val="Normal"/>
    <w:link w:val="ListParagraphChar"/>
    <w:uiPriority w:val="34"/>
    <w:qFormat/>
    <w:rsid w:val="008C134E"/>
    <w:pPr>
      <w:ind w:left="720"/>
      <w:contextualSpacing/>
    </w:pPr>
  </w:style>
  <w:style w:type="character" w:styleId="Hyperlink">
    <w:name w:val="Hyperlink"/>
    <w:aliases w:val="CEO_Hyperlink"/>
    <w:basedOn w:val="DefaultParagraphFont"/>
    <w:uiPriority w:val="99"/>
    <w:unhideWhenUsed/>
    <w:rsid w:val="008C134E"/>
    <w:rPr>
      <w:color w:val="0000FF" w:themeColor="hyperlink"/>
      <w:u w:val="single"/>
    </w:rPr>
  </w:style>
  <w:style w:type="paragraph" w:customStyle="1" w:styleId="Tablef">
    <w:name w:val="Table_f"/>
    <w:basedOn w:val="Tablefin"/>
    <w:rsid w:val="008C134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lang w:val="de-DE"/>
    </w:rPr>
  </w:style>
  <w:style w:type="character" w:customStyle="1" w:styleId="Title1Carattere">
    <w:name w:val="Title 1 Carattere"/>
    <w:basedOn w:val="DefaultParagraphFont"/>
    <w:link w:val="Title1"/>
    <w:locked/>
    <w:rsid w:val="008C134E"/>
    <w:rPr>
      <w:rFonts w:ascii="Times New Roman" w:hAnsi="Times New Roman"/>
      <w:caps/>
      <w:sz w:val="28"/>
      <w:lang w:val="en-GB" w:eastAsia="en-US"/>
    </w:rPr>
  </w:style>
  <w:style w:type="table" w:styleId="TableGrid">
    <w:name w:val="Table Grid"/>
    <w:basedOn w:val="TableNormal"/>
    <w:uiPriority w:val="39"/>
    <w:qFormat/>
    <w:rsid w:val="008C134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C134E"/>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rsid w:val="008C1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8C134E"/>
    <w:pPr>
      <w:spacing w:before="0"/>
    </w:pPr>
    <w:rPr>
      <w:rFonts w:ascii="SimSun" w:eastAsia="SimSun"/>
      <w:sz w:val="18"/>
      <w:szCs w:val="18"/>
    </w:rPr>
  </w:style>
  <w:style w:type="character" w:customStyle="1" w:styleId="BalloonTextChar">
    <w:name w:val="Balloon Text Char"/>
    <w:basedOn w:val="DefaultParagraphFont"/>
    <w:link w:val="BalloonText"/>
    <w:semiHidden/>
    <w:rsid w:val="008C134E"/>
    <w:rPr>
      <w:rFonts w:ascii="SimSun" w:eastAsia="SimSun" w:hAnsi="Times New Roman"/>
      <w:sz w:val="18"/>
      <w:szCs w:val="18"/>
      <w:lang w:val="en-GB" w:eastAsia="en-US"/>
    </w:rPr>
  </w:style>
  <w:style w:type="character" w:customStyle="1" w:styleId="ListParagraphChar">
    <w:name w:val="List Paragraph Char"/>
    <w:aliases w:val="- Bullets Char,목록 단락 Char,リスト段落 Char,?? ?? Char,????? Char,???? Char"/>
    <w:link w:val="ListParagraph"/>
    <w:uiPriority w:val="34"/>
    <w:qFormat/>
    <w:rsid w:val="008C134E"/>
    <w:rPr>
      <w:rFonts w:ascii="Times New Roman" w:eastAsiaTheme="minorEastAsia" w:hAnsi="Times New Roman"/>
      <w:sz w:val="24"/>
      <w:lang w:val="en-GB" w:eastAsia="en-US"/>
    </w:rPr>
  </w:style>
  <w:style w:type="character" w:customStyle="1" w:styleId="Heading1Char">
    <w:name w:val="Heading 1 Char"/>
    <w:basedOn w:val="DefaultParagraphFont"/>
    <w:link w:val="Heading1"/>
    <w:rsid w:val="008C134E"/>
    <w:rPr>
      <w:rFonts w:ascii="Times New Roman" w:hAnsi="Times New Roman"/>
      <w:b/>
      <w:sz w:val="28"/>
      <w:lang w:val="en-GB" w:eastAsia="en-US"/>
    </w:rPr>
  </w:style>
  <w:style w:type="paragraph" w:styleId="BodyText">
    <w:name w:val="Body Text"/>
    <w:basedOn w:val="Normal"/>
    <w:link w:val="BodyTextChar"/>
    <w:rsid w:val="008C134E"/>
    <w:pPr>
      <w:tabs>
        <w:tab w:val="clear" w:pos="1134"/>
        <w:tab w:val="clear" w:pos="1871"/>
        <w:tab w:val="clear" w:pos="2268"/>
        <w:tab w:val="left" w:pos="794"/>
        <w:tab w:val="left" w:pos="1191"/>
        <w:tab w:val="left" w:pos="1588"/>
        <w:tab w:val="left" w:pos="1985"/>
      </w:tabs>
      <w:spacing w:after="120"/>
    </w:pPr>
    <w:rPr>
      <w:rFonts w:eastAsia="MS Mincho"/>
    </w:rPr>
  </w:style>
  <w:style w:type="character" w:customStyle="1" w:styleId="BodyTextChar">
    <w:name w:val="Body Text Char"/>
    <w:basedOn w:val="DefaultParagraphFont"/>
    <w:link w:val="BodyText"/>
    <w:rsid w:val="008C134E"/>
    <w:rPr>
      <w:rFonts w:ascii="Times New Roman" w:eastAsia="MS Mincho" w:hAnsi="Times New Roman"/>
      <w:sz w:val="24"/>
      <w:lang w:val="en-GB" w:eastAsia="en-US"/>
    </w:rPr>
  </w:style>
  <w:style w:type="paragraph" w:styleId="TOCHeading">
    <w:name w:val="TOC Heading"/>
    <w:basedOn w:val="Heading1"/>
    <w:next w:val="Normal"/>
    <w:uiPriority w:val="39"/>
    <w:unhideWhenUsed/>
    <w:qFormat/>
    <w:rsid w:val="008C134E"/>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abletextChar">
    <w:name w:val="Table_text Char"/>
    <w:link w:val="Tabletext"/>
    <w:qFormat/>
    <w:locked/>
    <w:rsid w:val="008C134E"/>
    <w:rPr>
      <w:rFonts w:ascii="Times New Roman" w:hAnsi="Times New Roman"/>
      <w:lang w:val="en-GB" w:eastAsia="en-US"/>
    </w:rPr>
  </w:style>
  <w:style w:type="paragraph" w:styleId="Caption">
    <w:name w:val="caption"/>
    <w:basedOn w:val="Normal"/>
    <w:next w:val="Normal"/>
    <w:uiPriority w:val="35"/>
    <w:unhideWhenUsed/>
    <w:qFormat/>
    <w:rsid w:val="008C134E"/>
    <w:pPr>
      <w:spacing w:before="0" w:after="200"/>
    </w:pPr>
    <w:rPr>
      <w:i/>
      <w:iCs/>
      <w:color w:val="1F497D" w:themeColor="text2"/>
      <w:sz w:val="18"/>
      <w:szCs w:val="18"/>
    </w:rPr>
  </w:style>
  <w:style w:type="paragraph" w:customStyle="1" w:styleId="Default">
    <w:name w:val="Default"/>
    <w:rsid w:val="008C134E"/>
    <w:pPr>
      <w:autoSpaceDE w:val="0"/>
      <w:autoSpaceDN w:val="0"/>
      <w:adjustRightInd w:val="0"/>
    </w:pPr>
    <w:rPr>
      <w:rFonts w:ascii="Arial" w:hAnsi="Arial" w:cs="Arial"/>
      <w:color w:val="000000"/>
      <w:sz w:val="24"/>
      <w:szCs w:val="24"/>
      <w:lang w:val="el-GR"/>
    </w:rPr>
  </w:style>
  <w:style w:type="character" w:styleId="CommentReference">
    <w:name w:val="annotation reference"/>
    <w:basedOn w:val="DefaultParagraphFont"/>
    <w:uiPriority w:val="99"/>
    <w:semiHidden/>
    <w:unhideWhenUsed/>
    <w:rsid w:val="008C134E"/>
    <w:rPr>
      <w:sz w:val="16"/>
      <w:szCs w:val="16"/>
    </w:rPr>
  </w:style>
  <w:style w:type="paragraph" w:styleId="CommentText">
    <w:name w:val="annotation text"/>
    <w:basedOn w:val="Normal"/>
    <w:link w:val="CommentTextChar"/>
    <w:uiPriority w:val="99"/>
    <w:unhideWhenUsed/>
    <w:rsid w:val="008C134E"/>
    <w:rPr>
      <w:sz w:val="20"/>
    </w:rPr>
  </w:style>
  <w:style w:type="character" w:customStyle="1" w:styleId="CommentTextChar">
    <w:name w:val="Comment Text Char"/>
    <w:basedOn w:val="DefaultParagraphFont"/>
    <w:link w:val="CommentText"/>
    <w:uiPriority w:val="99"/>
    <w:rsid w:val="008C134E"/>
    <w:rPr>
      <w:rFonts w:ascii="Times New Roman" w:eastAsiaTheme="minorEastAsia" w:hAnsi="Times New Roman"/>
      <w:lang w:val="en-GB" w:eastAsia="en-US"/>
    </w:rPr>
  </w:style>
  <w:style w:type="paragraph" w:styleId="CommentSubject">
    <w:name w:val="annotation subject"/>
    <w:basedOn w:val="CommentText"/>
    <w:next w:val="CommentText"/>
    <w:link w:val="CommentSubjectChar"/>
    <w:semiHidden/>
    <w:unhideWhenUsed/>
    <w:rsid w:val="008C134E"/>
    <w:rPr>
      <w:b/>
      <w:bCs/>
    </w:rPr>
  </w:style>
  <w:style w:type="character" w:customStyle="1" w:styleId="CommentSubjectChar">
    <w:name w:val="Comment Subject Char"/>
    <w:basedOn w:val="CommentTextChar"/>
    <w:link w:val="CommentSubject"/>
    <w:semiHidden/>
    <w:rsid w:val="008C134E"/>
    <w:rPr>
      <w:rFonts w:ascii="Times New Roman" w:eastAsiaTheme="minorEastAsia" w:hAnsi="Times New Roman"/>
      <w:b/>
      <w:bCs/>
      <w:lang w:val="en-GB" w:eastAsia="en-US"/>
    </w:rPr>
  </w:style>
  <w:style w:type="table" w:customStyle="1" w:styleId="GridTable1Light-Accent11">
    <w:name w:val="Grid Table 1 Light - Accent 11"/>
    <w:basedOn w:val="TableNormal"/>
    <w:uiPriority w:val="46"/>
    <w:rsid w:val="008C134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8C134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H">
    <w:name w:val="TAH"/>
    <w:basedOn w:val="TAC"/>
    <w:link w:val="TAHCar"/>
    <w:qFormat/>
    <w:rsid w:val="008C134E"/>
    <w:rPr>
      <w:b/>
    </w:rPr>
  </w:style>
  <w:style w:type="paragraph" w:customStyle="1" w:styleId="TAC">
    <w:name w:val="TAC"/>
    <w:basedOn w:val="Normal"/>
    <w:link w:val="TACChar"/>
    <w:qFormat/>
    <w:rsid w:val="008C134E"/>
    <w:pPr>
      <w:keepNext/>
      <w:keepLines/>
      <w:tabs>
        <w:tab w:val="clear" w:pos="1134"/>
        <w:tab w:val="clear" w:pos="1871"/>
        <w:tab w:val="clear" w:pos="2268"/>
      </w:tabs>
      <w:overflowPunct/>
      <w:autoSpaceDE/>
      <w:autoSpaceDN/>
      <w:adjustRightInd/>
      <w:spacing w:before="0"/>
      <w:jc w:val="center"/>
      <w:textAlignment w:val="auto"/>
    </w:pPr>
    <w:rPr>
      <w:rFonts w:ascii="Arial" w:hAnsi="Arial"/>
      <w:sz w:val="18"/>
    </w:rPr>
  </w:style>
  <w:style w:type="character" w:customStyle="1" w:styleId="TACChar">
    <w:name w:val="TAC Char"/>
    <w:link w:val="TAC"/>
    <w:qFormat/>
    <w:locked/>
    <w:rsid w:val="008C134E"/>
    <w:rPr>
      <w:rFonts w:ascii="Arial" w:hAnsi="Arial"/>
      <w:sz w:val="18"/>
      <w:lang w:val="en-GB" w:eastAsia="en-US"/>
    </w:rPr>
  </w:style>
  <w:style w:type="character" w:customStyle="1" w:styleId="TAHCar">
    <w:name w:val="TAH Car"/>
    <w:link w:val="TAH"/>
    <w:qFormat/>
    <w:rsid w:val="008C134E"/>
    <w:rPr>
      <w:rFonts w:ascii="Arial" w:hAnsi="Arial"/>
      <w:b/>
      <w:sz w:val="18"/>
      <w:lang w:val="en-GB" w:eastAsia="en-US"/>
    </w:rPr>
  </w:style>
  <w:style w:type="character" w:customStyle="1" w:styleId="Title1Char">
    <w:name w:val="Title 1 Char"/>
    <w:basedOn w:val="DefaultParagraphFont"/>
    <w:rsid w:val="008C134E"/>
    <w:rPr>
      <w:rFonts w:ascii="Times New Roman" w:hAnsi="Times New Roman"/>
      <w:caps/>
      <w:sz w:val="28"/>
      <w:lang w:val="en-GB" w:eastAsia="en-US"/>
    </w:rPr>
  </w:style>
  <w:style w:type="character" w:customStyle="1" w:styleId="TableheadChar">
    <w:name w:val="Table_head Char"/>
    <w:basedOn w:val="DefaultParagraphFont"/>
    <w:link w:val="Tablehead"/>
    <w:qFormat/>
    <w:rsid w:val="008C134E"/>
    <w:rPr>
      <w:rFonts w:ascii="Times New Roman Bold" w:hAnsi="Times New Roman Bold" w:cs="Times New Roman Bold"/>
      <w:b/>
      <w:lang w:val="en-GB" w:eastAsia="en-US"/>
    </w:rPr>
  </w:style>
  <w:style w:type="character" w:customStyle="1" w:styleId="enumlev1Char">
    <w:name w:val="enumlev1 Char"/>
    <w:basedOn w:val="DefaultParagraphFont"/>
    <w:qFormat/>
    <w:rsid w:val="008C134E"/>
    <w:rPr>
      <w:rFonts w:ascii="Times New Roman" w:hAnsi="Times New Roman"/>
      <w:sz w:val="24"/>
      <w:lang w:val="en-GB" w:eastAsia="en-US"/>
    </w:rPr>
  </w:style>
  <w:style w:type="character" w:customStyle="1" w:styleId="Heading2Char">
    <w:name w:val="Heading 2 Char"/>
    <w:basedOn w:val="DefaultParagraphFont"/>
    <w:link w:val="Heading2"/>
    <w:uiPriority w:val="9"/>
    <w:rsid w:val="008C134E"/>
    <w:rPr>
      <w:rFonts w:ascii="Times New Roman" w:hAnsi="Times New Roman"/>
      <w:b/>
      <w:sz w:val="24"/>
      <w:lang w:val="en-GB" w:eastAsia="en-US"/>
    </w:rPr>
  </w:style>
  <w:style w:type="table" w:customStyle="1" w:styleId="GridTable4-Accent11">
    <w:name w:val="Grid Table 4 - Accent 11"/>
    <w:basedOn w:val="TableNormal"/>
    <w:uiPriority w:val="49"/>
    <w:rsid w:val="008C134E"/>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ableNoChar">
    <w:name w:val="Table_No Char"/>
    <w:basedOn w:val="DefaultParagraphFont"/>
    <w:link w:val="TableNo"/>
    <w:rsid w:val="008C134E"/>
    <w:rPr>
      <w:rFonts w:ascii="Times New Roman" w:hAnsi="Times New Roman"/>
      <w:caps/>
      <w:lang w:val="en-GB" w:eastAsia="en-US"/>
    </w:rPr>
  </w:style>
  <w:style w:type="character" w:customStyle="1" w:styleId="TabletitleChar">
    <w:name w:val="Table_title Char"/>
    <w:basedOn w:val="DefaultParagraphFont"/>
    <w:link w:val="Tabletitle"/>
    <w:rsid w:val="008C134E"/>
    <w:rPr>
      <w:rFonts w:ascii="Times New Roman Bold" w:hAnsi="Times New Roman Bold"/>
      <w:b/>
      <w:lang w:val="en-GB" w:eastAsia="en-US"/>
    </w:rPr>
  </w:style>
  <w:style w:type="paragraph" w:styleId="EndnoteText">
    <w:name w:val="endnote text"/>
    <w:basedOn w:val="Normal"/>
    <w:link w:val="EndnoteTextChar"/>
    <w:uiPriority w:val="99"/>
    <w:semiHidden/>
    <w:unhideWhenUsed/>
    <w:rsid w:val="008C134E"/>
    <w:pPr>
      <w:tabs>
        <w:tab w:val="clear" w:pos="1134"/>
        <w:tab w:val="clear" w:pos="1871"/>
        <w:tab w:val="clear" w:pos="2268"/>
      </w:tabs>
      <w:overflowPunct/>
      <w:autoSpaceDE/>
      <w:autoSpaceDN/>
      <w:adjustRightInd/>
      <w:spacing w:before="0"/>
      <w:textAlignment w:val="auto"/>
    </w:pPr>
    <w:rPr>
      <w:rFonts w:asciiTheme="minorHAnsi" w:eastAsiaTheme="minorHAnsi" w:hAnsiTheme="minorHAnsi" w:cstheme="minorBidi"/>
      <w:sz w:val="20"/>
      <w:lang w:val="en-US" w:bidi="he-IL"/>
    </w:rPr>
  </w:style>
  <w:style w:type="character" w:customStyle="1" w:styleId="EndnoteTextChar">
    <w:name w:val="Endnote Text Char"/>
    <w:basedOn w:val="DefaultParagraphFont"/>
    <w:link w:val="EndnoteText"/>
    <w:uiPriority w:val="99"/>
    <w:semiHidden/>
    <w:rsid w:val="008C134E"/>
    <w:rPr>
      <w:rFonts w:asciiTheme="minorHAnsi" w:eastAsiaTheme="minorHAnsi" w:hAnsiTheme="minorHAnsi" w:cstheme="minorBidi"/>
      <w:lang w:eastAsia="en-US" w:bidi="he-IL"/>
    </w:rPr>
  </w:style>
  <w:style w:type="character" w:styleId="Emphasis">
    <w:name w:val="Emphasis"/>
    <w:basedOn w:val="DefaultParagraphFont"/>
    <w:uiPriority w:val="20"/>
    <w:qFormat/>
    <w:rsid w:val="008C134E"/>
    <w:rPr>
      <w:i/>
      <w:iCs/>
    </w:rPr>
  </w:style>
  <w:style w:type="table" w:customStyle="1" w:styleId="TableGrid0">
    <w:name w:val="TableGrid"/>
    <w:rsid w:val="008C134E"/>
    <w:rPr>
      <w:rFonts w:asciiTheme="minorHAnsi" w:hAnsiTheme="minorHAnsi" w:cstheme="minorBidi"/>
      <w:sz w:val="22"/>
      <w:szCs w:val="22"/>
      <w:lang w:eastAsia="en-US" w:bidi="he-IL"/>
    </w:rPr>
    <w:tblPr>
      <w:tblCellMar>
        <w:top w:w="0" w:type="dxa"/>
        <w:left w:w="0" w:type="dxa"/>
        <w:bottom w:w="0" w:type="dxa"/>
        <w:right w:w="0" w:type="dxa"/>
      </w:tblCellMar>
    </w:tblPr>
  </w:style>
  <w:style w:type="character" w:customStyle="1" w:styleId="Heading4Char">
    <w:name w:val="Heading 4 Char"/>
    <w:basedOn w:val="DefaultParagraphFont"/>
    <w:link w:val="Heading4"/>
    <w:rsid w:val="008C134E"/>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rsid w:val="008C134E"/>
    <w:rPr>
      <w:color w:val="605E5C"/>
      <w:shd w:val="clear" w:color="auto" w:fill="E1DFDD"/>
    </w:rPr>
  </w:style>
  <w:style w:type="character" w:styleId="FollowedHyperlink">
    <w:name w:val="FollowedHyperlink"/>
    <w:basedOn w:val="DefaultParagraphFont"/>
    <w:semiHidden/>
    <w:unhideWhenUsed/>
    <w:rsid w:val="008C134E"/>
    <w:rPr>
      <w:color w:val="800080" w:themeColor="followedHyperlink"/>
      <w:u w:val="single"/>
    </w:rPr>
  </w:style>
  <w:style w:type="paragraph" w:styleId="Revision">
    <w:name w:val="Revision"/>
    <w:hidden/>
    <w:uiPriority w:val="99"/>
    <w:semiHidden/>
    <w:rsid w:val="008C134E"/>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15-IMT.2020-C-0017/en" TargetMode="External"/><Relationship Id="rId21" Type="http://schemas.openxmlformats.org/officeDocument/2006/relationships/hyperlink" Target="https://www.itu.int/md/R15-WP5D-C-1299/en" TargetMode="External"/><Relationship Id="rId34" Type="http://schemas.openxmlformats.org/officeDocument/2006/relationships/hyperlink" Target="https://www.itu.int/md/R15-WP5D-C-0989/en" TargetMode="External"/><Relationship Id="rId42" Type="http://schemas.openxmlformats.org/officeDocument/2006/relationships/image" Target="media/image14.png"/><Relationship Id="rId47" Type="http://schemas.openxmlformats.org/officeDocument/2006/relationships/image" Target="media/image19.emf"/><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www.itu.int/md/R15-IMT.2020-C-0017/en" TargetMode="External"/><Relationship Id="rId11" Type="http://schemas.openxmlformats.org/officeDocument/2006/relationships/image" Target="media/image4.png"/><Relationship Id="rId24" Type="http://schemas.openxmlformats.org/officeDocument/2006/relationships/hyperlink" Target="https://www.itu.int/md/R15-IMT.2020-C-0017/en"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w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www.itu.int/pub/R-REP-M.2410" TargetMode="External"/><Relationship Id="rId14" Type="http://schemas.openxmlformats.org/officeDocument/2006/relationships/header" Target="header1.xml"/><Relationship Id="rId22" Type="http://schemas.openxmlformats.org/officeDocument/2006/relationships/hyperlink" Target="https://www.itu.int/md/R15-IMT.2020-C-0017/en" TargetMode="External"/><Relationship Id="rId27" Type="http://schemas.openxmlformats.org/officeDocument/2006/relationships/hyperlink" Target="https://www.itu.int/dms_pub/itu-r/opb/rep/R-REP-M.2410-2017-MSW-E.docx" TargetMode="External"/><Relationship Id="rId30" Type="http://schemas.openxmlformats.org/officeDocument/2006/relationships/hyperlink" Target="https://www.itu.int/dms_pub/itu-r/opb/rep/R-REP-M.2410-2017-MSW-E.docx" TargetMode="External"/><Relationship Id="rId35" Type="http://schemas.openxmlformats.org/officeDocument/2006/relationships/image" Target="media/image8.emf"/><Relationship Id="rId43" Type="http://schemas.openxmlformats.org/officeDocument/2006/relationships/image" Target="media/image15.png"/><Relationship Id="rId48" Type="http://schemas.openxmlformats.org/officeDocument/2006/relationships/package" Target="embeddings/Microsoft_Visio_Drawing1.vsdx"/><Relationship Id="rId56" Type="http://schemas.openxmlformats.org/officeDocument/2006/relationships/image" Target="media/image27.png"/><Relationship Id="rId64" Type="http://schemas.openxmlformats.org/officeDocument/2006/relationships/footer" Target="footer4.xml"/><Relationship Id="rId8" Type="http://schemas.openxmlformats.org/officeDocument/2006/relationships/hyperlink" Target="https://www.itu.int/md/R19-WP5D-C-0658/en" TargetMode="Externa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yperlink" Target="mailto:xxxx@xxx.xx" TargetMode="External"/><Relationship Id="rId17" Type="http://schemas.openxmlformats.org/officeDocument/2006/relationships/image" Target="media/image5.png"/><Relationship Id="rId25" Type="http://schemas.openxmlformats.org/officeDocument/2006/relationships/hyperlink" Target="https://www.itu.int/dms_pub/itu-r/opb/rep/R-REP-M.2410-2017-MSW-E.docx"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8.wmf"/><Relationship Id="rId59" Type="http://schemas.openxmlformats.org/officeDocument/2006/relationships/image" Target="media/image30.png"/><Relationship Id="rId20" Type="http://schemas.openxmlformats.org/officeDocument/2006/relationships/hyperlink" Target="https://www.itu.int/pub/R-REP-M.2412"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www.itu.int/dms_pub/itu-r/opb/rep/R-REP-M.2410-2017-MSW-E.docx" TargetMode="External"/><Relationship Id="rId28" Type="http://schemas.openxmlformats.org/officeDocument/2006/relationships/hyperlink" Target="https://www.itu.int/md/R15-IMT.2020-C-0017/en" TargetMode="External"/><Relationship Id="rId36" Type="http://schemas.openxmlformats.org/officeDocument/2006/relationships/package" Target="embeddings/Microsoft_Visio_Drawing.vsdx"/><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hyperlink" Target="https://www.itu.int/md/R15-IMT.2020-C-0017/en" TargetMode="External"/><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mailto:hakan.batikhan@turkcell.com.tr" TargetMode="External"/><Relationship Id="rId18" Type="http://schemas.openxmlformats.org/officeDocument/2006/relationships/hyperlink" Target="https://www.itu.int/pub/R-REP-M.2412" TargetMode="Externa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14692</Words>
  <Characters>83749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 Xiaojing</dc:creator>
  <cp:lastModifiedBy>Norton Viard, Emma</cp:lastModifiedBy>
  <cp:revision>1</cp:revision>
  <cp:lastPrinted>2008-02-21T14:04:00Z</cp:lastPrinted>
  <dcterms:created xsi:type="dcterms:W3CDTF">2021-11-09T09:41:00Z</dcterms:created>
  <dcterms:modified xsi:type="dcterms:W3CDTF">2021-11-09T09:41:00Z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