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5778"/>
        <w:gridCol w:w="4253"/>
      </w:tblGrid>
      <w:tr w:rsidR="009F6520" w:rsidTr="00D55F6D">
        <w:trPr>
          <w:cantSplit/>
        </w:trPr>
        <w:tc>
          <w:tcPr>
            <w:tcW w:w="5778" w:type="dxa"/>
            <w:vAlign w:val="center"/>
          </w:tcPr>
          <w:p w:rsidR="009F6520" w:rsidRPr="00D8032B" w:rsidRDefault="00D55F6D" w:rsidP="009F6520">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lang w:val="en-US"/>
              </w:rPr>
              <w:t>2</w:t>
            </w:r>
            <w:r>
              <w:rPr>
                <w:rFonts w:ascii="Verdana" w:hAnsi="Verdana" w:cs="Times New Roman Bold"/>
                <w:b/>
                <w:bCs/>
                <w:sz w:val="26"/>
                <w:szCs w:val="26"/>
                <w:vertAlign w:val="superscript"/>
                <w:lang w:val="en-US"/>
              </w:rPr>
              <w:t>nd</w:t>
            </w:r>
            <w:r w:rsidRPr="007F2D7D">
              <w:rPr>
                <w:rFonts w:ascii="Verdana" w:hAnsi="Verdana" w:cs="Times New Roman Bold"/>
                <w:b/>
                <w:bCs/>
                <w:sz w:val="26"/>
                <w:szCs w:val="26"/>
                <w:lang w:val="en-US"/>
              </w:rPr>
              <w:t xml:space="preserve"> ITU INTER-REGIONAL WORKSHOP</w:t>
            </w:r>
            <w:r w:rsidRPr="007F2D7D">
              <w:rPr>
                <w:rFonts w:ascii="Verdana" w:hAnsi="Verdana" w:cs="Times New Roman Bold"/>
                <w:b/>
                <w:bCs/>
                <w:sz w:val="26"/>
                <w:szCs w:val="26"/>
                <w:lang w:val="en-US"/>
              </w:rPr>
              <w:br/>
              <w:t>ON WRC-1</w:t>
            </w:r>
            <w:r>
              <w:rPr>
                <w:rFonts w:ascii="Verdana" w:hAnsi="Verdana" w:cs="Times New Roman Bold"/>
                <w:b/>
                <w:bCs/>
                <w:sz w:val="26"/>
                <w:szCs w:val="26"/>
                <w:lang w:val="en-US"/>
              </w:rPr>
              <w:t>9</w:t>
            </w:r>
            <w:r w:rsidRPr="007F2D7D">
              <w:rPr>
                <w:rFonts w:ascii="Verdana" w:hAnsi="Verdana" w:cs="Times New Roman Bold"/>
                <w:b/>
                <w:bCs/>
                <w:sz w:val="26"/>
                <w:szCs w:val="26"/>
                <w:lang w:val="en-US"/>
              </w:rPr>
              <w:t xml:space="preserve"> PREPARATION</w:t>
            </w:r>
            <w:r w:rsidRPr="007F2D7D">
              <w:rPr>
                <w:rFonts w:ascii="Verdana" w:hAnsi="Verdana" w:cs="Times New Roman Bold"/>
                <w:b/>
                <w:bCs/>
                <w:sz w:val="26"/>
                <w:szCs w:val="26"/>
                <w:lang w:val="en-US"/>
              </w:rPr>
              <w:br/>
            </w:r>
            <w:r w:rsidRPr="007F2D7D">
              <w:rPr>
                <w:rFonts w:ascii="Verdana" w:hAnsi="Verdana" w:cs="Times New Roman Bold"/>
                <w:b/>
                <w:bCs/>
                <w:sz w:val="20"/>
                <w:lang w:val="en-US"/>
              </w:rPr>
              <w:t xml:space="preserve">Geneva, </w:t>
            </w:r>
            <w:r>
              <w:rPr>
                <w:rFonts w:ascii="Verdana" w:hAnsi="Verdana" w:cs="Times New Roman Bold"/>
                <w:b/>
                <w:bCs/>
                <w:sz w:val="20"/>
                <w:lang w:val="en-US"/>
              </w:rPr>
              <w:t>20</w:t>
            </w:r>
            <w:r w:rsidRPr="007F2D7D">
              <w:rPr>
                <w:rFonts w:ascii="Verdana" w:hAnsi="Verdana" w:cs="Times New Roman Bold"/>
                <w:b/>
                <w:bCs/>
                <w:sz w:val="20"/>
                <w:lang w:val="en-US"/>
              </w:rPr>
              <w:t xml:space="preserve"> – </w:t>
            </w:r>
            <w:r>
              <w:rPr>
                <w:rFonts w:ascii="Verdana" w:hAnsi="Verdana" w:cs="Times New Roman Bold"/>
                <w:b/>
                <w:bCs/>
                <w:sz w:val="20"/>
                <w:lang w:val="en-US"/>
              </w:rPr>
              <w:t>22</w:t>
            </w:r>
            <w:r w:rsidRPr="007F2D7D">
              <w:rPr>
                <w:rFonts w:ascii="Verdana" w:hAnsi="Verdana" w:cs="Times New Roman Bold"/>
                <w:b/>
                <w:bCs/>
                <w:sz w:val="20"/>
                <w:lang w:val="en-US"/>
              </w:rPr>
              <w:t xml:space="preserve"> </w:t>
            </w:r>
            <w:r>
              <w:rPr>
                <w:rFonts w:ascii="Verdana" w:hAnsi="Verdana" w:cs="Times New Roman Bold"/>
                <w:b/>
                <w:bCs/>
                <w:sz w:val="20"/>
                <w:lang w:val="en-US"/>
              </w:rPr>
              <w:t>Nove</w:t>
            </w:r>
            <w:r w:rsidRPr="007F2D7D">
              <w:rPr>
                <w:rFonts w:ascii="Verdana" w:hAnsi="Verdana" w:cs="Times New Roman Bold"/>
                <w:b/>
                <w:bCs/>
                <w:sz w:val="20"/>
                <w:lang w:val="en-US"/>
              </w:rPr>
              <w:t>mber 201</w:t>
            </w:r>
            <w:r>
              <w:rPr>
                <w:rFonts w:ascii="Verdana" w:hAnsi="Verdana" w:cs="Times New Roman Bold"/>
                <w:b/>
                <w:bCs/>
                <w:sz w:val="20"/>
                <w:lang w:val="en-US"/>
              </w:rPr>
              <w:t>8</w:t>
            </w:r>
          </w:p>
        </w:tc>
        <w:tc>
          <w:tcPr>
            <w:tcW w:w="4253" w:type="dxa"/>
          </w:tcPr>
          <w:p w:rsidR="009F6520" w:rsidRDefault="00D55F6D" w:rsidP="00D55F6D">
            <w:pPr>
              <w:shd w:val="solid" w:color="FFFFFF" w:fill="FFFFFF"/>
              <w:spacing w:before="0" w:line="240" w:lineRule="atLeast"/>
            </w:pPr>
            <w:bookmarkStart w:id="1" w:name="ditulogo"/>
            <w:bookmarkEnd w:id="1"/>
            <w:r w:rsidRPr="00E8501D">
              <w:rPr>
                <w:b/>
                <w:bCs/>
                <w:noProof/>
                <w:sz w:val="20"/>
                <w:lang w:val="fr-FR" w:eastAsia="zh-CN"/>
              </w:rPr>
              <w:drawing>
                <wp:inline distT="0" distB="0" distL="0" distR="0" wp14:anchorId="6922DC24" wp14:editId="796451E0">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0069D4" w:rsidRPr="0051782D" w:rsidTr="00D55F6D">
        <w:trPr>
          <w:cantSplit/>
        </w:trPr>
        <w:tc>
          <w:tcPr>
            <w:tcW w:w="5778"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4253"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7570F2">
        <w:trPr>
          <w:cantSplit/>
          <w:trHeight w:val="311"/>
        </w:trPr>
        <w:tc>
          <w:tcPr>
            <w:tcW w:w="5778"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4253"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RPr="00062C1A" w:rsidTr="00D55F6D">
        <w:trPr>
          <w:cantSplit/>
        </w:trPr>
        <w:tc>
          <w:tcPr>
            <w:tcW w:w="5778" w:type="dxa"/>
            <w:vMerge w:val="restart"/>
          </w:tcPr>
          <w:p w:rsidR="00D55F6D" w:rsidRPr="00982084" w:rsidRDefault="00D55F6D" w:rsidP="00D55F6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p>
        </w:tc>
        <w:tc>
          <w:tcPr>
            <w:tcW w:w="4253" w:type="dxa"/>
          </w:tcPr>
          <w:p w:rsidR="000069D4" w:rsidRPr="00D55F6D" w:rsidRDefault="00D55F6D" w:rsidP="007570F2">
            <w:pPr>
              <w:shd w:val="solid" w:color="FFFFFF" w:fill="FFFFFF"/>
              <w:spacing w:before="0" w:line="240" w:lineRule="atLeast"/>
              <w:rPr>
                <w:rFonts w:ascii="Verdana" w:hAnsi="Verdana"/>
                <w:sz w:val="20"/>
                <w:lang w:val="es-ES_tradnl" w:eastAsia="zh-CN"/>
              </w:rPr>
            </w:pPr>
            <w:r>
              <w:rPr>
                <w:rFonts w:ascii="Verdana" w:eastAsiaTheme="minorEastAsia" w:hAnsi="Verdana" w:cs="Arial"/>
                <w:b/>
                <w:bCs/>
                <w:color w:val="000000"/>
                <w:kern w:val="24"/>
                <w:sz w:val="20"/>
                <w:lang w:val="es-ES_tradnl"/>
              </w:rPr>
              <w:t xml:space="preserve">Document </w:t>
            </w:r>
            <w:r w:rsidRPr="00B6036F">
              <w:rPr>
                <w:rFonts w:ascii="Verdana" w:eastAsiaTheme="minorEastAsia" w:hAnsi="Verdana" w:cs="Arial"/>
                <w:b/>
                <w:bCs/>
                <w:color w:val="000000"/>
                <w:kern w:val="24"/>
                <w:sz w:val="20"/>
                <w:lang w:val="es-ES_tradnl"/>
              </w:rPr>
              <w:t>WRC-1</w:t>
            </w:r>
            <w:r>
              <w:rPr>
                <w:rFonts w:ascii="Verdana" w:eastAsiaTheme="minorEastAsia" w:hAnsi="Verdana" w:cs="Arial"/>
                <w:b/>
                <w:bCs/>
                <w:color w:val="000000"/>
                <w:kern w:val="24"/>
                <w:sz w:val="20"/>
                <w:lang w:val="es-ES_tradnl"/>
              </w:rPr>
              <w:t>9</w:t>
            </w:r>
            <w:r w:rsidRPr="00B6036F">
              <w:rPr>
                <w:rFonts w:ascii="Verdana" w:eastAsiaTheme="minorEastAsia" w:hAnsi="Verdana" w:cs="Arial"/>
                <w:b/>
                <w:bCs/>
                <w:color w:val="000000"/>
                <w:kern w:val="24"/>
                <w:sz w:val="20"/>
                <w:lang w:val="es-ES_tradnl"/>
              </w:rPr>
              <w:t>-IRWSP-1</w:t>
            </w:r>
            <w:r>
              <w:rPr>
                <w:rFonts w:ascii="Verdana" w:eastAsiaTheme="minorEastAsia" w:hAnsi="Verdana" w:cs="Arial"/>
                <w:b/>
                <w:bCs/>
                <w:color w:val="000000"/>
                <w:kern w:val="24"/>
                <w:sz w:val="20"/>
                <w:lang w:val="es-ES_tradnl"/>
              </w:rPr>
              <w:t>8/</w:t>
            </w:r>
            <w:r w:rsidR="007570F2">
              <w:rPr>
                <w:rFonts w:ascii="Verdana" w:eastAsiaTheme="minorEastAsia" w:hAnsi="Verdana" w:cs="Arial"/>
                <w:b/>
                <w:bCs/>
                <w:color w:val="000000"/>
                <w:kern w:val="24"/>
                <w:sz w:val="20"/>
                <w:lang w:val="es-ES_tradnl"/>
              </w:rPr>
              <w:t>6</w:t>
            </w:r>
            <w:r w:rsidRPr="00B6036F">
              <w:rPr>
                <w:rFonts w:ascii="Verdana" w:eastAsiaTheme="minorEastAsia" w:hAnsi="Verdana" w:cs="Arial"/>
                <w:b/>
                <w:bCs/>
                <w:color w:val="000000"/>
                <w:kern w:val="24"/>
                <w:sz w:val="20"/>
                <w:lang w:val="es-ES_tradnl"/>
              </w:rPr>
              <w:t>-E</w:t>
            </w:r>
          </w:p>
        </w:tc>
      </w:tr>
      <w:tr w:rsidR="000069D4" w:rsidTr="00D55F6D">
        <w:trPr>
          <w:cantSplit/>
        </w:trPr>
        <w:tc>
          <w:tcPr>
            <w:tcW w:w="5778" w:type="dxa"/>
            <w:vMerge/>
          </w:tcPr>
          <w:p w:rsidR="000069D4" w:rsidRPr="00D55F6D" w:rsidRDefault="000069D4" w:rsidP="00A5173C">
            <w:pPr>
              <w:spacing w:before="60"/>
              <w:jc w:val="center"/>
              <w:rPr>
                <w:b/>
                <w:smallCaps/>
                <w:sz w:val="32"/>
                <w:lang w:val="es-ES_tradnl" w:eastAsia="zh-CN"/>
              </w:rPr>
            </w:pPr>
            <w:bookmarkStart w:id="4" w:name="ddate" w:colFirst="1" w:colLast="1"/>
            <w:bookmarkEnd w:id="3"/>
          </w:p>
        </w:tc>
        <w:tc>
          <w:tcPr>
            <w:tcW w:w="4253" w:type="dxa"/>
          </w:tcPr>
          <w:p w:rsidR="000069D4" w:rsidRPr="00D55F6D" w:rsidRDefault="007570F2" w:rsidP="00A5173C">
            <w:pPr>
              <w:shd w:val="solid" w:color="FFFFFF" w:fill="FFFFFF"/>
              <w:spacing w:before="0" w:line="240" w:lineRule="atLeast"/>
              <w:rPr>
                <w:rFonts w:ascii="Verdana" w:hAnsi="Verdana"/>
                <w:sz w:val="20"/>
                <w:lang w:eastAsia="zh-CN"/>
              </w:rPr>
            </w:pPr>
            <w:r w:rsidRPr="007570F2">
              <w:rPr>
                <w:rFonts w:ascii="Verdana" w:hAnsi="Verdana"/>
                <w:b/>
                <w:sz w:val="20"/>
                <w:lang w:eastAsia="zh-CN"/>
              </w:rPr>
              <w:t>12 November</w:t>
            </w:r>
            <w:r w:rsidR="00D55F6D">
              <w:rPr>
                <w:rFonts w:ascii="Verdana" w:hAnsi="Verdana"/>
                <w:b/>
                <w:sz w:val="20"/>
                <w:lang w:eastAsia="zh-CN"/>
              </w:rPr>
              <w:t xml:space="preserve"> 2018</w:t>
            </w:r>
          </w:p>
        </w:tc>
      </w:tr>
      <w:tr w:rsidR="000069D4" w:rsidTr="00D55F6D">
        <w:trPr>
          <w:cantSplit/>
        </w:trPr>
        <w:tc>
          <w:tcPr>
            <w:tcW w:w="5778" w:type="dxa"/>
            <w:vMerge/>
          </w:tcPr>
          <w:p w:rsidR="000069D4" w:rsidRDefault="000069D4" w:rsidP="00A5173C">
            <w:pPr>
              <w:spacing w:before="60"/>
              <w:jc w:val="center"/>
              <w:rPr>
                <w:b/>
                <w:smallCaps/>
                <w:sz w:val="32"/>
                <w:lang w:eastAsia="zh-CN"/>
              </w:rPr>
            </w:pPr>
            <w:bookmarkStart w:id="5" w:name="dorlang" w:colFirst="1" w:colLast="1"/>
            <w:bookmarkEnd w:id="4"/>
          </w:p>
        </w:tc>
        <w:tc>
          <w:tcPr>
            <w:tcW w:w="4253" w:type="dxa"/>
          </w:tcPr>
          <w:p w:rsidR="000069D4" w:rsidRPr="00D55F6D" w:rsidRDefault="00D55F6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r w:rsidR="00062C1A">
              <w:rPr>
                <w:rFonts w:ascii="Verdana" w:eastAsia="SimSun" w:hAnsi="Verdana"/>
                <w:b/>
                <w:sz w:val="20"/>
                <w:lang w:eastAsia="zh-CN"/>
              </w:rPr>
              <w:br/>
            </w:r>
          </w:p>
        </w:tc>
      </w:tr>
      <w:tr w:rsidR="000069D4" w:rsidTr="00D55F6D">
        <w:trPr>
          <w:cantSplit/>
        </w:trPr>
        <w:tc>
          <w:tcPr>
            <w:tcW w:w="10031" w:type="dxa"/>
            <w:gridSpan w:val="2"/>
          </w:tcPr>
          <w:p w:rsidR="000069D4" w:rsidRDefault="007570F2" w:rsidP="007570F2">
            <w:pPr>
              <w:pStyle w:val="Source"/>
              <w:spacing w:before="600"/>
              <w:rPr>
                <w:lang w:eastAsia="zh-CN"/>
              </w:rPr>
            </w:pPr>
            <w:bookmarkStart w:id="6" w:name="dsource" w:colFirst="0" w:colLast="0"/>
            <w:bookmarkEnd w:id="5"/>
            <w:r>
              <w:rPr>
                <w:lang w:eastAsia="zh-CN"/>
              </w:rPr>
              <w:t>African Telecommunications Union (ATU)</w:t>
            </w:r>
          </w:p>
        </w:tc>
      </w:tr>
      <w:tr w:rsidR="000069D4" w:rsidTr="00D55F6D">
        <w:trPr>
          <w:cantSplit/>
        </w:trPr>
        <w:tc>
          <w:tcPr>
            <w:tcW w:w="10031" w:type="dxa"/>
            <w:gridSpan w:val="2"/>
          </w:tcPr>
          <w:p w:rsidR="000069D4" w:rsidRDefault="00506CE8" w:rsidP="00506CE8">
            <w:pPr>
              <w:pStyle w:val="Title1"/>
              <w:rPr>
                <w:lang w:eastAsia="zh-CN"/>
              </w:rPr>
            </w:pPr>
            <w:bookmarkStart w:id="7" w:name="drec" w:colFirst="0" w:colLast="0"/>
            <w:bookmarkEnd w:id="6"/>
            <w:r>
              <w:rPr>
                <w:lang w:eastAsia="zh-CN"/>
              </w:rPr>
              <w:t xml:space="preserve">APM19-3 - </w:t>
            </w:r>
            <w:r w:rsidR="007570F2">
              <w:rPr>
                <w:lang w:eastAsia="zh-CN"/>
              </w:rPr>
              <w:t>Summary of african preliminary positions</w:t>
            </w:r>
            <w:r>
              <w:rPr>
                <w:lang w:eastAsia="zh-CN"/>
              </w:rPr>
              <w:br/>
            </w:r>
            <w:r w:rsidR="007570F2">
              <w:rPr>
                <w:lang w:eastAsia="zh-CN"/>
              </w:rPr>
              <w:t>for RA &amp; WRC-19</w:t>
            </w:r>
          </w:p>
        </w:tc>
      </w:tr>
    </w:tbl>
    <w:p w:rsidR="00506CE8" w:rsidRPr="001434A7" w:rsidRDefault="00506CE8" w:rsidP="00506CE8">
      <w:pPr>
        <w:spacing w:before="240"/>
        <w:jc w:val="center"/>
        <w:rPr>
          <w:rFonts w:ascii="Calibri" w:hAnsi="Calibri" w:cs="Calibri"/>
          <w:b/>
        </w:rPr>
      </w:pPr>
      <w:bookmarkStart w:id="8" w:name="dbreak"/>
      <w:bookmarkStart w:id="9" w:name="_Toc488665413"/>
      <w:bookmarkStart w:id="10" w:name="_Toc525378139"/>
      <w:bookmarkEnd w:id="7"/>
      <w:bookmarkEnd w:id="8"/>
      <w:r w:rsidRPr="001434A7">
        <w:rPr>
          <w:rFonts w:ascii="Calibri" w:hAnsi="Calibri" w:cs="Calibri"/>
          <w:b/>
          <w:noProof/>
          <w:sz w:val="22"/>
          <w:lang w:val="fr-FR" w:eastAsia="zh-CN"/>
        </w:rPr>
        <w:drawing>
          <wp:inline distT="0" distB="0" distL="0" distR="0">
            <wp:extent cx="1028700" cy="9829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982980"/>
                    </a:xfrm>
                    <a:prstGeom prst="rect">
                      <a:avLst/>
                    </a:prstGeom>
                    <a:noFill/>
                    <a:ln>
                      <a:noFill/>
                    </a:ln>
                  </pic:spPr>
                </pic:pic>
              </a:graphicData>
            </a:graphic>
          </wp:inline>
        </w:drawing>
      </w:r>
    </w:p>
    <w:p w:rsidR="00506CE8" w:rsidRDefault="00506CE8" w:rsidP="00506CE8">
      <w:pPr>
        <w:pStyle w:val="Title1"/>
      </w:pPr>
      <w:r w:rsidRPr="001434A7">
        <w:t>APM19-3</w:t>
      </w:r>
    </w:p>
    <w:p w:rsidR="00506CE8" w:rsidRPr="00AA52E0" w:rsidRDefault="00506CE8" w:rsidP="00506CE8">
      <w:pPr>
        <w:pStyle w:val="Title4"/>
      </w:pPr>
      <w:r w:rsidRPr="00AA52E0">
        <w:t xml:space="preserve">Summary of </w:t>
      </w:r>
      <w:r>
        <w:t>African Preliminary Positions for</w:t>
      </w:r>
      <w:r w:rsidRPr="00AA52E0">
        <w:t xml:space="preserve"> RA &amp; WRC-19</w:t>
      </w:r>
    </w:p>
    <w:p w:rsidR="007570F2" w:rsidRDefault="007570F2" w:rsidP="007570F2">
      <w:pPr>
        <w:pStyle w:val="Heading1"/>
        <w:spacing w:after="120"/>
      </w:pPr>
      <w:r w:rsidRPr="00AA52E0">
        <w:t>Chapter 1: Land mobile and fixed services</w:t>
      </w:r>
      <w:bookmarkEnd w:id="9"/>
      <w:bookmarkEnd w:id="10"/>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7645"/>
      </w:tblGrid>
      <w:tr w:rsidR="007570F2" w:rsidRPr="008948CE" w:rsidTr="00D94826">
        <w:trPr>
          <w:trHeight w:val="413"/>
          <w:jc w:val="center"/>
        </w:trPr>
        <w:tc>
          <w:tcPr>
            <w:tcW w:w="2655" w:type="dxa"/>
            <w:shd w:val="clear" w:color="auto" w:fill="00B050"/>
            <w:vAlign w:val="center"/>
          </w:tcPr>
          <w:p w:rsidR="007570F2" w:rsidRPr="006056CC" w:rsidRDefault="007570F2" w:rsidP="00D94826">
            <w:pPr>
              <w:jc w:val="center"/>
              <w:rPr>
                <w:rFonts w:ascii="Calibri" w:hAnsi="Calibri" w:cs="Calibri"/>
                <w:b/>
                <w:szCs w:val="24"/>
              </w:rPr>
            </w:pPr>
            <w:r w:rsidRPr="006056CC">
              <w:rPr>
                <w:rFonts w:ascii="Calibri" w:hAnsi="Calibri" w:cs="Calibri"/>
                <w:b/>
                <w:szCs w:val="24"/>
              </w:rPr>
              <w:t>Agenda Item</w:t>
            </w:r>
          </w:p>
        </w:tc>
        <w:tc>
          <w:tcPr>
            <w:tcW w:w="7645" w:type="dxa"/>
            <w:shd w:val="clear" w:color="auto" w:fill="00B050"/>
            <w:vAlign w:val="center"/>
          </w:tcPr>
          <w:p w:rsidR="007570F2" w:rsidRPr="006056CC" w:rsidRDefault="007570F2" w:rsidP="00D94826">
            <w:pPr>
              <w:jc w:val="center"/>
              <w:rPr>
                <w:rFonts w:ascii="Calibri" w:hAnsi="Calibri" w:cs="Calibri"/>
                <w:b/>
                <w:szCs w:val="24"/>
              </w:rPr>
            </w:pPr>
            <w:r w:rsidRPr="008948CE">
              <w:rPr>
                <w:rFonts w:ascii="Calibri" w:hAnsi="Calibri" w:cs="Calibri"/>
                <w:b/>
                <w:szCs w:val="24"/>
              </w:rPr>
              <w:t>African preliminary position</w:t>
            </w:r>
          </w:p>
        </w:tc>
      </w:tr>
      <w:tr w:rsidR="007570F2" w:rsidRPr="006056CC" w:rsidTr="00D94826">
        <w:trPr>
          <w:jc w:val="center"/>
        </w:trPr>
        <w:tc>
          <w:tcPr>
            <w:tcW w:w="2655" w:type="dxa"/>
            <w:vAlign w:val="center"/>
          </w:tcPr>
          <w:p w:rsidR="007570F2" w:rsidRPr="006056CC" w:rsidRDefault="007570F2" w:rsidP="00D94826">
            <w:pPr>
              <w:rPr>
                <w:rFonts w:ascii="Calibri" w:hAnsi="Calibri" w:cs="Calibri"/>
                <w:b/>
                <w:szCs w:val="24"/>
              </w:rPr>
            </w:pPr>
            <w:r w:rsidRPr="006056CC">
              <w:rPr>
                <w:rFonts w:ascii="Calibri" w:hAnsi="Calibri" w:cs="Calibri"/>
                <w:b/>
                <w:szCs w:val="24"/>
              </w:rPr>
              <w:t>AI 1.11</w:t>
            </w:r>
          </w:p>
          <w:p w:rsidR="007570F2" w:rsidRPr="006056CC" w:rsidRDefault="007570F2" w:rsidP="00D94826">
            <w:pPr>
              <w:rPr>
                <w:rFonts w:ascii="Calibri" w:hAnsi="Calibri" w:cs="Calibri"/>
                <w:szCs w:val="24"/>
              </w:rPr>
            </w:pPr>
            <w:r w:rsidRPr="006056CC">
              <w:rPr>
                <w:rFonts w:ascii="Calibri" w:hAnsi="Calibri" w:cs="Calibri"/>
                <w:szCs w:val="24"/>
              </w:rPr>
              <w:t>Railway Radiocommunication Systems (RSS)</w:t>
            </w:r>
            <w:r w:rsidRPr="006056CC">
              <w:rPr>
                <w:rFonts w:ascii="Calibri" w:hAnsi="Calibri" w:cs="Calibri"/>
                <w:b/>
                <w:i/>
                <w:szCs w:val="24"/>
              </w:rPr>
              <w:t>.</w:t>
            </w:r>
          </w:p>
        </w:tc>
        <w:tc>
          <w:tcPr>
            <w:tcW w:w="7645" w:type="dxa"/>
            <w:vAlign w:val="center"/>
          </w:tcPr>
          <w:p w:rsidR="007570F2" w:rsidRPr="006056CC" w:rsidRDefault="007570F2" w:rsidP="00D94826">
            <w:pPr>
              <w:pStyle w:val="NoSpacing"/>
              <w:rPr>
                <w:sz w:val="24"/>
                <w:szCs w:val="24"/>
              </w:rPr>
            </w:pPr>
            <w:r w:rsidRPr="006056CC">
              <w:rPr>
                <w:b/>
                <w:sz w:val="24"/>
                <w:szCs w:val="24"/>
                <w:u w:val="single"/>
              </w:rPr>
              <w:t>Method C</w:t>
            </w:r>
            <w:r w:rsidRPr="006056CC">
              <w:rPr>
                <w:b/>
                <w:sz w:val="24"/>
                <w:szCs w:val="24"/>
              </w:rPr>
              <w:t xml:space="preserve"> </w:t>
            </w:r>
            <w:r w:rsidRPr="006056CC">
              <w:rPr>
                <w:sz w:val="24"/>
                <w:szCs w:val="24"/>
              </w:rPr>
              <w:t>which entails</w:t>
            </w:r>
            <w:r w:rsidRPr="000A09CA">
              <w:rPr>
                <w:sz w:val="24"/>
                <w:szCs w:val="24"/>
              </w:rPr>
              <w:t xml:space="preserve"> a</w:t>
            </w:r>
            <w:r w:rsidRPr="006056CC">
              <w:rPr>
                <w:b/>
                <w:sz w:val="24"/>
                <w:szCs w:val="24"/>
              </w:rPr>
              <w:t xml:space="preserve"> </w:t>
            </w:r>
            <w:r w:rsidRPr="006056CC">
              <w:rPr>
                <w:sz w:val="24"/>
                <w:szCs w:val="24"/>
              </w:rPr>
              <w:t>new WRC resolution to provide a regulatory framework to guide the harmonization process, with references to the Recommendation ITU R M.[RSTT_FRQ] for possible global and/or regional harmonization of frequency arrangements for RSTT to provide flexibility. This method provides support for global or regional harmonization of frequency bands for use by (RSTT) within the existing mobile service allocation so that no additional constraints are imposed on services to which these frequency bands are already allocated.</w:t>
            </w:r>
          </w:p>
        </w:tc>
      </w:tr>
      <w:tr w:rsidR="007570F2" w:rsidRPr="006056CC" w:rsidTr="00D94826">
        <w:trPr>
          <w:jc w:val="center"/>
        </w:trPr>
        <w:tc>
          <w:tcPr>
            <w:tcW w:w="2655" w:type="dxa"/>
            <w:vAlign w:val="center"/>
          </w:tcPr>
          <w:p w:rsidR="007570F2" w:rsidRPr="006056CC" w:rsidRDefault="007570F2" w:rsidP="00D94826">
            <w:pPr>
              <w:rPr>
                <w:rFonts w:ascii="Calibri" w:hAnsi="Calibri" w:cs="Calibri"/>
                <w:b/>
                <w:szCs w:val="24"/>
              </w:rPr>
            </w:pPr>
            <w:r w:rsidRPr="006056CC">
              <w:rPr>
                <w:rFonts w:ascii="Calibri" w:hAnsi="Calibri" w:cs="Calibri"/>
                <w:b/>
                <w:szCs w:val="24"/>
              </w:rPr>
              <w:t>AI 1.12</w:t>
            </w:r>
          </w:p>
          <w:p w:rsidR="007570F2" w:rsidRPr="006056CC" w:rsidRDefault="007570F2" w:rsidP="00D94826">
            <w:pPr>
              <w:rPr>
                <w:rFonts w:ascii="Calibri" w:hAnsi="Calibri" w:cs="Calibri"/>
                <w:szCs w:val="24"/>
              </w:rPr>
            </w:pPr>
            <w:r w:rsidRPr="006056CC">
              <w:rPr>
                <w:rFonts w:ascii="Calibri" w:hAnsi="Calibri" w:cs="Calibri"/>
                <w:szCs w:val="24"/>
              </w:rPr>
              <w:t>Intelligent Transport Systems (ITS).</w:t>
            </w:r>
          </w:p>
        </w:tc>
        <w:tc>
          <w:tcPr>
            <w:tcW w:w="7645" w:type="dxa"/>
            <w:vAlign w:val="center"/>
          </w:tcPr>
          <w:p w:rsidR="007570F2" w:rsidRPr="006056CC" w:rsidRDefault="007570F2" w:rsidP="00D94826">
            <w:pPr>
              <w:pStyle w:val="NoSpacing"/>
              <w:rPr>
                <w:sz w:val="24"/>
                <w:szCs w:val="24"/>
              </w:rPr>
            </w:pPr>
            <w:r w:rsidRPr="006056CC">
              <w:rPr>
                <w:b/>
                <w:sz w:val="24"/>
                <w:szCs w:val="24"/>
                <w:u w:val="single"/>
              </w:rPr>
              <w:t>Method C</w:t>
            </w:r>
            <w:r w:rsidRPr="006056CC">
              <w:rPr>
                <w:b/>
                <w:sz w:val="24"/>
                <w:szCs w:val="24"/>
              </w:rPr>
              <w:t xml:space="preserve"> </w:t>
            </w:r>
            <w:r w:rsidRPr="006056CC">
              <w:rPr>
                <w:sz w:val="24"/>
                <w:szCs w:val="24"/>
              </w:rPr>
              <w:t xml:space="preserve">which entails a new WRC Resolution to encourage administrations to use globally and regionally harmonized frequency bands for ITS applications by referring to the most recent version of Recommendation ITU-R M.[ITS_FRQ. Suppress Resolution 237 (WRC-15). </w:t>
            </w:r>
            <w:r w:rsidRPr="006056CC">
              <w:rPr>
                <w:rFonts w:eastAsia="Times New Roman"/>
                <w:sz w:val="24"/>
                <w:szCs w:val="24"/>
                <w:lang w:eastAsia="en-US"/>
              </w:rPr>
              <w:t>This method provides a regulatory</w:t>
            </w:r>
            <w:r w:rsidRPr="006056CC">
              <w:rPr>
                <w:rFonts w:eastAsia="Times New Roman"/>
                <w:sz w:val="24"/>
                <w:szCs w:val="24"/>
              </w:rPr>
              <w:t xml:space="preserve"> framework for worldwide or regional harmonization for ITS applications through a new WRC Resolution and the most recent version of Recommendation ITU</w:t>
            </w:r>
            <w:r w:rsidRPr="006056CC">
              <w:rPr>
                <w:rFonts w:eastAsia="Times New Roman"/>
                <w:sz w:val="24"/>
                <w:szCs w:val="24"/>
              </w:rPr>
              <w:noBreakHyphen/>
              <w:t>R M.[ITS_FRQ].</w:t>
            </w:r>
          </w:p>
        </w:tc>
      </w:tr>
    </w:tbl>
    <w:p w:rsidR="00506CE8" w:rsidRDefault="00506CE8">
      <w:r>
        <w:br w:type="page"/>
      </w:r>
    </w:p>
    <w:tbl>
      <w:tblPr>
        <w:tblW w:w="10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5"/>
        <w:gridCol w:w="7645"/>
      </w:tblGrid>
      <w:tr w:rsidR="007570F2" w:rsidRPr="006056CC" w:rsidTr="00D94826">
        <w:trPr>
          <w:jc w:val="center"/>
        </w:trPr>
        <w:tc>
          <w:tcPr>
            <w:tcW w:w="2655" w:type="dxa"/>
            <w:vAlign w:val="center"/>
          </w:tcPr>
          <w:p w:rsidR="007570F2" w:rsidRPr="006056CC" w:rsidRDefault="007570F2" w:rsidP="00D94826">
            <w:pPr>
              <w:rPr>
                <w:rFonts w:ascii="Calibri" w:hAnsi="Calibri" w:cs="Calibri"/>
                <w:b/>
                <w:szCs w:val="24"/>
              </w:rPr>
            </w:pPr>
            <w:r w:rsidRPr="006056CC">
              <w:rPr>
                <w:rFonts w:ascii="Calibri" w:hAnsi="Calibri" w:cs="Calibri"/>
                <w:b/>
                <w:szCs w:val="24"/>
              </w:rPr>
              <w:lastRenderedPageBreak/>
              <w:t>AI 1.14</w:t>
            </w:r>
          </w:p>
          <w:p w:rsidR="007570F2" w:rsidRPr="006056CC" w:rsidRDefault="007570F2" w:rsidP="00D94826">
            <w:pPr>
              <w:rPr>
                <w:rFonts w:ascii="Calibri" w:hAnsi="Calibri" w:cs="Calibri"/>
                <w:szCs w:val="24"/>
              </w:rPr>
            </w:pPr>
            <w:r w:rsidRPr="006056CC">
              <w:rPr>
                <w:rFonts w:ascii="Calibri" w:hAnsi="Calibri" w:cs="Calibri"/>
                <w:szCs w:val="24"/>
              </w:rPr>
              <w:t>High-Altitude Platform Stations (HAPS).</w:t>
            </w:r>
          </w:p>
        </w:tc>
        <w:tc>
          <w:tcPr>
            <w:tcW w:w="7645" w:type="dxa"/>
            <w:vAlign w:val="center"/>
          </w:tcPr>
          <w:p w:rsidR="007570F2" w:rsidRPr="006056CC" w:rsidRDefault="007570F2" w:rsidP="00D94826">
            <w:pPr>
              <w:rPr>
                <w:rFonts w:ascii="Calibri" w:hAnsi="Calibri" w:cs="Calibri"/>
                <w:szCs w:val="24"/>
              </w:rPr>
            </w:pPr>
            <w:r w:rsidRPr="006056CC">
              <w:rPr>
                <w:rFonts w:ascii="Calibri" w:hAnsi="Calibri" w:cs="Calibri"/>
                <w:b/>
                <w:szCs w:val="24"/>
                <w:u w:val="single"/>
              </w:rPr>
              <w:t>Method B1/B2</w:t>
            </w:r>
            <w:r w:rsidRPr="006056CC">
              <w:rPr>
                <w:rFonts w:ascii="Calibri" w:hAnsi="Calibri" w:cs="Calibri"/>
                <w:b/>
                <w:szCs w:val="24"/>
              </w:rPr>
              <w:t xml:space="preserve"> </w:t>
            </w:r>
            <w:r w:rsidRPr="006056CC">
              <w:rPr>
                <w:rFonts w:ascii="Calibri" w:hAnsi="Calibri" w:cs="Calibri"/>
                <w:szCs w:val="24"/>
              </w:rPr>
              <w:t xml:space="preserve">which provides for the designation of certain fixed service bands for HAPS, in accordance with Resolution </w:t>
            </w:r>
            <w:r w:rsidRPr="006056CC">
              <w:rPr>
                <w:rFonts w:ascii="Calibri" w:hAnsi="Calibri" w:cs="Calibri"/>
                <w:b/>
                <w:szCs w:val="24"/>
              </w:rPr>
              <w:t>160 (WRC-15)</w:t>
            </w:r>
            <w:r w:rsidRPr="006056CC">
              <w:rPr>
                <w:rFonts w:ascii="Calibri" w:hAnsi="Calibri" w:cs="Calibri"/>
                <w:szCs w:val="24"/>
              </w:rPr>
              <w:t xml:space="preserve"> with options:</w:t>
            </w:r>
          </w:p>
          <w:p w:rsidR="007570F2" w:rsidRPr="006056CC" w:rsidRDefault="007570F2" w:rsidP="00D94826">
            <w:pPr>
              <w:pStyle w:val="ListParagraph"/>
              <w:numPr>
                <w:ilvl w:val="0"/>
                <w:numId w:val="1"/>
              </w:numPr>
              <w:spacing w:after="0"/>
              <w:rPr>
                <w:rFonts w:ascii="Calibri" w:hAnsi="Calibri" w:cs="Calibri"/>
                <w:lang w:val="en-GB"/>
              </w:rPr>
            </w:pPr>
            <w:r w:rsidRPr="00FE4086">
              <w:rPr>
                <w:rFonts w:ascii="Calibri" w:hAnsi="Calibri" w:cs="Calibri"/>
                <w:b/>
                <w:lang w:val="en-GB"/>
              </w:rPr>
              <w:t>Method B1</w:t>
            </w:r>
            <w:r w:rsidRPr="006056CC">
              <w:rPr>
                <w:rFonts w:ascii="Calibri" w:hAnsi="Calibri" w:cs="Calibri"/>
                <w:lang w:val="en-GB"/>
              </w:rPr>
              <w:t xml:space="preserve"> – an amended footnote for a worldwide identification of 27.9 - 28.2GHz and 31-31.3GHz, and an updated Resolution 122 to facilitate the use for HAPS in 47.2 - 47.5 GHz and 47.9-48.2 GHz.</w:t>
            </w:r>
          </w:p>
          <w:p w:rsidR="007570F2" w:rsidRPr="006056CC" w:rsidRDefault="007570F2" w:rsidP="00D94826">
            <w:pPr>
              <w:pStyle w:val="ListParagraph"/>
              <w:numPr>
                <w:ilvl w:val="0"/>
                <w:numId w:val="1"/>
              </w:numPr>
              <w:spacing w:after="0"/>
              <w:rPr>
                <w:rFonts w:ascii="Calibri" w:hAnsi="Calibri" w:cs="Calibri"/>
                <w:lang w:val="en-GB"/>
              </w:rPr>
            </w:pPr>
            <w:r w:rsidRPr="00FE4086">
              <w:rPr>
                <w:rFonts w:ascii="Calibri" w:hAnsi="Calibri" w:cs="Calibri"/>
                <w:b/>
                <w:lang w:val="en-GB"/>
              </w:rPr>
              <w:t>Method B2</w:t>
            </w:r>
            <w:r w:rsidRPr="006056CC">
              <w:rPr>
                <w:rFonts w:ascii="Calibri" w:hAnsi="Calibri" w:cs="Calibri"/>
                <w:lang w:val="en-GB"/>
              </w:rPr>
              <w:t xml:space="preserve"> – Add new designation(s) for HAPS in bands (38 - 39.5 GHz) already allocated to the FS with a primary status on a worldwide basis</w:t>
            </w:r>
          </w:p>
        </w:tc>
      </w:tr>
      <w:tr w:rsidR="007570F2" w:rsidRPr="006056CC" w:rsidTr="00D94826">
        <w:trPr>
          <w:jc w:val="center"/>
        </w:trPr>
        <w:tc>
          <w:tcPr>
            <w:tcW w:w="2655" w:type="dxa"/>
            <w:vAlign w:val="center"/>
          </w:tcPr>
          <w:p w:rsidR="007570F2" w:rsidRPr="006056CC" w:rsidRDefault="007570F2" w:rsidP="00D94826">
            <w:pPr>
              <w:rPr>
                <w:rFonts w:ascii="Calibri" w:hAnsi="Calibri" w:cs="Calibri"/>
                <w:b/>
                <w:szCs w:val="24"/>
              </w:rPr>
            </w:pPr>
            <w:r w:rsidRPr="006056CC">
              <w:rPr>
                <w:rFonts w:ascii="Calibri" w:hAnsi="Calibri" w:cs="Calibri"/>
                <w:b/>
                <w:szCs w:val="24"/>
              </w:rPr>
              <w:t>AI 1.15</w:t>
            </w:r>
          </w:p>
          <w:p w:rsidR="007570F2" w:rsidRPr="006056CC" w:rsidRDefault="007570F2" w:rsidP="00D94826">
            <w:pPr>
              <w:rPr>
                <w:rFonts w:ascii="Calibri" w:hAnsi="Calibri" w:cs="Calibri"/>
                <w:szCs w:val="24"/>
              </w:rPr>
            </w:pPr>
            <w:r w:rsidRPr="006056CC">
              <w:rPr>
                <w:rFonts w:ascii="Calibri" w:hAnsi="Calibri" w:cs="Calibri"/>
                <w:szCs w:val="24"/>
              </w:rPr>
              <w:t>Land-mobile and fixed service applications in 275-450 GHz.</w:t>
            </w:r>
          </w:p>
        </w:tc>
        <w:tc>
          <w:tcPr>
            <w:tcW w:w="7645" w:type="dxa"/>
            <w:vAlign w:val="center"/>
          </w:tcPr>
          <w:p w:rsidR="007570F2" w:rsidRPr="006056CC" w:rsidRDefault="007570F2" w:rsidP="007570F2">
            <w:pPr>
              <w:pStyle w:val="NoSpacing"/>
              <w:rPr>
                <w:rFonts w:eastAsia="Times New Roman"/>
                <w:sz w:val="24"/>
                <w:szCs w:val="24"/>
                <w:lang w:eastAsia="en-US"/>
              </w:rPr>
            </w:pPr>
            <w:r w:rsidRPr="006056CC">
              <w:rPr>
                <w:b/>
                <w:sz w:val="24"/>
                <w:szCs w:val="24"/>
                <w:u w:val="single"/>
              </w:rPr>
              <w:t>Method C</w:t>
            </w:r>
            <w:r>
              <w:rPr>
                <w:b/>
                <w:sz w:val="24"/>
                <w:szCs w:val="24"/>
                <w:u w:val="single"/>
              </w:rPr>
              <w:t>,</w:t>
            </w:r>
            <w:r w:rsidRPr="00BE32BD">
              <w:rPr>
                <w:rFonts w:cs="Calibri"/>
                <w:sz w:val="24"/>
                <w:szCs w:val="24"/>
              </w:rPr>
              <w:t xml:space="preserve"> </w:t>
            </w:r>
            <w:r w:rsidRPr="006056CC">
              <w:rPr>
                <w:sz w:val="24"/>
                <w:szCs w:val="24"/>
              </w:rPr>
              <w:t>which</w:t>
            </w:r>
            <w:r w:rsidRPr="006056CC">
              <w:rPr>
                <w:b/>
                <w:sz w:val="24"/>
                <w:szCs w:val="24"/>
              </w:rPr>
              <w:t xml:space="preserve"> </w:t>
            </w:r>
            <w:r w:rsidRPr="006056CC">
              <w:rPr>
                <w:sz w:val="24"/>
                <w:szCs w:val="24"/>
              </w:rPr>
              <w:t>suggests modifying RR No. 5.565 for use by fixed service land mobile service applications in portions of the 275-450 GHz band, while considering the evolving guidance of ITU</w:t>
            </w:r>
            <w:r w:rsidRPr="006056CC">
              <w:rPr>
                <w:sz w:val="24"/>
                <w:szCs w:val="24"/>
              </w:rPr>
              <w:noBreakHyphen/>
              <w:t>R Recommendations and Reports. Studies that evaluated the entire 275-450 GHz range show that sharing is feasible between applications in the land mobile/fixed service, and applications in the Earth exploration</w:t>
            </w:r>
            <w:r w:rsidRPr="006056CC">
              <w:rPr>
                <w:sz w:val="24"/>
                <w:szCs w:val="24"/>
              </w:rPr>
              <w:noBreakHyphen/>
              <w:t>satellite service (passive)/radio astronomy service in the particular frequency bands: 275-296 GHz, 306-313 GHz, 320-330 GHz and 356-450GHz.</w:t>
            </w:r>
          </w:p>
        </w:tc>
      </w:tr>
    </w:tbl>
    <w:p w:rsidR="007570F2" w:rsidRPr="00CB76DB" w:rsidRDefault="007570F2" w:rsidP="007570F2">
      <w:pPr>
        <w:pStyle w:val="Heading1"/>
        <w:spacing w:after="120"/>
      </w:pPr>
      <w:bookmarkStart w:id="11" w:name="_Toc488665414"/>
      <w:bookmarkStart w:id="12" w:name="_Toc525378140"/>
      <w:r w:rsidRPr="00CB76DB">
        <w:t>Chapter 2: Broadband applications in the mobile service</w:t>
      </w:r>
      <w:bookmarkEnd w:id="11"/>
      <w:bookmarkEnd w:id="12"/>
    </w:p>
    <w:tbl>
      <w:tblPr>
        <w:tblW w:w="10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7683"/>
      </w:tblGrid>
      <w:tr w:rsidR="007570F2" w:rsidRPr="00DE0568" w:rsidTr="00D94826">
        <w:trPr>
          <w:trHeight w:val="557"/>
          <w:jc w:val="center"/>
        </w:trPr>
        <w:tc>
          <w:tcPr>
            <w:tcW w:w="2644" w:type="dxa"/>
            <w:shd w:val="clear" w:color="auto" w:fill="00B050"/>
            <w:vAlign w:val="center"/>
          </w:tcPr>
          <w:p w:rsidR="007570F2" w:rsidRPr="00DE0568" w:rsidRDefault="007570F2" w:rsidP="00D94826">
            <w:pPr>
              <w:jc w:val="center"/>
              <w:rPr>
                <w:rFonts w:ascii="Calibri" w:hAnsi="Calibri" w:cs="Calibri"/>
                <w:b/>
                <w:sz w:val="22"/>
                <w:szCs w:val="22"/>
              </w:rPr>
            </w:pPr>
            <w:r w:rsidRPr="00DE0568">
              <w:rPr>
                <w:rFonts w:ascii="Calibri" w:hAnsi="Calibri" w:cs="Calibri"/>
                <w:b/>
                <w:sz w:val="22"/>
                <w:szCs w:val="22"/>
              </w:rPr>
              <w:t>Agenda Item</w:t>
            </w:r>
          </w:p>
        </w:tc>
        <w:tc>
          <w:tcPr>
            <w:tcW w:w="7683" w:type="dxa"/>
            <w:shd w:val="clear" w:color="auto" w:fill="00B050"/>
            <w:vAlign w:val="center"/>
          </w:tcPr>
          <w:p w:rsidR="007570F2" w:rsidRPr="00DE0568" w:rsidRDefault="007570F2" w:rsidP="00D94826">
            <w:pPr>
              <w:jc w:val="center"/>
              <w:rPr>
                <w:rFonts w:ascii="Calibri" w:hAnsi="Calibri" w:cs="Calibri"/>
                <w:b/>
                <w:sz w:val="22"/>
                <w:szCs w:val="22"/>
              </w:rPr>
            </w:pPr>
            <w:r w:rsidRPr="00DE0568">
              <w:rPr>
                <w:rFonts w:ascii="Calibri" w:hAnsi="Calibri" w:cs="Calibri"/>
                <w:b/>
                <w:sz w:val="22"/>
                <w:szCs w:val="22"/>
              </w:rPr>
              <w:t>African preliminary position</w:t>
            </w:r>
          </w:p>
        </w:tc>
      </w:tr>
      <w:tr w:rsidR="007570F2" w:rsidRPr="00DE0568" w:rsidTr="00D94826">
        <w:trPr>
          <w:jc w:val="center"/>
        </w:trPr>
        <w:tc>
          <w:tcPr>
            <w:tcW w:w="2644" w:type="dxa"/>
          </w:tcPr>
          <w:p w:rsidR="007570F2" w:rsidRPr="00DE0568" w:rsidRDefault="007570F2" w:rsidP="00D94826">
            <w:pPr>
              <w:spacing w:before="240"/>
              <w:rPr>
                <w:rFonts w:ascii="Calibri" w:hAnsi="Calibri" w:cs="Calibri"/>
                <w:b/>
                <w:sz w:val="22"/>
                <w:szCs w:val="22"/>
              </w:rPr>
            </w:pPr>
            <w:r w:rsidRPr="00DE0568">
              <w:rPr>
                <w:rFonts w:ascii="Calibri" w:hAnsi="Calibri" w:cs="Calibri"/>
                <w:b/>
                <w:sz w:val="22"/>
                <w:szCs w:val="22"/>
              </w:rPr>
              <w:t>AI 1.13</w:t>
            </w:r>
          </w:p>
          <w:p w:rsidR="007570F2" w:rsidRPr="00DE0568" w:rsidRDefault="007570F2" w:rsidP="00D94826">
            <w:pPr>
              <w:rPr>
                <w:rFonts w:ascii="Calibri" w:hAnsi="Calibri" w:cs="Calibri"/>
                <w:sz w:val="22"/>
                <w:szCs w:val="22"/>
                <w:highlight w:val="yellow"/>
              </w:rPr>
            </w:pPr>
            <w:r w:rsidRPr="00DE0568">
              <w:rPr>
                <w:rFonts w:ascii="Calibri" w:hAnsi="Calibri" w:cs="Calibri"/>
                <w:sz w:val="22"/>
                <w:szCs w:val="22"/>
              </w:rPr>
              <w:t>Additional spectrum identification for IMT between 24.25 and 86 GHz.</w:t>
            </w:r>
          </w:p>
        </w:tc>
        <w:tc>
          <w:tcPr>
            <w:tcW w:w="7683" w:type="dxa"/>
          </w:tcPr>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t>For the band 24.25-27.5 GHz (Band A):</w:t>
            </w:r>
          </w:p>
          <w:p w:rsidR="007570F2" w:rsidRPr="00DE0568" w:rsidRDefault="007570F2" w:rsidP="007570F2">
            <w:pPr>
              <w:pStyle w:val="NoSpacing"/>
              <w:numPr>
                <w:ilvl w:val="0"/>
                <w:numId w:val="4"/>
              </w:numPr>
            </w:pPr>
            <w:r w:rsidRPr="00DE0568">
              <w:rPr>
                <w:b/>
              </w:rPr>
              <w:t>Method A2, Alternative 2, Condition A2a: Option 1</w:t>
            </w:r>
            <w:r w:rsidRPr="00DE0568">
              <w:t xml:space="preserve"> which entails the following:</w:t>
            </w:r>
          </w:p>
          <w:p w:rsidR="007570F2" w:rsidRPr="00DE0568" w:rsidRDefault="007570F2" w:rsidP="007570F2">
            <w:pPr>
              <w:pStyle w:val="NoSpacing"/>
              <w:numPr>
                <w:ilvl w:val="0"/>
                <w:numId w:val="5"/>
              </w:numPr>
            </w:pPr>
            <w:r w:rsidRPr="00DE0568">
              <w:t>Allocating the band 24.25-25.25 GHz to the mobile service (except aeronautical mobile) on a primary basis in Regions 1 and 2.</w:t>
            </w:r>
          </w:p>
          <w:p w:rsidR="007570F2" w:rsidRPr="00DE0568" w:rsidRDefault="007570F2" w:rsidP="007570F2">
            <w:pPr>
              <w:pStyle w:val="NoSpacing"/>
              <w:numPr>
                <w:ilvl w:val="0"/>
                <w:numId w:val="5"/>
              </w:numPr>
            </w:pPr>
            <w:r w:rsidRPr="00DE0568">
              <w:t>Identifying, globally, the band 24.25-27.5 GHz for IMT by a new footnote.</w:t>
            </w:r>
          </w:p>
          <w:p w:rsidR="007570F2" w:rsidRPr="00DE0568" w:rsidRDefault="007570F2" w:rsidP="007570F2">
            <w:pPr>
              <w:pStyle w:val="NoSpacing"/>
              <w:numPr>
                <w:ilvl w:val="0"/>
                <w:numId w:val="5"/>
              </w:numPr>
            </w:pPr>
            <w:r w:rsidRPr="00DE0568">
              <w:t>Revising Resolution 750 (WRC-15), Table 1-1,  to include the following IMT unwanted emission limits for the 23.6 to 24.0 GHz frequency band to protect EESS(passive):</w:t>
            </w:r>
          </w:p>
          <w:p w:rsidR="007570F2" w:rsidRPr="00DE0568" w:rsidRDefault="007570F2" w:rsidP="007570F2">
            <w:pPr>
              <w:pStyle w:val="NoSpacing"/>
              <w:numPr>
                <w:ilvl w:val="1"/>
                <w:numId w:val="5"/>
              </w:numPr>
              <w:rPr>
                <w:b/>
              </w:rPr>
            </w:pPr>
            <w:r w:rsidRPr="00DE0568">
              <w:rPr>
                <w:b/>
              </w:rPr>
              <w:t xml:space="preserve">BS: -32 to -37 dBW/200 MHz </w:t>
            </w:r>
          </w:p>
          <w:p w:rsidR="007570F2" w:rsidRPr="00DE0568" w:rsidRDefault="007570F2" w:rsidP="007570F2">
            <w:pPr>
              <w:pStyle w:val="NoSpacing"/>
              <w:numPr>
                <w:ilvl w:val="1"/>
                <w:numId w:val="5"/>
              </w:numPr>
              <w:rPr>
                <w:b/>
              </w:rPr>
            </w:pPr>
            <w:r w:rsidRPr="00DE0568">
              <w:rPr>
                <w:b/>
              </w:rPr>
              <w:t>UE: -28 to -30 dBW/200 MHz</w:t>
            </w:r>
          </w:p>
          <w:p w:rsidR="007570F2" w:rsidRPr="00DE0568" w:rsidRDefault="007570F2" w:rsidP="007570F2">
            <w:pPr>
              <w:pStyle w:val="NoSpacing"/>
              <w:numPr>
                <w:ilvl w:val="0"/>
                <w:numId w:val="4"/>
              </w:numPr>
            </w:pPr>
            <w:r w:rsidRPr="00DE0568">
              <w:t xml:space="preserve">The </w:t>
            </w:r>
            <w:r w:rsidRPr="00DE0568">
              <w:rPr>
                <w:b/>
              </w:rPr>
              <w:t>following conditions and options</w:t>
            </w:r>
            <w:r w:rsidRPr="00DE0568">
              <w:t xml:space="preserve"> with respect to other services: </w:t>
            </w:r>
          </w:p>
          <w:p w:rsidR="007570F2" w:rsidRPr="00DE0568" w:rsidRDefault="007570F2" w:rsidP="007570F2">
            <w:pPr>
              <w:pStyle w:val="NoSpacing"/>
              <w:numPr>
                <w:ilvl w:val="0"/>
                <w:numId w:val="3"/>
              </w:numPr>
            </w:pPr>
            <w:r w:rsidRPr="00DE0568">
              <w:t>Condition A2b: Option 3 – no condition necessary</w:t>
            </w:r>
          </w:p>
          <w:p w:rsidR="007570F2" w:rsidRPr="00DE0568" w:rsidRDefault="007570F2" w:rsidP="007570F2">
            <w:pPr>
              <w:pStyle w:val="NoSpacing"/>
              <w:numPr>
                <w:ilvl w:val="0"/>
                <w:numId w:val="3"/>
              </w:numPr>
            </w:pPr>
            <w:r w:rsidRPr="00DE0568">
              <w:t>Condition A2c: Option 4 – no condition necessary</w:t>
            </w:r>
          </w:p>
          <w:p w:rsidR="007570F2" w:rsidRPr="00DE0568" w:rsidRDefault="007570F2" w:rsidP="007570F2">
            <w:pPr>
              <w:pStyle w:val="NoSpacing"/>
              <w:numPr>
                <w:ilvl w:val="0"/>
                <w:numId w:val="3"/>
              </w:numPr>
            </w:pPr>
            <w:r w:rsidRPr="00DE0568">
              <w:t>Condition A2d: Option 4 – no condition necessary</w:t>
            </w:r>
          </w:p>
          <w:p w:rsidR="007570F2" w:rsidRPr="00DE0568" w:rsidRDefault="007570F2" w:rsidP="007570F2">
            <w:pPr>
              <w:pStyle w:val="NoSpacing"/>
              <w:numPr>
                <w:ilvl w:val="0"/>
                <w:numId w:val="3"/>
              </w:numPr>
            </w:pPr>
            <w:r w:rsidRPr="00DE0568">
              <w:t>Condition A2e: Option 9 – no condition necessary</w:t>
            </w:r>
          </w:p>
          <w:p w:rsidR="007570F2" w:rsidRPr="00DE0568" w:rsidRDefault="007570F2" w:rsidP="007570F2">
            <w:pPr>
              <w:pStyle w:val="NoSpacing"/>
              <w:numPr>
                <w:ilvl w:val="0"/>
                <w:numId w:val="3"/>
              </w:numPr>
            </w:pPr>
            <w:r w:rsidRPr="00DE0568">
              <w:t>Condition A2f: Option 3 – no condition necessary</w:t>
            </w:r>
          </w:p>
          <w:p w:rsidR="007570F2" w:rsidRPr="00DE0568" w:rsidRDefault="007570F2" w:rsidP="007570F2">
            <w:pPr>
              <w:pStyle w:val="NoSpacing"/>
              <w:numPr>
                <w:ilvl w:val="0"/>
                <w:numId w:val="3"/>
              </w:numPr>
            </w:pPr>
            <w:r w:rsidRPr="00DE0568">
              <w:t>Condition A2g: Option 4 – no condition necessary</w:t>
            </w: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t>For the band 31.8-33.4 GHz (Band B):</w:t>
            </w:r>
          </w:p>
          <w:p w:rsidR="007570F2" w:rsidRDefault="007570F2" w:rsidP="00D94826">
            <w:pPr>
              <w:ind w:left="360"/>
              <w:contextualSpacing/>
              <w:jc w:val="both"/>
              <w:rPr>
                <w:rFonts w:ascii="Calibri" w:hAnsi="Calibri" w:cs="Calibri"/>
                <w:b/>
                <w:sz w:val="22"/>
                <w:szCs w:val="22"/>
              </w:rPr>
            </w:pPr>
            <w:r w:rsidRPr="00DE0568">
              <w:rPr>
                <w:rFonts w:ascii="Calibri" w:hAnsi="Calibri" w:cs="Calibri"/>
                <w:b/>
                <w:sz w:val="22"/>
                <w:szCs w:val="22"/>
              </w:rPr>
              <w:t>Method B1 (No Change)</w:t>
            </w:r>
          </w:p>
          <w:p w:rsidR="00506CE8" w:rsidRDefault="00506CE8" w:rsidP="00D94826">
            <w:pPr>
              <w:ind w:left="360"/>
              <w:contextualSpacing/>
              <w:jc w:val="both"/>
              <w:rPr>
                <w:rFonts w:ascii="Calibri" w:hAnsi="Calibri" w:cs="Calibri"/>
                <w:b/>
                <w:sz w:val="22"/>
                <w:szCs w:val="22"/>
              </w:rPr>
            </w:pPr>
          </w:p>
          <w:p w:rsidR="00506CE8" w:rsidRDefault="00506CE8" w:rsidP="00D94826">
            <w:pPr>
              <w:ind w:left="360"/>
              <w:contextualSpacing/>
              <w:jc w:val="both"/>
              <w:rPr>
                <w:rFonts w:ascii="Calibri" w:hAnsi="Calibri" w:cs="Calibri"/>
                <w:b/>
                <w:sz w:val="22"/>
                <w:szCs w:val="22"/>
              </w:rPr>
            </w:pPr>
          </w:p>
          <w:p w:rsidR="00506CE8" w:rsidRDefault="00506CE8" w:rsidP="00D94826">
            <w:pPr>
              <w:ind w:left="360"/>
              <w:contextualSpacing/>
              <w:jc w:val="both"/>
              <w:rPr>
                <w:rFonts w:ascii="Calibri" w:hAnsi="Calibri" w:cs="Calibri"/>
                <w:b/>
                <w:sz w:val="22"/>
                <w:szCs w:val="22"/>
              </w:rPr>
            </w:pPr>
          </w:p>
          <w:p w:rsidR="00506CE8" w:rsidRPr="00DE0568" w:rsidRDefault="00506CE8" w:rsidP="00D94826">
            <w:pPr>
              <w:ind w:left="360"/>
              <w:contextualSpacing/>
              <w:jc w:val="both"/>
              <w:rPr>
                <w:rFonts w:ascii="Calibri" w:hAnsi="Calibri" w:cs="Calibri"/>
                <w:sz w:val="22"/>
                <w:szCs w:val="22"/>
              </w:rPr>
            </w:pP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lastRenderedPageBreak/>
              <w:t>For the band 37-40.5 GHz (Band C):</w:t>
            </w:r>
          </w:p>
          <w:p w:rsidR="007570F2" w:rsidRPr="00DE0568" w:rsidRDefault="007570F2" w:rsidP="007570F2">
            <w:pPr>
              <w:pStyle w:val="NoSpacing"/>
              <w:numPr>
                <w:ilvl w:val="0"/>
                <w:numId w:val="6"/>
              </w:numPr>
            </w:pPr>
            <w:r w:rsidRPr="00DE0568">
              <w:rPr>
                <w:b/>
              </w:rPr>
              <w:t>Method C2, Alternative 2 Condition C2a: Option 4</w:t>
            </w:r>
            <w:r w:rsidRPr="00DE0568">
              <w:t xml:space="preserve"> which entails the following:</w:t>
            </w:r>
          </w:p>
          <w:p w:rsidR="007570F2" w:rsidRPr="00DE0568" w:rsidRDefault="007570F2" w:rsidP="007570F2">
            <w:pPr>
              <w:pStyle w:val="NoSpacing"/>
              <w:numPr>
                <w:ilvl w:val="0"/>
                <w:numId w:val="5"/>
              </w:numPr>
            </w:pPr>
            <w:r w:rsidRPr="00DE0568">
              <w:t>Identifying of the band 37-40.5 GHz to terrestrial component of IMT.</w:t>
            </w:r>
          </w:p>
          <w:p w:rsidR="007570F2" w:rsidRPr="00DE0568" w:rsidRDefault="007570F2" w:rsidP="007570F2">
            <w:pPr>
              <w:pStyle w:val="NoSpacing"/>
              <w:numPr>
                <w:ilvl w:val="0"/>
                <w:numId w:val="5"/>
              </w:numPr>
            </w:pPr>
            <w:r w:rsidRPr="00DE0568">
              <w:t>No condition necessary with respect to EESS in the lower adjacent band:</w:t>
            </w:r>
          </w:p>
          <w:p w:rsidR="007570F2" w:rsidRPr="00DE0568" w:rsidRDefault="007570F2" w:rsidP="007570F2">
            <w:pPr>
              <w:pStyle w:val="NoSpacing"/>
              <w:numPr>
                <w:ilvl w:val="0"/>
                <w:numId w:val="6"/>
              </w:numPr>
            </w:pPr>
            <w:r w:rsidRPr="00DE0568">
              <w:t xml:space="preserve">The following </w:t>
            </w:r>
            <w:r w:rsidRPr="00DE0568">
              <w:rPr>
                <w:b/>
              </w:rPr>
              <w:t>conditions and options</w:t>
            </w:r>
            <w:r w:rsidRPr="00DE0568">
              <w:t xml:space="preserve"> with respect to other services:</w:t>
            </w:r>
          </w:p>
          <w:p w:rsidR="007570F2" w:rsidRPr="00DE0568" w:rsidRDefault="007570F2" w:rsidP="007570F2">
            <w:pPr>
              <w:pStyle w:val="NoSpacing"/>
              <w:numPr>
                <w:ilvl w:val="0"/>
                <w:numId w:val="3"/>
              </w:numPr>
            </w:pPr>
            <w:r w:rsidRPr="00DE0568">
              <w:t>Condition C2b: Option 6</w:t>
            </w:r>
          </w:p>
          <w:p w:rsidR="007570F2" w:rsidRPr="00DE0568" w:rsidRDefault="007570F2" w:rsidP="007570F2">
            <w:pPr>
              <w:pStyle w:val="NoSpacing"/>
              <w:numPr>
                <w:ilvl w:val="0"/>
                <w:numId w:val="3"/>
              </w:numPr>
            </w:pPr>
            <w:r w:rsidRPr="00DE0568">
              <w:t>Condition C2c: Option 3</w:t>
            </w:r>
          </w:p>
          <w:p w:rsidR="007570F2" w:rsidRPr="00DE0568" w:rsidRDefault="007570F2" w:rsidP="007570F2">
            <w:pPr>
              <w:pStyle w:val="NoSpacing"/>
              <w:numPr>
                <w:ilvl w:val="0"/>
                <w:numId w:val="3"/>
              </w:numPr>
            </w:pPr>
            <w:r w:rsidRPr="00DE0568">
              <w:t>Condition C2d: Option 2</w:t>
            </w:r>
          </w:p>
          <w:p w:rsidR="007570F2" w:rsidRPr="00DE0568" w:rsidRDefault="007570F2" w:rsidP="007570F2">
            <w:pPr>
              <w:pStyle w:val="NoSpacing"/>
              <w:numPr>
                <w:ilvl w:val="0"/>
                <w:numId w:val="3"/>
              </w:numPr>
            </w:pPr>
            <w:r w:rsidRPr="00DE0568">
              <w:t>Condition C2e: Option 3</w:t>
            </w:r>
          </w:p>
          <w:p w:rsidR="007570F2" w:rsidRPr="00DE0568" w:rsidRDefault="007570F2" w:rsidP="00D94826">
            <w:pPr>
              <w:pStyle w:val="ListParagraph"/>
              <w:numPr>
                <w:ilvl w:val="0"/>
                <w:numId w:val="2"/>
              </w:numPr>
              <w:spacing w:before="240" w:after="0"/>
              <w:jc w:val="both"/>
              <w:rPr>
                <w:rFonts w:ascii="Calibri" w:hAnsi="Calibri" w:cs="Calibri"/>
                <w:sz w:val="22"/>
                <w:szCs w:val="22"/>
                <w:lang w:val="en-GB"/>
              </w:rPr>
            </w:pPr>
            <w:r w:rsidRPr="00DE0568">
              <w:rPr>
                <w:rFonts w:ascii="Calibri" w:hAnsi="Calibri" w:cs="Calibri"/>
                <w:b/>
                <w:sz w:val="22"/>
                <w:szCs w:val="22"/>
                <w:lang w:val="en-GB"/>
              </w:rPr>
              <w:t>For the band 40.5-42.5 GHz (Band D):</w:t>
            </w:r>
          </w:p>
          <w:p w:rsidR="007570F2" w:rsidRPr="00DE0568" w:rsidRDefault="007570F2" w:rsidP="007570F2">
            <w:pPr>
              <w:pStyle w:val="NoSpacing"/>
              <w:numPr>
                <w:ilvl w:val="0"/>
                <w:numId w:val="7"/>
              </w:numPr>
            </w:pPr>
            <w:r w:rsidRPr="00DE0568">
              <w:rPr>
                <w:b/>
              </w:rPr>
              <w:t>Method D2, Alternative 2</w:t>
            </w:r>
            <w:r w:rsidRPr="00DE0568">
              <w:t xml:space="preserve">, which entails </w:t>
            </w:r>
            <w:r w:rsidRPr="00DE0568">
              <w:rPr>
                <w:b/>
              </w:rPr>
              <w:t>upgrading</w:t>
            </w:r>
            <w:r w:rsidRPr="00DE0568">
              <w:t xml:space="preserve"> the mobile allocation to a primary service in the Table of Frequency allocations and </w:t>
            </w:r>
            <w:r w:rsidRPr="00DE0568">
              <w:rPr>
                <w:b/>
              </w:rPr>
              <w:t>identifying</w:t>
            </w:r>
            <w:r w:rsidRPr="00DE0568">
              <w:t xml:space="preserve"> the frequency band for IMT by a new footnote in the frequency band 40.5-42.5 GHz.</w:t>
            </w:r>
          </w:p>
          <w:p w:rsidR="007570F2" w:rsidRPr="00DE0568" w:rsidRDefault="007570F2" w:rsidP="007570F2">
            <w:pPr>
              <w:pStyle w:val="NoSpacing"/>
              <w:numPr>
                <w:ilvl w:val="0"/>
                <w:numId w:val="7"/>
              </w:numPr>
            </w:pPr>
            <w:r w:rsidRPr="00DE0568">
              <w:t xml:space="preserve">The following </w:t>
            </w:r>
            <w:r w:rsidRPr="00DE0568">
              <w:rPr>
                <w:b/>
              </w:rPr>
              <w:t>conditions and options</w:t>
            </w:r>
            <w:r w:rsidRPr="00DE0568">
              <w:t xml:space="preserve"> with respect to other services:</w:t>
            </w:r>
          </w:p>
          <w:p w:rsidR="007570F2" w:rsidRPr="00DE0568" w:rsidRDefault="007570F2" w:rsidP="007570F2">
            <w:pPr>
              <w:pStyle w:val="NoSpacing"/>
              <w:numPr>
                <w:ilvl w:val="0"/>
                <w:numId w:val="3"/>
              </w:numPr>
            </w:pPr>
            <w:r w:rsidRPr="00DE0568">
              <w:t>Condition D2a: Option 5 – no condition necessary</w:t>
            </w:r>
          </w:p>
          <w:p w:rsidR="007570F2" w:rsidRPr="00DE0568" w:rsidRDefault="007570F2" w:rsidP="007570F2">
            <w:pPr>
              <w:pStyle w:val="NoSpacing"/>
              <w:numPr>
                <w:ilvl w:val="0"/>
                <w:numId w:val="3"/>
              </w:numPr>
            </w:pPr>
            <w:r w:rsidRPr="00DE0568">
              <w:t>Condition D2b: Option 3 – no condition necessary</w:t>
            </w:r>
          </w:p>
          <w:p w:rsidR="007570F2" w:rsidRPr="00DE0568" w:rsidRDefault="007570F2" w:rsidP="007570F2">
            <w:pPr>
              <w:pStyle w:val="NoSpacing"/>
              <w:numPr>
                <w:ilvl w:val="0"/>
                <w:numId w:val="3"/>
              </w:numPr>
            </w:pPr>
            <w:r w:rsidRPr="00DE0568">
              <w:t>Condition D2c: Option 3 – no condition necessary</w:t>
            </w: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t>For the band 42.5- 43.5 GHz (Band E):</w:t>
            </w:r>
          </w:p>
          <w:p w:rsidR="007570F2" w:rsidRPr="00DE0568" w:rsidRDefault="007570F2" w:rsidP="007570F2">
            <w:pPr>
              <w:pStyle w:val="NoSpacing"/>
              <w:numPr>
                <w:ilvl w:val="0"/>
                <w:numId w:val="8"/>
              </w:numPr>
            </w:pPr>
            <w:r w:rsidRPr="00DE0568">
              <w:rPr>
                <w:b/>
              </w:rPr>
              <w:t>Method E2, Alternative 2</w:t>
            </w:r>
            <w:r w:rsidRPr="00DE0568">
              <w:t xml:space="preserve">, which entails identifying the 42.5-43.5 GHz to terrestrial component of IMT. </w:t>
            </w:r>
          </w:p>
          <w:p w:rsidR="007570F2" w:rsidRPr="00DE0568" w:rsidRDefault="007570F2" w:rsidP="007570F2">
            <w:pPr>
              <w:pStyle w:val="NoSpacing"/>
              <w:numPr>
                <w:ilvl w:val="0"/>
                <w:numId w:val="8"/>
              </w:numPr>
            </w:pPr>
            <w:r w:rsidRPr="00DE0568">
              <w:t xml:space="preserve">Take the following </w:t>
            </w:r>
            <w:r w:rsidRPr="00DE0568">
              <w:rPr>
                <w:b/>
              </w:rPr>
              <w:t>conditions and options</w:t>
            </w:r>
            <w:r w:rsidRPr="00DE0568">
              <w:t>:</w:t>
            </w:r>
          </w:p>
          <w:p w:rsidR="007570F2" w:rsidRPr="00DE0568" w:rsidRDefault="007570F2" w:rsidP="007570F2">
            <w:pPr>
              <w:pStyle w:val="NoSpacing"/>
              <w:numPr>
                <w:ilvl w:val="0"/>
                <w:numId w:val="3"/>
              </w:numPr>
            </w:pPr>
            <w:r w:rsidRPr="00DE0568">
              <w:t>Condition E2a: Option 7 – no condition necessary</w:t>
            </w:r>
          </w:p>
          <w:p w:rsidR="007570F2" w:rsidRPr="00DE0568" w:rsidRDefault="007570F2" w:rsidP="007570F2">
            <w:pPr>
              <w:pStyle w:val="NoSpacing"/>
              <w:numPr>
                <w:ilvl w:val="0"/>
                <w:numId w:val="3"/>
              </w:numPr>
            </w:pPr>
            <w:r w:rsidRPr="00DE0568">
              <w:t>Condition E2b: Option 3 – no condition necessary</w:t>
            </w:r>
          </w:p>
          <w:p w:rsidR="007570F2" w:rsidRPr="00DE0568" w:rsidRDefault="007570F2" w:rsidP="007570F2">
            <w:pPr>
              <w:pStyle w:val="NoSpacing"/>
              <w:numPr>
                <w:ilvl w:val="0"/>
                <w:numId w:val="3"/>
              </w:numPr>
            </w:pPr>
            <w:r w:rsidRPr="00DE0568">
              <w:t>Condition E2c: Option 4 – no condition necessary</w:t>
            </w: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t>For the band 45.5- 47.0 GHz (Band F):</w:t>
            </w:r>
          </w:p>
          <w:p w:rsidR="007570F2" w:rsidRPr="00DE0568" w:rsidRDefault="007570F2" w:rsidP="00D94826">
            <w:pPr>
              <w:pStyle w:val="NoSpacing"/>
              <w:ind w:left="360"/>
            </w:pPr>
            <w:r w:rsidRPr="00DE0568">
              <w:t>To be developed.</w:t>
            </w: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t>For the band 47- 47.2 GHz (Band G):</w:t>
            </w:r>
          </w:p>
          <w:p w:rsidR="007570F2" w:rsidRPr="00DE0568" w:rsidRDefault="007570F2" w:rsidP="00D94826">
            <w:pPr>
              <w:pStyle w:val="NoSpacing"/>
              <w:ind w:left="360"/>
            </w:pPr>
            <w:r w:rsidRPr="00DE0568">
              <w:t>To be developed.</w:t>
            </w: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t>For the band 47.2- 50.2 GHz (Band H):</w:t>
            </w:r>
          </w:p>
          <w:p w:rsidR="007570F2" w:rsidRPr="00DE0568" w:rsidRDefault="007570F2" w:rsidP="007570F2">
            <w:pPr>
              <w:pStyle w:val="NoSpacing"/>
              <w:numPr>
                <w:ilvl w:val="0"/>
                <w:numId w:val="9"/>
              </w:numPr>
            </w:pPr>
            <w:r w:rsidRPr="00DE0568">
              <w:rPr>
                <w:b/>
              </w:rPr>
              <w:t>Method H2, Alternative 2,</w:t>
            </w:r>
            <w:r w:rsidRPr="00DE0568">
              <w:t xml:space="preserve"> which entails identifying the 47.2-50.2 GHz frequency band for the terrestrial component of IMT.</w:t>
            </w:r>
          </w:p>
          <w:p w:rsidR="007570F2" w:rsidRPr="00DE0568" w:rsidRDefault="007570F2" w:rsidP="007570F2">
            <w:pPr>
              <w:pStyle w:val="NoSpacing"/>
              <w:numPr>
                <w:ilvl w:val="0"/>
                <w:numId w:val="9"/>
              </w:numPr>
            </w:pPr>
            <w:r w:rsidRPr="00DE0568">
              <w:t xml:space="preserve">The following </w:t>
            </w:r>
            <w:r w:rsidRPr="00DE0568">
              <w:rPr>
                <w:b/>
              </w:rPr>
              <w:t>conditions and options</w:t>
            </w:r>
            <w:r w:rsidRPr="00DE0568">
              <w:t>:</w:t>
            </w:r>
          </w:p>
          <w:p w:rsidR="007570F2" w:rsidRPr="00DE0568" w:rsidRDefault="007570F2" w:rsidP="007570F2">
            <w:pPr>
              <w:pStyle w:val="NoSpacing"/>
              <w:numPr>
                <w:ilvl w:val="0"/>
                <w:numId w:val="3"/>
              </w:numPr>
            </w:pPr>
            <w:r w:rsidRPr="00DE0568">
              <w:t xml:space="preserve">Condition H2a: Option 2 – Resolution 750 (Rev. WRC-19) in Table 1-1, taking into account RR No. 5.340.1 </w:t>
            </w:r>
          </w:p>
          <w:p w:rsidR="007570F2" w:rsidRPr="00DE0568" w:rsidRDefault="007570F2" w:rsidP="007570F2">
            <w:pPr>
              <w:pStyle w:val="NoSpacing"/>
              <w:numPr>
                <w:ilvl w:val="0"/>
                <w:numId w:val="3"/>
              </w:numPr>
            </w:pPr>
            <w:r w:rsidRPr="00DE0568">
              <w:t>Condition H2b: Option 8 – no condition necessary</w:t>
            </w:r>
          </w:p>
          <w:p w:rsidR="007570F2" w:rsidRPr="00DE0568" w:rsidRDefault="007570F2" w:rsidP="007570F2">
            <w:pPr>
              <w:pStyle w:val="NoSpacing"/>
              <w:numPr>
                <w:ilvl w:val="0"/>
                <w:numId w:val="3"/>
              </w:numPr>
            </w:pPr>
            <w:r w:rsidRPr="00DE0568">
              <w:t>Condition H2c: Option 3 – no condition necessary</w:t>
            </w:r>
          </w:p>
          <w:p w:rsidR="007570F2" w:rsidRDefault="007570F2" w:rsidP="007570F2">
            <w:pPr>
              <w:pStyle w:val="NoSpacing"/>
              <w:numPr>
                <w:ilvl w:val="0"/>
                <w:numId w:val="3"/>
              </w:numPr>
            </w:pPr>
            <w:r w:rsidRPr="00DE0568">
              <w:t>Condition H2d: Option 4 – no condition necessary</w:t>
            </w:r>
          </w:p>
          <w:p w:rsidR="00506CE8" w:rsidRDefault="00506CE8" w:rsidP="00506CE8">
            <w:pPr>
              <w:pStyle w:val="NoSpacing"/>
            </w:pPr>
          </w:p>
          <w:p w:rsidR="00506CE8" w:rsidRDefault="00506CE8" w:rsidP="00506CE8">
            <w:pPr>
              <w:pStyle w:val="NoSpacing"/>
            </w:pPr>
          </w:p>
          <w:p w:rsidR="00506CE8" w:rsidRDefault="00506CE8" w:rsidP="00506CE8">
            <w:pPr>
              <w:pStyle w:val="NoSpacing"/>
            </w:pPr>
          </w:p>
          <w:p w:rsidR="00506CE8" w:rsidRPr="00DE0568" w:rsidRDefault="00506CE8" w:rsidP="00506CE8">
            <w:pPr>
              <w:pStyle w:val="NoSpacing"/>
            </w:pP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lastRenderedPageBreak/>
              <w:t>For the band 50.4- 52.6 GHz (Band I):</w:t>
            </w:r>
          </w:p>
          <w:p w:rsidR="007570F2" w:rsidRPr="00DE0568" w:rsidRDefault="007570F2" w:rsidP="007570F2">
            <w:pPr>
              <w:pStyle w:val="NoSpacing"/>
              <w:numPr>
                <w:ilvl w:val="0"/>
                <w:numId w:val="10"/>
              </w:numPr>
              <w:rPr>
                <w:b/>
              </w:rPr>
            </w:pPr>
            <w:r w:rsidRPr="00DE0568">
              <w:rPr>
                <w:b/>
              </w:rPr>
              <w:t xml:space="preserve">Method I2, Alternative 2 </w:t>
            </w:r>
            <w:r w:rsidRPr="00DE0568">
              <w:t>which entails identification to terrestrial component of IMT in 50.4-52.6 GHz (in the mobile service)</w:t>
            </w:r>
          </w:p>
          <w:p w:rsidR="007570F2" w:rsidRPr="00DE0568" w:rsidRDefault="007570F2" w:rsidP="007570F2">
            <w:pPr>
              <w:pStyle w:val="NoSpacing"/>
              <w:numPr>
                <w:ilvl w:val="0"/>
                <w:numId w:val="10"/>
              </w:numPr>
              <w:rPr>
                <w:b/>
              </w:rPr>
            </w:pPr>
            <w:r w:rsidRPr="00DE0568">
              <w:rPr>
                <w:b/>
              </w:rPr>
              <w:t>The following conditions and options:</w:t>
            </w:r>
          </w:p>
          <w:p w:rsidR="007570F2" w:rsidRPr="00DE0568" w:rsidRDefault="007570F2" w:rsidP="007570F2">
            <w:pPr>
              <w:pStyle w:val="NoSpacing"/>
              <w:numPr>
                <w:ilvl w:val="0"/>
                <w:numId w:val="3"/>
              </w:numPr>
            </w:pPr>
            <w:r w:rsidRPr="00DE0568">
              <w:t>Condition I2a: Option 2 – Resolution 750 (Rev. WRC-19) in Table 1-1, taking into account RR No. 5.340.1.</w:t>
            </w:r>
          </w:p>
          <w:p w:rsidR="007570F2" w:rsidRPr="00DE0568" w:rsidRDefault="007570F2" w:rsidP="007570F2">
            <w:pPr>
              <w:pStyle w:val="NoSpacing"/>
              <w:numPr>
                <w:ilvl w:val="0"/>
                <w:numId w:val="3"/>
              </w:numPr>
            </w:pPr>
            <w:r w:rsidRPr="00DE0568">
              <w:t>Condition I2b: Option 7 – no condition necessary</w:t>
            </w:r>
          </w:p>
          <w:p w:rsidR="007570F2" w:rsidRPr="00DE0568" w:rsidRDefault="007570F2" w:rsidP="007570F2">
            <w:pPr>
              <w:pStyle w:val="NoSpacing"/>
              <w:numPr>
                <w:ilvl w:val="0"/>
                <w:numId w:val="3"/>
              </w:numPr>
            </w:pPr>
            <w:r w:rsidRPr="00DE0568">
              <w:t>Condition I2c: Option 4 – no condition necessary</w:t>
            </w:r>
          </w:p>
          <w:p w:rsidR="007570F2" w:rsidRPr="00DE0568" w:rsidRDefault="007570F2" w:rsidP="00D94826">
            <w:pPr>
              <w:pStyle w:val="ListParagraph"/>
              <w:suppressAutoHyphens w:val="0"/>
              <w:spacing w:after="0" w:line="240" w:lineRule="auto"/>
              <w:ind w:left="1069"/>
              <w:contextualSpacing/>
              <w:jc w:val="both"/>
              <w:rPr>
                <w:rFonts w:ascii="Calibri" w:hAnsi="Calibri" w:cs="Calibri"/>
                <w:sz w:val="22"/>
                <w:szCs w:val="22"/>
                <w:lang w:val="en-GB"/>
              </w:rPr>
            </w:pPr>
          </w:p>
          <w:p w:rsidR="007570F2" w:rsidRPr="00DE0568" w:rsidRDefault="007570F2" w:rsidP="00D94826">
            <w:pPr>
              <w:pStyle w:val="ListParagraph"/>
              <w:numPr>
                <w:ilvl w:val="0"/>
                <w:numId w:val="2"/>
              </w:numPr>
              <w:spacing w:after="0"/>
              <w:jc w:val="both"/>
              <w:rPr>
                <w:rFonts w:ascii="Calibri" w:hAnsi="Calibri" w:cs="Calibri"/>
                <w:b/>
                <w:sz w:val="22"/>
                <w:szCs w:val="22"/>
                <w:lang w:val="en-GB"/>
              </w:rPr>
            </w:pPr>
            <w:r w:rsidRPr="00DE0568">
              <w:rPr>
                <w:rFonts w:ascii="Calibri" w:hAnsi="Calibri" w:cs="Calibri"/>
                <w:b/>
                <w:sz w:val="22"/>
                <w:szCs w:val="22"/>
                <w:lang w:val="en-GB"/>
              </w:rPr>
              <w:t>For the band 66 - 71 GHz (Band J):</w:t>
            </w:r>
          </w:p>
          <w:p w:rsidR="007570F2" w:rsidRPr="00DE0568" w:rsidRDefault="007570F2" w:rsidP="007570F2">
            <w:pPr>
              <w:pStyle w:val="NoSpacing"/>
              <w:numPr>
                <w:ilvl w:val="0"/>
                <w:numId w:val="10"/>
              </w:numPr>
            </w:pPr>
            <w:r w:rsidRPr="00DE0568">
              <w:rPr>
                <w:b/>
              </w:rPr>
              <w:t>Support Method J2, Alternative 2,</w:t>
            </w:r>
            <w:r w:rsidRPr="00DE0568">
              <w:t xml:space="preserve"> which entails identifying identification to terrestrial component of IMT in 66-71 GHz (in the mobile service).</w:t>
            </w:r>
          </w:p>
          <w:p w:rsidR="007570F2" w:rsidRPr="00DE0568" w:rsidRDefault="007570F2" w:rsidP="007570F2">
            <w:pPr>
              <w:pStyle w:val="NoSpacing"/>
              <w:numPr>
                <w:ilvl w:val="0"/>
                <w:numId w:val="10"/>
              </w:numPr>
            </w:pPr>
            <w:r w:rsidRPr="00DE0568">
              <w:t xml:space="preserve">The following </w:t>
            </w:r>
            <w:r w:rsidRPr="00DE0568">
              <w:rPr>
                <w:b/>
              </w:rPr>
              <w:t>conditions and options</w:t>
            </w:r>
            <w:r w:rsidRPr="00DE0568">
              <w:t>:</w:t>
            </w:r>
          </w:p>
          <w:p w:rsidR="007570F2" w:rsidRPr="00DE0568" w:rsidRDefault="007570F2" w:rsidP="007570F2">
            <w:pPr>
              <w:pStyle w:val="NoSpacing"/>
              <w:numPr>
                <w:ilvl w:val="0"/>
                <w:numId w:val="3"/>
              </w:numPr>
            </w:pPr>
            <w:r w:rsidRPr="00DE0568">
              <w:t xml:space="preserve">Condition J2a: Option 1 </w:t>
            </w:r>
          </w:p>
          <w:p w:rsidR="007570F2" w:rsidRPr="00DE0568" w:rsidRDefault="007570F2" w:rsidP="007570F2">
            <w:pPr>
              <w:pStyle w:val="NoSpacing"/>
              <w:numPr>
                <w:ilvl w:val="1"/>
                <w:numId w:val="3"/>
              </w:numPr>
            </w:pPr>
            <w:r w:rsidRPr="00DE0568">
              <w:t xml:space="preserve">take into account the latest technical characteristics of IMT and MGWS/WAS </w:t>
            </w:r>
          </w:p>
          <w:p w:rsidR="007570F2" w:rsidRPr="00DE0568" w:rsidRDefault="007570F2" w:rsidP="007570F2">
            <w:pPr>
              <w:pStyle w:val="NoSpacing"/>
              <w:numPr>
                <w:ilvl w:val="1"/>
                <w:numId w:val="3"/>
              </w:numPr>
            </w:pPr>
            <w:r w:rsidRPr="00DE0568">
              <w:t xml:space="preserve">to invite ITU-R to develop Recommendations and Reports that will assist administrations in ensuring that applications and services in the band 66-71 GHz can utilize the band efficiently including the development of appropriate sharing protocols between IMT and MGWS/WAS where needed </w:t>
            </w:r>
          </w:p>
          <w:p w:rsidR="007570F2" w:rsidRPr="00DE0568" w:rsidRDefault="007570F2" w:rsidP="007570F2">
            <w:pPr>
              <w:pStyle w:val="NoSpacing"/>
              <w:numPr>
                <w:ilvl w:val="0"/>
                <w:numId w:val="3"/>
              </w:numPr>
            </w:pPr>
            <w:r w:rsidRPr="00DE0568">
              <w:t>Condition J2b: Option 1 – Revise RR No. 5.553 to remove the 66-71 GHz frequency band from that footnote.</w:t>
            </w:r>
          </w:p>
          <w:p w:rsidR="007570F2" w:rsidRDefault="007570F2" w:rsidP="007570F2">
            <w:pPr>
              <w:pStyle w:val="NoSpacing"/>
              <w:numPr>
                <w:ilvl w:val="0"/>
                <w:numId w:val="3"/>
              </w:numPr>
            </w:pPr>
            <w:r w:rsidRPr="00DE0568">
              <w:t>Condition J2c: Option 3 – no condition necessary.</w:t>
            </w:r>
          </w:p>
          <w:p w:rsidR="007570F2" w:rsidRPr="00DE0568" w:rsidRDefault="007570F2" w:rsidP="007570F2">
            <w:pPr>
              <w:pStyle w:val="NoSpacing"/>
              <w:ind w:left="1080"/>
            </w:pPr>
          </w:p>
          <w:p w:rsidR="007570F2" w:rsidRPr="00DE0568" w:rsidRDefault="007570F2" w:rsidP="00D94826">
            <w:pPr>
              <w:pStyle w:val="ListParagraph"/>
              <w:numPr>
                <w:ilvl w:val="0"/>
                <w:numId w:val="2"/>
              </w:numPr>
              <w:spacing w:after="0"/>
              <w:jc w:val="both"/>
              <w:rPr>
                <w:rFonts w:ascii="Calibri" w:hAnsi="Calibri" w:cs="Calibri"/>
                <w:b/>
                <w:sz w:val="22"/>
                <w:szCs w:val="22"/>
                <w:lang w:val="en-GB"/>
              </w:rPr>
            </w:pPr>
            <w:r w:rsidRPr="00DE0568">
              <w:rPr>
                <w:rFonts w:ascii="Calibri" w:hAnsi="Calibri" w:cs="Calibri"/>
                <w:b/>
                <w:sz w:val="22"/>
                <w:szCs w:val="22"/>
                <w:lang w:val="en-GB"/>
              </w:rPr>
              <w:t>For the band 71- 76 GHz (Band K):</w:t>
            </w:r>
          </w:p>
          <w:p w:rsidR="007570F2" w:rsidRPr="00DE0568" w:rsidRDefault="007570F2" w:rsidP="00D94826">
            <w:pPr>
              <w:pStyle w:val="NoSpacing"/>
              <w:ind w:left="360"/>
            </w:pPr>
            <w:r w:rsidRPr="00DE0568">
              <w:t>To be developed.</w:t>
            </w:r>
          </w:p>
          <w:p w:rsidR="007570F2" w:rsidRPr="00DE0568" w:rsidRDefault="007570F2" w:rsidP="00D94826">
            <w:pPr>
              <w:pStyle w:val="ListParagraph"/>
              <w:numPr>
                <w:ilvl w:val="0"/>
                <w:numId w:val="2"/>
              </w:numPr>
              <w:spacing w:before="240" w:after="0"/>
              <w:jc w:val="both"/>
              <w:rPr>
                <w:rFonts w:ascii="Calibri" w:hAnsi="Calibri" w:cs="Calibri"/>
                <w:b/>
                <w:sz w:val="22"/>
                <w:szCs w:val="22"/>
                <w:lang w:val="en-GB"/>
              </w:rPr>
            </w:pPr>
            <w:r w:rsidRPr="00DE0568">
              <w:rPr>
                <w:rFonts w:ascii="Calibri" w:hAnsi="Calibri" w:cs="Calibri"/>
                <w:b/>
                <w:sz w:val="22"/>
                <w:szCs w:val="22"/>
                <w:lang w:val="en-GB"/>
              </w:rPr>
              <w:t>For the band 81- 86 GHz (Band L):</w:t>
            </w:r>
          </w:p>
          <w:p w:rsidR="007570F2" w:rsidRPr="00DE0568" w:rsidRDefault="007570F2" w:rsidP="00D94826">
            <w:pPr>
              <w:pStyle w:val="NoSpacing"/>
              <w:ind w:left="360"/>
              <w:rPr>
                <w:rFonts w:cs="Calibri"/>
              </w:rPr>
            </w:pPr>
            <w:r w:rsidRPr="00DE0568">
              <w:t>To be developed.</w:t>
            </w:r>
          </w:p>
        </w:tc>
      </w:tr>
      <w:tr w:rsidR="007570F2" w:rsidRPr="00DE0568" w:rsidTr="00D94826">
        <w:trPr>
          <w:jc w:val="center"/>
        </w:trPr>
        <w:tc>
          <w:tcPr>
            <w:tcW w:w="2644" w:type="dxa"/>
            <w:vAlign w:val="center"/>
          </w:tcPr>
          <w:p w:rsidR="007570F2" w:rsidRPr="00DE0568" w:rsidRDefault="007570F2" w:rsidP="00D94826">
            <w:pPr>
              <w:spacing w:before="240"/>
              <w:rPr>
                <w:rFonts w:ascii="Calibri" w:hAnsi="Calibri" w:cs="Calibri"/>
                <w:b/>
                <w:sz w:val="22"/>
                <w:szCs w:val="22"/>
              </w:rPr>
            </w:pPr>
            <w:r w:rsidRPr="00DE0568">
              <w:rPr>
                <w:rFonts w:ascii="Calibri" w:hAnsi="Calibri" w:cs="Calibri"/>
                <w:b/>
                <w:sz w:val="22"/>
                <w:szCs w:val="22"/>
              </w:rPr>
              <w:lastRenderedPageBreak/>
              <w:t>AI 1.16</w:t>
            </w:r>
          </w:p>
          <w:p w:rsidR="007570F2" w:rsidRPr="00DE0568" w:rsidRDefault="007570F2" w:rsidP="00D94826">
            <w:pPr>
              <w:rPr>
                <w:rFonts w:ascii="Calibri" w:hAnsi="Calibri" w:cs="Calibri"/>
                <w:sz w:val="22"/>
                <w:szCs w:val="22"/>
              </w:rPr>
            </w:pPr>
            <w:r w:rsidRPr="00DE0568">
              <w:rPr>
                <w:rFonts w:ascii="Calibri" w:hAnsi="Calibri" w:cs="Calibri"/>
                <w:sz w:val="22"/>
                <w:szCs w:val="22"/>
              </w:rPr>
              <w:t>Wireless access systems, including radio local area networks (WAS/RLAN), in frequency bands between 5 150 MHz and 5 925 MHz.</w:t>
            </w:r>
          </w:p>
        </w:tc>
        <w:tc>
          <w:tcPr>
            <w:tcW w:w="7683" w:type="dxa"/>
            <w:vAlign w:val="center"/>
          </w:tcPr>
          <w:p w:rsidR="007570F2" w:rsidRPr="00DE0568" w:rsidRDefault="007570F2" w:rsidP="007570F2">
            <w:pPr>
              <w:pStyle w:val="ListParagraph"/>
              <w:numPr>
                <w:ilvl w:val="0"/>
                <w:numId w:val="19"/>
              </w:numPr>
              <w:spacing w:before="240" w:after="0"/>
              <w:rPr>
                <w:rFonts w:ascii="Calibri" w:hAnsi="Calibri" w:cs="Calibri"/>
                <w:b/>
                <w:sz w:val="22"/>
                <w:szCs w:val="22"/>
                <w:lang w:val="en-GB"/>
              </w:rPr>
            </w:pPr>
            <w:r w:rsidRPr="00DE0568">
              <w:rPr>
                <w:rFonts w:ascii="Calibri" w:hAnsi="Calibri" w:cs="Calibri"/>
                <w:b/>
                <w:sz w:val="22"/>
                <w:szCs w:val="22"/>
                <w:lang w:val="en-GB"/>
              </w:rPr>
              <w:t>For the band 5150- 5250 MHz (Band A)</w:t>
            </w:r>
          </w:p>
          <w:p w:rsidR="007570F2" w:rsidRPr="00DE0568" w:rsidRDefault="007570F2" w:rsidP="00D94826">
            <w:pPr>
              <w:pStyle w:val="NoSpacing"/>
              <w:ind w:left="360"/>
            </w:pPr>
            <w:r w:rsidRPr="00DE0568">
              <w:rPr>
                <w:b/>
              </w:rPr>
              <w:t>Support Method A1 (NOC) or Method A3</w:t>
            </w:r>
            <w:r w:rsidRPr="00DE0568">
              <w:t xml:space="preserve">: consideration of this agenda in respect of the two Methods would continue at sub-regional and WG2 level with a view to achieve consensus. </w:t>
            </w:r>
          </w:p>
          <w:p w:rsidR="007570F2" w:rsidRPr="00DE0568" w:rsidRDefault="007570F2" w:rsidP="007570F2">
            <w:pPr>
              <w:pStyle w:val="ListParagraph"/>
              <w:numPr>
                <w:ilvl w:val="0"/>
                <w:numId w:val="19"/>
              </w:numPr>
              <w:spacing w:before="240" w:after="0"/>
              <w:rPr>
                <w:rFonts w:ascii="Calibri" w:hAnsi="Calibri" w:cs="Calibri"/>
                <w:b/>
                <w:sz w:val="22"/>
                <w:szCs w:val="22"/>
                <w:lang w:val="en-GB"/>
              </w:rPr>
            </w:pPr>
            <w:r w:rsidRPr="00DE0568">
              <w:rPr>
                <w:rFonts w:ascii="Calibri" w:hAnsi="Calibri" w:cs="Calibri"/>
                <w:b/>
                <w:sz w:val="22"/>
                <w:szCs w:val="22"/>
                <w:lang w:val="en-GB"/>
              </w:rPr>
              <w:t>For the band 5250- 5350 MHz (Band B)</w:t>
            </w:r>
          </w:p>
          <w:p w:rsidR="007570F2" w:rsidRPr="00DE0568" w:rsidRDefault="007570F2" w:rsidP="00D94826">
            <w:pPr>
              <w:pStyle w:val="NoSpacing"/>
              <w:ind w:left="360"/>
            </w:pPr>
            <w:r w:rsidRPr="00DE0568">
              <w:rPr>
                <w:b/>
                <w:lang w:eastAsia="zh-CN"/>
              </w:rPr>
              <w:t xml:space="preserve">Method B (No Change) </w:t>
            </w:r>
          </w:p>
          <w:p w:rsidR="007570F2" w:rsidRPr="00DE0568" w:rsidRDefault="007570F2" w:rsidP="007570F2">
            <w:pPr>
              <w:pStyle w:val="ListParagraph"/>
              <w:numPr>
                <w:ilvl w:val="0"/>
                <w:numId w:val="19"/>
              </w:numPr>
              <w:spacing w:before="240" w:after="0"/>
              <w:rPr>
                <w:rFonts w:ascii="Calibri" w:hAnsi="Calibri" w:cs="Calibri"/>
                <w:b/>
                <w:sz w:val="22"/>
                <w:szCs w:val="22"/>
                <w:lang w:val="en-GB"/>
              </w:rPr>
            </w:pPr>
            <w:r w:rsidRPr="00DE0568">
              <w:rPr>
                <w:rFonts w:ascii="Calibri" w:hAnsi="Calibri" w:cs="Calibri"/>
                <w:b/>
                <w:sz w:val="22"/>
                <w:szCs w:val="22"/>
                <w:lang w:val="en-GB"/>
              </w:rPr>
              <w:t>For the band 5350- 5470 MHz (Band C)</w:t>
            </w:r>
          </w:p>
          <w:p w:rsidR="007570F2" w:rsidRPr="00DE0568" w:rsidRDefault="007570F2" w:rsidP="00D94826">
            <w:pPr>
              <w:pStyle w:val="NoSpacing"/>
              <w:ind w:left="360"/>
            </w:pPr>
            <w:r w:rsidRPr="00DE0568">
              <w:rPr>
                <w:b/>
                <w:lang w:eastAsia="zh-CN"/>
              </w:rPr>
              <w:t>Method C (No Change)</w:t>
            </w:r>
          </w:p>
          <w:p w:rsidR="007570F2" w:rsidRPr="00DE0568" w:rsidRDefault="007570F2" w:rsidP="007570F2">
            <w:pPr>
              <w:pStyle w:val="ListParagraph"/>
              <w:numPr>
                <w:ilvl w:val="0"/>
                <w:numId w:val="19"/>
              </w:numPr>
              <w:spacing w:before="240" w:after="0"/>
              <w:rPr>
                <w:rFonts w:ascii="Calibri" w:hAnsi="Calibri" w:cs="Calibri"/>
                <w:b/>
                <w:sz w:val="22"/>
                <w:szCs w:val="22"/>
                <w:lang w:val="en-GB"/>
              </w:rPr>
            </w:pPr>
            <w:r w:rsidRPr="00DE0568">
              <w:rPr>
                <w:rFonts w:ascii="Calibri" w:hAnsi="Calibri" w:cs="Calibri"/>
                <w:b/>
                <w:sz w:val="22"/>
                <w:szCs w:val="22"/>
                <w:lang w:val="en-GB"/>
              </w:rPr>
              <w:t>For the band 5725- 5850 MHz (Band D)</w:t>
            </w:r>
          </w:p>
          <w:p w:rsidR="007570F2" w:rsidRPr="00DE0568" w:rsidRDefault="007570F2" w:rsidP="00D94826">
            <w:pPr>
              <w:pStyle w:val="NoSpacing"/>
              <w:ind w:left="360"/>
            </w:pPr>
            <w:r w:rsidRPr="00DE0568">
              <w:rPr>
                <w:b/>
                <w:lang w:eastAsia="zh-CN"/>
              </w:rPr>
              <w:t xml:space="preserve">Method D (No Change) </w:t>
            </w:r>
            <w:r w:rsidRPr="00DE0568">
              <w:rPr>
                <w:lang w:eastAsia="zh-CN"/>
              </w:rPr>
              <w:t>while continuing the consideration of Method D2 at sub-regional and WG2 levels.</w:t>
            </w:r>
          </w:p>
          <w:p w:rsidR="007570F2" w:rsidRPr="00DE0568" w:rsidRDefault="007570F2" w:rsidP="007570F2">
            <w:pPr>
              <w:pStyle w:val="ListParagraph"/>
              <w:numPr>
                <w:ilvl w:val="0"/>
                <w:numId w:val="19"/>
              </w:numPr>
              <w:spacing w:before="240" w:after="0"/>
              <w:rPr>
                <w:rFonts w:ascii="Calibri" w:hAnsi="Calibri" w:cs="Calibri"/>
                <w:b/>
                <w:sz w:val="22"/>
                <w:szCs w:val="22"/>
                <w:lang w:val="en-GB"/>
              </w:rPr>
            </w:pPr>
            <w:r w:rsidRPr="00DE0568">
              <w:rPr>
                <w:rFonts w:ascii="Calibri" w:hAnsi="Calibri" w:cs="Calibri"/>
                <w:b/>
                <w:sz w:val="22"/>
                <w:szCs w:val="22"/>
                <w:lang w:val="en-GB"/>
              </w:rPr>
              <w:t>For the band 5850- 5925 MHz (Band E)</w:t>
            </w:r>
          </w:p>
          <w:p w:rsidR="007570F2" w:rsidRDefault="007570F2" w:rsidP="00D94826">
            <w:pPr>
              <w:pStyle w:val="NoSpacing"/>
              <w:ind w:left="360"/>
              <w:rPr>
                <w:b/>
                <w:lang w:eastAsia="zh-CN"/>
              </w:rPr>
            </w:pPr>
            <w:r w:rsidRPr="00DE0568">
              <w:rPr>
                <w:b/>
                <w:lang w:eastAsia="zh-CN"/>
              </w:rPr>
              <w:t>Method E1 (No Change)</w:t>
            </w:r>
          </w:p>
          <w:p w:rsidR="00506CE8" w:rsidRDefault="00506CE8" w:rsidP="00D94826">
            <w:pPr>
              <w:pStyle w:val="NoSpacing"/>
              <w:ind w:left="360"/>
              <w:rPr>
                <w:b/>
                <w:lang w:eastAsia="zh-CN"/>
              </w:rPr>
            </w:pPr>
          </w:p>
          <w:p w:rsidR="00506CE8" w:rsidRPr="00DE0568" w:rsidRDefault="00506CE8" w:rsidP="00D94826">
            <w:pPr>
              <w:pStyle w:val="NoSpacing"/>
              <w:ind w:left="360"/>
            </w:pPr>
          </w:p>
        </w:tc>
      </w:tr>
      <w:tr w:rsidR="007570F2" w:rsidRPr="00DE0568" w:rsidTr="00D94826">
        <w:trPr>
          <w:jc w:val="center"/>
        </w:trPr>
        <w:tc>
          <w:tcPr>
            <w:tcW w:w="2644" w:type="dxa"/>
            <w:vAlign w:val="center"/>
          </w:tcPr>
          <w:p w:rsidR="007570F2" w:rsidRPr="00DE0568" w:rsidRDefault="007570F2" w:rsidP="00D94826">
            <w:pPr>
              <w:rPr>
                <w:rFonts w:ascii="Calibri" w:hAnsi="Calibri" w:cs="Calibri"/>
                <w:b/>
                <w:sz w:val="22"/>
                <w:szCs w:val="22"/>
              </w:rPr>
            </w:pPr>
            <w:r w:rsidRPr="00DE0568">
              <w:rPr>
                <w:rFonts w:ascii="Calibri" w:hAnsi="Calibri" w:cs="Calibri"/>
                <w:b/>
                <w:sz w:val="22"/>
                <w:szCs w:val="22"/>
              </w:rPr>
              <w:lastRenderedPageBreak/>
              <w:t>AI 9.1-1</w:t>
            </w:r>
          </w:p>
          <w:p w:rsidR="007570F2" w:rsidRPr="00DE0568" w:rsidRDefault="007570F2" w:rsidP="00D94826">
            <w:pPr>
              <w:rPr>
                <w:rFonts w:ascii="Calibri" w:hAnsi="Calibri" w:cs="Calibri"/>
                <w:sz w:val="22"/>
                <w:szCs w:val="22"/>
              </w:rPr>
            </w:pPr>
            <w:r w:rsidRPr="00DE0568">
              <w:rPr>
                <w:rFonts w:ascii="Calibri" w:hAnsi="Calibri" w:cs="Calibri"/>
                <w:sz w:val="22"/>
                <w:szCs w:val="22"/>
              </w:rPr>
              <w:t>Implementation of IMT in  1885 - 2025 MHz and 2110 - 2200 MHz.</w:t>
            </w:r>
          </w:p>
        </w:tc>
        <w:tc>
          <w:tcPr>
            <w:tcW w:w="7683" w:type="dxa"/>
            <w:vAlign w:val="center"/>
          </w:tcPr>
          <w:p w:rsidR="007570F2" w:rsidRPr="00DE0568" w:rsidRDefault="007570F2" w:rsidP="00D94826">
            <w:pPr>
              <w:pStyle w:val="NoSpacing"/>
              <w:rPr>
                <w:b/>
              </w:rPr>
            </w:pPr>
            <w:r w:rsidRPr="00DE0568">
              <w:rPr>
                <w:b/>
              </w:rPr>
              <w:t>To be developed.</w:t>
            </w:r>
          </w:p>
        </w:tc>
      </w:tr>
      <w:tr w:rsidR="007570F2" w:rsidRPr="00DE0568" w:rsidTr="00D94826">
        <w:trPr>
          <w:jc w:val="center"/>
        </w:trPr>
        <w:tc>
          <w:tcPr>
            <w:tcW w:w="2644" w:type="dxa"/>
            <w:vAlign w:val="center"/>
          </w:tcPr>
          <w:p w:rsidR="007570F2" w:rsidRPr="00DE0568" w:rsidRDefault="007570F2" w:rsidP="00D94826">
            <w:pPr>
              <w:rPr>
                <w:rFonts w:ascii="Calibri" w:hAnsi="Calibri" w:cs="Calibri"/>
                <w:b/>
                <w:sz w:val="22"/>
                <w:szCs w:val="22"/>
              </w:rPr>
            </w:pPr>
            <w:r w:rsidRPr="00DE0568">
              <w:rPr>
                <w:rFonts w:ascii="Calibri" w:hAnsi="Calibri" w:cs="Calibri"/>
                <w:b/>
                <w:sz w:val="22"/>
                <w:szCs w:val="22"/>
              </w:rPr>
              <w:t>AI 9.1-5</w:t>
            </w:r>
          </w:p>
          <w:p w:rsidR="007570F2" w:rsidRPr="00DE0568" w:rsidRDefault="007570F2" w:rsidP="00D94826">
            <w:pPr>
              <w:rPr>
                <w:rFonts w:ascii="Calibri" w:hAnsi="Calibri" w:cs="Calibri"/>
                <w:sz w:val="22"/>
                <w:szCs w:val="22"/>
              </w:rPr>
            </w:pPr>
            <w:r w:rsidRPr="00DE0568">
              <w:rPr>
                <w:rFonts w:ascii="Calibri" w:hAnsi="Calibri" w:cs="Calibri"/>
                <w:sz w:val="22"/>
                <w:szCs w:val="22"/>
              </w:rPr>
              <w:t>Impacts of referencing Recommendations ITU-R M.1638-1 and ITU R M.1849-1 in Nos. 5.447F and 5.450A of the Radio Regulations.</w:t>
            </w:r>
          </w:p>
        </w:tc>
        <w:tc>
          <w:tcPr>
            <w:tcW w:w="7683" w:type="dxa"/>
            <w:vAlign w:val="center"/>
          </w:tcPr>
          <w:p w:rsidR="007570F2" w:rsidRPr="00DE0568" w:rsidRDefault="007570F2" w:rsidP="00D94826">
            <w:pPr>
              <w:pStyle w:val="NoSpacing"/>
              <w:rPr>
                <w:b/>
              </w:rPr>
            </w:pPr>
            <w:r w:rsidRPr="00DE0568">
              <w:rPr>
                <w:b/>
              </w:rPr>
              <w:t>The No Change approach</w:t>
            </w:r>
          </w:p>
        </w:tc>
      </w:tr>
      <w:tr w:rsidR="007570F2" w:rsidRPr="00DE0568" w:rsidTr="00D94826">
        <w:trPr>
          <w:jc w:val="center"/>
        </w:trPr>
        <w:tc>
          <w:tcPr>
            <w:tcW w:w="2644" w:type="dxa"/>
            <w:vAlign w:val="center"/>
          </w:tcPr>
          <w:p w:rsidR="007570F2" w:rsidRPr="00DE0568" w:rsidRDefault="007570F2" w:rsidP="00D94826">
            <w:pPr>
              <w:rPr>
                <w:rFonts w:ascii="Calibri" w:hAnsi="Calibri" w:cs="Calibri"/>
                <w:b/>
                <w:sz w:val="22"/>
                <w:szCs w:val="22"/>
              </w:rPr>
            </w:pPr>
            <w:r w:rsidRPr="00DE0568">
              <w:rPr>
                <w:rFonts w:ascii="Calibri" w:hAnsi="Calibri" w:cs="Calibri"/>
                <w:b/>
                <w:sz w:val="22"/>
                <w:szCs w:val="22"/>
              </w:rPr>
              <w:t>AI 9.1-8</w:t>
            </w:r>
          </w:p>
          <w:p w:rsidR="007570F2" w:rsidRPr="00DE0568" w:rsidRDefault="007570F2" w:rsidP="00D94826">
            <w:pPr>
              <w:rPr>
                <w:rFonts w:ascii="Calibri" w:hAnsi="Calibri" w:cs="Calibri"/>
                <w:sz w:val="22"/>
                <w:szCs w:val="22"/>
              </w:rPr>
            </w:pPr>
            <w:r w:rsidRPr="00DE0568">
              <w:rPr>
                <w:rFonts w:ascii="Calibri" w:hAnsi="Calibri" w:cs="Calibri"/>
                <w:sz w:val="22"/>
                <w:szCs w:val="22"/>
              </w:rPr>
              <w:t>Implementation of narrowband and broadband machine-type communication infrastructures from the spectrum perspective.</w:t>
            </w:r>
          </w:p>
        </w:tc>
        <w:tc>
          <w:tcPr>
            <w:tcW w:w="7683" w:type="dxa"/>
            <w:vAlign w:val="center"/>
          </w:tcPr>
          <w:p w:rsidR="007570F2" w:rsidRPr="00DE0568" w:rsidRDefault="007570F2" w:rsidP="00D94826">
            <w:pPr>
              <w:pStyle w:val="NoSpacing"/>
              <w:rPr>
                <w:b/>
              </w:rPr>
            </w:pPr>
            <w:r w:rsidRPr="00DE0568">
              <w:rPr>
                <w:b/>
              </w:rPr>
              <w:t>The No Change approach</w:t>
            </w:r>
          </w:p>
        </w:tc>
      </w:tr>
    </w:tbl>
    <w:p w:rsidR="007570F2" w:rsidRDefault="007570F2" w:rsidP="007570F2">
      <w:pPr>
        <w:pStyle w:val="Heading1"/>
        <w:spacing w:after="120"/>
      </w:pPr>
      <w:bookmarkStart w:id="13" w:name="_Toc488665415"/>
      <w:bookmarkStart w:id="14" w:name="_Toc525378141"/>
      <w:r w:rsidRPr="00971223">
        <w:t>Chapter 3: Satellite services</w:t>
      </w:r>
      <w:bookmarkEnd w:id="13"/>
      <w:bookmarkEnd w:id="14"/>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7664"/>
      </w:tblGrid>
      <w:tr w:rsidR="007570F2" w:rsidRPr="009E2F7A" w:rsidTr="00D94826">
        <w:trPr>
          <w:jc w:val="center"/>
        </w:trPr>
        <w:tc>
          <w:tcPr>
            <w:tcW w:w="2625" w:type="dxa"/>
            <w:shd w:val="clear" w:color="auto" w:fill="00B050"/>
            <w:vAlign w:val="center"/>
          </w:tcPr>
          <w:p w:rsidR="007570F2" w:rsidRPr="009E2F7A" w:rsidRDefault="007570F2" w:rsidP="00D94826">
            <w:pPr>
              <w:jc w:val="center"/>
              <w:rPr>
                <w:rFonts w:ascii="Calibri" w:hAnsi="Calibri" w:cs="Calibri"/>
                <w:b/>
                <w:sz w:val="22"/>
                <w:szCs w:val="22"/>
              </w:rPr>
            </w:pPr>
            <w:r w:rsidRPr="009E2F7A">
              <w:rPr>
                <w:rFonts w:ascii="Calibri" w:hAnsi="Calibri" w:cs="Calibri"/>
                <w:b/>
                <w:sz w:val="22"/>
                <w:szCs w:val="22"/>
              </w:rPr>
              <w:t>Agenda Item</w:t>
            </w:r>
          </w:p>
        </w:tc>
        <w:tc>
          <w:tcPr>
            <w:tcW w:w="7664" w:type="dxa"/>
            <w:shd w:val="clear" w:color="auto" w:fill="00B050"/>
            <w:vAlign w:val="center"/>
          </w:tcPr>
          <w:p w:rsidR="007570F2" w:rsidRPr="009E2F7A" w:rsidRDefault="007570F2" w:rsidP="00D94826">
            <w:pPr>
              <w:jc w:val="center"/>
              <w:rPr>
                <w:rFonts w:ascii="Calibri" w:hAnsi="Calibri" w:cs="Calibri"/>
                <w:b/>
                <w:sz w:val="22"/>
                <w:szCs w:val="22"/>
              </w:rPr>
            </w:pPr>
            <w:r w:rsidRPr="009E2F7A">
              <w:rPr>
                <w:rFonts w:ascii="Calibri" w:hAnsi="Calibri" w:cs="Calibri"/>
                <w:b/>
                <w:sz w:val="22"/>
                <w:szCs w:val="22"/>
              </w:rPr>
              <w:t>African preliminary position</w:t>
            </w:r>
          </w:p>
        </w:tc>
      </w:tr>
      <w:tr w:rsidR="007570F2" w:rsidRPr="009E2F7A" w:rsidTr="00D94826">
        <w:trPr>
          <w:jc w:val="center"/>
        </w:trPr>
        <w:tc>
          <w:tcPr>
            <w:tcW w:w="2625" w:type="dxa"/>
            <w:vAlign w:val="center"/>
          </w:tcPr>
          <w:p w:rsidR="007570F2" w:rsidRPr="009E2F7A" w:rsidRDefault="007570F2" w:rsidP="00D94826">
            <w:pPr>
              <w:rPr>
                <w:rFonts w:ascii="Calibri" w:hAnsi="Calibri" w:cs="Calibri"/>
                <w:b/>
                <w:sz w:val="22"/>
                <w:szCs w:val="22"/>
              </w:rPr>
            </w:pPr>
            <w:r w:rsidRPr="009E2F7A">
              <w:rPr>
                <w:rFonts w:ascii="Calibri" w:hAnsi="Calibri" w:cs="Calibri"/>
                <w:b/>
                <w:sz w:val="22"/>
                <w:szCs w:val="22"/>
              </w:rPr>
              <w:t>AI 1.4</w:t>
            </w:r>
          </w:p>
          <w:p w:rsidR="007570F2" w:rsidRPr="009E2F7A" w:rsidRDefault="007570F2" w:rsidP="00D94826">
            <w:pPr>
              <w:rPr>
                <w:rFonts w:ascii="Calibri" w:hAnsi="Calibri" w:cs="Calibri"/>
                <w:sz w:val="22"/>
                <w:szCs w:val="22"/>
              </w:rPr>
            </w:pPr>
            <w:r w:rsidRPr="009E2F7A">
              <w:rPr>
                <w:rFonts w:ascii="Calibri" w:hAnsi="Calibri" w:cs="Calibri"/>
                <w:sz w:val="22"/>
                <w:szCs w:val="22"/>
              </w:rPr>
              <w:t>Review of Annex 7 to Appendix 30.</w:t>
            </w:r>
          </w:p>
        </w:tc>
        <w:tc>
          <w:tcPr>
            <w:tcW w:w="7664" w:type="dxa"/>
            <w:vAlign w:val="center"/>
          </w:tcPr>
          <w:p w:rsidR="007570F2" w:rsidRPr="009E2F7A" w:rsidRDefault="007570F2" w:rsidP="007570F2">
            <w:pPr>
              <w:numPr>
                <w:ilvl w:val="0"/>
                <w:numId w:val="12"/>
              </w:numPr>
              <w:tabs>
                <w:tab w:val="clear" w:pos="1134"/>
                <w:tab w:val="clear" w:pos="1871"/>
                <w:tab w:val="clear" w:pos="2268"/>
              </w:tabs>
              <w:suppressAutoHyphens/>
              <w:overflowPunct/>
              <w:autoSpaceDE/>
              <w:autoSpaceDN/>
              <w:adjustRightInd/>
              <w:spacing w:before="0" w:line="276" w:lineRule="auto"/>
              <w:contextualSpacing/>
              <w:textAlignment w:val="auto"/>
              <w:rPr>
                <w:rFonts w:ascii="Calibri" w:eastAsia="Calibri" w:hAnsi="Calibri" w:cs="Calibri"/>
                <w:color w:val="000000"/>
                <w:kern w:val="1"/>
                <w:sz w:val="22"/>
                <w:szCs w:val="22"/>
                <w:lang w:eastAsia="ar-SA"/>
              </w:rPr>
            </w:pPr>
            <w:r w:rsidRPr="009E2F7A">
              <w:rPr>
                <w:rFonts w:ascii="Calibri" w:eastAsia="Calibri" w:hAnsi="Calibri" w:cs="Calibri"/>
                <w:b/>
                <w:color w:val="000000"/>
                <w:kern w:val="1"/>
                <w:sz w:val="22"/>
                <w:szCs w:val="22"/>
                <w:u w:val="single"/>
                <w:lang w:eastAsia="ar-SA"/>
              </w:rPr>
              <w:t>Method C</w:t>
            </w:r>
            <w:r w:rsidRPr="009E2F7A">
              <w:rPr>
                <w:rFonts w:ascii="Calibri" w:eastAsia="Calibri" w:hAnsi="Calibri" w:cs="Calibri"/>
                <w:b/>
                <w:color w:val="000000"/>
                <w:kern w:val="1"/>
                <w:sz w:val="22"/>
                <w:szCs w:val="22"/>
                <w:lang w:eastAsia="ar-SA"/>
              </w:rPr>
              <w:t xml:space="preserve">, </w:t>
            </w:r>
            <w:r w:rsidRPr="009E2F7A">
              <w:rPr>
                <w:rFonts w:ascii="Calibri" w:eastAsia="Calibri" w:hAnsi="Calibri" w:cs="Calibri"/>
                <w:color w:val="000000"/>
                <w:kern w:val="1"/>
                <w:sz w:val="22"/>
                <w:szCs w:val="22"/>
                <w:lang w:eastAsia="ar-SA"/>
              </w:rPr>
              <w:t>which include the new Resolution [B14-PRIORITY] (WRC-19) which was proposed by African countries to give priority to Administrations with very bad reference situation in the Appendix 30, 30A (below -10 dB) to submit their filings for a period of 90 days, should WRC-19 approve the removal of the limitations.</w:t>
            </w:r>
          </w:p>
          <w:p w:rsidR="007570F2" w:rsidRPr="009E2F7A" w:rsidRDefault="007570F2" w:rsidP="007570F2">
            <w:pPr>
              <w:numPr>
                <w:ilvl w:val="0"/>
                <w:numId w:val="12"/>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 w:val="22"/>
                <w:szCs w:val="22"/>
                <w:lang w:eastAsia="ar-SA"/>
              </w:rPr>
            </w:pPr>
            <w:r w:rsidRPr="009E2F7A">
              <w:rPr>
                <w:rFonts w:ascii="Calibri" w:eastAsia="Calibri" w:hAnsi="Calibri" w:cs="Calibri"/>
                <w:b/>
                <w:color w:val="000000"/>
                <w:kern w:val="1"/>
                <w:sz w:val="22"/>
                <w:szCs w:val="22"/>
                <w:lang w:eastAsia="ar-SA"/>
              </w:rPr>
              <w:t xml:space="preserve">Support, as a matter of principle, </w:t>
            </w:r>
            <w:r w:rsidRPr="009E2F7A">
              <w:rPr>
                <w:rFonts w:ascii="Calibri" w:eastAsia="Calibri" w:hAnsi="Calibri" w:cs="Calibri"/>
                <w:color w:val="000000"/>
                <w:kern w:val="1"/>
                <w:sz w:val="22"/>
                <w:szCs w:val="22"/>
                <w:lang w:eastAsia="ar-SA"/>
              </w:rPr>
              <w:t>the removal of limits in Annex 7 if the countries with very bad reference situation are given first opportunity to improve their allotted satellite networks in Appendix 30.</w:t>
            </w:r>
          </w:p>
          <w:p w:rsidR="007570F2" w:rsidRPr="009E2F7A" w:rsidRDefault="007570F2" w:rsidP="007570F2">
            <w:pPr>
              <w:numPr>
                <w:ilvl w:val="0"/>
                <w:numId w:val="12"/>
              </w:numPr>
              <w:tabs>
                <w:tab w:val="clear" w:pos="1134"/>
                <w:tab w:val="clear" w:pos="1871"/>
                <w:tab w:val="clear" w:pos="2268"/>
              </w:tabs>
              <w:overflowPunct/>
              <w:autoSpaceDE/>
              <w:autoSpaceDN/>
              <w:adjustRightInd/>
              <w:spacing w:before="0"/>
              <w:contextualSpacing/>
              <w:textAlignment w:val="auto"/>
              <w:rPr>
                <w:rFonts w:ascii="Calibri" w:eastAsia="Calibri" w:hAnsi="Calibri" w:cs="Calibri"/>
                <w:color w:val="000000"/>
                <w:kern w:val="1"/>
                <w:sz w:val="22"/>
                <w:szCs w:val="22"/>
                <w:lang w:eastAsia="ar-SA"/>
              </w:rPr>
            </w:pPr>
            <w:r w:rsidRPr="009E2F7A">
              <w:rPr>
                <w:rFonts w:ascii="Calibri" w:eastAsia="Calibri" w:hAnsi="Calibri" w:cs="Calibri"/>
                <w:b/>
                <w:color w:val="000000"/>
                <w:kern w:val="1"/>
                <w:sz w:val="22"/>
                <w:szCs w:val="22"/>
                <w:lang w:eastAsia="ar-SA"/>
              </w:rPr>
              <w:t>Support</w:t>
            </w:r>
            <w:r w:rsidRPr="009E2F7A">
              <w:rPr>
                <w:rFonts w:ascii="Calibri" w:eastAsia="Calibri" w:hAnsi="Calibri" w:cs="Calibri"/>
                <w:color w:val="000000"/>
                <w:kern w:val="1"/>
                <w:sz w:val="22"/>
                <w:szCs w:val="22"/>
                <w:lang w:eastAsia="ar-SA"/>
              </w:rPr>
              <w:t xml:space="preserve"> the study of each limitation under </w:t>
            </w:r>
            <w:r w:rsidRPr="009E2F7A">
              <w:rPr>
                <w:rFonts w:ascii="Calibri" w:eastAsia="Calibri" w:hAnsi="Calibri" w:cs="Calibri"/>
                <w:b/>
                <w:color w:val="000000"/>
                <w:kern w:val="1"/>
                <w:sz w:val="22"/>
                <w:szCs w:val="22"/>
                <w:lang w:eastAsia="ar-SA"/>
              </w:rPr>
              <w:t xml:space="preserve">Annex 7 to Appendix 30; </w:t>
            </w:r>
            <w:r w:rsidRPr="009E2F7A">
              <w:rPr>
                <w:rFonts w:ascii="Calibri" w:eastAsia="Calibri" w:hAnsi="Calibri" w:cs="Calibri"/>
                <w:color w:val="000000"/>
                <w:kern w:val="1"/>
                <w:sz w:val="22"/>
                <w:szCs w:val="22"/>
                <w:lang w:eastAsia="ar-SA"/>
              </w:rPr>
              <w:t>these studies seek to explore ways of allowing better utilization of the orbit spectrum resource.</w:t>
            </w:r>
          </w:p>
        </w:tc>
      </w:tr>
      <w:tr w:rsidR="007570F2" w:rsidRPr="009E2F7A" w:rsidTr="00D94826">
        <w:trPr>
          <w:jc w:val="center"/>
        </w:trPr>
        <w:tc>
          <w:tcPr>
            <w:tcW w:w="2625" w:type="dxa"/>
            <w:vAlign w:val="center"/>
          </w:tcPr>
          <w:p w:rsidR="007570F2" w:rsidRPr="009E2F7A" w:rsidRDefault="007570F2" w:rsidP="00D94826">
            <w:pPr>
              <w:rPr>
                <w:rFonts w:ascii="Calibri" w:hAnsi="Calibri" w:cs="Calibri"/>
                <w:b/>
                <w:sz w:val="22"/>
                <w:szCs w:val="22"/>
              </w:rPr>
            </w:pPr>
            <w:r w:rsidRPr="009E2F7A">
              <w:rPr>
                <w:rFonts w:ascii="Calibri" w:hAnsi="Calibri" w:cs="Calibri"/>
                <w:b/>
                <w:sz w:val="22"/>
                <w:szCs w:val="22"/>
              </w:rPr>
              <w:t>AI 1.5</w:t>
            </w:r>
          </w:p>
          <w:p w:rsidR="007570F2" w:rsidRPr="009E2F7A" w:rsidRDefault="007570F2" w:rsidP="00D94826">
            <w:pPr>
              <w:rPr>
                <w:rFonts w:ascii="Calibri" w:hAnsi="Calibri" w:cs="Calibri"/>
                <w:sz w:val="22"/>
                <w:szCs w:val="22"/>
              </w:rPr>
            </w:pPr>
            <w:r w:rsidRPr="009E2F7A">
              <w:rPr>
                <w:rFonts w:ascii="Calibri" w:hAnsi="Calibri" w:cs="Calibri"/>
                <w:sz w:val="22"/>
                <w:szCs w:val="22"/>
              </w:rPr>
              <w:t xml:space="preserve">Earth stations in motion 17.7 19.7 GHz and 27.5-29.5 GHz. </w:t>
            </w:r>
          </w:p>
        </w:tc>
        <w:tc>
          <w:tcPr>
            <w:tcW w:w="7664" w:type="dxa"/>
            <w:shd w:val="clear" w:color="auto" w:fill="auto"/>
            <w:vAlign w:val="center"/>
          </w:tcPr>
          <w:p w:rsidR="007570F2" w:rsidRPr="009E2F7A" w:rsidRDefault="007570F2" w:rsidP="00D94826">
            <w:pPr>
              <w:suppressAutoHyphens/>
              <w:rPr>
                <w:rFonts w:ascii="Calibri" w:eastAsia="Calibri" w:hAnsi="Calibri" w:cs="Calibri"/>
                <w:color w:val="000000"/>
                <w:kern w:val="1"/>
                <w:sz w:val="22"/>
                <w:szCs w:val="22"/>
                <w:lang w:eastAsia="ar-SA"/>
              </w:rPr>
            </w:pPr>
            <w:r w:rsidRPr="009E2F7A">
              <w:rPr>
                <w:rFonts w:ascii="Calibri" w:eastAsia="Calibri" w:hAnsi="Calibri" w:cs="Calibri"/>
                <w:b/>
                <w:color w:val="000000"/>
                <w:kern w:val="1"/>
                <w:sz w:val="22"/>
                <w:szCs w:val="22"/>
                <w:u w:val="single"/>
                <w:lang w:eastAsia="ar-SA"/>
              </w:rPr>
              <w:t>Method B</w:t>
            </w:r>
            <w:r w:rsidRPr="009E2F7A">
              <w:rPr>
                <w:rFonts w:ascii="Calibri" w:eastAsia="Calibri" w:hAnsi="Calibri" w:cs="Calibri"/>
                <w:color w:val="000000"/>
                <w:kern w:val="1"/>
                <w:sz w:val="22"/>
                <w:szCs w:val="22"/>
                <w:lang w:eastAsia="ar-SA"/>
              </w:rPr>
              <w:t>, which includes addition of a new footnote in Article 5 of the Radio Regulations with reference to a new Resolution which will define operational and regulatory conditions for ESIMs including pfd mask to protect terrestrial services in the band 27.5-29.5 GHz from aircraft ESIM, and an offshore separation distance to protect terrestrial services from maritime ESIM.</w:t>
            </w:r>
          </w:p>
        </w:tc>
      </w:tr>
      <w:tr w:rsidR="007570F2" w:rsidRPr="009E2F7A" w:rsidTr="00D94826">
        <w:trPr>
          <w:jc w:val="center"/>
        </w:trPr>
        <w:tc>
          <w:tcPr>
            <w:tcW w:w="2625" w:type="dxa"/>
            <w:vAlign w:val="center"/>
          </w:tcPr>
          <w:p w:rsidR="007570F2" w:rsidRPr="009E2F7A" w:rsidRDefault="007570F2" w:rsidP="00D94826">
            <w:pPr>
              <w:rPr>
                <w:rFonts w:ascii="Calibri" w:hAnsi="Calibri" w:cs="Calibri"/>
                <w:b/>
                <w:sz w:val="22"/>
                <w:szCs w:val="22"/>
              </w:rPr>
            </w:pPr>
            <w:r w:rsidRPr="009E2F7A">
              <w:rPr>
                <w:rFonts w:ascii="Calibri" w:hAnsi="Calibri" w:cs="Calibri"/>
                <w:b/>
                <w:sz w:val="22"/>
                <w:szCs w:val="22"/>
              </w:rPr>
              <w:t>AI 1.6</w:t>
            </w:r>
          </w:p>
          <w:p w:rsidR="007570F2" w:rsidRPr="009E2F7A" w:rsidRDefault="007570F2" w:rsidP="00D94826">
            <w:pPr>
              <w:rPr>
                <w:rFonts w:ascii="Calibri" w:hAnsi="Calibri" w:cs="Calibri"/>
                <w:sz w:val="22"/>
                <w:szCs w:val="22"/>
              </w:rPr>
            </w:pPr>
            <w:r w:rsidRPr="009E2F7A">
              <w:rPr>
                <w:rFonts w:ascii="Calibri" w:hAnsi="Calibri" w:cs="Calibri"/>
                <w:sz w:val="22"/>
                <w:szCs w:val="22"/>
              </w:rPr>
              <w:t>Non-GSO FSS satellite systems in 37.5-39.5 GHz and 39.5-42.5 GHz.</w:t>
            </w:r>
          </w:p>
        </w:tc>
        <w:tc>
          <w:tcPr>
            <w:tcW w:w="7664" w:type="dxa"/>
            <w:vAlign w:val="center"/>
          </w:tcPr>
          <w:p w:rsidR="007570F2" w:rsidRPr="009E2F7A" w:rsidRDefault="007570F2" w:rsidP="007570F2">
            <w:pPr>
              <w:numPr>
                <w:ilvl w:val="0"/>
                <w:numId w:val="11"/>
              </w:numPr>
              <w:tabs>
                <w:tab w:val="clear" w:pos="1134"/>
                <w:tab w:val="clear" w:pos="1871"/>
                <w:tab w:val="clear" w:pos="2268"/>
              </w:tabs>
              <w:overflowPunct/>
              <w:autoSpaceDE/>
              <w:autoSpaceDN/>
              <w:adjustRightInd/>
              <w:spacing w:before="0"/>
              <w:contextualSpacing/>
              <w:textAlignment w:val="auto"/>
              <w:rPr>
                <w:sz w:val="22"/>
                <w:szCs w:val="22"/>
              </w:rPr>
            </w:pPr>
            <w:r w:rsidRPr="009E2F7A">
              <w:rPr>
                <w:rFonts w:ascii="Calibri" w:hAnsi="Calibri" w:cs="Calibri"/>
                <w:b/>
                <w:color w:val="000000"/>
                <w:sz w:val="22"/>
                <w:szCs w:val="22"/>
                <w:u w:val="single"/>
                <w:lang w:eastAsia="ar-SA"/>
              </w:rPr>
              <w:t>Method A</w:t>
            </w:r>
            <w:r w:rsidRPr="009E2F7A">
              <w:rPr>
                <w:rFonts w:ascii="Calibri" w:hAnsi="Calibri" w:cs="Calibri"/>
                <w:b/>
                <w:color w:val="000000"/>
                <w:sz w:val="22"/>
                <w:szCs w:val="22"/>
                <w:lang w:eastAsia="ar-SA"/>
              </w:rPr>
              <w:t xml:space="preserve">, </w:t>
            </w:r>
            <w:r w:rsidRPr="009E2F7A">
              <w:rPr>
                <w:rFonts w:ascii="Calibri" w:hAnsi="Calibri" w:cs="Calibri"/>
                <w:color w:val="000000"/>
                <w:sz w:val="22"/>
                <w:szCs w:val="22"/>
                <w:lang w:eastAsia="ar-SA"/>
              </w:rPr>
              <w:t>while continuing to further examine other Methods and their implementation (editor’s note: Method A presents a regulatory and technical implementation to modify RR Article 22 to include a regulatory framework to enable non-GSO systems based upon a maximum allowable per cent increase in GSO unavailability specified in the short-term and long-term performance objectives of the GSO links).</w:t>
            </w:r>
          </w:p>
          <w:p w:rsidR="007570F2" w:rsidRPr="009E2F7A" w:rsidRDefault="007570F2" w:rsidP="007570F2">
            <w:pPr>
              <w:numPr>
                <w:ilvl w:val="0"/>
                <w:numId w:val="11"/>
              </w:numPr>
              <w:tabs>
                <w:tab w:val="clear" w:pos="1134"/>
                <w:tab w:val="clear" w:pos="1871"/>
                <w:tab w:val="clear" w:pos="2268"/>
              </w:tabs>
              <w:overflowPunct/>
              <w:autoSpaceDE/>
              <w:autoSpaceDN/>
              <w:adjustRightInd/>
              <w:spacing w:before="0"/>
              <w:contextualSpacing/>
              <w:textAlignment w:val="auto"/>
              <w:rPr>
                <w:sz w:val="22"/>
                <w:szCs w:val="22"/>
              </w:rPr>
            </w:pPr>
            <w:r w:rsidRPr="009E2F7A">
              <w:rPr>
                <w:rFonts w:ascii="Calibri" w:hAnsi="Calibri" w:cs="Calibri"/>
                <w:b/>
                <w:bCs/>
                <w:color w:val="000000"/>
                <w:sz w:val="22"/>
                <w:szCs w:val="22"/>
                <w:lang w:eastAsia="ar-SA"/>
              </w:rPr>
              <w:t>Support</w:t>
            </w:r>
            <w:r w:rsidRPr="009E2F7A">
              <w:rPr>
                <w:rFonts w:ascii="Calibri" w:hAnsi="Calibri" w:cs="Calibri"/>
                <w:color w:val="000000"/>
                <w:sz w:val="22"/>
                <w:szCs w:val="22"/>
                <w:lang w:eastAsia="ar-SA"/>
              </w:rPr>
              <w:t xml:space="preserve"> the studies under Resolution 159 (WRC-15) which aim at developing a regulatory framework for new non-GSO FSS satellite systems, while protecting GSO FSS systems in the frequency bands above 30 GHz.</w:t>
            </w:r>
          </w:p>
        </w:tc>
      </w:tr>
      <w:tr w:rsidR="007570F2" w:rsidRPr="009E2F7A" w:rsidTr="00D94826">
        <w:trPr>
          <w:jc w:val="center"/>
        </w:trPr>
        <w:tc>
          <w:tcPr>
            <w:tcW w:w="2625" w:type="dxa"/>
            <w:vAlign w:val="center"/>
          </w:tcPr>
          <w:p w:rsidR="007570F2" w:rsidRPr="009E2F7A" w:rsidRDefault="007570F2" w:rsidP="00D94826">
            <w:pPr>
              <w:rPr>
                <w:rFonts w:ascii="Calibri" w:hAnsi="Calibri" w:cs="Calibri"/>
                <w:b/>
                <w:sz w:val="22"/>
                <w:szCs w:val="22"/>
              </w:rPr>
            </w:pPr>
            <w:r w:rsidRPr="009E2F7A">
              <w:rPr>
                <w:rFonts w:ascii="Calibri" w:hAnsi="Calibri" w:cs="Calibri"/>
                <w:b/>
                <w:sz w:val="22"/>
                <w:szCs w:val="22"/>
              </w:rPr>
              <w:lastRenderedPageBreak/>
              <w:t>AI 9.1-2</w:t>
            </w:r>
          </w:p>
          <w:p w:rsidR="007570F2" w:rsidRPr="009E2F7A" w:rsidRDefault="007570F2" w:rsidP="00D94826">
            <w:pPr>
              <w:rPr>
                <w:rFonts w:ascii="Calibri" w:hAnsi="Calibri" w:cs="Calibri"/>
                <w:sz w:val="22"/>
                <w:szCs w:val="22"/>
              </w:rPr>
            </w:pPr>
            <w:r w:rsidRPr="009E2F7A">
              <w:rPr>
                <w:rFonts w:ascii="Calibri" w:hAnsi="Calibri" w:cs="Calibri"/>
                <w:sz w:val="22"/>
                <w:szCs w:val="22"/>
              </w:rPr>
              <w:t>Compatibility of IMT and BSS (sound) in the frequency band 1 452-1 492 MHz in Regions 1 and 3.</w:t>
            </w:r>
          </w:p>
        </w:tc>
        <w:tc>
          <w:tcPr>
            <w:tcW w:w="7664" w:type="dxa"/>
            <w:vAlign w:val="center"/>
          </w:tcPr>
          <w:p w:rsidR="007570F2" w:rsidRPr="009E2F7A" w:rsidRDefault="007570F2" w:rsidP="00D94826">
            <w:pPr>
              <w:contextualSpacing/>
              <w:rPr>
                <w:rFonts w:ascii="Calibri" w:eastAsia="Calibri" w:hAnsi="Calibri" w:cs="Calibri"/>
                <w:color w:val="000000"/>
                <w:kern w:val="1"/>
                <w:sz w:val="22"/>
                <w:szCs w:val="22"/>
                <w:lang w:eastAsia="ar-SA"/>
              </w:rPr>
            </w:pPr>
            <w:r w:rsidRPr="009E2F7A">
              <w:rPr>
                <w:rFonts w:ascii="Calibri" w:eastAsia="Calibri" w:hAnsi="Calibri" w:cs="Calibri"/>
                <w:b/>
                <w:color w:val="000000"/>
                <w:kern w:val="1"/>
                <w:sz w:val="22"/>
                <w:szCs w:val="22"/>
                <w:lang w:eastAsia="ar-SA"/>
              </w:rPr>
              <w:t>To be developed.</w:t>
            </w:r>
          </w:p>
        </w:tc>
      </w:tr>
      <w:tr w:rsidR="007570F2" w:rsidRPr="009E2F7A" w:rsidTr="00D94826">
        <w:trPr>
          <w:jc w:val="center"/>
        </w:trPr>
        <w:tc>
          <w:tcPr>
            <w:tcW w:w="2625" w:type="dxa"/>
            <w:vAlign w:val="center"/>
          </w:tcPr>
          <w:p w:rsidR="007570F2" w:rsidRPr="009E2F7A" w:rsidRDefault="007570F2" w:rsidP="00D94826">
            <w:pPr>
              <w:rPr>
                <w:rFonts w:ascii="Calibri" w:hAnsi="Calibri" w:cs="Calibri"/>
                <w:b/>
                <w:sz w:val="22"/>
                <w:szCs w:val="22"/>
              </w:rPr>
            </w:pPr>
            <w:r w:rsidRPr="009E2F7A">
              <w:rPr>
                <w:rFonts w:ascii="Calibri" w:hAnsi="Calibri" w:cs="Calibri"/>
                <w:b/>
                <w:sz w:val="22"/>
                <w:szCs w:val="22"/>
              </w:rPr>
              <w:t>AI 9.1-3</w:t>
            </w:r>
          </w:p>
          <w:p w:rsidR="007570F2" w:rsidRPr="009E2F7A" w:rsidRDefault="007570F2" w:rsidP="00D94826">
            <w:pPr>
              <w:rPr>
                <w:rFonts w:ascii="Calibri" w:hAnsi="Calibri" w:cs="Calibri"/>
                <w:sz w:val="22"/>
                <w:szCs w:val="22"/>
              </w:rPr>
            </w:pPr>
            <w:r w:rsidRPr="009E2F7A">
              <w:rPr>
                <w:rFonts w:ascii="Calibri" w:hAnsi="Calibri" w:cs="Calibri"/>
                <w:sz w:val="22"/>
                <w:szCs w:val="22"/>
              </w:rPr>
              <w:t>New non-Geo-satellite orbit systems in 4/6GHz bands allocated FSS.</w:t>
            </w:r>
          </w:p>
        </w:tc>
        <w:tc>
          <w:tcPr>
            <w:tcW w:w="7664" w:type="dxa"/>
            <w:vAlign w:val="center"/>
          </w:tcPr>
          <w:p w:rsidR="007570F2" w:rsidRPr="009E2F7A" w:rsidRDefault="007570F2" w:rsidP="00D94826">
            <w:pPr>
              <w:contextualSpacing/>
              <w:rPr>
                <w:rFonts w:ascii="Calibri" w:eastAsia="Calibri" w:hAnsi="Calibri" w:cs="Calibri"/>
                <w:color w:val="000000"/>
                <w:kern w:val="1"/>
                <w:sz w:val="22"/>
                <w:szCs w:val="22"/>
                <w:lang w:eastAsia="ar-SA"/>
              </w:rPr>
            </w:pPr>
            <w:r w:rsidRPr="009E2F7A">
              <w:rPr>
                <w:rFonts w:ascii="Calibri" w:eastAsia="Calibri" w:hAnsi="Calibri" w:cs="Calibri"/>
                <w:b/>
                <w:color w:val="000000"/>
                <w:kern w:val="1"/>
                <w:sz w:val="22"/>
                <w:szCs w:val="22"/>
                <w:lang w:eastAsia="ar-SA"/>
              </w:rPr>
              <w:t xml:space="preserve">Take No Change </w:t>
            </w:r>
            <w:r w:rsidRPr="009E2F7A">
              <w:rPr>
                <w:rFonts w:ascii="Calibri" w:eastAsia="Calibri" w:hAnsi="Calibri" w:cs="Calibri"/>
                <w:color w:val="000000"/>
                <w:kern w:val="1"/>
                <w:sz w:val="22"/>
                <w:szCs w:val="22"/>
                <w:lang w:eastAsia="ar-SA"/>
              </w:rPr>
              <w:t>and to continue to advocate this position including at CPM19-2.</w:t>
            </w:r>
          </w:p>
        </w:tc>
      </w:tr>
      <w:tr w:rsidR="007570F2" w:rsidRPr="009E2F7A" w:rsidTr="00D94826">
        <w:trPr>
          <w:jc w:val="center"/>
        </w:trPr>
        <w:tc>
          <w:tcPr>
            <w:tcW w:w="2625" w:type="dxa"/>
            <w:vAlign w:val="center"/>
          </w:tcPr>
          <w:p w:rsidR="007570F2" w:rsidRPr="009E2F7A" w:rsidRDefault="007570F2" w:rsidP="00D94826">
            <w:pPr>
              <w:rPr>
                <w:rFonts w:ascii="Calibri" w:hAnsi="Calibri" w:cs="Calibri"/>
                <w:b/>
                <w:sz w:val="22"/>
                <w:szCs w:val="22"/>
              </w:rPr>
            </w:pPr>
            <w:r w:rsidRPr="009E2F7A">
              <w:rPr>
                <w:rFonts w:ascii="Calibri" w:hAnsi="Calibri" w:cs="Calibri"/>
                <w:b/>
                <w:sz w:val="22"/>
                <w:szCs w:val="22"/>
              </w:rPr>
              <w:t>AI 9.1-9</w:t>
            </w:r>
          </w:p>
          <w:p w:rsidR="007570F2" w:rsidRPr="009E2F7A" w:rsidRDefault="007570F2" w:rsidP="00D94826">
            <w:pPr>
              <w:rPr>
                <w:rFonts w:ascii="Calibri" w:hAnsi="Calibri" w:cs="Calibri"/>
                <w:sz w:val="22"/>
                <w:szCs w:val="22"/>
              </w:rPr>
            </w:pPr>
            <w:r w:rsidRPr="009E2F7A">
              <w:rPr>
                <w:rFonts w:ascii="Calibri" w:hAnsi="Calibri" w:cs="Calibri"/>
                <w:sz w:val="22"/>
                <w:szCs w:val="22"/>
              </w:rPr>
              <w:t>Spectrum needs and possible allocation of the frequency band 51.4-52.4 GHz to the FSS (E-to-s).</w:t>
            </w:r>
          </w:p>
        </w:tc>
        <w:tc>
          <w:tcPr>
            <w:tcW w:w="7664" w:type="dxa"/>
            <w:vAlign w:val="center"/>
          </w:tcPr>
          <w:p w:rsidR="007570F2" w:rsidRPr="009E2F7A" w:rsidRDefault="007570F2" w:rsidP="00D94826">
            <w:pPr>
              <w:contextualSpacing/>
              <w:rPr>
                <w:rFonts w:ascii="Calibri" w:eastAsia="Calibri" w:hAnsi="Calibri" w:cs="Calibri"/>
                <w:color w:val="000000"/>
                <w:kern w:val="1"/>
                <w:sz w:val="22"/>
                <w:szCs w:val="22"/>
                <w:lang w:eastAsia="ar-SA"/>
              </w:rPr>
            </w:pPr>
            <w:r w:rsidRPr="009E2F7A">
              <w:rPr>
                <w:rFonts w:ascii="Calibri" w:eastAsia="Calibri" w:hAnsi="Calibri" w:cs="Calibri"/>
                <w:b/>
                <w:color w:val="000000"/>
                <w:kern w:val="1"/>
                <w:sz w:val="22"/>
                <w:szCs w:val="22"/>
                <w:lang w:eastAsia="ar-SA"/>
              </w:rPr>
              <w:t>Support, as a matter of principle,</w:t>
            </w:r>
            <w:r w:rsidRPr="009E2F7A">
              <w:rPr>
                <w:rFonts w:ascii="Calibri" w:eastAsia="Calibri" w:hAnsi="Calibri" w:cs="Calibri"/>
                <w:color w:val="000000"/>
                <w:kern w:val="1"/>
                <w:sz w:val="22"/>
                <w:szCs w:val="22"/>
                <w:lang w:eastAsia="ar-SA"/>
              </w:rPr>
              <w:t xml:space="preserve"> an allocation of the frequency band 51.4-52.4 GHz to the fixed-satellite service (Earth to space), limited to FSS gateway links for geostationary orbit use while protecting currently allocated services in the same frequency band and in adjacent bands as proposed in the draft CPM text.</w:t>
            </w:r>
          </w:p>
        </w:tc>
      </w:tr>
    </w:tbl>
    <w:p w:rsidR="00506CE8" w:rsidRDefault="00506CE8"/>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7307"/>
      </w:tblGrid>
      <w:tr w:rsidR="007570F2" w:rsidRPr="00DE0568" w:rsidTr="00D94826">
        <w:trPr>
          <w:jc w:val="center"/>
        </w:trPr>
        <w:tc>
          <w:tcPr>
            <w:tcW w:w="2982" w:type="dxa"/>
            <w:shd w:val="clear" w:color="auto" w:fill="00B050"/>
          </w:tcPr>
          <w:p w:rsidR="007570F2" w:rsidRPr="00DE0568" w:rsidRDefault="007570F2" w:rsidP="00D94826">
            <w:pPr>
              <w:jc w:val="center"/>
              <w:rPr>
                <w:rFonts w:ascii="Calibri" w:hAnsi="Calibri" w:cs="Calibri"/>
                <w:b/>
                <w:sz w:val="22"/>
                <w:szCs w:val="22"/>
              </w:rPr>
            </w:pPr>
            <w:r w:rsidRPr="00DE0568">
              <w:rPr>
                <w:rFonts w:ascii="Calibri" w:hAnsi="Calibri" w:cs="Calibri"/>
                <w:b/>
                <w:sz w:val="22"/>
                <w:szCs w:val="22"/>
              </w:rPr>
              <w:t>AI 7</w:t>
            </w:r>
          </w:p>
        </w:tc>
        <w:tc>
          <w:tcPr>
            <w:tcW w:w="7307" w:type="dxa"/>
            <w:shd w:val="clear" w:color="auto" w:fill="00B050"/>
          </w:tcPr>
          <w:p w:rsidR="007570F2" w:rsidRPr="00DE0568" w:rsidRDefault="007570F2" w:rsidP="00D94826">
            <w:pPr>
              <w:jc w:val="center"/>
              <w:rPr>
                <w:rFonts w:ascii="Calibri" w:hAnsi="Calibri" w:cs="Calibri"/>
                <w:b/>
                <w:sz w:val="22"/>
                <w:szCs w:val="22"/>
              </w:rPr>
            </w:pPr>
            <w:r w:rsidRPr="00DE0568">
              <w:rPr>
                <w:rFonts w:ascii="Calibri" w:hAnsi="Calibri" w:cs="Calibri"/>
                <w:b/>
                <w:sz w:val="22"/>
                <w:szCs w:val="22"/>
              </w:rPr>
              <w:t>African preliminary position</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A</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Studies relating to the BIU of frequency assignments to non-GSO satellite systems, and consideration of a milestone-based deployment approach for non-GSO FSS satellite systems in certain bands.</w:t>
            </w:r>
          </w:p>
        </w:tc>
        <w:tc>
          <w:tcPr>
            <w:tcW w:w="7307" w:type="dxa"/>
          </w:tcPr>
          <w:p w:rsidR="007570F2" w:rsidRPr="00DE0568" w:rsidRDefault="007570F2" w:rsidP="00ED5D81">
            <w:pPr>
              <w:spacing w:before="60"/>
              <w:rPr>
                <w:rFonts w:ascii="Calibri" w:eastAsia="Calibri" w:hAnsi="Calibri" w:cs="Calibri"/>
                <w:color w:val="000000"/>
                <w:kern w:val="1"/>
                <w:sz w:val="22"/>
                <w:szCs w:val="22"/>
                <w:lang w:eastAsia="ar-SA"/>
              </w:rPr>
            </w:pPr>
            <w:r w:rsidRPr="00DE0568">
              <w:rPr>
                <w:rFonts w:ascii="Calibri" w:eastAsia="Calibri" w:hAnsi="Calibri" w:cs="Calibri"/>
                <w:b/>
                <w:color w:val="000000"/>
                <w:kern w:val="1"/>
                <w:sz w:val="22"/>
                <w:szCs w:val="22"/>
                <w:lang w:eastAsia="ar-SA"/>
              </w:rPr>
              <w:t>Th</w:t>
            </w:r>
            <w:r w:rsidRPr="00DE0568">
              <w:rPr>
                <w:rFonts w:ascii="Calibri" w:eastAsia="Calibri" w:hAnsi="Calibri" w:cs="Calibri"/>
                <w:b/>
                <w:color w:val="000000"/>
                <w:kern w:val="1"/>
                <w:sz w:val="22"/>
                <w:szCs w:val="22"/>
                <w:u w:val="single"/>
                <w:lang w:eastAsia="ar-SA"/>
              </w:rPr>
              <w:t>e Only Method,</w:t>
            </w:r>
            <w:r w:rsidRPr="00DE0568">
              <w:rPr>
                <w:rFonts w:ascii="Calibri" w:eastAsia="Calibri" w:hAnsi="Calibri" w:cs="Calibri"/>
                <w:b/>
                <w:color w:val="000000"/>
                <w:kern w:val="1"/>
                <w:sz w:val="22"/>
                <w:szCs w:val="22"/>
                <w:lang w:eastAsia="ar-SA"/>
              </w:rPr>
              <w:t xml:space="preserve"> </w:t>
            </w:r>
            <w:r w:rsidRPr="00DE0568">
              <w:rPr>
                <w:rFonts w:ascii="Calibri" w:eastAsia="Calibri" w:hAnsi="Calibri" w:cs="Calibri"/>
                <w:color w:val="000000"/>
                <w:kern w:val="1"/>
                <w:sz w:val="22"/>
                <w:szCs w:val="22"/>
                <w:lang w:eastAsia="ar-SA"/>
              </w:rPr>
              <w:t xml:space="preserve">proposed for BIU and milestone approach for deployment of Non-GSO systems: </w:t>
            </w:r>
          </w:p>
          <w:p w:rsidR="007570F2" w:rsidRPr="00DE0568" w:rsidRDefault="007570F2" w:rsidP="00ED5D81">
            <w:pPr>
              <w:numPr>
                <w:ilvl w:val="0"/>
                <w:numId w:val="13"/>
              </w:numPr>
              <w:tabs>
                <w:tab w:val="clear" w:pos="1134"/>
                <w:tab w:val="clear" w:pos="1871"/>
                <w:tab w:val="clear" w:pos="2268"/>
              </w:tabs>
              <w:overflowPunct/>
              <w:autoSpaceDE/>
              <w:autoSpaceDN/>
              <w:adjustRightInd/>
              <w:spacing w:before="60"/>
              <w:textAlignment w:val="auto"/>
              <w:rPr>
                <w:rFonts w:ascii="Calibri" w:eastAsia="Calibri" w:hAnsi="Calibri" w:cs="Calibri"/>
                <w:color w:val="000000"/>
                <w:kern w:val="1"/>
                <w:sz w:val="22"/>
                <w:szCs w:val="22"/>
                <w:lang w:eastAsia="ar-SA"/>
              </w:rPr>
            </w:pPr>
            <w:r w:rsidRPr="00DE0568">
              <w:rPr>
                <w:rFonts w:ascii="Calibri" w:eastAsia="Calibri" w:hAnsi="Calibri" w:cs="Calibri"/>
                <w:color w:val="000000"/>
                <w:kern w:val="1"/>
                <w:sz w:val="22"/>
                <w:szCs w:val="22"/>
                <w:lang w:eastAsia="ar-SA"/>
              </w:rPr>
              <w:t>Regarding BIU, APM19-3 may consider maintaining the current 90 days for a Non-GSO satellite to be fully operational</w:t>
            </w:r>
          </w:p>
          <w:p w:rsidR="007570F2" w:rsidRPr="00DE0568" w:rsidRDefault="007570F2" w:rsidP="00ED5D81">
            <w:pPr>
              <w:numPr>
                <w:ilvl w:val="0"/>
                <w:numId w:val="13"/>
              </w:numPr>
              <w:tabs>
                <w:tab w:val="clear" w:pos="1134"/>
                <w:tab w:val="clear" w:pos="1871"/>
                <w:tab w:val="clear" w:pos="2268"/>
              </w:tabs>
              <w:overflowPunct/>
              <w:autoSpaceDE/>
              <w:autoSpaceDN/>
              <w:adjustRightInd/>
              <w:spacing w:before="60"/>
              <w:textAlignment w:val="auto"/>
              <w:rPr>
                <w:rFonts w:ascii="Calibri" w:hAnsi="Calibri" w:cs="Calibri"/>
                <w:b/>
                <w:i/>
                <w:sz w:val="22"/>
                <w:szCs w:val="22"/>
              </w:rPr>
            </w:pPr>
            <w:r w:rsidRPr="00DE0568">
              <w:rPr>
                <w:rFonts w:ascii="Calibri" w:eastAsia="Calibri" w:hAnsi="Calibri" w:cs="Calibri"/>
                <w:color w:val="000000"/>
                <w:kern w:val="1"/>
                <w:sz w:val="22"/>
                <w:szCs w:val="22"/>
                <w:lang w:eastAsia="ar-SA"/>
              </w:rPr>
              <w:t xml:space="preserve"> ATU members are encouraged to further consider options proposed for milestone approach which will provide a balance between avoiding paper satellites and providing some flexibility to NGSO operato</w:t>
            </w:r>
            <w:r>
              <w:rPr>
                <w:rFonts w:ascii="Calibri" w:eastAsia="Calibri" w:hAnsi="Calibri" w:cs="Calibri"/>
                <w:color w:val="000000"/>
                <w:kern w:val="1"/>
                <w:sz w:val="22"/>
                <w:szCs w:val="22"/>
                <w:lang w:eastAsia="ar-SA"/>
              </w:rPr>
              <w:t>r for deployment of the system.</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B</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Application of coordination arc in the Ka-band, to determine coordination requirements between the FSS and other satellite services.</w:t>
            </w:r>
          </w:p>
        </w:tc>
        <w:tc>
          <w:tcPr>
            <w:tcW w:w="7307" w:type="dxa"/>
          </w:tcPr>
          <w:p w:rsidR="00ED5D81" w:rsidRPr="00DE0568" w:rsidRDefault="007570F2" w:rsidP="00ED5D81">
            <w:pPr>
              <w:spacing w:before="60"/>
              <w:rPr>
                <w:rFonts w:ascii="Calibri" w:hAnsi="Calibri" w:cs="Calibri"/>
                <w:sz w:val="22"/>
                <w:szCs w:val="22"/>
              </w:rPr>
            </w:pPr>
            <w:r w:rsidRPr="00DE0568">
              <w:rPr>
                <w:rFonts w:ascii="Calibri" w:eastAsia="Calibri" w:hAnsi="Calibri" w:cs="Calibri"/>
                <w:b/>
                <w:sz w:val="22"/>
                <w:szCs w:val="22"/>
                <w:u w:val="single"/>
              </w:rPr>
              <w:t>Method B2</w:t>
            </w:r>
            <w:r w:rsidRPr="00DE0568">
              <w:rPr>
                <w:rFonts w:ascii="Calibri" w:eastAsia="Calibri" w:hAnsi="Calibri" w:cs="Calibri"/>
                <w:b/>
                <w:sz w:val="22"/>
                <w:szCs w:val="22"/>
              </w:rPr>
              <w:t xml:space="preserve">, </w:t>
            </w:r>
            <w:r w:rsidRPr="00DE0568">
              <w:rPr>
                <w:rFonts w:ascii="Calibri" w:eastAsia="Calibri" w:hAnsi="Calibri" w:cs="Calibri"/>
                <w:sz w:val="22"/>
                <w:szCs w:val="22"/>
              </w:rPr>
              <w:t xml:space="preserve">the </w:t>
            </w:r>
            <w:r w:rsidRPr="00DE0568">
              <w:rPr>
                <w:rFonts w:ascii="Calibri" w:hAnsi="Calibri" w:cs="Calibri"/>
                <w:sz w:val="22"/>
                <w:szCs w:val="22"/>
              </w:rPr>
              <w:t>use of the coordination arc with a value of 8 degrees as coordination criteria, to determine if coordination is required between FSS and MSS systems and between MSS systems in the frequency bands 29.5-30 GHz (Earth-to-space)/19.7</w:t>
            </w:r>
            <w:r w:rsidRPr="00DE0568">
              <w:rPr>
                <w:rFonts w:ascii="Calibri" w:hAnsi="Calibri" w:cs="Calibri"/>
                <w:sz w:val="22"/>
                <w:szCs w:val="22"/>
              </w:rPr>
              <w:noBreakHyphen/>
              <w:t xml:space="preserve">20.2 GHz (space-to-Earth), in all 3 Regions, replacing the existing coordination criteria </w:t>
            </w:r>
            <w:r w:rsidRPr="00DE0568">
              <w:rPr>
                <w:rFonts w:ascii="Symbol" w:hAnsi="Symbol"/>
                <w:sz w:val="22"/>
                <w:szCs w:val="22"/>
              </w:rPr>
              <w:t></w:t>
            </w:r>
            <w:r w:rsidRPr="00DE0568">
              <w:rPr>
                <w:rFonts w:ascii="Symbol" w:hAnsi="Symbol"/>
                <w:i/>
                <w:iCs/>
                <w:sz w:val="22"/>
                <w:szCs w:val="22"/>
              </w:rPr>
              <w:t></w:t>
            </w:r>
            <w:r w:rsidRPr="00DE0568">
              <w:rPr>
                <w:rFonts w:ascii="Symbol" w:hAnsi="Symbol"/>
                <w:i/>
                <w:iCs/>
                <w:sz w:val="22"/>
                <w:szCs w:val="22"/>
              </w:rPr>
              <w:t></w:t>
            </w:r>
            <w:r w:rsidRPr="00DE0568">
              <w:rPr>
                <w:rFonts w:ascii="Symbol" w:hAnsi="Symbol"/>
                <w:i/>
                <w:iCs/>
                <w:sz w:val="22"/>
                <w:szCs w:val="22"/>
              </w:rPr>
              <w:t></w:t>
            </w:r>
            <w:r w:rsidRPr="00DE0568">
              <w:rPr>
                <w:rFonts w:ascii="Symbol" w:hAnsi="Symbol"/>
                <w:sz w:val="22"/>
                <w:szCs w:val="22"/>
              </w:rPr>
              <w:t></w:t>
            </w:r>
            <w:r w:rsidRPr="00DE0568">
              <w:rPr>
                <w:sz w:val="22"/>
                <w:szCs w:val="22"/>
              </w:rPr>
              <w:t xml:space="preserve"> &gt; </w:t>
            </w:r>
            <w:r>
              <w:rPr>
                <w:rFonts w:ascii="Symbol" w:hAnsi="Symbol"/>
                <w:sz w:val="22"/>
                <w:szCs w:val="22"/>
              </w:rPr>
              <w:t></w:t>
            </w:r>
            <w:r>
              <w:rPr>
                <w:rFonts w:ascii="Symbol" w:hAnsi="Symbol"/>
                <w:sz w:val="22"/>
                <w:szCs w:val="22"/>
              </w:rPr>
              <w:t></w:t>
            </w:r>
            <w:r>
              <w:rPr>
                <w:rFonts w:ascii="Symbol" w:hAnsi="Symbol"/>
                <w:sz w:val="22"/>
                <w:szCs w:val="22"/>
              </w:rPr>
              <w:t></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C</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Issues for which consensus was readily achieved in the ITU-R.</w:t>
            </w:r>
          </w:p>
        </w:tc>
        <w:tc>
          <w:tcPr>
            <w:tcW w:w="7307" w:type="dxa"/>
          </w:tcPr>
          <w:p w:rsidR="007570F2" w:rsidRPr="00DE0568" w:rsidRDefault="007570F2" w:rsidP="00ED5D81">
            <w:pPr>
              <w:suppressAutoHyphens/>
              <w:spacing w:before="60" w:line="276" w:lineRule="auto"/>
              <w:rPr>
                <w:rFonts w:ascii="Calibri" w:eastAsia="Calibri" w:hAnsi="Calibri" w:cs="Calibri"/>
                <w:color w:val="000000"/>
                <w:kern w:val="1"/>
                <w:sz w:val="22"/>
                <w:szCs w:val="22"/>
                <w:lang w:eastAsia="ar-SA"/>
              </w:rPr>
            </w:pPr>
            <w:r w:rsidRPr="00DE0568">
              <w:rPr>
                <w:rFonts w:ascii="Calibri" w:eastAsia="Calibri" w:hAnsi="Calibri" w:cs="Calibri"/>
                <w:b/>
                <w:color w:val="000000"/>
                <w:kern w:val="1"/>
                <w:sz w:val="22"/>
                <w:szCs w:val="22"/>
                <w:lang w:eastAsia="ar-SA"/>
              </w:rPr>
              <w:t>Support, as a matter of principle,</w:t>
            </w:r>
            <w:r w:rsidRPr="00DE0568">
              <w:rPr>
                <w:rFonts w:ascii="Calibri" w:eastAsia="Calibri" w:hAnsi="Calibri" w:cs="Calibri"/>
                <w:b/>
                <w:i/>
                <w:color w:val="000000"/>
                <w:kern w:val="1"/>
                <w:sz w:val="22"/>
                <w:szCs w:val="22"/>
                <w:lang w:eastAsia="ar-SA"/>
              </w:rPr>
              <w:t xml:space="preserve"> </w:t>
            </w:r>
            <w:r w:rsidRPr="00DE0568">
              <w:rPr>
                <w:rFonts w:ascii="Calibri" w:eastAsia="Calibri" w:hAnsi="Calibri" w:cs="Calibri"/>
                <w:b/>
                <w:color w:val="000000"/>
                <w:kern w:val="1"/>
                <w:sz w:val="22"/>
                <w:szCs w:val="22"/>
                <w:u w:val="single"/>
                <w:lang w:eastAsia="ar-SA"/>
              </w:rPr>
              <w:t xml:space="preserve">the methods proposed </w:t>
            </w:r>
            <w:r w:rsidRPr="00DE0568">
              <w:rPr>
                <w:rFonts w:ascii="Calibri" w:eastAsia="Calibri" w:hAnsi="Calibri" w:cs="Calibri"/>
                <w:color w:val="000000"/>
                <w:kern w:val="1"/>
                <w:sz w:val="22"/>
                <w:szCs w:val="22"/>
                <w:lang w:eastAsia="ar-SA"/>
              </w:rPr>
              <w:t>for each matter under this issue considering that the matters are non-contentious and consensus has already been achieved at the ITU-R WP4A on all matters on how best to resolve them.</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D</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Identification of those specific satellite networks and systems with which coordination needs to be effected under RR Nos. 9.12, 9.12A and 9.13.</w:t>
            </w:r>
          </w:p>
        </w:tc>
        <w:tc>
          <w:tcPr>
            <w:tcW w:w="7307" w:type="dxa"/>
          </w:tcPr>
          <w:p w:rsidR="00ED5D81" w:rsidRPr="00DE0568" w:rsidRDefault="007570F2" w:rsidP="00ED5D81">
            <w:pPr>
              <w:spacing w:before="60"/>
              <w:rPr>
                <w:rFonts w:ascii="Calibri" w:hAnsi="Calibri" w:cs="Calibri"/>
                <w:sz w:val="22"/>
                <w:szCs w:val="22"/>
              </w:rPr>
            </w:pPr>
            <w:r w:rsidRPr="00DE0568">
              <w:rPr>
                <w:rFonts w:ascii="Calibri" w:hAnsi="Calibri" w:cs="Calibri"/>
                <w:b/>
                <w:sz w:val="22"/>
                <w:szCs w:val="22"/>
                <w:u w:val="single"/>
              </w:rPr>
              <w:t>Method D2</w:t>
            </w:r>
            <w:r w:rsidRPr="00DE0568">
              <w:rPr>
                <w:rFonts w:ascii="Calibri" w:eastAsia="Calibri" w:hAnsi="Calibri" w:cs="Calibri"/>
                <w:b/>
                <w:color w:val="000000"/>
                <w:kern w:val="1"/>
                <w:sz w:val="22"/>
                <w:szCs w:val="22"/>
                <w:lang w:eastAsia="ar-SA"/>
              </w:rPr>
              <w:t xml:space="preserve"> </w:t>
            </w:r>
            <w:r w:rsidRPr="00DE0568">
              <w:rPr>
                <w:rFonts w:ascii="Calibri" w:hAnsi="Calibri" w:cs="Calibri"/>
                <w:sz w:val="22"/>
                <w:szCs w:val="22"/>
              </w:rPr>
              <w:t>– to include the list of potentially affected networks in CR/C and in addition to give a room for potentially affected Administrations to include additional Satellite networks which might have been omitted in CR/C and publish them in CR/D.</w:t>
            </w:r>
          </w:p>
        </w:tc>
      </w:tr>
    </w:tbl>
    <w:p w:rsidR="00506CE8" w:rsidRDefault="00506CE8">
      <w:r>
        <w:br w:type="page"/>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7307"/>
      </w:tblGrid>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lastRenderedPageBreak/>
              <w:t>Issue E</w:t>
            </w:r>
          </w:p>
          <w:p w:rsidR="00ED5D81" w:rsidRPr="00DE0568" w:rsidRDefault="007570F2" w:rsidP="00ED5D81">
            <w:pPr>
              <w:spacing w:before="60"/>
              <w:rPr>
                <w:rFonts w:ascii="Calibri" w:hAnsi="Calibri" w:cs="Calibri"/>
                <w:sz w:val="22"/>
                <w:szCs w:val="22"/>
              </w:rPr>
            </w:pPr>
            <w:r w:rsidRPr="00DE0568">
              <w:rPr>
                <w:rFonts w:ascii="Calibri" w:hAnsi="Calibri" w:cs="Calibri"/>
                <w:sz w:val="22"/>
                <w:szCs w:val="22"/>
              </w:rPr>
              <w:t>Resolution related to RR Appendix 30B</w:t>
            </w:r>
          </w:p>
        </w:tc>
        <w:tc>
          <w:tcPr>
            <w:tcW w:w="7307" w:type="dxa"/>
          </w:tcPr>
          <w:p w:rsidR="007570F2" w:rsidRPr="00DE0568" w:rsidRDefault="007570F2" w:rsidP="00ED5D81">
            <w:pPr>
              <w:spacing w:before="60"/>
              <w:rPr>
                <w:rFonts w:ascii="Calibri" w:hAnsi="Calibri" w:cs="Calibri"/>
                <w:sz w:val="22"/>
                <w:szCs w:val="22"/>
              </w:rPr>
            </w:pPr>
            <w:r w:rsidRPr="00DE0568">
              <w:rPr>
                <w:rFonts w:ascii="Calibri" w:eastAsia="Calibri" w:hAnsi="Calibri" w:cs="Calibri"/>
                <w:b/>
                <w:color w:val="000000"/>
                <w:kern w:val="1"/>
                <w:sz w:val="22"/>
                <w:szCs w:val="22"/>
                <w:u w:val="single"/>
                <w:lang w:eastAsia="ar-SA"/>
              </w:rPr>
              <w:t xml:space="preserve">The Only Method, </w:t>
            </w:r>
            <w:r w:rsidRPr="00DE0568">
              <w:rPr>
                <w:rFonts w:ascii="Calibri" w:hAnsi="Calibri" w:cs="Calibri"/>
                <w:sz w:val="22"/>
                <w:szCs w:val="22"/>
              </w:rPr>
              <w:t>which proposes the development of a new WRC Resolution to facilitate those Administrations who don’t have a frequency assignment in the Appendix 30B and wish to provide an economically viable satellite service to its national territory as initially considered when the allotment Plan was established in 1988.</w:t>
            </w:r>
          </w:p>
        </w:tc>
      </w:tr>
      <w:tr w:rsidR="007570F2" w:rsidRPr="00DE0568" w:rsidTr="00ED5D81">
        <w:trPr>
          <w:trHeight w:val="1394"/>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F</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Measures to facilitate entering new assignments into the RR Appendix 30B List</w:t>
            </w:r>
          </w:p>
        </w:tc>
        <w:tc>
          <w:tcPr>
            <w:tcW w:w="7307" w:type="dxa"/>
          </w:tcPr>
          <w:p w:rsidR="00ED5D81" w:rsidRPr="00DE0568" w:rsidRDefault="007570F2" w:rsidP="00ED5D81">
            <w:pPr>
              <w:suppressAutoHyphens/>
              <w:spacing w:before="60" w:line="276" w:lineRule="auto"/>
              <w:rPr>
                <w:rFonts w:ascii="Calibri" w:eastAsia="Calibri" w:hAnsi="Calibri" w:cs="Calibri"/>
                <w:i/>
                <w:color w:val="000000"/>
                <w:kern w:val="1"/>
                <w:sz w:val="22"/>
                <w:szCs w:val="22"/>
                <w:lang w:eastAsia="ar-SA"/>
              </w:rPr>
            </w:pPr>
            <w:r w:rsidRPr="00DE0568">
              <w:rPr>
                <w:rFonts w:ascii="Calibri" w:hAnsi="Calibri" w:cs="Calibri"/>
                <w:b/>
                <w:sz w:val="22"/>
                <w:szCs w:val="22"/>
                <w:u w:val="single"/>
              </w:rPr>
              <w:t>Method F1</w:t>
            </w:r>
            <w:r w:rsidRPr="00DE0568">
              <w:rPr>
                <w:rFonts w:ascii="Calibri" w:hAnsi="Calibri" w:cs="Calibri"/>
                <w:sz w:val="22"/>
                <w:szCs w:val="22"/>
              </w:rPr>
              <w:t>, which proposes to update the coordination, triggers to take into account technological advances and avoid some unnecessary coordination while assuring adequate protection of other satellite networks.</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G</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Updating the reference situation for networks under RR Appendices 30 and 30A when provisional recording is used.</w:t>
            </w:r>
          </w:p>
        </w:tc>
        <w:tc>
          <w:tcPr>
            <w:tcW w:w="7307" w:type="dxa"/>
          </w:tcPr>
          <w:p w:rsidR="007570F2" w:rsidRDefault="007570F2" w:rsidP="00ED5D81">
            <w:pPr>
              <w:suppressAutoHyphens/>
              <w:spacing w:before="60" w:line="276" w:lineRule="auto"/>
              <w:rPr>
                <w:rFonts w:ascii="Calibri" w:hAnsi="Calibri" w:cs="Calibri"/>
                <w:sz w:val="22"/>
                <w:szCs w:val="22"/>
              </w:rPr>
            </w:pPr>
            <w:r w:rsidRPr="00DE0568">
              <w:rPr>
                <w:rFonts w:ascii="Calibri" w:hAnsi="Calibri" w:cs="Calibri"/>
                <w:b/>
                <w:sz w:val="22"/>
                <w:szCs w:val="22"/>
                <w:u w:val="single"/>
              </w:rPr>
              <w:t>Method G1</w:t>
            </w:r>
            <w:r w:rsidRPr="00DE0568">
              <w:rPr>
                <w:rFonts w:ascii="Calibri" w:hAnsi="Calibri" w:cs="Calibri"/>
                <w:sz w:val="22"/>
                <w:szCs w:val="22"/>
              </w:rPr>
              <w:t xml:space="preserve">, which provides that when a network enters the List of Appendix 30 or 30A, the reference situation of the interfered with the network shall only be updated if-and-when the Bureau is informed that the agreement has been obtained. RR Provision 4.1.18 must be modified to reflect this view. </w:t>
            </w:r>
          </w:p>
          <w:p w:rsidR="00ED5D81" w:rsidRPr="00DE0568" w:rsidRDefault="00ED5D81" w:rsidP="00ED5D81">
            <w:pPr>
              <w:suppressAutoHyphens/>
              <w:spacing w:before="60" w:line="276" w:lineRule="auto"/>
              <w:rPr>
                <w:rFonts w:ascii="Calibri" w:hAnsi="Calibri" w:cs="Calibri"/>
                <w:sz w:val="22"/>
                <w:szCs w:val="22"/>
              </w:rPr>
            </w:pP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H</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Modifications to RR Appendix 4 data elements to be provided for non-geostationary satellite networks/systems</w:t>
            </w:r>
          </w:p>
        </w:tc>
        <w:tc>
          <w:tcPr>
            <w:tcW w:w="7307" w:type="dxa"/>
          </w:tcPr>
          <w:p w:rsidR="007570F2" w:rsidRPr="00DE0568" w:rsidRDefault="007570F2" w:rsidP="00ED5D81">
            <w:pPr>
              <w:spacing w:before="60"/>
              <w:rPr>
                <w:rFonts w:ascii="Calibri" w:hAnsi="Calibri" w:cs="Calibri"/>
                <w:sz w:val="22"/>
                <w:szCs w:val="22"/>
              </w:rPr>
            </w:pPr>
            <w:r w:rsidRPr="00DE0568">
              <w:rPr>
                <w:rFonts w:ascii="Calibri" w:eastAsia="Calibri" w:hAnsi="Calibri" w:cs="Calibri"/>
                <w:b/>
                <w:color w:val="000000"/>
                <w:kern w:val="1"/>
                <w:sz w:val="22"/>
                <w:szCs w:val="22"/>
                <w:u w:val="single"/>
                <w:lang w:eastAsia="ar-SA"/>
              </w:rPr>
              <w:t>The Only Method,</w:t>
            </w:r>
            <w:r w:rsidRPr="00DE0568">
              <w:rPr>
                <w:rFonts w:ascii="Calibri" w:eastAsia="Calibri" w:hAnsi="Calibri" w:cs="Calibri"/>
                <w:b/>
                <w:color w:val="000000"/>
                <w:kern w:val="1"/>
                <w:sz w:val="22"/>
                <w:szCs w:val="22"/>
                <w:lang w:eastAsia="ar-SA"/>
              </w:rPr>
              <w:t xml:space="preserve"> </w:t>
            </w:r>
            <w:r w:rsidRPr="00DE0568">
              <w:rPr>
                <w:rFonts w:ascii="Calibri" w:hAnsi="Calibri" w:cs="Calibri"/>
                <w:sz w:val="22"/>
                <w:szCs w:val="22"/>
              </w:rPr>
              <w:t>proposed in WP 4A which provides additional items to include in RR Appendix 4 for APIs for frequency assignments to NGSO satellite systems in bands not subject to coordination under Section II of RR Article 9 for facilitating modelling of NGSO.</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 xml:space="preserve">Issue I </w:t>
            </w:r>
          </w:p>
          <w:p w:rsidR="007570F2" w:rsidRPr="00DE0568" w:rsidRDefault="007570F2" w:rsidP="00ED5D81">
            <w:pPr>
              <w:spacing w:before="60"/>
              <w:rPr>
                <w:rFonts w:ascii="Calibri" w:hAnsi="Calibri" w:cs="Calibri"/>
                <w:sz w:val="22"/>
                <w:szCs w:val="22"/>
              </w:rPr>
            </w:pPr>
            <w:r w:rsidRPr="00DE0568">
              <w:rPr>
                <w:rFonts w:ascii="Calibri" w:hAnsi="Calibri" w:cs="Calibri"/>
                <w:sz w:val="22"/>
                <w:szCs w:val="22"/>
              </w:rPr>
              <w:t>Additional RR Appendix 4 data items to be provided for non-geostationary satellite systems with multiple orbital planes</w:t>
            </w:r>
          </w:p>
        </w:tc>
        <w:tc>
          <w:tcPr>
            <w:tcW w:w="7307" w:type="dxa"/>
          </w:tcPr>
          <w:p w:rsidR="007570F2" w:rsidRPr="00DE0568" w:rsidRDefault="007570F2" w:rsidP="00ED5D81">
            <w:pPr>
              <w:spacing w:before="60"/>
              <w:rPr>
                <w:rFonts w:ascii="Calibri" w:hAnsi="Calibri" w:cs="Calibri"/>
                <w:b/>
                <w:i/>
                <w:sz w:val="22"/>
                <w:szCs w:val="22"/>
              </w:rPr>
            </w:pPr>
            <w:r w:rsidRPr="00DE0568">
              <w:rPr>
                <w:rFonts w:ascii="Calibri" w:eastAsia="Calibri" w:hAnsi="Calibri" w:cs="Calibri"/>
                <w:b/>
                <w:color w:val="000000"/>
                <w:kern w:val="1"/>
                <w:sz w:val="22"/>
                <w:szCs w:val="22"/>
                <w:u w:val="single"/>
                <w:lang w:eastAsia="ar-SA"/>
              </w:rPr>
              <w:t>The Only Method,</w:t>
            </w:r>
            <w:r w:rsidRPr="00DE0568">
              <w:rPr>
                <w:rFonts w:ascii="Calibri" w:eastAsia="Calibri" w:hAnsi="Calibri" w:cs="Calibri"/>
                <w:b/>
                <w:color w:val="000000"/>
                <w:kern w:val="1"/>
                <w:sz w:val="22"/>
                <w:szCs w:val="22"/>
                <w:lang w:eastAsia="ar-SA"/>
              </w:rPr>
              <w:t xml:space="preserve"> </w:t>
            </w:r>
            <w:r w:rsidRPr="00DE0568">
              <w:rPr>
                <w:rFonts w:ascii="Calibri" w:hAnsi="Calibri" w:cs="Calibri"/>
                <w:sz w:val="22"/>
                <w:szCs w:val="22"/>
              </w:rPr>
              <w:t xml:space="preserve">in WP 4A which proposes two additional items in RR Appendix </w:t>
            </w:r>
            <w:r w:rsidRPr="00DE0568">
              <w:rPr>
                <w:rFonts w:ascii="Calibri" w:hAnsi="Calibri" w:cs="Calibri"/>
                <w:b/>
                <w:bCs/>
                <w:sz w:val="22"/>
                <w:szCs w:val="22"/>
              </w:rPr>
              <w:t>4</w:t>
            </w:r>
            <w:r w:rsidRPr="00DE0568">
              <w:rPr>
                <w:rFonts w:ascii="Calibri" w:hAnsi="Calibri" w:cs="Calibri"/>
                <w:sz w:val="22"/>
                <w:szCs w:val="22"/>
              </w:rPr>
              <w:t xml:space="preserve"> for the provision of information relating to the multiple orbital planes and their relationship with respect to the NGSO satellite system</w:t>
            </w:r>
            <w:r w:rsidRPr="00DE0568">
              <w:rPr>
                <w:rFonts w:ascii="Calibri" w:hAnsi="Calibri" w:cs="Calibri"/>
                <w:b/>
                <w:sz w:val="22"/>
                <w:szCs w:val="22"/>
              </w:rPr>
              <w:t>.</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J</w:t>
            </w:r>
            <w:r w:rsidRPr="00DE0568">
              <w:rPr>
                <w:rFonts w:ascii="Calibri" w:hAnsi="Calibri" w:cs="Calibri"/>
                <w:sz w:val="22"/>
                <w:szCs w:val="22"/>
              </w:rPr>
              <w:t xml:space="preserve"> – pfd limit </w:t>
            </w:r>
            <w:r w:rsidRPr="00DE0568">
              <w:rPr>
                <w:rFonts w:ascii="Calibri" w:hAnsi="Calibri" w:cs="Calibri"/>
                <w:sz w:val="22"/>
                <w:szCs w:val="22"/>
                <w:lang w:eastAsia="ja-JP"/>
              </w:rPr>
              <w:t>in</w:t>
            </w:r>
            <w:r w:rsidRPr="00DE0568">
              <w:rPr>
                <w:rFonts w:ascii="Calibri" w:hAnsi="Calibri" w:cs="Calibri"/>
                <w:sz w:val="22"/>
                <w:szCs w:val="22"/>
              </w:rPr>
              <w:t xml:space="preserve"> Section 1, Annex 1 of RR Appendix 30</w:t>
            </w:r>
          </w:p>
        </w:tc>
        <w:tc>
          <w:tcPr>
            <w:tcW w:w="7307" w:type="dxa"/>
          </w:tcPr>
          <w:p w:rsidR="007570F2" w:rsidRPr="00DE0568" w:rsidRDefault="007570F2" w:rsidP="00ED5D81">
            <w:pPr>
              <w:spacing w:before="60"/>
              <w:rPr>
                <w:rFonts w:ascii="Calibri" w:hAnsi="Calibri" w:cs="Calibri"/>
                <w:b/>
                <w:i/>
                <w:sz w:val="22"/>
                <w:szCs w:val="22"/>
              </w:rPr>
            </w:pPr>
            <w:r w:rsidRPr="00DE0568">
              <w:rPr>
                <w:rFonts w:ascii="Calibri" w:hAnsi="Calibri" w:cs="Calibri"/>
                <w:b/>
                <w:spacing w:val="-2"/>
                <w:sz w:val="22"/>
                <w:szCs w:val="22"/>
                <w:u w:val="single"/>
                <w:lang w:eastAsia="zh-CN"/>
              </w:rPr>
              <w:t>Method J2</w:t>
            </w:r>
            <w:r w:rsidRPr="00DE0568">
              <w:rPr>
                <w:rFonts w:ascii="Calibri" w:hAnsi="Calibri" w:cs="Calibri"/>
                <w:spacing w:val="-2"/>
                <w:sz w:val="22"/>
                <w:szCs w:val="22"/>
                <w:lang w:eastAsia="zh-CN"/>
              </w:rPr>
              <w:t xml:space="preserve"> which proposes no change to the Radio Regulations since the pfd limit referred to in the first paragraph of Section 1 of Annex 1 to RR Appendix 30 is hard limit</w:t>
            </w:r>
            <w:r w:rsidRPr="00DE0568">
              <w:rPr>
                <w:rFonts w:ascii="Calibri" w:hAnsi="Calibri" w:cs="Calibri"/>
                <w:sz w:val="22"/>
                <w:szCs w:val="22"/>
              </w:rPr>
              <w:t xml:space="preserve"> </w:t>
            </w:r>
            <w:r w:rsidRPr="00DE0568">
              <w:rPr>
                <w:rFonts w:ascii="Calibri" w:hAnsi="Calibri" w:cs="Calibri"/>
                <w:spacing w:val="-2"/>
                <w:sz w:val="22"/>
                <w:szCs w:val="22"/>
                <w:lang w:eastAsia="zh-CN"/>
              </w:rPr>
              <w:t xml:space="preserve">that shall not be exceeded in order to protect BSS assignments from interference that may be caused by BSS networks located outside an arc of  </w:t>
            </w:r>
            <w:r w:rsidRPr="00DE0568">
              <w:rPr>
                <w:rFonts w:ascii="Symbol" w:hAnsi="Symbol" w:cs="Symbol"/>
                <w:sz w:val="22"/>
                <w:szCs w:val="22"/>
                <w:lang w:eastAsia="zh-CN"/>
              </w:rPr>
              <w:t></w:t>
            </w:r>
            <w:r w:rsidRPr="00DE0568">
              <w:rPr>
                <w:sz w:val="22"/>
                <w:szCs w:val="22"/>
                <w:lang w:eastAsia="zh-CN"/>
              </w:rPr>
              <w:t>9</w:t>
            </w:r>
            <w:r w:rsidRPr="00DE0568">
              <w:rPr>
                <w:rFonts w:ascii="Symbol" w:hAnsi="Symbol" w:cs="Symbol"/>
                <w:sz w:val="22"/>
                <w:szCs w:val="22"/>
                <w:lang w:eastAsia="zh-CN"/>
              </w:rPr>
              <w:t></w:t>
            </w:r>
            <w:r w:rsidRPr="00DE0568">
              <w:rPr>
                <w:spacing w:val="24"/>
                <w:sz w:val="22"/>
                <w:szCs w:val="22"/>
                <w:lang w:eastAsia="zh-CN"/>
              </w:rPr>
              <w:t xml:space="preserve"> </w:t>
            </w:r>
            <w:r w:rsidRPr="00DE0568">
              <w:rPr>
                <w:rFonts w:ascii="Calibri" w:hAnsi="Calibri" w:cs="Calibri"/>
                <w:spacing w:val="-2"/>
                <w:sz w:val="22"/>
                <w:szCs w:val="22"/>
                <w:lang w:eastAsia="zh-CN"/>
              </w:rPr>
              <w:t>around a wanted BSS network.</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 xml:space="preserve">Issue K – </w:t>
            </w:r>
            <w:r w:rsidRPr="00DE0568">
              <w:rPr>
                <w:rFonts w:ascii="Calibri" w:hAnsi="Calibri" w:cs="Calibri"/>
                <w:sz w:val="22"/>
                <w:szCs w:val="22"/>
              </w:rPr>
              <w:t xml:space="preserve">Difficulties for Part B examinations under § 4.1.12 or 4.2.16 of RR Appendices 30 and 30A and § 6.21 </w:t>
            </w:r>
            <w:r w:rsidRPr="00DE0568">
              <w:rPr>
                <w:rFonts w:ascii="Calibri" w:hAnsi="Calibri" w:cs="Calibri"/>
                <w:i/>
                <w:iCs/>
                <w:sz w:val="22"/>
                <w:szCs w:val="22"/>
              </w:rPr>
              <w:t>c)</w:t>
            </w:r>
            <w:r w:rsidRPr="00DE0568">
              <w:rPr>
                <w:rFonts w:ascii="Calibri" w:hAnsi="Calibri" w:cs="Calibri"/>
                <w:sz w:val="22"/>
                <w:szCs w:val="22"/>
              </w:rPr>
              <w:t xml:space="preserve"> of RR Appendix 30B</w:t>
            </w:r>
          </w:p>
        </w:tc>
        <w:tc>
          <w:tcPr>
            <w:tcW w:w="7307" w:type="dxa"/>
          </w:tcPr>
          <w:p w:rsidR="007570F2" w:rsidRPr="00DE0568" w:rsidRDefault="007570F2" w:rsidP="00ED5D81">
            <w:pPr>
              <w:spacing w:before="60"/>
              <w:rPr>
                <w:rFonts w:ascii="Calibri" w:hAnsi="Calibri" w:cs="Calibri"/>
                <w:b/>
                <w:i/>
                <w:sz w:val="22"/>
                <w:szCs w:val="22"/>
              </w:rPr>
            </w:pPr>
            <w:r w:rsidRPr="00DE0568">
              <w:rPr>
                <w:rFonts w:ascii="Calibri" w:eastAsia="Calibri" w:hAnsi="Calibri" w:cs="Calibri"/>
                <w:b/>
                <w:color w:val="000000"/>
                <w:kern w:val="1"/>
                <w:sz w:val="22"/>
                <w:szCs w:val="22"/>
                <w:u w:val="single"/>
                <w:lang w:eastAsia="ar-SA"/>
              </w:rPr>
              <w:t>The Only Method,</w:t>
            </w:r>
            <w:r w:rsidRPr="00DE0568">
              <w:rPr>
                <w:rFonts w:ascii="Calibri" w:eastAsia="Calibri" w:hAnsi="Calibri" w:cs="Calibri"/>
                <w:b/>
                <w:color w:val="000000"/>
                <w:kern w:val="1"/>
                <w:sz w:val="22"/>
                <w:szCs w:val="22"/>
                <w:lang w:eastAsia="ar-SA"/>
              </w:rPr>
              <w:t xml:space="preserve"> </w:t>
            </w:r>
            <w:r w:rsidRPr="00DE0568">
              <w:rPr>
                <w:rFonts w:ascii="Calibri" w:hAnsi="Calibri" w:cs="Calibri"/>
                <w:spacing w:val="-1"/>
                <w:sz w:val="22"/>
                <w:szCs w:val="22"/>
                <w:lang w:eastAsia="zh-CN"/>
              </w:rPr>
              <w:t>proposed which intends to make satellite coordination easier and to allow satellites networks opportunity of additional examination that have received unfavourable finding.</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Issue L</w:t>
            </w:r>
            <w:r w:rsidRPr="00DE0568">
              <w:rPr>
                <w:rFonts w:ascii="Calibri" w:hAnsi="Calibri" w:cs="Calibri"/>
                <w:sz w:val="22"/>
                <w:szCs w:val="22"/>
              </w:rPr>
              <w:t xml:space="preserve"> – Update to Appendix 4 data elements required for RR Article 22 epfd verification after revision of Recommendation ITU-R S.1503</w:t>
            </w:r>
          </w:p>
        </w:tc>
        <w:tc>
          <w:tcPr>
            <w:tcW w:w="7307" w:type="dxa"/>
          </w:tcPr>
          <w:p w:rsidR="007570F2" w:rsidRPr="00DE0568" w:rsidRDefault="007570F2" w:rsidP="00ED5D81">
            <w:pPr>
              <w:spacing w:before="60"/>
              <w:rPr>
                <w:rFonts w:ascii="Calibri" w:hAnsi="Calibri" w:cs="Calibri"/>
                <w:b/>
                <w:i/>
                <w:sz w:val="22"/>
                <w:szCs w:val="22"/>
              </w:rPr>
            </w:pPr>
            <w:r w:rsidRPr="00DE0568">
              <w:rPr>
                <w:rFonts w:ascii="Calibri" w:eastAsia="Calibri" w:hAnsi="Calibri" w:cs="Calibri"/>
                <w:b/>
                <w:color w:val="000000"/>
                <w:kern w:val="1"/>
                <w:sz w:val="22"/>
                <w:szCs w:val="22"/>
                <w:u w:val="single"/>
                <w:lang w:eastAsia="ar-SA"/>
              </w:rPr>
              <w:t>The Only Method,</w:t>
            </w:r>
            <w:r w:rsidRPr="00DE0568">
              <w:rPr>
                <w:rFonts w:ascii="Calibri" w:eastAsia="Calibri" w:hAnsi="Calibri" w:cs="Calibri"/>
                <w:b/>
                <w:color w:val="000000"/>
                <w:kern w:val="1"/>
                <w:sz w:val="22"/>
                <w:szCs w:val="22"/>
                <w:lang w:eastAsia="ar-SA"/>
              </w:rPr>
              <w:t xml:space="preserve"> </w:t>
            </w:r>
            <w:r w:rsidRPr="00DE0568">
              <w:rPr>
                <w:rFonts w:ascii="Calibri" w:hAnsi="Calibri" w:cs="Calibri"/>
                <w:spacing w:val="-1"/>
                <w:sz w:val="22"/>
                <w:szCs w:val="22"/>
                <w:lang w:eastAsia="zh-CN"/>
              </w:rPr>
              <w:t>proposing changes to RR Appendix 4 which reflects the amendments on Recommendation ITU-R S.1503.</w:t>
            </w:r>
          </w:p>
        </w:tc>
      </w:tr>
      <w:tr w:rsidR="007570F2" w:rsidRPr="00DE0568" w:rsidTr="00ED5D81">
        <w:trPr>
          <w:jc w:val="center"/>
        </w:trPr>
        <w:tc>
          <w:tcPr>
            <w:tcW w:w="2982" w:type="dxa"/>
          </w:tcPr>
          <w:p w:rsidR="007570F2" w:rsidRPr="00DE0568" w:rsidRDefault="007570F2" w:rsidP="00ED5D81">
            <w:pPr>
              <w:spacing w:before="60"/>
              <w:rPr>
                <w:rFonts w:ascii="Calibri" w:hAnsi="Calibri" w:cs="Calibri"/>
                <w:b/>
                <w:sz w:val="22"/>
                <w:szCs w:val="22"/>
              </w:rPr>
            </w:pPr>
            <w:r w:rsidRPr="00DE0568">
              <w:rPr>
                <w:rFonts w:ascii="Calibri" w:hAnsi="Calibri" w:cs="Calibri"/>
                <w:b/>
                <w:sz w:val="22"/>
                <w:szCs w:val="22"/>
              </w:rPr>
              <w:t xml:space="preserve">Issue M – </w:t>
            </w:r>
            <w:r w:rsidRPr="00DE0568">
              <w:rPr>
                <w:rFonts w:ascii="Calibri" w:hAnsi="Calibri" w:cs="Calibri"/>
                <w:sz w:val="22"/>
                <w:szCs w:val="22"/>
              </w:rPr>
              <w:t>Simplified regulatory regime for non-GSO satellite systems with short-duration missions</w:t>
            </w:r>
          </w:p>
        </w:tc>
        <w:tc>
          <w:tcPr>
            <w:tcW w:w="7307" w:type="dxa"/>
          </w:tcPr>
          <w:p w:rsidR="007570F2" w:rsidRPr="00DE0568" w:rsidRDefault="007570F2" w:rsidP="00ED5D81">
            <w:pPr>
              <w:spacing w:before="60"/>
              <w:rPr>
                <w:rFonts w:ascii="Calibri" w:eastAsia="Calibri" w:hAnsi="Calibri" w:cs="Calibri"/>
                <w:color w:val="000000"/>
                <w:kern w:val="1"/>
                <w:sz w:val="22"/>
                <w:szCs w:val="22"/>
                <w:lang w:eastAsia="ar-SA"/>
              </w:rPr>
            </w:pPr>
            <w:r w:rsidRPr="00DE0568">
              <w:rPr>
                <w:rFonts w:ascii="Calibri" w:hAnsi="Calibri" w:cs="Calibri"/>
                <w:b/>
                <w:spacing w:val="-2"/>
                <w:sz w:val="22"/>
                <w:szCs w:val="22"/>
                <w:u w:val="single"/>
                <w:lang w:eastAsia="zh-CN"/>
              </w:rPr>
              <w:t>The adoption of the new WRC Resolution</w:t>
            </w:r>
            <w:r w:rsidRPr="00DE0568">
              <w:rPr>
                <w:rFonts w:ascii="Calibri" w:hAnsi="Calibri" w:cs="Calibri"/>
                <w:spacing w:val="-2"/>
                <w:sz w:val="22"/>
                <w:szCs w:val="22"/>
                <w:lang w:eastAsia="zh-CN"/>
              </w:rPr>
              <w:t>, together with an associated regulatory regime for non-GSO satellite systems with short duration missions as proposed in the draft CPM text.</w:t>
            </w:r>
          </w:p>
        </w:tc>
      </w:tr>
    </w:tbl>
    <w:p w:rsidR="007570F2" w:rsidRDefault="007570F2" w:rsidP="007570F2">
      <w:pPr>
        <w:pStyle w:val="Heading1"/>
        <w:spacing w:after="120"/>
      </w:pPr>
      <w:bookmarkStart w:id="15" w:name="_Toc525378142"/>
      <w:r w:rsidRPr="00EC1C51">
        <w:lastRenderedPageBreak/>
        <w:t>Chapter 4: Science services</w:t>
      </w:r>
      <w:bookmarkEnd w:id="15"/>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1"/>
        <w:gridCol w:w="7311"/>
      </w:tblGrid>
      <w:tr w:rsidR="007570F2" w:rsidRPr="00FA1041" w:rsidTr="00D94826">
        <w:trPr>
          <w:trHeight w:val="557"/>
          <w:jc w:val="center"/>
        </w:trPr>
        <w:tc>
          <w:tcPr>
            <w:tcW w:w="2991" w:type="dxa"/>
            <w:shd w:val="clear" w:color="auto" w:fill="00B050"/>
            <w:vAlign w:val="center"/>
          </w:tcPr>
          <w:p w:rsidR="007570F2" w:rsidRPr="00FA1041" w:rsidRDefault="007570F2" w:rsidP="00D94826">
            <w:pPr>
              <w:jc w:val="center"/>
              <w:rPr>
                <w:rFonts w:ascii="Calibri" w:hAnsi="Calibri" w:cs="Calibri"/>
                <w:b/>
                <w:sz w:val="22"/>
                <w:szCs w:val="22"/>
              </w:rPr>
            </w:pPr>
            <w:r w:rsidRPr="00FA1041">
              <w:rPr>
                <w:rFonts w:ascii="Calibri" w:hAnsi="Calibri" w:cs="Calibri"/>
                <w:b/>
                <w:sz w:val="22"/>
                <w:szCs w:val="22"/>
              </w:rPr>
              <w:t>Agenda Item</w:t>
            </w:r>
          </w:p>
        </w:tc>
        <w:tc>
          <w:tcPr>
            <w:tcW w:w="7311" w:type="dxa"/>
            <w:shd w:val="clear" w:color="auto" w:fill="00B050"/>
            <w:vAlign w:val="center"/>
          </w:tcPr>
          <w:p w:rsidR="007570F2" w:rsidRPr="00FA1041" w:rsidRDefault="007570F2" w:rsidP="00D94826">
            <w:pPr>
              <w:jc w:val="center"/>
              <w:rPr>
                <w:rFonts w:ascii="Calibri" w:hAnsi="Calibri" w:cs="Calibri"/>
                <w:b/>
                <w:sz w:val="22"/>
                <w:szCs w:val="22"/>
              </w:rPr>
            </w:pPr>
            <w:r w:rsidRPr="00FA1041">
              <w:rPr>
                <w:rFonts w:ascii="Calibri" w:hAnsi="Calibri" w:cs="Calibri"/>
                <w:b/>
                <w:sz w:val="22"/>
                <w:szCs w:val="22"/>
              </w:rPr>
              <w:t>African preliminary position</w:t>
            </w:r>
          </w:p>
        </w:tc>
      </w:tr>
      <w:tr w:rsidR="007570F2" w:rsidRPr="00FA1041" w:rsidTr="00D94826">
        <w:trPr>
          <w:trHeight w:val="962"/>
          <w:jc w:val="center"/>
        </w:trPr>
        <w:tc>
          <w:tcPr>
            <w:tcW w:w="2991" w:type="dxa"/>
            <w:vAlign w:val="center"/>
          </w:tcPr>
          <w:p w:rsidR="007570F2" w:rsidRPr="00FA1041" w:rsidRDefault="007570F2" w:rsidP="00D94826">
            <w:pPr>
              <w:rPr>
                <w:rFonts w:ascii="Calibri" w:hAnsi="Calibri" w:cs="Calibri"/>
                <w:b/>
                <w:sz w:val="22"/>
                <w:szCs w:val="22"/>
              </w:rPr>
            </w:pPr>
            <w:r w:rsidRPr="00FA1041">
              <w:rPr>
                <w:rFonts w:ascii="Calibri" w:hAnsi="Calibri" w:cs="Calibri"/>
                <w:b/>
                <w:sz w:val="22"/>
                <w:szCs w:val="22"/>
              </w:rPr>
              <w:t>AI 1.2</w:t>
            </w:r>
          </w:p>
          <w:p w:rsidR="007570F2" w:rsidRPr="00FA1041" w:rsidRDefault="007570F2" w:rsidP="00D94826">
            <w:pPr>
              <w:rPr>
                <w:rFonts w:ascii="Calibri" w:hAnsi="Calibri" w:cs="Calibri"/>
                <w:sz w:val="22"/>
                <w:szCs w:val="22"/>
              </w:rPr>
            </w:pPr>
            <w:r w:rsidRPr="00FA1041">
              <w:rPr>
                <w:rFonts w:ascii="Calibri" w:hAnsi="Calibri" w:cs="Calibri"/>
                <w:sz w:val="22"/>
                <w:szCs w:val="22"/>
              </w:rPr>
              <w:t>In-band power limits for earth stations in 401-403 MHz and 399.9-400.05 MHz.</w:t>
            </w:r>
          </w:p>
        </w:tc>
        <w:tc>
          <w:tcPr>
            <w:tcW w:w="7311" w:type="dxa"/>
            <w:vAlign w:val="center"/>
          </w:tcPr>
          <w:p w:rsidR="007570F2" w:rsidRPr="00FA1041" w:rsidRDefault="007570F2" w:rsidP="007570F2">
            <w:pPr>
              <w:pStyle w:val="ListParagraph"/>
              <w:numPr>
                <w:ilvl w:val="0"/>
                <w:numId w:val="14"/>
              </w:numPr>
              <w:spacing w:after="0"/>
              <w:contextualSpacing/>
              <w:rPr>
                <w:rFonts w:ascii="Calibri" w:hAnsi="Calibri" w:cs="Calibri"/>
                <w:sz w:val="22"/>
                <w:szCs w:val="22"/>
                <w:lang w:val="en-GB"/>
              </w:rPr>
            </w:pPr>
            <w:r w:rsidRPr="00FA1041">
              <w:rPr>
                <w:rFonts w:ascii="Calibri" w:hAnsi="Calibri" w:cs="Calibri"/>
                <w:sz w:val="22"/>
                <w:szCs w:val="22"/>
                <w:lang w:val="en-GB"/>
              </w:rPr>
              <w:t>For the band 399.9 - 400.05 MHz:</w:t>
            </w:r>
          </w:p>
          <w:p w:rsidR="007570F2" w:rsidRPr="00FA1041" w:rsidRDefault="007570F2" w:rsidP="00D94826">
            <w:pPr>
              <w:contextualSpacing/>
              <w:rPr>
                <w:rFonts w:ascii="Calibri" w:hAnsi="Calibri" w:cs="Calibri"/>
                <w:sz w:val="22"/>
                <w:szCs w:val="22"/>
              </w:rPr>
            </w:pPr>
            <w:r w:rsidRPr="00FA1041">
              <w:rPr>
                <w:rFonts w:ascii="Calibri" w:eastAsia="Calibri" w:hAnsi="Calibri" w:cs="Calibri"/>
                <w:b/>
                <w:color w:val="000000"/>
                <w:kern w:val="1"/>
                <w:sz w:val="22"/>
                <w:szCs w:val="22"/>
                <w:lang w:eastAsia="ar-SA"/>
              </w:rPr>
              <w:t>To be developed.</w:t>
            </w:r>
          </w:p>
          <w:p w:rsidR="007570F2" w:rsidRPr="00FA1041" w:rsidRDefault="007570F2" w:rsidP="007570F2">
            <w:pPr>
              <w:pStyle w:val="ListParagraph"/>
              <w:numPr>
                <w:ilvl w:val="0"/>
                <w:numId w:val="14"/>
              </w:numPr>
              <w:spacing w:before="240" w:after="0"/>
              <w:contextualSpacing/>
              <w:rPr>
                <w:rFonts w:ascii="Calibri" w:hAnsi="Calibri" w:cs="Calibri"/>
                <w:sz w:val="22"/>
                <w:szCs w:val="22"/>
                <w:lang w:val="en-GB"/>
              </w:rPr>
            </w:pPr>
            <w:r w:rsidRPr="00FA1041">
              <w:rPr>
                <w:rFonts w:ascii="Calibri" w:hAnsi="Calibri" w:cs="Calibri"/>
                <w:sz w:val="22"/>
                <w:szCs w:val="22"/>
                <w:lang w:val="en-GB"/>
              </w:rPr>
              <w:t>For the band 401 - 403 MHz:</w:t>
            </w:r>
          </w:p>
          <w:p w:rsidR="007570F2" w:rsidRPr="00FA1041" w:rsidRDefault="007570F2" w:rsidP="00D94826">
            <w:pPr>
              <w:contextualSpacing/>
              <w:rPr>
                <w:rFonts w:ascii="Calibri" w:hAnsi="Calibri" w:cs="Calibri"/>
                <w:sz w:val="22"/>
                <w:szCs w:val="22"/>
              </w:rPr>
            </w:pPr>
            <w:r w:rsidRPr="00FA1041">
              <w:rPr>
                <w:rFonts w:ascii="Calibri" w:eastAsia="Calibri" w:hAnsi="Calibri" w:cs="Calibri"/>
                <w:b/>
                <w:color w:val="000000"/>
                <w:kern w:val="1"/>
                <w:sz w:val="22"/>
                <w:szCs w:val="22"/>
                <w:lang w:eastAsia="ar-SA"/>
              </w:rPr>
              <w:t>To be developed.</w:t>
            </w:r>
          </w:p>
        </w:tc>
      </w:tr>
      <w:tr w:rsidR="007570F2" w:rsidRPr="00FA1041" w:rsidTr="00D94826">
        <w:trPr>
          <w:jc w:val="center"/>
        </w:trPr>
        <w:tc>
          <w:tcPr>
            <w:tcW w:w="2991" w:type="dxa"/>
            <w:vAlign w:val="center"/>
          </w:tcPr>
          <w:p w:rsidR="007570F2" w:rsidRPr="00FA1041" w:rsidRDefault="007570F2" w:rsidP="00D94826">
            <w:pPr>
              <w:rPr>
                <w:rFonts w:ascii="Calibri" w:hAnsi="Calibri" w:cs="Calibri"/>
                <w:b/>
                <w:sz w:val="22"/>
                <w:szCs w:val="22"/>
              </w:rPr>
            </w:pPr>
            <w:r w:rsidRPr="00FA1041">
              <w:rPr>
                <w:rFonts w:ascii="Calibri" w:hAnsi="Calibri" w:cs="Calibri"/>
                <w:b/>
                <w:sz w:val="22"/>
                <w:szCs w:val="22"/>
              </w:rPr>
              <w:t>AI 1.3</w:t>
            </w:r>
          </w:p>
          <w:p w:rsidR="007570F2" w:rsidRPr="00FA1041" w:rsidRDefault="007570F2" w:rsidP="00D94826">
            <w:pPr>
              <w:rPr>
                <w:rFonts w:ascii="Calibri" w:hAnsi="Calibri" w:cs="Calibri"/>
                <w:sz w:val="22"/>
                <w:szCs w:val="22"/>
              </w:rPr>
            </w:pPr>
            <w:r w:rsidRPr="00FA1041">
              <w:rPr>
                <w:rFonts w:ascii="Calibri" w:hAnsi="Calibri" w:cs="Calibri"/>
                <w:sz w:val="22"/>
                <w:szCs w:val="22"/>
              </w:rPr>
              <w:t>Meteorological-satellite and Earth exploration-satellite services in 460-470 MHz.</w:t>
            </w:r>
          </w:p>
        </w:tc>
        <w:tc>
          <w:tcPr>
            <w:tcW w:w="7311" w:type="dxa"/>
            <w:vAlign w:val="center"/>
          </w:tcPr>
          <w:p w:rsidR="007570F2" w:rsidRPr="00FA1041" w:rsidRDefault="007570F2" w:rsidP="00D94826">
            <w:pPr>
              <w:contextualSpacing/>
              <w:rPr>
                <w:rFonts w:ascii="Calibri" w:eastAsia="Calibri" w:hAnsi="Calibri" w:cs="Calibri"/>
                <w:b/>
                <w:color w:val="000000"/>
                <w:kern w:val="1"/>
                <w:sz w:val="22"/>
                <w:szCs w:val="22"/>
                <w:lang w:eastAsia="ar-SA"/>
              </w:rPr>
            </w:pPr>
            <w:r w:rsidRPr="00FA1041">
              <w:rPr>
                <w:rFonts w:ascii="Calibri" w:eastAsia="Calibri" w:hAnsi="Calibri" w:cs="Calibri"/>
                <w:b/>
                <w:color w:val="000000"/>
                <w:kern w:val="1"/>
                <w:sz w:val="22"/>
                <w:szCs w:val="22"/>
                <w:lang w:eastAsia="ar-SA"/>
              </w:rPr>
              <w:t>Method A (No Change)</w:t>
            </w:r>
          </w:p>
        </w:tc>
      </w:tr>
      <w:tr w:rsidR="007570F2" w:rsidRPr="00FA1041" w:rsidTr="00D94826">
        <w:trPr>
          <w:jc w:val="center"/>
        </w:trPr>
        <w:tc>
          <w:tcPr>
            <w:tcW w:w="2991" w:type="dxa"/>
            <w:vAlign w:val="center"/>
          </w:tcPr>
          <w:p w:rsidR="007570F2" w:rsidRPr="00FA1041" w:rsidRDefault="007570F2" w:rsidP="00D94826">
            <w:pPr>
              <w:rPr>
                <w:rFonts w:ascii="Calibri" w:hAnsi="Calibri" w:cs="Calibri"/>
                <w:b/>
                <w:sz w:val="22"/>
                <w:szCs w:val="22"/>
              </w:rPr>
            </w:pPr>
            <w:r w:rsidRPr="00FA1041">
              <w:rPr>
                <w:rFonts w:ascii="Calibri" w:hAnsi="Calibri" w:cs="Calibri"/>
                <w:b/>
                <w:sz w:val="22"/>
                <w:szCs w:val="22"/>
              </w:rPr>
              <w:t>AI 1.7</w:t>
            </w:r>
          </w:p>
          <w:p w:rsidR="007570F2" w:rsidRPr="00FA1041" w:rsidRDefault="007570F2" w:rsidP="00D94826">
            <w:pPr>
              <w:rPr>
                <w:rFonts w:ascii="Calibri" w:hAnsi="Calibri" w:cs="Calibri"/>
                <w:sz w:val="22"/>
                <w:szCs w:val="22"/>
              </w:rPr>
            </w:pPr>
            <w:r w:rsidRPr="00FA1041">
              <w:rPr>
                <w:rFonts w:ascii="Calibri" w:hAnsi="Calibri" w:cs="Calibri"/>
                <w:sz w:val="22"/>
                <w:szCs w:val="22"/>
              </w:rPr>
              <w:t>Telemetry, tracking and command in the space operation service for non-GSO satellites with short duration missions.</w:t>
            </w:r>
          </w:p>
        </w:tc>
        <w:tc>
          <w:tcPr>
            <w:tcW w:w="7311" w:type="dxa"/>
            <w:vAlign w:val="center"/>
          </w:tcPr>
          <w:p w:rsidR="007570F2" w:rsidRPr="00FA1041" w:rsidRDefault="007570F2" w:rsidP="00D94826">
            <w:pPr>
              <w:contextualSpacing/>
              <w:rPr>
                <w:rFonts w:ascii="Calibri" w:eastAsia="Calibri" w:hAnsi="Calibri" w:cs="Calibri"/>
                <w:b/>
                <w:color w:val="000000"/>
                <w:kern w:val="1"/>
                <w:sz w:val="22"/>
                <w:szCs w:val="22"/>
                <w:lang w:eastAsia="ar-SA"/>
              </w:rPr>
            </w:pPr>
            <w:r w:rsidRPr="00FA1041">
              <w:rPr>
                <w:rFonts w:ascii="Calibri" w:eastAsia="Calibri" w:hAnsi="Calibri" w:cs="Calibri"/>
                <w:b/>
                <w:color w:val="000000"/>
                <w:kern w:val="1"/>
                <w:sz w:val="22"/>
                <w:szCs w:val="22"/>
                <w:lang w:eastAsia="ar-SA"/>
              </w:rPr>
              <w:t>Method A (No Change)</w:t>
            </w:r>
          </w:p>
        </w:tc>
      </w:tr>
    </w:tbl>
    <w:p w:rsidR="007570F2" w:rsidRDefault="007570F2" w:rsidP="007570F2">
      <w:pPr>
        <w:pStyle w:val="Heading1"/>
        <w:spacing w:after="120"/>
      </w:pPr>
      <w:bookmarkStart w:id="16" w:name="_Toc525378143"/>
      <w:r w:rsidRPr="00AD4457">
        <w:t>Chapter 5: Maritime, Aeronautical and Amateur services</w:t>
      </w:r>
      <w:bookmarkEnd w:id="16"/>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7"/>
        <w:gridCol w:w="7313"/>
      </w:tblGrid>
      <w:tr w:rsidR="007570F2" w:rsidRPr="00B7445D" w:rsidTr="00D94826">
        <w:trPr>
          <w:trHeight w:val="70"/>
        </w:trPr>
        <w:tc>
          <w:tcPr>
            <w:tcW w:w="2767" w:type="dxa"/>
            <w:shd w:val="clear" w:color="auto" w:fill="00B050"/>
          </w:tcPr>
          <w:p w:rsidR="007570F2" w:rsidRPr="00B7445D" w:rsidRDefault="007570F2" w:rsidP="00D94826">
            <w:pPr>
              <w:jc w:val="center"/>
              <w:rPr>
                <w:rFonts w:ascii="Calibri" w:hAnsi="Calibri" w:cs="Calibri"/>
                <w:b/>
                <w:sz w:val="22"/>
                <w:szCs w:val="22"/>
              </w:rPr>
            </w:pPr>
            <w:r w:rsidRPr="00B7445D">
              <w:rPr>
                <w:rFonts w:ascii="Calibri" w:hAnsi="Calibri" w:cs="Calibri"/>
                <w:b/>
                <w:sz w:val="22"/>
                <w:szCs w:val="22"/>
              </w:rPr>
              <w:t>Agenda Item</w:t>
            </w:r>
          </w:p>
        </w:tc>
        <w:tc>
          <w:tcPr>
            <w:tcW w:w="7313" w:type="dxa"/>
            <w:shd w:val="clear" w:color="auto" w:fill="00B050"/>
          </w:tcPr>
          <w:p w:rsidR="007570F2" w:rsidRPr="00B7445D" w:rsidRDefault="007570F2" w:rsidP="00D94826">
            <w:pPr>
              <w:jc w:val="center"/>
              <w:rPr>
                <w:rFonts w:ascii="Calibri" w:hAnsi="Calibri" w:cs="Calibri"/>
                <w:b/>
                <w:sz w:val="22"/>
                <w:szCs w:val="22"/>
              </w:rPr>
            </w:pPr>
            <w:r w:rsidRPr="00DE0568">
              <w:rPr>
                <w:rFonts w:ascii="Calibri" w:hAnsi="Calibri" w:cs="Calibri"/>
                <w:b/>
                <w:sz w:val="22"/>
                <w:szCs w:val="22"/>
              </w:rPr>
              <w:t>African preliminary position</w:t>
            </w:r>
          </w:p>
        </w:tc>
      </w:tr>
      <w:tr w:rsidR="007570F2" w:rsidRPr="00B7445D" w:rsidTr="00D94826">
        <w:tc>
          <w:tcPr>
            <w:tcW w:w="2767" w:type="dxa"/>
            <w:shd w:val="clear" w:color="auto" w:fill="auto"/>
            <w:vAlign w:val="center"/>
          </w:tcPr>
          <w:p w:rsidR="007570F2" w:rsidRPr="00B7445D" w:rsidRDefault="007570F2" w:rsidP="00D94826">
            <w:pPr>
              <w:rPr>
                <w:rFonts w:ascii="Calibri" w:hAnsi="Calibri" w:cs="Calibri"/>
                <w:b/>
                <w:sz w:val="22"/>
                <w:szCs w:val="22"/>
              </w:rPr>
            </w:pPr>
            <w:r w:rsidRPr="00B7445D">
              <w:rPr>
                <w:rFonts w:ascii="Calibri" w:hAnsi="Calibri" w:cs="Calibri"/>
                <w:b/>
                <w:sz w:val="22"/>
                <w:szCs w:val="22"/>
              </w:rPr>
              <w:t>AI 1.1</w:t>
            </w:r>
          </w:p>
          <w:p w:rsidR="007570F2" w:rsidRPr="00B7445D" w:rsidRDefault="007570F2" w:rsidP="00D94826">
            <w:pPr>
              <w:rPr>
                <w:rFonts w:ascii="Calibri" w:eastAsia="SimSun" w:hAnsi="Calibri" w:cs="Calibri"/>
                <w:iCs/>
                <w:sz w:val="22"/>
                <w:szCs w:val="22"/>
              </w:rPr>
            </w:pPr>
            <w:r w:rsidRPr="00B7445D">
              <w:rPr>
                <w:rFonts w:ascii="Calibri" w:eastAsia="SimSun" w:hAnsi="Calibri" w:cs="Calibri"/>
                <w:iCs/>
                <w:sz w:val="22"/>
                <w:szCs w:val="22"/>
              </w:rPr>
              <w:t xml:space="preserve">Amateur service in </w:t>
            </w:r>
          </w:p>
          <w:p w:rsidR="007570F2" w:rsidRPr="00B7445D" w:rsidRDefault="007570F2" w:rsidP="00D94826">
            <w:pPr>
              <w:rPr>
                <w:rFonts w:ascii="Calibri" w:eastAsia="SimSun" w:hAnsi="Calibri" w:cs="Calibri"/>
                <w:iCs/>
                <w:sz w:val="22"/>
                <w:szCs w:val="22"/>
              </w:rPr>
            </w:pPr>
            <w:r w:rsidRPr="00B7445D">
              <w:rPr>
                <w:rFonts w:ascii="Calibri" w:eastAsia="SimSun" w:hAnsi="Calibri" w:cs="Calibri"/>
                <w:iCs/>
                <w:sz w:val="22"/>
                <w:szCs w:val="22"/>
              </w:rPr>
              <w:t>50-54 MHz in Region 1.</w:t>
            </w:r>
          </w:p>
        </w:tc>
        <w:tc>
          <w:tcPr>
            <w:tcW w:w="7313" w:type="dxa"/>
            <w:shd w:val="clear" w:color="auto" w:fill="auto"/>
            <w:vAlign w:val="center"/>
          </w:tcPr>
          <w:p w:rsidR="007570F2" w:rsidRPr="00B7445D" w:rsidRDefault="007570F2" w:rsidP="00D94826">
            <w:pPr>
              <w:pStyle w:val="ListParagraph"/>
              <w:suppressAutoHyphens w:val="0"/>
              <w:spacing w:after="0" w:line="240" w:lineRule="auto"/>
              <w:ind w:left="0"/>
              <w:contextualSpacing/>
              <w:rPr>
                <w:rFonts w:ascii="Calibri" w:hAnsi="Calibri" w:cs="Calibri"/>
                <w:sz w:val="22"/>
                <w:szCs w:val="22"/>
                <w:lang w:val="en-GB"/>
              </w:rPr>
            </w:pPr>
            <w:r w:rsidRPr="00B7445D">
              <w:rPr>
                <w:rFonts w:ascii="Calibri" w:hAnsi="Calibri" w:cs="Calibri"/>
                <w:b/>
                <w:sz w:val="22"/>
                <w:szCs w:val="22"/>
                <w:u w:val="single"/>
                <w:lang w:val="en-GB"/>
              </w:rPr>
              <w:t>Method A</w:t>
            </w:r>
            <w:r w:rsidRPr="00B7445D">
              <w:rPr>
                <w:rFonts w:ascii="Calibri" w:hAnsi="Calibri" w:cs="Calibri"/>
                <w:sz w:val="22"/>
                <w:szCs w:val="22"/>
                <w:lang w:val="en-GB"/>
              </w:rPr>
              <w:t xml:space="preserve">, which entails an allocation to the amateur service on a primary basis in all the band 50-54 MHz, or part thereof, with appropriate footnotes to provide protection to services which already have an allocation in the band – this preliminary position is therefore in </w:t>
            </w:r>
            <w:r w:rsidRPr="00B7445D">
              <w:rPr>
                <w:rFonts w:ascii="Calibri" w:hAnsi="Calibri" w:cs="Calibri"/>
                <w:b/>
                <w:sz w:val="22"/>
                <w:szCs w:val="22"/>
                <w:lang w:val="en-GB"/>
              </w:rPr>
              <w:t xml:space="preserve">principle </w:t>
            </w:r>
            <w:r w:rsidRPr="00B7445D">
              <w:rPr>
                <w:rFonts w:ascii="Calibri" w:hAnsi="Calibri" w:cs="Calibri"/>
                <w:sz w:val="22"/>
                <w:szCs w:val="22"/>
                <w:lang w:val="en-GB"/>
              </w:rPr>
              <w:t>and is</w:t>
            </w:r>
            <w:r w:rsidRPr="00B7445D">
              <w:rPr>
                <w:rFonts w:ascii="Calibri" w:hAnsi="Calibri" w:cs="Calibri"/>
                <w:b/>
                <w:sz w:val="22"/>
                <w:szCs w:val="22"/>
                <w:lang w:val="en-GB"/>
              </w:rPr>
              <w:t xml:space="preserve"> </w:t>
            </w:r>
            <w:r w:rsidRPr="00B7445D">
              <w:rPr>
                <w:rFonts w:ascii="Calibri" w:hAnsi="Calibri" w:cs="Calibri"/>
                <w:sz w:val="22"/>
                <w:szCs w:val="22"/>
                <w:lang w:val="en-GB"/>
              </w:rPr>
              <w:t>subject to favourable compatibility studies with the incumbent services.</w:t>
            </w:r>
          </w:p>
        </w:tc>
      </w:tr>
      <w:tr w:rsidR="007570F2" w:rsidRPr="00B7445D" w:rsidTr="00D94826">
        <w:tc>
          <w:tcPr>
            <w:tcW w:w="2767" w:type="dxa"/>
            <w:shd w:val="clear" w:color="auto" w:fill="auto"/>
            <w:vAlign w:val="center"/>
          </w:tcPr>
          <w:p w:rsidR="007570F2" w:rsidRPr="00B7445D" w:rsidRDefault="007570F2" w:rsidP="00D94826">
            <w:pPr>
              <w:rPr>
                <w:rFonts w:ascii="Calibri" w:hAnsi="Calibri" w:cs="Calibri"/>
                <w:b/>
                <w:sz w:val="22"/>
                <w:szCs w:val="22"/>
              </w:rPr>
            </w:pPr>
            <w:r w:rsidRPr="00B7445D">
              <w:rPr>
                <w:rFonts w:ascii="Calibri" w:hAnsi="Calibri" w:cs="Calibri"/>
                <w:b/>
                <w:sz w:val="22"/>
                <w:szCs w:val="22"/>
              </w:rPr>
              <w:t>AI 1.8</w:t>
            </w:r>
          </w:p>
          <w:p w:rsidR="007570F2" w:rsidRPr="00B7445D" w:rsidRDefault="007570F2" w:rsidP="00D94826">
            <w:pPr>
              <w:rPr>
                <w:rFonts w:ascii="Calibri" w:eastAsia="SimSun" w:hAnsi="Calibri" w:cs="Calibri"/>
                <w:iCs/>
                <w:sz w:val="22"/>
                <w:szCs w:val="22"/>
              </w:rPr>
            </w:pPr>
            <w:r w:rsidRPr="00B7445D">
              <w:rPr>
                <w:rFonts w:ascii="Calibri" w:eastAsia="SimSun" w:hAnsi="Calibri" w:cs="Calibri"/>
                <w:iCs/>
                <w:sz w:val="22"/>
                <w:szCs w:val="22"/>
              </w:rPr>
              <w:t>Global Maritime Distress Safety Systems (GMDSS)</w:t>
            </w:r>
          </w:p>
        </w:tc>
        <w:tc>
          <w:tcPr>
            <w:tcW w:w="7313" w:type="dxa"/>
            <w:shd w:val="clear" w:color="auto" w:fill="auto"/>
            <w:vAlign w:val="center"/>
          </w:tcPr>
          <w:p w:rsidR="007570F2" w:rsidRPr="00B7445D" w:rsidRDefault="007570F2" w:rsidP="00D94826">
            <w:pPr>
              <w:contextualSpacing/>
              <w:rPr>
                <w:rFonts w:ascii="Calibri" w:hAnsi="Calibri" w:cs="Calibri"/>
                <w:b/>
                <w:sz w:val="22"/>
                <w:szCs w:val="22"/>
              </w:rPr>
            </w:pPr>
            <w:r w:rsidRPr="00B7445D">
              <w:rPr>
                <w:rFonts w:ascii="Calibri" w:hAnsi="Calibri" w:cs="Calibri"/>
                <w:b/>
                <w:sz w:val="22"/>
                <w:szCs w:val="22"/>
              </w:rPr>
              <w:t>On Issue A: modernisation of GMDSS</w:t>
            </w:r>
          </w:p>
          <w:p w:rsidR="007570F2" w:rsidRPr="00B7445D" w:rsidRDefault="007570F2" w:rsidP="00D94826">
            <w:pPr>
              <w:pStyle w:val="ListParagraph"/>
              <w:spacing w:after="0" w:line="240" w:lineRule="auto"/>
              <w:ind w:left="0"/>
              <w:contextualSpacing/>
              <w:rPr>
                <w:rFonts w:ascii="Calibri" w:hAnsi="Calibri" w:cs="Calibri"/>
                <w:sz w:val="22"/>
                <w:szCs w:val="22"/>
                <w:lang w:val="en-GB"/>
              </w:rPr>
            </w:pPr>
            <w:r w:rsidRPr="00B7445D">
              <w:rPr>
                <w:rFonts w:ascii="Calibri" w:hAnsi="Calibri" w:cs="Calibri"/>
                <w:b/>
                <w:sz w:val="22"/>
                <w:szCs w:val="22"/>
                <w:u w:val="single"/>
                <w:lang w:val="en-GB"/>
              </w:rPr>
              <w:t>Method A2</w:t>
            </w:r>
            <w:r w:rsidRPr="00B7445D">
              <w:rPr>
                <w:rFonts w:ascii="Calibri" w:hAnsi="Calibri" w:cs="Calibri"/>
                <w:b/>
                <w:sz w:val="22"/>
                <w:szCs w:val="22"/>
                <w:lang w:val="en-GB"/>
              </w:rPr>
              <w:t xml:space="preserve">, </w:t>
            </w:r>
            <w:r w:rsidRPr="00B7445D">
              <w:rPr>
                <w:rFonts w:ascii="Calibri" w:hAnsi="Calibri" w:cs="Calibri"/>
                <w:sz w:val="22"/>
                <w:szCs w:val="22"/>
                <w:lang w:val="en-GB"/>
              </w:rPr>
              <w:t xml:space="preserve">which entails modifications to the provisions of RR to include regulatory provisions for the frequencies to be used for medium frequency (MF) and high frequency (HF) Navigational Data (NAVDAT) systems, in support of GMDSS modernization following related activity in the IMO, to satisfy </w:t>
            </w:r>
            <w:r w:rsidRPr="00B67BAE">
              <w:rPr>
                <w:rFonts w:ascii="Calibri" w:hAnsi="Calibri" w:cs="Calibri"/>
                <w:sz w:val="20"/>
                <w:szCs w:val="20"/>
                <w:lang w:val="en-GB"/>
              </w:rPr>
              <w:t>Issue A.</w:t>
            </w:r>
          </w:p>
          <w:p w:rsidR="007570F2" w:rsidRPr="00B7445D" w:rsidRDefault="007570F2" w:rsidP="00D94826">
            <w:pPr>
              <w:pStyle w:val="ListParagraph"/>
              <w:spacing w:after="0" w:line="240" w:lineRule="auto"/>
              <w:ind w:left="357"/>
              <w:contextualSpacing/>
              <w:rPr>
                <w:rFonts w:ascii="Calibri" w:hAnsi="Calibri" w:cs="Calibri"/>
                <w:sz w:val="22"/>
                <w:szCs w:val="22"/>
                <w:lang w:val="en-GB"/>
              </w:rPr>
            </w:pPr>
          </w:p>
          <w:p w:rsidR="007570F2" w:rsidRPr="00B7445D" w:rsidRDefault="007570F2" w:rsidP="00D94826">
            <w:pPr>
              <w:contextualSpacing/>
              <w:rPr>
                <w:rFonts w:ascii="Calibri" w:hAnsi="Calibri" w:cs="Calibri"/>
                <w:b/>
                <w:sz w:val="22"/>
                <w:szCs w:val="22"/>
              </w:rPr>
            </w:pPr>
            <w:r w:rsidRPr="00B7445D">
              <w:rPr>
                <w:rFonts w:ascii="Calibri" w:hAnsi="Calibri" w:cs="Calibri"/>
                <w:b/>
                <w:sz w:val="22"/>
                <w:szCs w:val="22"/>
              </w:rPr>
              <w:t>On Issue B: introduction of additional GMDSS satellite system</w:t>
            </w:r>
          </w:p>
          <w:p w:rsidR="007570F2" w:rsidRPr="00B7445D" w:rsidRDefault="007570F2" w:rsidP="00D94826">
            <w:pPr>
              <w:pStyle w:val="ListParagraph"/>
              <w:spacing w:after="0" w:line="240" w:lineRule="auto"/>
              <w:ind w:left="0"/>
              <w:contextualSpacing/>
              <w:rPr>
                <w:rFonts w:ascii="Calibri" w:hAnsi="Calibri" w:cs="Calibri"/>
                <w:sz w:val="22"/>
                <w:szCs w:val="22"/>
                <w:lang w:val="en-GB"/>
              </w:rPr>
            </w:pPr>
            <w:r w:rsidRPr="00B7445D">
              <w:rPr>
                <w:rFonts w:ascii="Calibri" w:hAnsi="Calibri" w:cs="Calibri"/>
                <w:b/>
                <w:sz w:val="22"/>
                <w:szCs w:val="22"/>
                <w:u w:val="single"/>
                <w:lang w:val="en-GB"/>
              </w:rPr>
              <w:t>Method B1</w:t>
            </w:r>
            <w:r w:rsidRPr="00B7445D">
              <w:rPr>
                <w:rFonts w:ascii="Calibri" w:hAnsi="Calibri" w:cs="Calibri"/>
                <w:sz w:val="22"/>
                <w:szCs w:val="22"/>
                <w:lang w:val="en-GB"/>
              </w:rPr>
              <w:t>, which entails introduction of additional satellite operator in the GMDSS, as approved by International Maritime Organization (IMO), in order to achieve, redundancy and global coverage in maritime safety services.</w:t>
            </w:r>
          </w:p>
        </w:tc>
      </w:tr>
    </w:tbl>
    <w:p w:rsidR="00506CE8" w:rsidRDefault="00506CE8">
      <w:r>
        <w:br w:type="page"/>
      </w:r>
    </w:p>
    <w:tbl>
      <w:tblPr>
        <w:tblW w:w="100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7"/>
        <w:gridCol w:w="7313"/>
      </w:tblGrid>
      <w:tr w:rsidR="007570F2" w:rsidRPr="00B7445D" w:rsidTr="00D94826">
        <w:tc>
          <w:tcPr>
            <w:tcW w:w="2767" w:type="dxa"/>
            <w:shd w:val="clear" w:color="auto" w:fill="auto"/>
            <w:vAlign w:val="center"/>
          </w:tcPr>
          <w:p w:rsidR="007570F2" w:rsidRPr="00B7445D" w:rsidRDefault="007570F2" w:rsidP="00D94826">
            <w:pPr>
              <w:rPr>
                <w:rFonts w:ascii="Calibri" w:hAnsi="Calibri" w:cs="Calibri"/>
                <w:b/>
                <w:sz w:val="22"/>
                <w:szCs w:val="22"/>
              </w:rPr>
            </w:pPr>
            <w:r w:rsidRPr="00B7445D">
              <w:rPr>
                <w:rFonts w:ascii="Calibri" w:hAnsi="Calibri" w:cs="Calibri"/>
                <w:b/>
                <w:sz w:val="22"/>
                <w:szCs w:val="22"/>
              </w:rPr>
              <w:lastRenderedPageBreak/>
              <w:t>AI 1.9-1</w:t>
            </w:r>
          </w:p>
          <w:p w:rsidR="007570F2" w:rsidRPr="00B7445D" w:rsidRDefault="007570F2" w:rsidP="00D94826">
            <w:pPr>
              <w:rPr>
                <w:rFonts w:ascii="Calibri" w:hAnsi="Calibri" w:cs="Calibri"/>
                <w:iCs/>
                <w:sz w:val="22"/>
                <w:szCs w:val="22"/>
              </w:rPr>
            </w:pPr>
            <w:r w:rsidRPr="00B7445D">
              <w:rPr>
                <w:rFonts w:ascii="Calibri" w:eastAsia="SimSun" w:hAnsi="Calibri" w:cs="Calibri"/>
                <w:iCs/>
                <w:sz w:val="22"/>
                <w:szCs w:val="22"/>
              </w:rPr>
              <w:t>Autonomous maritime radio devices operating in the frequency band 156-162.05 MHz</w:t>
            </w:r>
          </w:p>
        </w:tc>
        <w:tc>
          <w:tcPr>
            <w:tcW w:w="7313" w:type="dxa"/>
            <w:shd w:val="clear" w:color="auto" w:fill="auto"/>
            <w:vAlign w:val="center"/>
          </w:tcPr>
          <w:p w:rsidR="007570F2" w:rsidRPr="00B7445D" w:rsidRDefault="007570F2" w:rsidP="00D94826">
            <w:pPr>
              <w:pStyle w:val="ListParagraph"/>
              <w:spacing w:after="0" w:line="240" w:lineRule="auto"/>
              <w:ind w:left="0"/>
              <w:contextualSpacing/>
              <w:rPr>
                <w:rFonts w:ascii="Calibri" w:hAnsi="Calibri" w:cs="Calibri"/>
                <w:b/>
                <w:sz w:val="22"/>
                <w:szCs w:val="22"/>
                <w:lang w:val="en-GB"/>
              </w:rPr>
            </w:pPr>
            <w:r w:rsidRPr="00B7445D">
              <w:rPr>
                <w:rFonts w:ascii="Calibri" w:hAnsi="Calibri" w:cs="Calibri"/>
                <w:b/>
                <w:sz w:val="22"/>
                <w:szCs w:val="22"/>
                <w:lang w:val="en-GB"/>
              </w:rPr>
              <w:t>Issue A - Autonomous maritime radio devices Group A</w:t>
            </w:r>
          </w:p>
          <w:p w:rsidR="007570F2" w:rsidRDefault="007570F2" w:rsidP="00D94826">
            <w:pPr>
              <w:pStyle w:val="ListParagraph"/>
              <w:spacing w:after="0" w:line="240" w:lineRule="auto"/>
              <w:ind w:left="0"/>
              <w:contextualSpacing/>
              <w:rPr>
                <w:rFonts w:ascii="Calibri" w:hAnsi="Calibri" w:cs="Calibri"/>
                <w:sz w:val="22"/>
                <w:szCs w:val="22"/>
                <w:lang w:val="en-GB"/>
              </w:rPr>
            </w:pPr>
            <w:r w:rsidRPr="00B7445D">
              <w:rPr>
                <w:rFonts w:ascii="Calibri" w:hAnsi="Calibri" w:cs="Calibri"/>
                <w:b/>
                <w:sz w:val="22"/>
                <w:szCs w:val="22"/>
                <w:u w:val="single"/>
                <w:lang w:val="en-GB"/>
              </w:rPr>
              <w:t>Method A (which is the only method)</w:t>
            </w:r>
            <w:r w:rsidRPr="00B7445D">
              <w:rPr>
                <w:rFonts w:ascii="Calibri" w:hAnsi="Calibri" w:cs="Calibri"/>
                <w:sz w:val="22"/>
                <w:szCs w:val="22"/>
                <w:lang w:val="en-GB"/>
              </w:rPr>
              <w:t xml:space="preserve">, which proposes that </w:t>
            </w:r>
            <w:r w:rsidRPr="00B7445D">
              <w:rPr>
                <w:rFonts w:ascii="Calibri" w:hAnsi="Calibri" w:cs="Calibri"/>
                <w:i/>
                <w:sz w:val="22"/>
                <w:szCs w:val="22"/>
                <w:lang w:val="en-GB"/>
              </w:rPr>
              <w:t>footnote f)</w:t>
            </w:r>
            <w:r w:rsidRPr="00B7445D">
              <w:rPr>
                <w:rFonts w:ascii="Calibri" w:hAnsi="Calibri" w:cs="Calibri"/>
                <w:sz w:val="22"/>
                <w:szCs w:val="22"/>
                <w:lang w:val="en-GB"/>
              </w:rPr>
              <w:t xml:space="preserve"> of </w:t>
            </w:r>
            <w:r w:rsidRPr="00B7445D">
              <w:rPr>
                <w:rFonts w:ascii="Calibri" w:hAnsi="Calibri" w:cs="Calibri"/>
                <w:b/>
                <w:sz w:val="22"/>
                <w:szCs w:val="22"/>
                <w:lang w:val="en-GB"/>
              </w:rPr>
              <w:t>RR Appendix 18</w:t>
            </w:r>
            <w:r w:rsidRPr="00B7445D">
              <w:rPr>
                <w:rFonts w:ascii="Calibri" w:hAnsi="Calibri" w:cs="Calibri"/>
                <w:sz w:val="22"/>
                <w:szCs w:val="22"/>
                <w:lang w:val="en-GB"/>
              </w:rPr>
              <w:t xml:space="preserve"> be amended to allow AMRD Group A to operate on frequency channels 156.525 MHz (channel 70), 161.975 MHz (AIS 1) and 162.025 MHz (AIS 2) that for the operation of AMRD Group A.</w:t>
            </w:r>
          </w:p>
          <w:p w:rsidR="007570F2" w:rsidRPr="00B7445D" w:rsidRDefault="007570F2" w:rsidP="00D94826">
            <w:pPr>
              <w:pStyle w:val="ListParagraph"/>
              <w:spacing w:after="0" w:line="240" w:lineRule="auto"/>
              <w:ind w:left="0"/>
              <w:contextualSpacing/>
              <w:rPr>
                <w:rFonts w:ascii="Calibri" w:hAnsi="Calibri" w:cs="Calibri"/>
                <w:b/>
                <w:sz w:val="22"/>
                <w:szCs w:val="22"/>
                <w:lang w:val="en-GB"/>
              </w:rPr>
            </w:pPr>
          </w:p>
          <w:p w:rsidR="007570F2" w:rsidRPr="00B7445D" w:rsidRDefault="007570F2" w:rsidP="00D94826">
            <w:pPr>
              <w:pStyle w:val="ListParagraph"/>
              <w:spacing w:after="0" w:line="240" w:lineRule="auto"/>
              <w:ind w:left="0"/>
              <w:contextualSpacing/>
              <w:rPr>
                <w:rFonts w:ascii="Calibri" w:hAnsi="Calibri" w:cs="Calibri"/>
                <w:b/>
                <w:sz w:val="22"/>
                <w:szCs w:val="22"/>
                <w:lang w:val="en-GB"/>
              </w:rPr>
            </w:pPr>
            <w:r w:rsidRPr="00B7445D">
              <w:rPr>
                <w:rFonts w:ascii="Calibri" w:hAnsi="Calibri" w:cs="Calibri"/>
                <w:b/>
                <w:sz w:val="22"/>
                <w:szCs w:val="22"/>
                <w:lang w:val="en-GB"/>
              </w:rPr>
              <w:t>Issue B - Autonomous maritime radio devices Group B</w:t>
            </w:r>
          </w:p>
          <w:p w:rsidR="007570F2" w:rsidRPr="00B7445D" w:rsidRDefault="007570F2" w:rsidP="00D94826">
            <w:pPr>
              <w:pStyle w:val="ListParagraph"/>
              <w:spacing w:after="0" w:line="240" w:lineRule="auto"/>
              <w:ind w:left="0"/>
              <w:contextualSpacing/>
              <w:rPr>
                <w:rFonts w:ascii="Calibri" w:hAnsi="Calibri" w:cs="Calibri"/>
                <w:sz w:val="22"/>
                <w:szCs w:val="22"/>
                <w:lang w:val="en-GB"/>
              </w:rPr>
            </w:pPr>
            <w:r w:rsidRPr="00B7445D">
              <w:rPr>
                <w:rFonts w:ascii="Calibri" w:hAnsi="Calibri" w:cs="Calibri"/>
                <w:b/>
                <w:sz w:val="22"/>
                <w:szCs w:val="22"/>
                <w:lang w:val="en-GB"/>
              </w:rPr>
              <w:t>Support, as a matter of principle,</w:t>
            </w:r>
            <w:r w:rsidRPr="00B7445D">
              <w:rPr>
                <w:rFonts w:ascii="Calibri" w:hAnsi="Calibri" w:cs="Calibri"/>
                <w:sz w:val="22"/>
                <w:szCs w:val="22"/>
                <w:lang w:val="en-GB"/>
              </w:rPr>
              <w:t xml:space="preserve"> that ARMD Group B</w:t>
            </w:r>
            <w:r w:rsidRPr="00B7445D">
              <w:rPr>
                <w:rStyle w:val="FootnoteReference"/>
                <w:rFonts w:ascii="Calibri" w:hAnsi="Calibri" w:cs="Calibri"/>
                <w:sz w:val="22"/>
                <w:szCs w:val="22"/>
                <w:lang w:val="en-GB"/>
              </w:rPr>
              <w:footnoteReference w:id="1"/>
            </w:r>
            <w:r w:rsidRPr="00B7445D">
              <w:rPr>
                <w:rFonts w:ascii="Calibri" w:hAnsi="Calibri" w:cs="Calibri"/>
                <w:sz w:val="22"/>
                <w:szCs w:val="22"/>
                <w:lang w:val="en-GB"/>
              </w:rPr>
              <w:t xml:space="preserve"> devices </w:t>
            </w:r>
            <w:r w:rsidRPr="00B7445D">
              <w:rPr>
                <w:rFonts w:ascii="Calibri" w:hAnsi="Calibri" w:cs="Calibri"/>
                <w:b/>
                <w:sz w:val="22"/>
                <w:szCs w:val="22"/>
                <w:lang w:val="en-GB"/>
              </w:rPr>
              <w:t>should not</w:t>
            </w:r>
            <w:r w:rsidRPr="00B7445D">
              <w:rPr>
                <w:rFonts w:ascii="Calibri" w:hAnsi="Calibri" w:cs="Calibri"/>
                <w:sz w:val="22"/>
                <w:szCs w:val="22"/>
                <w:lang w:val="en-GB"/>
              </w:rPr>
              <w:t xml:space="preserve"> be permitted to use the frequencies which cause any constraints on the existing mobile services.</w:t>
            </w:r>
          </w:p>
        </w:tc>
      </w:tr>
      <w:tr w:rsidR="007570F2" w:rsidRPr="00B7445D" w:rsidTr="00D94826">
        <w:tc>
          <w:tcPr>
            <w:tcW w:w="2767" w:type="dxa"/>
            <w:shd w:val="clear" w:color="auto" w:fill="auto"/>
            <w:vAlign w:val="center"/>
          </w:tcPr>
          <w:p w:rsidR="007570F2" w:rsidRPr="00B7445D" w:rsidRDefault="007570F2" w:rsidP="00D94826">
            <w:pPr>
              <w:rPr>
                <w:rFonts w:ascii="Calibri" w:hAnsi="Calibri" w:cs="Calibri"/>
                <w:b/>
                <w:sz w:val="22"/>
                <w:szCs w:val="22"/>
              </w:rPr>
            </w:pPr>
            <w:r w:rsidRPr="00B7445D">
              <w:rPr>
                <w:rFonts w:ascii="Calibri" w:hAnsi="Calibri" w:cs="Calibri"/>
                <w:b/>
                <w:sz w:val="22"/>
                <w:szCs w:val="22"/>
              </w:rPr>
              <w:t>AI 1.9-2</w:t>
            </w:r>
          </w:p>
          <w:p w:rsidR="007570F2" w:rsidRPr="00B7445D" w:rsidRDefault="007570F2" w:rsidP="00D94826">
            <w:pPr>
              <w:rPr>
                <w:rFonts w:ascii="Calibri" w:hAnsi="Calibri" w:cs="Calibri"/>
                <w:iCs/>
                <w:sz w:val="22"/>
                <w:szCs w:val="22"/>
              </w:rPr>
            </w:pPr>
            <w:r w:rsidRPr="00B7445D">
              <w:rPr>
                <w:rFonts w:ascii="Calibri" w:hAnsi="Calibri" w:cs="Calibri"/>
                <w:iCs/>
                <w:sz w:val="22"/>
                <w:szCs w:val="22"/>
              </w:rPr>
              <w:t>Consideration of regulatory provisions and spectrum allocations to the maritime mobile-satellite service to enable the satellite component of the VHF Data Exchange System and enhanced maritime Radiocommunication.</w:t>
            </w:r>
          </w:p>
        </w:tc>
        <w:tc>
          <w:tcPr>
            <w:tcW w:w="7313" w:type="dxa"/>
            <w:shd w:val="clear" w:color="auto" w:fill="auto"/>
            <w:vAlign w:val="center"/>
          </w:tcPr>
          <w:p w:rsidR="007570F2" w:rsidRPr="00B7445D" w:rsidRDefault="007570F2" w:rsidP="00D94826">
            <w:pPr>
              <w:pStyle w:val="ListParagraph"/>
              <w:spacing w:after="0" w:line="240" w:lineRule="auto"/>
              <w:ind w:left="0"/>
              <w:contextualSpacing/>
              <w:rPr>
                <w:rFonts w:ascii="Calibri" w:hAnsi="Calibri" w:cs="Calibri"/>
                <w:sz w:val="22"/>
                <w:szCs w:val="22"/>
                <w:lang w:val="en-GB"/>
              </w:rPr>
            </w:pPr>
            <w:r w:rsidRPr="00B7445D">
              <w:rPr>
                <w:rFonts w:ascii="Calibri" w:hAnsi="Calibri" w:cs="Calibri"/>
                <w:b/>
                <w:sz w:val="22"/>
                <w:szCs w:val="22"/>
                <w:lang w:val="en-GB"/>
              </w:rPr>
              <w:t xml:space="preserve">Support, as a matter of principle, </w:t>
            </w:r>
            <w:r w:rsidRPr="00B7445D">
              <w:rPr>
                <w:rFonts w:ascii="Calibri" w:hAnsi="Calibri" w:cs="Calibri"/>
                <w:b/>
                <w:sz w:val="22"/>
                <w:szCs w:val="22"/>
                <w:u w:val="single"/>
                <w:lang w:val="en-GB"/>
              </w:rPr>
              <w:t>new spectrum allocations</w:t>
            </w:r>
            <w:r w:rsidRPr="00B7445D">
              <w:rPr>
                <w:rFonts w:ascii="Calibri" w:hAnsi="Calibri" w:cs="Calibri"/>
                <w:sz w:val="22"/>
                <w:szCs w:val="22"/>
                <w:lang w:val="en-GB"/>
              </w:rPr>
              <w:t xml:space="preserve"> to the maritime mobile-satellite service (MMSS) (Earth-to-space and space to Earth), preferably within the frequency bands 156.0125 - 157.4375 MHz and 160.6125 162.0375 MHz of RR Appendix 18, to enable a new VDES satellite component, while ensuring that this component will not degrade the current terrestrial VDES components, ASM and AIS operations and not impose any additional constraints on existing services in these and adjacent frequency bands.</w:t>
            </w:r>
          </w:p>
        </w:tc>
      </w:tr>
      <w:tr w:rsidR="007570F2" w:rsidRPr="00B7445D" w:rsidTr="00D94826">
        <w:tc>
          <w:tcPr>
            <w:tcW w:w="2767" w:type="dxa"/>
            <w:shd w:val="clear" w:color="auto" w:fill="auto"/>
            <w:vAlign w:val="center"/>
          </w:tcPr>
          <w:p w:rsidR="007570F2" w:rsidRPr="00B7445D" w:rsidRDefault="007570F2" w:rsidP="00D94826">
            <w:pPr>
              <w:rPr>
                <w:rFonts w:ascii="Calibri" w:hAnsi="Calibri" w:cs="Calibri"/>
                <w:b/>
                <w:sz w:val="22"/>
                <w:szCs w:val="22"/>
              </w:rPr>
            </w:pPr>
            <w:r w:rsidRPr="00B7445D">
              <w:rPr>
                <w:rFonts w:ascii="Calibri" w:hAnsi="Calibri" w:cs="Calibri"/>
                <w:b/>
                <w:sz w:val="22"/>
                <w:szCs w:val="22"/>
              </w:rPr>
              <w:t>AI 1.10</w:t>
            </w:r>
          </w:p>
          <w:p w:rsidR="007570F2" w:rsidRPr="00B7445D" w:rsidRDefault="007570F2" w:rsidP="00D94826">
            <w:pPr>
              <w:rPr>
                <w:rFonts w:ascii="Calibri" w:hAnsi="Calibri" w:cs="Calibri"/>
                <w:sz w:val="22"/>
                <w:szCs w:val="22"/>
              </w:rPr>
            </w:pPr>
            <w:r w:rsidRPr="00B7445D">
              <w:rPr>
                <w:rFonts w:ascii="Calibri" w:hAnsi="Calibri" w:cs="Calibri"/>
                <w:sz w:val="22"/>
                <w:szCs w:val="22"/>
              </w:rPr>
              <w:t>Global Aeronautical Distress and Safety System (GADSS).</w:t>
            </w:r>
          </w:p>
        </w:tc>
        <w:tc>
          <w:tcPr>
            <w:tcW w:w="7313" w:type="dxa"/>
            <w:shd w:val="clear" w:color="auto" w:fill="auto"/>
            <w:vAlign w:val="center"/>
          </w:tcPr>
          <w:p w:rsidR="007570F2" w:rsidRPr="00B7445D" w:rsidRDefault="007570F2" w:rsidP="00D94826">
            <w:pPr>
              <w:pStyle w:val="ListParagraph"/>
              <w:spacing w:after="0" w:line="240" w:lineRule="auto"/>
              <w:ind w:left="0"/>
              <w:contextualSpacing/>
              <w:rPr>
                <w:rFonts w:ascii="Calibri" w:hAnsi="Calibri" w:cs="Calibri"/>
                <w:b/>
                <w:sz w:val="22"/>
                <w:szCs w:val="22"/>
                <w:lang w:val="en-GB"/>
              </w:rPr>
            </w:pPr>
            <w:r w:rsidRPr="00B7445D">
              <w:rPr>
                <w:rFonts w:ascii="Calibri" w:hAnsi="Calibri" w:cs="Calibri"/>
                <w:b/>
                <w:sz w:val="22"/>
                <w:szCs w:val="22"/>
                <w:u w:val="single"/>
                <w:lang w:val="en-GB"/>
              </w:rPr>
              <w:t>No Change to Article 5 of Radio Regulations</w:t>
            </w:r>
            <w:r w:rsidRPr="00B7445D">
              <w:rPr>
                <w:rFonts w:ascii="Calibri" w:hAnsi="Calibri" w:cs="Calibri"/>
                <w:sz w:val="22"/>
                <w:szCs w:val="22"/>
                <w:lang w:val="en-GB"/>
              </w:rPr>
              <w:t xml:space="preserve"> but rather </w:t>
            </w:r>
            <w:r w:rsidRPr="00B7445D">
              <w:rPr>
                <w:rFonts w:ascii="Calibri" w:hAnsi="Calibri" w:cs="Calibri"/>
                <w:b/>
                <w:sz w:val="22"/>
                <w:szCs w:val="22"/>
                <w:lang w:val="en-GB"/>
              </w:rPr>
              <w:t xml:space="preserve">support </w:t>
            </w:r>
            <w:r w:rsidRPr="00B7445D">
              <w:rPr>
                <w:rFonts w:ascii="Calibri" w:hAnsi="Calibri" w:cs="Calibri"/>
                <w:sz w:val="22"/>
                <w:szCs w:val="22"/>
                <w:lang w:val="en-GB"/>
              </w:rPr>
              <w:t>regulatory provisions that facilitate the implementation of the Global Aeronautical Distress and Safety System (GADSS) in accordance with ICAO’s requirements, while protecting incumbent services</w:t>
            </w:r>
            <w:r w:rsidRPr="00B7445D">
              <w:rPr>
                <w:rFonts w:ascii="Calibri" w:hAnsi="Calibri" w:cs="Calibri"/>
                <w:b/>
                <w:sz w:val="22"/>
                <w:szCs w:val="22"/>
                <w:lang w:val="en-GB"/>
              </w:rPr>
              <w:t>.</w:t>
            </w:r>
          </w:p>
        </w:tc>
      </w:tr>
      <w:tr w:rsidR="007570F2" w:rsidRPr="00B7445D" w:rsidTr="00D94826">
        <w:tc>
          <w:tcPr>
            <w:tcW w:w="2767" w:type="dxa"/>
            <w:shd w:val="clear" w:color="auto" w:fill="auto"/>
            <w:vAlign w:val="center"/>
          </w:tcPr>
          <w:p w:rsidR="007570F2" w:rsidRPr="00B7445D" w:rsidRDefault="007570F2" w:rsidP="00D94826">
            <w:pPr>
              <w:rPr>
                <w:rFonts w:ascii="Calibri" w:hAnsi="Calibri" w:cs="Calibri"/>
                <w:b/>
                <w:sz w:val="22"/>
                <w:szCs w:val="22"/>
              </w:rPr>
            </w:pPr>
            <w:r w:rsidRPr="00B7445D">
              <w:rPr>
                <w:rFonts w:ascii="Calibri" w:hAnsi="Calibri" w:cs="Calibri"/>
                <w:b/>
                <w:sz w:val="22"/>
                <w:szCs w:val="22"/>
              </w:rPr>
              <w:t>AI 9.1-4</w:t>
            </w:r>
          </w:p>
          <w:p w:rsidR="007570F2" w:rsidRPr="00B7445D" w:rsidRDefault="007570F2" w:rsidP="00D94826">
            <w:pPr>
              <w:rPr>
                <w:rFonts w:ascii="Calibri" w:hAnsi="Calibri" w:cs="Calibri"/>
                <w:sz w:val="22"/>
                <w:szCs w:val="22"/>
              </w:rPr>
            </w:pPr>
            <w:r w:rsidRPr="00B7445D">
              <w:rPr>
                <w:rFonts w:ascii="Calibri" w:hAnsi="Calibri" w:cs="Calibri"/>
                <w:sz w:val="22"/>
                <w:szCs w:val="22"/>
              </w:rPr>
              <w:t>Stations on board sub-orbital vehicles</w:t>
            </w:r>
          </w:p>
        </w:tc>
        <w:tc>
          <w:tcPr>
            <w:tcW w:w="7313" w:type="dxa"/>
            <w:shd w:val="clear" w:color="auto" w:fill="auto"/>
            <w:vAlign w:val="center"/>
          </w:tcPr>
          <w:p w:rsidR="007570F2" w:rsidRPr="00B7445D" w:rsidRDefault="007570F2" w:rsidP="00D94826">
            <w:pPr>
              <w:pStyle w:val="ListParagraph"/>
              <w:suppressAutoHyphens w:val="0"/>
              <w:spacing w:after="0" w:line="240" w:lineRule="auto"/>
              <w:ind w:left="0"/>
              <w:contextualSpacing/>
              <w:rPr>
                <w:rFonts w:ascii="Calibri" w:hAnsi="Calibri" w:cs="Calibri"/>
                <w:sz w:val="22"/>
                <w:szCs w:val="22"/>
                <w:lang w:val="en-GB"/>
              </w:rPr>
            </w:pPr>
            <w:r w:rsidRPr="00B7445D">
              <w:rPr>
                <w:rFonts w:ascii="Calibri" w:hAnsi="Calibri" w:cs="Calibri"/>
                <w:b/>
                <w:sz w:val="22"/>
                <w:szCs w:val="22"/>
                <w:u w:val="single"/>
                <w:lang w:val="en-GB"/>
              </w:rPr>
              <w:t>No Change</w:t>
            </w:r>
            <w:r>
              <w:rPr>
                <w:rFonts w:ascii="Calibri" w:hAnsi="Calibri" w:cs="Calibri"/>
                <w:b/>
                <w:sz w:val="22"/>
                <w:szCs w:val="22"/>
                <w:lang w:val="en-GB"/>
              </w:rPr>
              <w:t xml:space="preserve"> </w:t>
            </w:r>
            <w:r w:rsidRPr="00B7445D">
              <w:rPr>
                <w:rFonts w:ascii="Calibri" w:hAnsi="Calibri" w:cs="Calibri"/>
                <w:sz w:val="22"/>
                <w:szCs w:val="22"/>
                <w:lang w:val="en-GB"/>
              </w:rPr>
              <w:t>to the Radio Regulations at WRC-19 and consider this matter as a possible agenda item for WRC-23.</w:t>
            </w:r>
          </w:p>
          <w:p w:rsidR="007570F2" w:rsidRPr="00B7445D" w:rsidRDefault="007570F2" w:rsidP="00D94826">
            <w:pPr>
              <w:pStyle w:val="ListParagraph"/>
              <w:suppressAutoHyphens w:val="0"/>
              <w:spacing w:after="0" w:line="240" w:lineRule="auto"/>
              <w:ind w:left="0"/>
              <w:contextualSpacing/>
              <w:rPr>
                <w:rFonts w:ascii="Calibri" w:hAnsi="Calibri" w:cs="Calibri"/>
                <w:sz w:val="22"/>
                <w:szCs w:val="22"/>
                <w:lang w:val="en-GB"/>
              </w:rPr>
            </w:pPr>
            <w:r w:rsidRPr="00B7445D">
              <w:rPr>
                <w:rFonts w:ascii="Calibri" w:hAnsi="Calibri" w:cs="Calibri"/>
                <w:b/>
                <w:sz w:val="22"/>
                <w:szCs w:val="22"/>
                <w:lang w:val="en-GB"/>
              </w:rPr>
              <w:t>Support, as a matter of principle,</w:t>
            </w:r>
            <w:r w:rsidRPr="00B7445D">
              <w:rPr>
                <w:rFonts w:ascii="Calibri" w:hAnsi="Calibri" w:cs="Calibri"/>
                <w:sz w:val="22"/>
                <w:szCs w:val="22"/>
                <w:lang w:val="en-GB"/>
              </w:rPr>
              <w:t xml:space="preserve"> the ongoing studies and encourage active participation in order to positively influence the outcomes of the studies.</w:t>
            </w:r>
          </w:p>
        </w:tc>
      </w:tr>
    </w:tbl>
    <w:p w:rsidR="007570F2" w:rsidRDefault="007570F2" w:rsidP="007570F2">
      <w:pPr>
        <w:pStyle w:val="Heading1"/>
        <w:spacing w:after="120"/>
      </w:pPr>
      <w:bookmarkStart w:id="17" w:name="_Toc525378144"/>
      <w:r w:rsidRPr="00354689">
        <w:t>Chapter 6: General issues</w:t>
      </w:r>
      <w:bookmarkEnd w:id="17"/>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7345"/>
      </w:tblGrid>
      <w:tr w:rsidR="007570F2" w:rsidRPr="00695139" w:rsidTr="00D94826">
        <w:trPr>
          <w:trHeight w:val="557"/>
          <w:jc w:val="center"/>
        </w:trPr>
        <w:tc>
          <w:tcPr>
            <w:tcW w:w="2813" w:type="dxa"/>
            <w:shd w:val="clear" w:color="auto" w:fill="00B050"/>
            <w:vAlign w:val="center"/>
          </w:tcPr>
          <w:p w:rsidR="007570F2" w:rsidRPr="00695139" w:rsidRDefault="007570F2" w:rsidP="00D94826">
            <w:pPr>
              <w:jc w:val="center"/>
              <w:rPr>
                <w:rFonts w:ascii="Calibri" w:hAnsi="Calibri" w:cs="Calibri"/>
                <w:b/>
                <w:sz w:val="22"/>
                <w:szCs w:val="22"/>
              </w:rPr>
            </w:pPr>
            <w:r w:rsidRPr="00695139">
              <w:rPr>
                <w:rFonts w:ascii="Calibri" w:hAnsi="Calibri" w:cs="Calibri"/>
                <w:b/>
                <w:sz w:val="22"/>
                <w:szCs w:val="22"/>
              </w:rPr>
              <w:t>Agenda Item</w:t>
            </w:r>
          </w:p>
        </w:tc>
        <w:tc>
          <w:tcPr>
            <w:tcW w:w="7345" w:type="dxa"/>
            <w:shd w:val="clear" w:color="auto" w:fill="00B050"/>
            <w:vAlign w:val="center"/>
          </w:tcPr>
          <w:p w:rsidR="007570F2" w:rsidRPr="00695139" w:rsidRDefault="007570F2" w:rsidP="00D94826">
            <w:pPr>
              <w:jc w:val="center"/>
              <w:rPr>
                <w:rFonts w:ascii="Calibri" w:hAnsi="Calibri" w:cs="Calibri"/>
                <w:b/>
                <w:sz w:val="22"/>
                <w:szCs w:val="22"/>
              </w:rPr>
            </w:pPr>
            <w:r w:rsidRPr="00DE0568">
              <w:rPr>
                <w:rFonts w:ascii="Calibri" w:hAnsi="Calibri" w:cs="Calibri"/>
                <w:b/>
                <w:sz w:val="22"/>
                <w:szCs w:val="22"/>
              </w:rPr>
              <w:t>African preliminary position</w:t>
            </w:r>
          </w:p>
        </w:tc>
      </w:tr>
      <w:tr w:rsidR="007570F2" w:rsidRPr="00695139" w:rsidTr="00D94826">
        <w:trPr>
          <w:jc w:val="center"/>
        </w:trPr>
        <w:tc>
          <w:tcPr>
            <w:tcW w:w="2813" w:type="dxa"/>
            <w:vAlign w:val="center"/>
          </w:tcPr>
          <w:p w:rsidR="007570F2" w:rsidRPr="00695139" w:rsidRDefault="007570F2" w:rsidP="00D94826">
            <w:pPr>
              <w:rPr>
                <w:rFonts w:ascii="Calibri" w:hAnsi="Calibri" w:cs="Calibri"/>
                <w:b/>
                <w:sz w:val="22"/>
                <w:szCs w:val="22"/>
              </w:rPr>
            </w:pPr>
            <w:r w:rsidRPr="00695139">
              <w:rPr>
                <w:rFonts w:ascii="Calibri" w:hAnsi="Calibri" w:cs="Calibri"/>
                <w:b/>
                <w:sz w:val="22"/>
                <w:szCs w:val="22"/>
              </w:rPr>
              <w:t>AI 2</w:t>
            </w:r>
          </w:p>
          <w:p w:rsidR="007570F2" w:rsidRPr="00695139" w:rsidRDefault="007570F2" w:rsidP="00D94826">
            <w:pPr>
              <w:rPr>
                <w:rFonts w:ascii="Calibri" w:hAnsi="Calibri" w:cs="Calibri"/>
                <w:b/>
                <w:sz w:val="22"/>
                <w:szCs w:val="22"/>
              </w:rPr>
            </w:pPr>
            <w:r w:rsidRPr="00695139">
              <w:rPr>
                <w:rFonts w:ascii="Calibri" w:hAnsi="Calibri" w:cs="Calibri"/>
                <w:sz w:val="22"/>
                <w:szCs w:val="22"/>
              </w:rPr>
              <w:t>Updating of ITU-R Recommendations incorporated by reference in the Radio Regulations</w:t>
            </w:r>
          </w:p>
        </w:tc>
        <w:tc>
          <w:tcPr>
            <w:tcW w:w="7345" w:type="dxa"/>
            <w:vAlign w:val="center"/>
          </w:tcPr>
          <w:p w:rsidR="007570F2" w:rsidRPr="00695139" w:rsidRDefault="007570F2" w:rsidP="00D94826">
            <w:pPr>
              <w:rPr>
                <w:rFonts w:ascii="Calibri" w:hAnsi="Calibri" w:cs="Calibri"/>
                <w:sz w:val="22"/>
                <w:szCs w:val="22"/>
              </w:rPr>
            </w:pPr>
            <w:r w:rsidRPr="00695139">
              <w:rPr>
                <w:rFonts w:ascii="Calibri" w:eastAsia="Calibri" w:hAnsi="Calibri" w:cs="Calibri"/>
                <w:b/>
                <w:color w:val="000000"/>
                <w:kern w:val="1"/>
                <w:sz w:val="22"/>
                <w:szCs w:val="22"/>
                <w:lang w:eastAsia="ar-SA"/>
              </w:rPr>
              <w:t>To be developed.</w:t>
            </w:r>
          </w:p>
        </w:tc>
      </w:tr>
      <w:tr w:rsidR="007570F2" w:rsidRPr="00695139" w:rsidTr="00D94826">
        <w:trPr>
          <w:jc w:val="center"/>
        </w:trPr>
        <w:tc>
          <w:tcPr>
            <w:tcW w:w="2813" w:type="dxa"/>
            <w:vAlign w:val="center"/>
          </w:tcPr>
          <w:p w:rsidR="007570F2" w:rsidRPr="00695139" w:rsidRDefault="007570F2" w:rsidP="00D94826">
            <w:pPr>
              <w:rPr>
                <w:rFonts w:ascii="Calibri" w:hAnsi="Calibri" w:cs="Calibri"/>
                <w:b/>
                <w:sz w:val="22"/>
                <w:szCs w:val="22"/>
              </w:rPr>
            </w:pPr>
            <w:r w:rsidRPr="00695139">
              <w:rPr>
                <w:rFonts w:ascii="Calibri" w:hAnsi="Calibri" w:cs="Calibri"/>
                <w:b/>
                <w:sz w:val="22"/>
                <w:szCs w:val="22"/>
              </w:rPr>
              <w:t>AI 4</w:t>
            </w:r>
          </w:p>
          <w:p w:rsidR="007570F2" w:rsidRPr="00695139" w:rsidRDefault="007570F2" w:rsidP="00D94826">
            <w:pPr>
              <w:rPr>
                <w:rFonts w:ascii="Calibri" w:hAnsi="Calibri" w:cs="Calibri"/>
                <w:b/>
                <w:sz w:val="22"/>
                <w:szCs w:val="22"/>
              </w:rPr>
            </w:pPr>
            <w:r w:rsidRPr="00695139">
              <w:rPr>
                <w:rFonts w:ascii="Calibri" w:hAnsi="Calibri" w:cs="Calibri"/>
                <w:sz w:val="22"/>
                <w:szCs w:val="22"/>
              </w:rPr>
              <w:t>Review of resolutions and recommendations of previous WRCs</w:t>
            </w:r>
          </w:p>
        </w:tc>
        <w:tc>
          <w:tcPr>
            <w:tcW w:w="7345" w:type="dxa"/>
            <w:vAlign w:val="center"/>
          </w:tcPr>
          <w:p w:rsidR="007570F2" w:rsidRPr="00695139" w:rsidRDefault="007570F2" w:rsidP="00D94826">
            <w:pPr>
              <w:rPr>
                <w:rFonts w:ascii="Calibri" w:hAnsi="Calibri" w:cs="Calibri"/>
                <w:sz w:val="22"/>
                <w:szCs w:val="22"/>
              </w:rPr>
            </w:pPr>
            <w:r w:rsidRPr="00695139">
              <w:rPr>
                <w:rFonts w:ascii="Calibri" w:eastAsia="Calibri" w:hAnsi="Calibri" w:cs="Calibri"/>
                <w:b/>
                <w:color w:val="000000"/>
                <w:kern w:val="1"/>
                <w:sz w:val="22"/>
                <w:szCs w:val="22"/>
                <w:lang w:eastAsia="ar-SA"/>
              </w:rPr>
              <w:t>To be developed.</w:t>
            </w:r>
          </w:p>
        </w:tc>
      </w:tr>
    </w:tbl>
    <w:p w:rsidR="00506CE8" w:rsidRDefault="00506CE8">
      <w:r>
        <w:br w:type="page"/>
      </w:r>
    </w:p>
    <w:tbl>
      <w:tblPr>
        <w:tblW w:w="10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3"/>
        <w:gridCol w:w="7345"/>
      </w:tblGrid>
      <w:tr w:rsidR="007570F2" w:rsidRPr="00695139" w:rsidTr="00D94826">
        <w:trPr>
          <w:jc w:val="center"/>
        </w:trPr>
        <w:tc>
          <w:tcPr>
            <w:tcW w:w="2813" w:type="dxa"/>
            <w:vAlign w:val="center"/>
          </w:tcPr>
          <w:p w:rsidR="007570F2" w:rsidRPr="00695139" w:rsidRDefault="007570F2" w:rsidP="00D94826">
            <w:pPr>
              <w:rPr>
                <w:rFonts w:ascii="Calibri" w:hAnsi="Calibri" w:cs="Calibri"/>
                <w:b/>
                <w:sz w:val="22"/>
                <w:szCs w:val="22"/>
              </w:rPr>
            </w:pPr>
            <w:r w:rsidRPr="00695139">
              <w:rPr>
                <w:rFonts w:ascii="Calibri" w:hAnsi="Calibri" w:cs="Calibri"/>
                <w:b/>
                <w:sz w:val="22"/>
                <w:szCs w:val="22"/>
              </w:rPr>
              <w:lastRenderedPageBreak/>
              <w:t>AI 8</w:t>
            </w:r>
          </w:p>
          <w:p w:rsidR="007570F2" w:rsidRPr="00695139" w:rsidRDefault="007570F2" w:rsidP="00D94826">
            <w:pPr>
              <w:rPr>
                <w:rFonts w:ascii="Calibri" w:hAnsi="Calibri" w:cs="Calibri"/>
                <w:sz w:val="22"/>
                <w:szCs w:val="22"/>
              </w:rPr>
            </w:pPr>
            <w:r w:rsidRPr="00695139">
              <w:rPr>
                <w:rFonts w:ascii="Calibri" w:hAnsi="Calibri" w:cs="Calibri"/>
                <w:sz w:val="22"/>
                <w:szCs w:val="22"/>
              </w:rPr>
              <w:t>Deletion of country footnotes or country names from footnotes.</w:t>
            </w:r>
          </w:p>
        </w:tc>
        <w:tc>
          <w:tcPr>
            <w:tcW w:w="7345" w:type="dxa"/>
            <w:vAlign w:val="center"/>
          </w:tcPr>
          <w:p w:rsidR="007570F2" w:rsidRPr="00695139" w:rsidRDefault="007570F2" w:rsidP="007570F2">
            <w:pPr>
              <w:pStyle w:val="ListParagraph"/>
              <w:numPr>
                <w:ilvl w:val="0"/>
                <w:numId w:val="15"/>
              </w:numPr>
              <w:suppressAutoHyphens w:val="0"/>
              <w:spacing w:after="0" w:line="240" w:lineRule="auto"/>
              <w:contextualSpacing/>
              <w:rPr>
                <w:rFonts w:ascii="Calibri" w:hAnsi="Calibri" w:cs="Calibri"/>
                <w:sz w:val="22"/>
                <w:szCs w:val="22"/>
                <w:lang w:val="en-GB"/>
              </w:rPr>
            </w:pPr>
            <w:r w:rsidRPr="00695139">
              <w:rPr>
                <w:rFonts w:ascii="Calibri" w:hAnsi="Calibri" w:cs="Calibri"/>
                <w:b/>
                <w:sz w:val="22"/>
                <w:szCs w:val="22"/>
                <w:lang w:val="en-GB"/>
              </w:rPr>
              <w:t xml:space="preserve">Acknowledge, as a matter of principle, </w:t>
            </w:r>
            <w:r w:rsidRPr="00695139">
              <w:rPr>
                <w:rFonts w:ascii="Calibri" w:hAnsi="Calibri" w:cs="Calibri"/>
                <w:sz w:val="22"/>
                <w:szCs w:val="22"/>
                <w:lang w:val="en-GB"/>
              </w:rPr>
              <w:t>that it is desirable that preparations for AI 8 (footnotes) commence early in order to resolve the potential impact or issues on other administrations; and therefore,</w:t>
            </w:r>
          </w:p>
          <w:p w:rsidR="007570F2" w:rsidRPr="00695139" w:rsidRDefault="007570F2" w:rsidP="007570F2">
            <w:pPr>
              <w:pStyle w:val="ListParagraph"/>
              <w:numPr>
                <w:ilvl w:val="0"/>
                <w:numId w:val="15"/>
              </w:numPr>
              <w:suppressAutoHyphens w:val="0"/>
              <w:spacing w:after="0" w:line="240" w:lineRule="auto"/>
              <w:contextualSpacing/>
              <w:rPr>
                <w:rFonts w:ascii="Calibri" w:hAnsi="Calibri" w:cs="Calibri"/>
                <w:sz w:val="22"/>
                <w:szCs w:val="22"/>
                <w:lang w:val="en-GB"/>
              </w:rPr>
            </w:pPr>
            <w:r w:rsidRPr="00695139">
              <w:rPr>
                <w:rFonts w:ascii="Calibri" w:hAnsi="Calibri" w:cs="Calibri"/>
                <w:b/>
                <w:sz w:val="22"/>
                <w:szCs w:val="22"/>
                <w:lang w:val="en-GB"/>
              </w:rPr>
              <w:t>Encourage</w:t>
            </w:r>
            <w:r w:rsidRPr="00695139">
              <w:rPr>
                <w:rFonts w:ascii="Calibri" w:hAnsi="Calibri" w:cs="Calibri"/>
                <w:sz w:val="22"/>
                <w:szCs w:val="22"/>
                <w:lang w:val="en-GB"/>
              </w:rPr>
              <w:t xml:space="preserve"> administrations who wish to bring issues under AI 8 to use the ATU preparatory platforms (notably the WGs and APMs) to bring to the attention of other administrations of such issues with a view to identifying and resolving any potential issues that may arise, at an early stage.</w:t>
            </w:r>
          </w:p>
        </w:tc>
      </w:tr>
      <w:tr w:rsidR="007570F2" w:rsidRPr="00695139" w:rsidTr="00D94826">
        <w:trPr>
          <w:jc w:val="center"/>
        </w:trPr>
        <w:tc>
          <w:tcPr>
            <w:tcW w:w="2813" w:type="dxa"/>
            <w:vAlign w:val="center"/>
          </w:tcPr>
          <w:p w:rsidR="007570F2" w:rsidRPr="00695139" w:rsidRDefault="007570F2" w:rsidP="00D94826">
            <w:pPr>
              <w:rPr>
                <w:rFonts w:ascii="Calibri" w:hAnsi="Calibri" w:cs="Calibri"/>
                <w:b/>
                <w:sz w:val="22"/>
                <w:szCs w:val="22"/>
              </w:rPr>
            </w:pPr>
            <w:r w:rsidRPr="00695139">
              <w:rPr>
                <w:rFonts w:ascii="Calibri" w:hAnsi="Calibri" w:cs="Calibri"/>
                <w:b/>
                <w:sz w:val="22"/>
                <w:szCs w:val="22"/>
              </w:rPr>
              <w:t>AI 9.1-6</w:t>
            </w:r>
          </w:p>
          <w:p w:rsidR="007570F2" w:rsidRPr="00695139" w:rsidRDefault="007570F2" w:rsidP="00D94826">
            <w:pPr>
              <w:rPr>
                <w:rFonts w:ascii="Calibri" w:hAnsi="Calibri" w:cs="Calibri"/>
                <w:sz w:val="22"/>
                <w:szCs w:val="22"/>
              </w:rPr>
            </w:pPr>
            <w:r w:rsidRPr="00695139">
              <w:rPr>
                <w:rFonts w:ascii="Calibri" w:hAnsi="Calibri" w:cs="Calibri"/>
                <w:sz w:val="22"/>
                <w:szCs w:val="22"/>
              </w:rPr>
              <w:t>Wireless Power Transmission (WPT) for electric vehicles.</w:t>
            </w:r>
          </w:p>
        </w:tc>
        <w:tc>
          <w:tcPr>
            <w:tcW w:w="7345" w:type="dxa"/>
            <w:vAlign w:val="center"/>
          </w:tcPr>
          <w:p w:rsidR="007570F2" w:rsidRPr="00695139" w:rsidRDefault="007570F2" w:rsidP="00D94826">
            <w:pPr>
              <w:pStyle w:val="ListParagraph"/>
              <w:suppressAutoHyphens w:val="0"/>
              <w:spacing w:after="0" w:line="240" w:lineRule="auto"/>
              <w:ind w:left="0"/>
              <w:contextualSpacing/>
              <w:rPr>
                <w:rFonts w:ascii="Calibri" w:hAnsi="Calibri" w:cs="Calibri"/>
                <w:sz w:val="22"/>
                <w:szCs w:val="22"/>
                <w:lang w:val="en-GB"/>
              </w:rPr>
            </w:pPr>
            <w:r w:rsidRPr="00695139">
              <w:rPr>
                <w:rFonts w:ascii="Calibri" w:hAnsi="Calibri" w:cs="Calibri"/>
                <w:b/>
                <w:sz w:val="22"/>
                <w:szCs w:val="22"/>
                <w:lang w:val="en-GB"/>
              </w:rPr>
              <w:t>Support, as a matter of principle,</w:t>
            </w:r>
            <w:r w:rsidRPr="00695139">
              <w:rPr>
                <w:rFonts w:ascii="Calibri" w:hAnsi="Calibri" w:cs="Calibri"/>
                <w:sz w:val="22"/>
                <w:szCs w:val="22"/>
                <w:lang w:val="en-GB"/>
              </w:rPr>
              <w:t xml:space="preserve"> the on-going sharing and compatibility studies between Wireless Power Transfer (WPT) systems and existing services.</w:t>
            </w:r>
          </w:p>
        </w:tc>
      </w:tr>
      <w:tr w:rsidR="007570F2" w:rsidRPr="00695139" w:rsidTr="00D94826">
        <w:trPr>
          <w:jc w:val="center"/>
        </w:trPr>
        <w:tc>
          <w:tcPr>
            <w:tcW w:w="2813" w:type="dxa"/>
            <w:vAlign w:val="center"/>
          </w:tcPr>
          <w:p w:rsidR="007570F2" w:rsidRPr="00695139" w:rsidRDefault="007570F2" w:rsidP="00D94826">
            <w:pPr>
              <w:rPr>
                <w:rFonts w:ascii="Calibri" w:hAnsi="Calibri" w:cs="Calibri"/>
                <w:b/>
                <w:sz w:val="22"/>
                <w:szCs w:val="22"/>
              </w:rPr>
            </w:pPr>
            <w:r w:rsidRPr="00695139">
              <w:rPr>
                <w:rFonts w:ascii="Calibri" w:hAnsi="Calibri" w:cs="Calibri"/>
                <w:b/>
                <w:sz w:val="22"/>
                <w:szCs w:val="22"/>
              </w:rPr>
              <w:t>AI 9.1-7</w:t>
            </w:r>
          </w:p>
          <w:p w:rsidR="007570F2" w:rsidRPr="00695139" w:rsidRDefault="007570F2" w:rsidP="00D94826">
            <w:pPr>
              <w:rPr>
                <w:rFonts w:ascii="Calibri" w:hAnsi="Calibri" w:cs="Calibri"/>
                <w:sz w:val="22"/>
                <w:szCs w:val="22"/>
              </w:rPr>
            </w:pPr>
            <w:r w:rsidRPr="00695139">
              <w:rPr>
                <w:rFonts w:ascii="Calibri" w:hAnsi="Calibri" w:cs="Calibri"/>
                <w:sz w:val="22"/>
                <w:szCs w:val="22"/>
              </w:rPr>
              <w:t>1.</w:t>
            </w:r>
            <w:r>
              <w:rPr>
                <w:rFonts w:ascii="Calibri" w:hAnsi="Calibri" w:cs="Calibri"/>
                <w:sz w:val="22"/>
                <w:szCs w:val="22"/>
              </w:rPr>
              <w:t xml:space="preserve"> </w:t>
            </w:r>
            <w:r w:rsidRPr="00695139">
              <w:rPr>
                <w:rFonts w:ascii="Calibri" w:hAnsi="Calibri" w:cs="Calibri"/>
                <w:sz w:val="22"/>
                <w:szCs w:val="22"/>
              </w:rPr>
              <w:t xml:space="preserve">Uplink transmissions of terminals of No. 18.1, and </w:t>
            </w:r>
          </w:p>
          <w:p w:rsidR="007570F2" w:rsidRPr="00695139" w:rsidRDefault="007570F2" w:rsidP="00D94826">
            <w:pPr>
              <w:rPr>
                <w:rFonts w:ascii="Calibri" w:hAnsi="Calibri" w:cs="Calibri"/>
                <w:sz w:val="22"/>
                <w:szCs w:val="22"/>
              </w:rPr>
            </w:pPr>
            <w:r w:rsidRPr="00695139">
              <w:rPr>
                <w:rFonts w:ascii="Calibri" w:hAnsi="Calibri" w:cs="Calibri"/>
                <w:sz w:val="22"/>
                <w:szCs w:val="22"/>
              </w:rPr>
              <w:t>2.</w:t>
            </w:r>
            <w:r>
              <w:rPr>
                <w:rFonts w:ascii="Calibri" w:hAnsi="Calibri" w:cs="Calibri"/>
                <w:sz w:val="22"/>
                <w:szCs w:val="22"/>
              </w:rPr>
              <w:t xml:space="preserve"> </w:t>
            </w:r>
            <w:r w:rsidRPr="00695139">
              <w:rPr>
                <w:rFonts w:ascii="Calibri" w:hAnsi="Calibri" w:cs="Calibri"/>
                <w:sz w:val="22"/>
                <w:szCs w:val="22"/>
              </w:rPr>
              <w:t>Unauthorized operation of earth station terminals.</w:t>
            </w:r>
          </w:p>
        </w:tc>
        <w:tc>
          <w:tcPr>
            <w:tcW w:w="7345" w:type="dxa"/>
            <w:vAlign w:val="center"/>
          </w:tcPr>
          <w:p w:rsidR="007570F2" w:rsidRPr="00695139" w:rsidRDefault="007570F2" w:rsidP="007570F2">
            <w:pPr>
              <w:pStyle w:val="ListParagraph"/>
              <w:numPr>
                <w:ilvl w:val="0"/>
                <w:numId w:val="17"/>
              </w:numPr>
              <w:suppressAutoHyphens w:val="0"/>
              <w:spacing w:after="0" w:line="240" w:lineRule="auto"/>
              <w:contextualSpacing/>
              <w:rPr>
                <w:rFonts w:ascii="Calibri" w:hAnsi="Calibri" w:cs="Calibri"/>
                <w:sz w:val="22"/>
                <w:szCs w:val="22"/>
                <w:lang w:val="en-GB"/>
              </w:rPr>
            </w:pPr>
            <w:r w:rsidRPr="00695139">
              <w:rPr>
                <w:rFonts w:ascii="Calibri" w:hAnsi="Calibri" w:cs="Calibri"/>
                <w:b/>
                <w:sz w:val="22"/>
                <w:szCs w:val="22"/>
                <w:lang w:val="en-GB"/>
              </w:rPr>
              <w:t>Take Option 2 of Issue 2a</w:t>
            </w:r>
            <w:r>
              <w:rPr>
                <w:rFonts w:ascii="Calibri" w:hAnsi="Calibri" w:cs="Calibri"/>
                <w:sz w:val="22"/>
                <w:szCs w:val="22"/>
                <w:lang w:val="en-GB"/>
              </w:rPr>
              <w:t>, which</w:t>
            </w:r>
            <w:r w:rsidRPr="00695139">
              <w:rPr>
                <w:rFonts w:ascii="Calibri" w:hAnsi="Calibri" w:cs="Calibri"/>
                <w:sz w:val="22"/>
                <w:szCs w:val="22"/>
                <w:lang w:val="en-GB"/>
              </w:rPr>
              <w:t xml:space="preserve"> calls for the Development of a new WRC Resolution to introduce additional measures in order to address the issue of unauthorized uplink transmissions of earth station terminals.</w:t>
            </w:r>
          </w:p>
          <w:p w:rsidR="007570F2" w:rsidRPr="00695139" w:rsidRDefault="007570F2" w:rsidP="007570F2">
            <w:pPr>
              <w:pStyle w:val="ListParagraph"/>
              <w:numPr>
                <w:ilvl w:val="0"/>
                <w:numId w:val="17"/>
              </w:numPr>
              <w:suppressAutoHyphens w:val="0"/>
              <w:spacing w:after="0" w:line="240" w:lineRule="auto"/>
              <w:contextualSpacing/>
              <w:rPr>
                <w:rFonts w:ascii="Calibri" w:hAnsi="Calibri" w:cs="Calibri"/>
                <w:sz w:val="22"/>
                <w:szCs w:val="22"/>
                <w:lang w:val="en-GB"/>
              </w:rPr>
            </w:pPr>
            <w:r w:rsidRPr="00695139">
              <w:rPr>
                <w:rFonts w:ascii="Calibri" w:hAnsi="Calibri" w:cs="Calibri"/>
                <w:b/>
                <w:sz w:val="22"/>
                <w:szCs w:val="22"/>
                <w:lang w:val="en-GB"/>
              </w:rPr>
              <w:t>Support, as a matter of principle</w:t>
            </w:r>
            <w:r>
              <w:rPr>
                <w:rFonts w:ascii="Calibri" w:hAnsi="Calibri" w:cs="Calibri"/>
                <w:b/>
                <w:sz w:val="22"/>
                <w:szCs w:val="22"/>
                <w:lang w:val="en-GB"/>
              </w:rPr>
              <w:t xml:space="preserve"> and position</w:t>
            </w:r>
            <w:r w:rsidRPr="00695139">
              <w:rPr>
                <w:rFonts w:ascii="Calibri" w:hAnsi="Calibri" w:cs="Calibri"/>
                <w:b/>
                <w:sz w:val="22"/>
                <w:szCs w:val="22"/>
                <w:lang w:val="en-GB"/>
              </w:rPr>
              <w:t>,</w:t>
            </w:r>
            <w:r w:rsidRPr="00695139">
              <w:rPr>
                <w:rFonts w:ascii="Calibri" w:hAnsi="Calibri" w:cs="Calibri"/>
                <w:sz w:val="22"/>
                <w:szCs w:val="22"/>
                <w:lang w:val="en-GB"/>
              </w:rPr>
              <w:t xml:space="preserve"> the need for additional measures in order to limit uplink transmissions of terminals to those authorized terminals in accordance with No. 18.1, as well as the ITU-R studies on best practices in training and monitoring capabilities, along with ITU developed reports and handbooks as well as capacity building, to assist national administrations in inhibiting the use of unauthorized uplink earth terminals and to enable national administrations to locate and terminate the unauthorized transmissions.</w:t>
            </w:r>
          </w:p>
        </w:tc>
      </w:tr>
      <w:tr w:rsidR="007570F2" w:rsidRPr="00695139" w:rsidTr="00D94826">
        <w:trPr>
          <w:jc w:val="center"/>
        </w:trPr>
        <w:tc>
          <w:tcPr>
            <w:tcW w:w="2813" w:type="dxa"/>
            <w:vAlign w:val="center"/>
          </w:tcPr>
          <w:p w:rsidR="007570F2" w:rsidRPr="00695139" w:rsidRDefault="007570F2" w:rsidP="00D94826">
            <w:pPr>
              <w:rPr>
                <w:rFonts w:ascii="Calibri" w:hAnsi="Calibri" w:cs="Calibri"/>
                <w:b/>
                <w:sz w:val="22"/>
                <w:szCs w:val="22"/>
              </w:rPr>
            </w:pPr>
            <w:r w:rsidRPr="00695139">
              <w:rPr>
                <w:rFonts w:ascii="Calibri" w:hAnsi="Calibri" w:cs="Calibri"/>
                <w:b/>
                <w:sz w:val="22"/>
                <w:szCs w:val="22"/>
              </w:rPr>
              <w:t>AI 10</w:t>
            </w:r>
          </w:p>
          <w:p w:rsidR="007570F2" w:rsidRPr="00695139" w:rsidRDefault="007570F2" w:rsidP="00D94826">
            <w:pPr>
              <w:rPr>
                <w:rFonts w:ascii="Calibri" w:hAnsi="Calibri" w:cs="Calibri"/>
                <w:b/>
                <w:sz w:val="22"/>
                <w:szCs w:val="22"/>
              </w:rPr>
            </w:pPr>
            <w:r w:rsidRPr="00695139">
              <w:rPr>
                <w:rFonts w:ascii="Calibri" w:hAnsi="Calibri" w:cs="Calibri"/>
                <w:sz w:val="22"/>
                <w:szCs w:val="22"/>
              </w:rPr>
              <w:t>WRC-23 Agenda</w:t>
            </w:r>
          </w:p>
        </w:tc>
        <w:tc>
          <w:tcPr>
            <w:tcW w:w="7345" w:type="dxa"/>
            <w:vAlign w:val="center"/>
          </w:tcPr>
          <w:p w:rsidR="007570F2" w:rsidRPr="00695139" w:rsidRDefault="007570F2" w:rsidP="00D94826">
            <w:pPr>
              <w:rPr>
                <w:rFonts w:ascii="Calibri" w:hAnsi="Calibri" w:cs="Calibri"/>
                <w:sz w:val="22"/>
                <w:szCs w:val="22"/>
              </w:rPr>
            </w:pPr>
            <w:r w:rsidRPr="00695139">
              <w:rPr>
                <w:rFonts w:ascii="Calibri" w:hAnsi="Calibri" w:cs="Calibri"/>
                <w:b/>
                <w:i/>
                <w:sz w:val="22"/>
                <w:szCs w:val="22"/>
              </w:rPr>
              <w:t>APM19-3 recommends ATU member states to</w:t>
            </w:r>
            <w:r w:rsidRPr="00695139">
              <w:rPr>
                <w:rFonts w:ascii="Calibri" w:hAnsi="Calibri" w:cs="Calibri"/>
                <w:sz w:val="22"/>
                <w:szCs w:val="22"/>
              </w:rPr>
              <w:t>:</w:t>
            </w:r>
          </w:p>
          <w:p w:rsidR="007570F2" w:rsidRPr="00695139" w:rsidRDefault="007570F2" w:rsidP="007570F2">
            <w:pPr>
              <w:pStyle w:val="ListParagraph"/>
              <w:numPr>
                <w:ilvl w:val="0"/>
                <w:numId w:val="16"/>
              </w:numPr>
              <w:suppressAutoHyphens w:val="0"/>
              <w:spacing w:after="0" w:line="240" w:lineRule="auto"/>
              <w:contextualSpacing/>
              <w:rPr>
                <w:rFonts w:ascii="Calibri" w:hAnsi="Calibri" w:cs="Calibri"/>
                <w:sz w:val="22"/>
                <w:szCs w:val="22"/>
                <w:lang w:val="en-GB"/>
              </w:rPr>
            </w:pPr>
            <w:r w:rsidRPr="00695139">
              <w:rPr>
                <w:rFonts w:ascii="Calibri" w:hAnsi="Calibri" w:cs="Calibri"/>
                <w:b/>
                <w:sz w:val="22"/>
                <w:szCs w:val="22"/>
                <w:lang w:val="en-GB"/>
              </w:rPr>
              <w:t>Actively consider</w:t>
            </w:r>
            <w:r w:rsidRPr="00695139">
              <w:rPr>
                <w:rFonts w:ascii="Calibri" w:hAnsi="Calibri" w:cs="Calibri"/>
                <w:sz w:val="22"/>
                <w:szCs w:val="22"/>
                <w:lang w:val="en-GB"/>
              </w:rPr>
              <w:t xml:space="preserve"> possible issues for discussion under this agenda item with a view to resolving any possible arising issues at an early stage: doing so would avoid the past experience whereby AI 10 issues are raised during the concluding stages of WRC thereby presenting significant challenges in the thorough considerations of the issues.</w:t>
            </w:r>
          </w:p>
          <w:p w:rsidR="007570F2" w:rsidRPr="00695139" w:rsidRDefault="007570F2" w:rsidP="007570F2">
            <w:pPr>
              <w:pStyle w:val="ListParagraph"/>
              <w:numPr>
                <w:ilvl w:val="0"/>
                <w:numId w:val="16"/>
              </w:numPr>
              <w:suppressAutoHyphens w:val="0"/>
              <w:spacing w:after="0" w:line="240" w:lineRule="auto"/>
              <w:contextualSpacing/>
              <w:rPr>
                <w:rFonts w:ascii="Calibri" w:hAnsi="Calibri" w:cs="Calibri"/>
                <w:sz w:val="22"/>
                <w:szCs w:val="22"/>
                <w:lang w:val="en-GB"/>
              </w:rPr>
            </w:pPr>
            <w:r w:rsidRPr="00695139">
              <w:rPr>
                <w:rFonts w:ascii="Calibri" w:hAnsi="Calibri" w:cs="Calibri"/>
                <w:b/>
                <w:sz w:val="22"/>
                <w:szCs w:val="22"/>
                <w:lang w:val="en-GB"/>
              </w:rPr>
              <w:t>Pay extra attention</w:t>
            </w:r>
            <w:r w:rsidRPr="00695139">
              <w:rPr>
                <w:rFonts w:ascii="Calibri" w:hAnsi="Calibri" w:cs="Calibri"/>
                <w:sz w:val="22"/>
                <w:szCs w:val="22"/>
                <w:lang w:val="en-GB"/>
              </w:rPr>
              <w:t xml:space="preserve"> to the proposed agenda on review of the use of UHF band in view of the fact that majority of African countries plan to extensively use the 470 – 694MHz band for broadcasting. Also, in view of the fact DTT broadcasting remains a key service in the majority of the African countries, hence the preservation of this band for unconstrained use of the DTT services.</w:t>
            </w:r>
          </w:p>
        </w:tc>
      </w:tr>
    </w:tbl>
    <w:p w:rsidR="00506CE8" w:rsidRDefault="00506CE8" w:rsidP="007570F2">
      <w:pPr>
        <w:pStyle w:val="Heading2"/>
        <w:rPr>
          <w:szCs w:val="24"/>
        </w:rPr>
      </w:pPr>
      <w:r>
        <w:rPr>
          <w:szCs w:val="24"/>
        </w:rPr>
        <w:br w:type="page"/>
      </w:r>
    </w:p>
    <w:p w:rsidR="007570F2" w:rsidRDefault="007570F2" w:rsidP="007570F2">
      <w:pPr>
        <w:pStyle w:val="Heading2"/>
        <w:rPr>
          <w:szCs w:val="24"/>
        </w:rPr>
      </w:pPr>
      <w:r>
        <w:rPr>
          <w:szCs w:val="24"/>
        </w:rPr>
        <w:lastRenderedPageBreak/>
        <w:t>Radiocommunication Assembly 2019</w:t>
      </w:r>
      <w:r w:rsidRPr="00354689">
        <w:rPr>
          <w:szCs w:val="24"/>
        </w:rPr>
        <w:t xml:space="preserve"> issues</w:t>
      </w:r>
    </w:p>
    <w:p w:rsidR="007570F2" w:rsidRPr="007C4534" w:rsidRDefault="007570F2" w:rsidP="007570F2">
      <w:pPr>
        <w:pStyle w:val="apm15-4"/>
      </w:pPr>
      <w:r>
        <w:t xml:space="preserve">Based on ITSO’s proposal </w:t>
      </w:r>
      <w:r w:rsidRPr="007C4534">
        <w:t xml:space="preserve">that </w:t>
      </w:r>
      <w:r>
        <w:t>“</w:t>
      </w:r>
      <w:r w:rsidRPr="007C4534">
        <w:t xml:space="preserve">Resolution ITU-R 69 be maintained through the next study cycle of ITU-R, with appropriate editorial amendments being made as a result of the outcomes of WTDC-17 and ITU-PP 18”. </w:t>
      </w:r>
    </w:p>
    <w:p w:rsidR="007570F2" w:rsidRPr="008247DC" w:rsidRDefault="007570F2" w:rsidP="007570F2">
      <w:pPr>
        <w:rPr>
          <w:rFonts w:ascii="Calibri" w:hAnsi="Calibri"/>
          <w:b/>
          <w:i/>
        </w:rPr>
      </w:pPr>
      <w:r w:rsidRPr="008247DC">
        <w:rPr>
          <w:rFonts w:ascii="Calibri" w:hAnsi="Calibri"/>
          <w:b/>
          <w:i/>
        </w:rPr>
        <w:t>APM19-3 agreed to:</w:t>
      </w:r>
    </w:p>
    <w:p w:rsidR="007570F2" w:rsidRPr="00ED5D81" w:rsidRDefault="00ED5D81" w:rsidP="00ED5D81">
      <w:pPr>
        <w:ind w:left="1134" w:hanging="850"/>
        <w:rPr>
          <w:rFonts w:ascii="Calibri" w:hAnsi="Calibri"/>
        </w:rPr>
      </w:pPr>
      <w:r w:rsidRPr="00ED5D81">
        <w:rPr>
          <w:rFonts w:ascii="Calibri" w:hAnsi="Calibri"/>
        </w:rPr>
        <w:t>1.</w:t>
      </w:r>
      <w:r w:rsidRPr="00ED5D81">
        <w:rPr>
          <w:rFonts w:ascii="Calibri" w:hAnsi="Calibri"/>
        </w:rPr>
        <w:tab/>
      </w:r>
      <w:r w:rsidR="007570F2" w:rsidRPr="00ED5D81">
        <w:rPr>
          <w:rFonts w:ascii="Calibri" w:hAnsi="Calibri"/>
        </w:rPr>
        <w:t xml:space="preserve">support the </w:t>
      </w:r>
      <w:r w:rsidR="007570F2" w:rsidRPr="00ED5D81">
        <w:rPr>
          <w:rFonts w:ascii="Calibri" w:hAnsi="Calibri"/>
          <w:b/>
          <w:u w:val="single"/>
        </w:rPr>
        <w:t>proposal in principle</w:t>
      </w:r>
      <w:r w:rsidR="007570F2" w:rsidRPr="00ED5D81">
        <w:rPr>
          <w:rFonts w:ascii="Calibri" w:hAnsi="Calibri"/>
        </w:rPr>
        <w:t xml:space="preserve"> subject to consideration of the actual text of the amendment proposals to the resolution;  </w:t>
      </w:r>
    </w:p>
    <w:p w:rsidR="007570F2" w:rsidRPr="00ED5D81" w:rsidRDefault="00ED5D81" w:rsidP="00ED5D81">
      <w:pPr>
        <w:ind w:left="1134" w:hanging="850"/>
        <w:rPr>
          <w:rFonts w:ascii="Calibri" w:hAnsi="Calibri"/>
        </w:rPr>
      </w:pPr>
      <w:r w:rsidRPr="00ED5D81">
        <w:rPr>
          <w:rFonts w:ascii="Calibri" w:hAnsi="Calibri"/>
        </w:rPr>
        <w:t>2.</w:t>
      </w:r>
      <w:r w:rsidRPr="00ED5D81">
        <w:rPr>
          <w:rFonts w:ascii="Calibri" w:hAnsi="Calibri"/>
        </w:rPr>
        <w:tab/>
      </w:r>
      <w:r w:rsidR="007570F2" w:rsidRPr="00ED5D81">
        <w:rPr>
          <w:rFonts w:ascii="Calibri" w:hAnsi="Calibri"/>
        </w:rPr>
        <w:t>request ITSO to provide to ATU administrations via the ATU Secretariat, an outline of the benefits of retaining the resolution, as well as, modalities for its implementation; and,</w:t>
      </w:r>
    </w:p>
    <w:p w:rsidR="007570F2" w:rsidRDefault="00ED5D81" w:rsidP="00ED5D81">
      <w:pPr>
        <w:ind w:left="1134" w:hanging="850"/>
        <w:rPr>
          <w:rFonts w:ascii="Calibri" w:hAnsi="Calibri"/>
        </w:rPr>
      </w:pPr>
      <w:r w:rsidRPr="00ED5D81">
        <w:rPr>
          <w:rFonts w:ascii="Calibri" w:hAnsi="Calibri"/>
        </w:rPr>
        <w:t>3.</w:t>
      </w:r>
      <w:r w:rsidRPr="00ED5D81">
        <w:rPr>
          <w:rFonts w:ascii="Calibri" w:hAnsi="Calibri"/>
        </w:rPr>
        <w:tab/>
      </w:r>
      <w:r w:rsidR="007570F2" w:rsidRPr="00ED5D81">
        <w:rPr>
          <w:rFonts w:ascii="Calibri" w:hAnsi="Calibri"/>
        </w:rPr>
        <w:t>request ITSO to clarify its role and to consider being a party to the resolution.</w:t>
      </w:r>
    </w:p>
    <w:p w:rsidR="00ED5D81" w:rsidRDefault="00ED5D81" w:rsidP="00ED5D81">
      <w:pPr>
        <w:ind w:left="1134" w:hanging="850"/>
        <w:rPr>
          <w:rFonts w:ascii="Calibri" w:hAnsi="Calibri"/>
        </w:rPr>
      </w:pPr>
    </w:p>
    <w:p w:rsidR="00ED5D81" w:rsidRPr="00ED5D81" w:rsidRDefault="00ED5D81" w:rsidP="00ED5D81">
      <w:pPr>
        <w:ind w:left="1134" w:hanging="850"/>
        <w:rPr>
          <w:rFonts w:ascii="Calibri" w:hAnsi="Calibri"/>
        </w:rPr>
      </w:pPr>
    </w:p>
    <w:p w:rsidR="007570F2" w:rsidRDefault="007570F2" w:rsidP="00ED5D81">
      <w:pPr>
        <w:pStyle w:val="ListParagraph"/>
        <w:ind w:left="0"/>
        <w:jc w:val="center"/>
        <w:rPr>
          <w:rFonts w:ascii="Calibri" w:hAnsi="Calibri"/>
          <w:lang w:val="en-GB"/>
        </w:rPr>
      </w:pPr>
      <w:r>
        <w:rPr>
          <w:rFonts w:ascii="Calibri" w:hAnsi="Calibri"/>
          <w:lang w:val="en-GB"/>
        </w:rPr>
        <w:t>*****</w:t>
      </w:r>
    </w:p>
    <w:p w:rsidR="007570F2" w:rsidRDefault="007570F2" w:rsidP="007570F2">
      <w:pPr>
        <w:pStyle w:val="Heading1"/>
        <w:spacing w:after="120"/>
      </w:pPr>
      <w:r>
        <w:t>Statistical Analysis of African Preliminary Positions</w:t>
      </w:r>
    </w:p>
    <w:tbl>
      <w:tblPr>
        <w:tblW w:w="9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7"/>
        <w:gridCol w:w="1155"/>
        <w:gridCol w:w="1728"/>
        <w:gridCol w:w="1841"/>
      </w:tblGrid>
      <w:tr w:rsidR="007570F2" w:rsidRPr="005F5C57" w:rsidTr="007570F2">
        <w:trPr>
          <w:trHeight w:val="557"/>
          <w:jc w:val="center"/>
        </w:trPr>
        <w:tc>
          <w:tcPr>
            <w:tcW w:w="5217" w:type="dxa"/>
            <w:shd w:val="clear" w:color="auto" w:fill="00B050"/>
            <w:vAlign w:val="center"/>
          </w:tcPr>
          <w:p w:rsidR="007570F2" w:rsidRPr="005F5C57" w:rsidRDefault="007570F2" w:rsidP="00D94826">
            <w:pPr>
              <w:jc w:val="center"/>
              <w:rPr>
                <w:rFonts w:ascii="Calibri" w:hAnsi="Calibri" w:cs="Calibri"/>
                <w:b/>
                <w:color w:val="FFFFFF"/>
                <w:sz w:val="22"/>
                <w:szCs w:val="22"/>
              </w:rPr>
            </w:pPr>
            <w:r w:rsidRPr="005F5C57">
              <w:rPr>
                <w:rFonts w:ascii="Calibri" w:hAnsi="Calibri" w:cs="Calibri"/>
                <w:b/>
                <w:color w:val="FFFFFF"/>
                <w:sz w:val="22"/>
                <w:szCs w:val="22"/>
              </w:rPr>
              <w:t>Chapter</w:t>
            </w:r>
          </w:p>
          <w:p w:rsidR="007570F2" w:rsidRPr="005F5C57" w:rsidRDefault="007570F2" w:rsidP="00D94826">
            <w:pPr>
              <w:jc w:val="center"/>
              <w:rPr>
                <w:rFonts w:ascii="Calibri" w:hAnsi="Calibri" w:cs="Calibri"/>
                <w:b/>
                <w:color w:val="FFFFFF"/>
                <w:sz w:val="22"/>
                <w:szCs w:val="22"/>
              </w:rPr>
            </w:pPr>
            <w:r w:rsidRPr="005F5C57">
              <w:rPr>
                <w:rFonts w:ascii="Calibri" w:hAnsi="Calibri" w:cs="Calibri"/>
                <w:b/>
                <w:color w:val="FFFFFF"/>
                <w:sz w:val="22"/>
                <w:szCs w:val="22"/>
              </w:rPr>
              <w:t>Title</w:t>
            </w:r>
          </w:p>
        </w:tc>
        <w:tc>
          <w:tcPr>
            <w:tcW w:w="1155" w:type="dxa"/>
            <w:shd w:val="clear" w:color="auto" w:fill="00B050"/>
            <w:vAlign w:val="center"/>
          </w:tcPr>
          <w:p w:rsidR="007570F2" w:rsidRPr="005F5C57" w:rsidRDefault="007570F2" w:rsidP="00D94826">
            <w:pPr>
              <w:jc w:val="center"/>
              <w:rPr>
                <w:rFonts w:ascii="Calibri" w:hAnsi="Calibri" w:cs="Calibri"/>
                <w:b/>
                <w:color w:val="FFFFFF"/>
                <w:sz w:val="22"/>
                <w:szCs w:val="22"/>
              </w:rPr>
            </w:pPr>
            <w:r w:rsidRPr="002167E5">
              <w:rPr>
                <w:rFonts w:ascii="Calibri" w:hAnsi="Calibri" w:cs="Calibri"/>
                <w:b/>
                <w:color w:val="FFFFFF"/>
                <w:sz w:val="22"/>
                <w:szCs w:val="22"/>
              </w:rPr>
              <w:t xml:space="preserve">Total </w:t>
            </w:r>
            <w:r>
              <w:rPr>
                <w:rFonts w:ascii="Calibri" w:hAnsi="Calibri" w:cs="Calibri"/>
                <w:b/>
                <w:color w:val="FFFFFF"/>
                <w:sz w:val="22"/>
                <w:szCs w:val="22"/>
              </w:rPr>
              <w:t>elements</w:t>
            </w:r>
            <w:r>
              <w:rPr>
                <w:rStyle w:val="FootnoteReference"/>
                <w:rFonts w:ascii="Calibri" w:hAnsi="Calibri" w:cs="Calibri"/>
                <w:b/>
                <w:color w:val="FFFFFF"/>
                <w:szCs w:val="22"/>
              </w:rPr>
              <w:footnoteReference w:id="2"/>
            </w:r>
          </w:p>
        </w:tc>
        <w:tc>
          <w:tcPr>
            <w:tcW w:w="1728" w:type="dxa"/>
            <w:shd w:val="clear" w:color="auto" w:fill="00B050"/>
            <w:vAlign w:val="center"/>
          </w:tcPr>
          <w:p w:rsidR="007570F2" w:rsidRPr="005F5C57" w:rsidRDefault="007570F2" w:rsidP="00D94826">
            <w:pPr>
              <w:jc w:val="center"/>
              <w:rPr>
                <w:rFonts w:ascii="Calibri" w:hAnsi="Calibri" w:cs="Calibri"/>
                <w:b/>
                <w:color w:val="FFFFFF"/>
                <w:sz w:val="22"/>
                <w:szCs w:val="22"/>
              </w:rPr>
            </w:pPr>
            <w:r w:rsidRPr="005F5C57">
              <w:rPr>
                <w:rFonts w:ascii="Calibri" w:hAnsi="Calibri" w:cs="Calibri"/>
                <w:b/>
                <w:color w:val="FFFFFF"/>
                <w:sz w:val="22"/>
                <w:szCs w:val="22"/>
              </w:rPr>
              <w:t xml:space="preserve">Elements </w:t>
            </w:r>
            <w:r w:rsidRPr="005F5C57">
              <w:rPr>
                <w:rFonts w:ascii="Calibri" w:hAnsi="Calibri" w:cs="Calibri"/>
                <w:b/>
                <w:color w:val="FFFFFF"/>
                <w:sz w:val="22"/>
                <w:szCs w:val="22"/>
                <w:u w:val="single"/>
              </w:rPr>
              <w:t>with</w:t>
            </w:r>
            <w:r w:rsidRPr="005F5C57">
              <w:rPr>
                <w:rFonts w:ascii="Calibri" w:hAnsi="Calibri" w:cs="Calibri"/>
                <w:b/>
                <w:color w:val="FFFFFF"/>
                <w:sz w:val="22"/>
                <w:szCs w:val="22"/>
              </w:rPr>
              <w:t xml:space="preserve"> African preliminary position</w:t>
            </w:r>
          </w:p>
        </w:tc>
        <w:tc>
          <w:tcPr>
            <w:tcW w:w="1841" w:type="dxa"/>
            <w:shd w:val="clear" w:color="auto" w:fill="00B050"/>
            <w:vAlign w:val="center"/>
          </w:tcPr>
          <w:p w:rsidR="007570F2" w:rsidRPr="005F5C57" w:rsidRDefault="007570F2" w:rsidP="00D94826">
            <w:pPr>
              <w:jc w:val="center"/>
              <w:rPr>
                <w:rFonts w:ascii="Calibri" w:hAnsi="Calibri" w:cs="Calibri"/>
                <w:b/>
                <w:color w:val="FFFFFF"/>
                <w:sz w:val="22"/>
                <w:szCs w:val="22"/>
              </w:rPr>
            </w:pPr>
            <w:r>
              <w:rPr>
                <w:rFonts w:ascii="Calibri" w:hAnsi="Calibri" w:cs="Calibri"/>
                <w:b/>
                <w:color w:val="FFFFFF"/>
                <w:sz w:val="22"/>
                <w:szCs w:val="22"/>
              </w:rPr>
              <w:t>Elements</w:t>
            </w:r>
            <w:r w:rsidRPr="002167E5">
              <w:rPr>
                <w:rFonts w:ascii="Calibri" w:hAnsi="Calibri" w:cs="Calibri"/>
                <w:b/>
                <w:color w:val="FFFFFF"/>
                <w:sz w:val="22"/>
                <w:szCs w:val="22"/>
              </w:rPr>
              <w:t xml:space="preserve"> </w:t>
            </w:r>
            <w:r w:rsidRPr="002167E5">
              <w:rPr>
                <w:rFonts w:ascii="Calibri" w:hAnsi="Calibri" w:cs="Calibri"/>
                <w:b/>
                <w:color w:val="FFFFFF"/>
                <w:sz w:val="22"/>
                <w:szCs w:val="22"/>
                <w:u w:val="single"/>
              </w:rPr>
              <w:t xml:space="preserve">without </w:t>
            </w:r>
            <w:r w:rsidRPr="002167E5">
              <w:rPr>
                <w:rFonts w:ascii="Calibri" w:hAnsi="Calibri" w:cs="Calibri"/>
                <w:b/>
                <w:color w:val="FFFFFF"/>
                <w:sz w:val="22"/>
                <w:szCs w:val="22"/>
              </w:rPr>
              <w:t>African preliminary position</w:t>
            </w:r>
          </w:p>
        </w:tc>
      </w:tr>
      <w:tr w:rsidR="007570F2" w:rsidRPr="000F3097" w:rsidTr="007570F2">
        <w:trPr>
          <w:jc w:val="center"/>
        </w:trPr>
        <w:tc>
          <w:tcPr>
            <w:tcW w:w="5217" w:type="dxa"/>
            <w:vAlign w:val="center"/>
          </w:tcPr>
          <w:p w:rsidR="007570F2" w:rsidRPr="000F3097" w:rsidRDefault="007570F2" w:rsidP="00D94826">
            <w:pPr>
              <w:pStyle w:val="NoSpacing"/>
            </w:pPr>
            <w:r w:rsidRPr="000F3097">
              <w:t xml:space="preserve">Chapter 1: </w:t>
            </w:r>
            <w:r>
              <w:t>L</w:t>
            </w:r>
            <w:r w:rsidRPr="000F3097">
              <w:t>and mobile and fixed services</w:t>
            </w:r>
          </w:p>
        </w:tc>
        <w:tc>
          <w:tcPr>
            <w:tcW w:w="1155" w:type="dxa"/>
          </w:tcPr>
          <w:p w:rsidR="007570F2" w:rsidRPr="000F3097" w:rsidRDefault="007570F2" w:rsidP="00D94826">
            <w:pPr>
              <w:pStyle w:val="NoSpacing"/>
              <w:jc w:val="center"/>
            </w:pPr>
            <w:r w:rsidRPr="000F3097">
              <w:t>4</w:t>
            </w:r>
          </w:p>
        </w:tc>
        <w:tc>
          <w:tcPr>
            <w:tcW w:w="1728" w:type="dxa"/>
          </w:tcPr>
          <w:p w:rsidR="007570F2" w:rsidRPr="000F3097" w:rsidRDefault="007570F2" w:rsidP="00D94826">
            <w:pPr>
              <w:pStyle w:val="NoSpacing"/>
              <w:jc w:val="center"/>
            </w:pPr>
            <w:r w:rsidRPr="000F3097">
              <w:t>4</w:t>
            </w:r>
          </w:p>
        </w:tc>
        <w:tc>
          <w:tcPr>
            <w:tcW w:w="1841" w:type="dxa"/>
            <w:vAlign w:val="center"/>
          </w:tcPr>
          <w:p w:rsidR="007570F2" w:rsidRPr="000F3097" w:rsidRDefault="007570F2" w:rsidP="00D94826">
            <w:pPr>
              <w:pStyle w:val="NoSpacing"/>
              <w:jc w:val="center"/>
            </w:pPr>
            <w:r w:rsidRPr="000F3097">
              <w:t>0</w:t>
            </w:r>
          </w:p>
        </w:tc>
      </w:tr>
      <w:tr w:rsidR="007570F2" w:rsidRPr="000F3097" w:rsidTr="007570F2">
        <w:trPr>
          <w:jc w:val="center"/>
        </w:trPr>
        <w:tc>
          <w:tcPr>
            <w:tcW w:w="5217" w:type="dxa"/>
            <w:vAlign w:val="center"/>
          </w:tcPr>
          <w:p w:rsidR="007570F2" w:rsidRPr="000F3097" w:rsidRDefault="007570F2" w:rsidP="00D94826">
            <w:pPr>
              <w:pStyle w:val="NoSpacing"/>
            </w:pPr>
            <w:r>
              <w:t>Chapter 2: B</w:t>
            </w:r>
            <w:r w:rsidRPr="000F3097">
              <w:t>roadband app</w:t>
            </w:r>
            <w:r>
              <w:t>lications in the mobile service</w:t>
            </w:r>
          </w:p>
        </w:tc>
        <w:tc>
          <w:tcPr>
            <w:tcW w:w="1155" w:type="dxa"/>
          </w:tcPr>
          <w:p w:rsidR="007570F2" w:rsidRPr="000F3097" w:rsidRDefault="007570F2" w:rsidP="00D94826">
            <w:pPr>
              <w:pStyle w:val="NoSpacing"/>
              <w:jc w:val="center"/>
            </w:pPr>
            <w:r w:rsidRPr="000F3097">
              <w:t>20</w:t>
            </w:r>
          </w:p>
        </w:tc>
        <w:tc>
          <w:tcPr>
            <w:tcW w:w="1728" w:type="dxa"/>
          </w:tcPr>
          <w:p w:rsidR="007570F2" w:rsidRPr="000F3097" w:rsidRDefault="007570F2" w:rsidP="00D94826">
            <w:pPr>
              <w:pStyle w:val="NoSpacing"/>
              <w:jc w:val="center"/>
            </w:pPr>
            <w:r w:rsidRPr="000F3097">
              <w:t>15</w:t>
            </w:r>
          </w:p>
        </w:tc>
        <w:tc>
          <w:tcPr>
            <w:tcW w:w="1841" w:type="dxa"/>
            <w:vAlign w:val="center"/>
          </w:tcPr>
          <w:p w:rsidR="007570F2" w:rsidRPr="000F3097" w:rsidRDefault="007570F2" w:rsidP="00D94826">
            <w:pPr>
              <w:pStyle w:val="NoSpacing"/>
              <w:jc w:val="center"/>
            </w:pPr>
            <w:r w:rsidRPr="000F3097">
              <w:t>5</w:t>
            </w:r>
          </w:p>
        </w:tc>
      </w:tr>
      <w:tr w:rsidR="007570F2" w:rsidRPr="000F3097" w:rsidTr="007570F2">
        <w:trPr>
          <w:jc w:val="center"/>
        </w:trPr>
        <w:tc>
          <w:tcPr>
            <w:tcW w:w="5217" w:type="dxa"/>
            <w:vAlign w:val="center"/>
          </w:tcPr>
          <w:p w:rsidR="007570F2" w:rsidRPr="000F3097" w:rsidRDefault="007570F2" w:rsidP="00D94826">
            <w:pPr>
              <w:pStyle w:val="NoSpacing"/>
            </w:pPr>
            <w:r>
              <w:t>Chapter 3: Satellite services</w:t>
            </w:r>
          </w:p>
        </w:tc>
        <w:tc>
          <w:tcPr>
            <w:tcW w:w="1155" w:type="dxa"/>
          </w:tcPr>
          <w:p w:rsidR="007570F2" w:rsidRPr="000F3097" w:rsidRDefault="007570F2" w:rsidP="00D94826">
            <w:pPr>
              <w:pStyle w:val="NoSpacing"/>
              <w:jc w:val="center"/>
            </w:pPr>
            <w:r w:rsidRPr="000F3097">
              <w:t>19</w:t>
            </w:r>
          </w:p>
        </w:tc>
        <w:tc>
          <w:tcPr>
            <w:tcW w:w="1728" w:type="dxa"/>
          </w:tcPr>
          <w:p w:rsidR="007570F2" w:rsidRPr="000F3097" w:rsidRDefault="007570F2" w:rsidP="00D94826">
            <w:pPr>
              <w:pStyle w:val="NoSpacing"/>
              <w:jc w:val="center"/>
            </w:pPr>
            <w:r w:rsidRPr="000F3097">
              <w:t>18</w:t>
            </w:r>
          </w:p>
        </w:tc>
        <w:tc>
          <w:tcPr>
            <w:tcW w:w="1841" w:type="dxa"/>
            <w:vAlign w:val="center"/>
          </w:tcPr>
          <w:p w:rsidR="007570F2" w:rsidRPr="000F3097" w:rsidRDefault="007570F2" w:rsidP="00D94826">
            <w:pPr>
              <w:pStyle w:val="NoSpacing"/>
              <w:jc w:val="center"/>
            </w:pPr>
            <w:r w:rsidRPr="000F3097">
              <w:t>1</w:t>
            </w:r>
          </w:p>
        </w:tc>
      </w:tr>
      <w:tr w:rsidR="007570F2" w:rsidRPr="000F3097" w:rsidTr="007570F2">
        <w:trPr>
          <w:jc w:val="center"/>
        </w:trPr>
        <w:tc>
          <w:tcPr>
            <w:tcW w:w="5217" w:type="dxa"/>
            <w:vAlign w:val="center"/>
          </w:tcPr>
          <w:p w:rsidR="007570F2" w:rsidRPr="000F3097" w:rsidRDefault="007570F2" w:rsidP="00D94826">
            <w:pPr>
              <w:pStyle w:val="NoSpacing"/>
            </w:pPr>
            <w:r>
              <w:t>Chapter 4: Science services</w:t>
            </w:r>
          </w:p>
        </w:tc>
        <w:tc>
          <w:tcPr>
            <w:tcW w:w="1155" w:type="dxa"/>
          </w:tcPr>
          <w:p w:rsidR="007570F2" w:rsidRPr="000F3097" w:rsidRDefault="007570F2" w:rsidP="00D94826">
            <w:pPr>
              <w:pStyle w:val="NoSpacing"/>
              <w:jc w:val="center"/>
            </w:pPr>
            <w:r w:rsidRPr="000F3097">
              <w:t>4</w:t>
            </w:r>
          </w:p>
        </w:tc>
        <w:tc>
          <w:tcPr>
            <w:tcW w:w="1728" w:type="dxa"/>
          </w:tcPr>
          <w:p w:rsidR="007570F2" w:rsidRPr="000F3097" w:rsidRDefault="007570F2" w:rsidP="00D94826">
            <w:pPr>
              <w:pStyle w:val="NoSpacing"/>
              <w:jc w:val="center"/>
            </w:pPr>
            <w:r w:rsidRPr="000F3097">
              <w:t>2</w:t>
            </w:r>
          </w:p>
        </w:tc>
        <w:tc>
          <w:tcPr>
            <w:tcW w:w="1841" w:type="dxa"/>
            <w:vAlign w:val="center"/>
          </w:tcPr>
          <w:p w:rsidR="007570F2" w:rsidRPr="000F3097" w:rsidRDefault="007570F2" w:rsidP="00D94826">
            <w:pPr>
              <w:pStyle w:val="NoSpacing"/>
              <w:jc w:val="center"/>
            </w:pPr>
            <w:r w:rsidRPr="000F3097">
              <w:t>2</w:t>
            </w:r>
          </w:p>
        </w:tc>
      </w:tr>
      <w:tr w:rsidR="007570F2" w:rsidRPr="000F3097" w:rsidTr="007570F2">
        <w:trPr>
          <w:jc w:val="center"/>
        </w:trPr>
        <w:tc>
          <w:tcPr>
            <w:tcW w:w="5217" w:type="dxa"/>
            <w:vAlign w:val="center"/>
          </w:tcPr>
          <w:p w:rsidR="007570F2" w:rsidRPr="007570F2" w:rsidRDefault="007570F2" w:rsidP="00D94826">
            <w:pPr>
              <w:pStyle w:val="NoSpacing"/>
              <w:rPr>
                <w:lang w:val="fr-FR"/>
              </w:rPr>
            </w:pPr>
            <w:r w:rsidRPr="007570F2">
              <w:rPr>
                <w:lang w:val="fr-FR"/>
              </w:rPr>
              <w:t>Chapter 5: Maritime, aeronautical &amp; amateur services</w:t>
            </w:r>
          </w:p>
        </w:tc>
        <w:tc>
          <w:tcPr>
            <w:tcW w:w="1155" w:type="dxa"/>
          </w:tcPr>
          <w:p w:rsidR="007570F2" w:rsidRPr="000F3097" w:rsidRDefault="007570F2" w:rsidP="00D94826">
            <w:pPr>
              <w:pStyle w:val="NoSpacing"/>
              <w:jc w:val="center"/>
            </w:pPr>
            <w:r w:rsidRPr="000F3097">
              <w:t>8</w:t>
            </w:r>
          </w:p>
        </w:tc>
        <w:tc>
          <w:tcPr>
            <w:tcW w:w="1728" w:type="dxa"/>
          </w:tcPr>
          <w:p w:rsidR="007570F2" w:rsidRPr="000F3097" w:rsidRDefault="007570F2" w:rsidP="00D94826">
            <w:pPr>
              <w:pStyle w:val="NoSpacing"/>
              <w:jc w:val="center"/>
            </w:pPr>
            <w:r w:rsidRPr="000F3097">
              <w:t>8</w:t>
            </w:r>
          </w:p>
        </w:tc>
        <w:tc>
          <w:tcPr>
            <w:tcW w:w="1841" w:type="dxa"/>
            <w:vAlign w:val="center"/>
          </w:tcPr>
          <w:p w:rsidR="007570F2" w:rsidRPr="000F3097" w:rsidRDefault="007570F2" w:rsidP="00D94826">
            <w:pPr>
              <w:pStyle w:val="NoSpacing"/>
              <w:jc w:val="center"/>
            </w:pPr>
            <w:r w:rsidRPr="000F3097">
              <w:t>0</w:t>
            </w:r>
          </w:p>
        </w:tc>
      </w:tr>
      <w:tr w:rsidR="007570F2" w:rsidRPr="000F3097" w:rsidTr="007570F2">
        <w:trPr>
          <w:jc w:val="center"/>
        </w:trPr>
        <w:tc>
          <w:tcPr>
            <w:tcW w:w="5217" w:type="dxa"/>
            <w:vAlign w:val="center"/>
          </w:tcPr>
          <w:p w:rsidR="007570F2" w:rsidRPr="000F3097" w:rsidRDefault="007570F2" w:rsidP="00D94826">
            <w:pPr>
              <w:pStyle w:val="NoSpacing"/>
            </w:pPr>
            <w:r>
              <w:t>Chapter 6: G</w:t>
            </w:r>
            <w:r w:rsidRPr="000F3097">
              <w:t>eneral issues</w:t>
            </w:r>
          </w:p>
        </w:tc>
        <w:tc>
          <w:tcPr>
            <w:tcW w:w="1155" w:type="dxa"/>
          </w:tcPr>
          <w:p w:rsidR="007570F2" w:rsidRPr="000F3097" w:rsidRDefault="007570F2" w:rsidP="00D94826">
            <w:pPr>
              <w:pStyle w:val="NoSpacing"/>
              <w:jc w:val="center"/>
            </w:pPr>
            <w:r w:rsidRPr="000F3097">
              <w:t>4</w:t>
            </w:r>
            <w:r w:rsidRPr="000F3097">
              <w:rPr>
                <w:rStyle w:val="FootnoteReference"/>
                <w:position w:val="0"/>
                <w:sz w:val="22"/>
              </w:rPr>
              <w:footnoteReference w:id="3"/>
            </w:r>
          </w:p>
        </w:tc>
        <w:tc>
          <w:tcPr>
            <w:tcW w:w="1728" w:type="dxa"/>
          </w:tcPr>
          <w:p w:rsidR="007570F2" w:rsidRPr="000F3097" w:rsidRDefault="007570F2" w:rsidP="00D94826">
            <w:pPr>
              <w:pStyle w:val="NoSpacing"/>
              <w:jc w:val="center"/>
            </w:pPr>
            <w:r w:rsidRPr="000F3097">
              <w:t>4</w:t>
            </w:r>
          </w:p>
        </w:tc>
        <w:tc>
          <w:tcPr>
            <w:tcW w:w="1841" w:type="dxa"/>
            <w:vAlign w:val="center"/>
          </w:tcPr>
          <w:p w:rsidR="007570F2" w:rsidRPr="000F3097" w:rsidRDefault="007570F2" w:rsidP="00D94826">
            <w:pPr>
              <w:pStyle w:val="NoSpacing"/>
              <w:jc w:val="center"/>
            </w:pPr>
            <w:r w:rsidRPr="000F3097">
              <w:t>0</w:t>
            </w:r>
          </w:p>
        </w:tc>
      </w:tr>
      <w:tr w:rsidR="007570F2" w:rsidRPr="000F3097" w:rsidTr="007570F2">
        <w:trPr>
          <w:jc w:val="center"/>
        </w:trPr>
        <w:tc>
          <w:tcPr>
            <w:tcW w:w="5217" w:type="dxa"/>
            <w:vAlign w:val="center"/>
          </w:tcPr>
          <w:p w:rsidR="007570F2" w:rsidRPr="000F3097" w:rsidRDefault="007570F2" w:rsidP="00D94826">
            <w:pPr>
              <w:pStyle w:val="NoSpacing"/>
            </w:pPr>
            <w:r w:rsidRPr="000F3097">
              <w:t>Radiocommunication assembly 2019</w:t>
            </w:r>
          </w:p>
        </w:tc>
        <w:tc>
          <w:tcPr>
            <w:tcW w:w="1155" w:type="dxa"/>
          </w:tcPr>
          <w:p w:rsidR="007570F2" w:rsidRPr="000F3097" w:rsidRDefault="007570F2" w:rsidP="00D94826">
            <w:pPr>
              <w:pStyle w:val="NoSpacing"/>
              <w:jc w:val="center"/>
            </w:pPr>
            <w:r w:rsidRPr="000F3097">
              <w:t>1</w:t>
            </w:r>
          </w:p>
        </w:tc>
        <w:tc>
          <w:tcPr>
            <w:tcW w:w="1728" w:type="dxa"/>
          </w:tcPr>
          <w:p w:rsidR="007570F2" w:rsidRPr="000F3097" w:rsidRDefault="007570F2" w:rsidP="00D94826">
            <w:pPr>
              <w:pStyle w:val="NoSpacing"/>
              <w:jc w:val="center"/>
            </w:pPr>
            <w:r w:rsidRPr="000F3097">
              <w:t>1</w:t>
            </w:r>
          </w:p>
        </w:tc>
        <w:tc>
          <w:tcPr>
            <w:tcW w:w="1841" w:type="dxa"/>
            <w:vAlign w:val="center"/>
          </w:tcPr>
          <w:p w:rsidR="007570F2" w:rsidRPr="000F3097" w:rsidRDefault="007570F2" w:rsidP="00D94826">
            <w:pPr>
              <w:pStyle w:val="NoSpacing"/>
              <w:jc w:val="center"/>
            </w:pPr>
            <w:r w:rsidRPr="000F3097">
              <w:t>0</w:t>
            </w:r>
          </w:p>
        </w:tc>
      </w:tr>
      <w:tr w:rsidR="007570F2" w:rsidRPr="003C2D6B" w:rsidTr="007570F2">
        <w:trPr>
          <w:jc w:val="center"/>
        </w:trPr>
        <w:tc>
          <w:tcPr>
            <w:tcW w:w="5217" w:type="dxa"/>
            <w:vAlign w:val="center"/>
          </w:tcPr>
          <w:p w:rsidR="007570F2" w:rsidRPr="003C2D6B" w:rsidRDefault="007570F2" w:rsidP="00D94826">
            <w:pPr>
              <w:pStyle w:val="NoSpacing"/>
              <w:rPr>
                <w:b/>
              </w:rPr>
            </w:pPr>
          </w:p>
        </w:tc>
        <w:tc>
          <w:tcPr>
            <w:tcW w:w="1155" w:type="dxa"/>
          </w:tcPr>
          <w:p w:rsidR="007570F2" w:rsidRPr="003C2D6B" w:rsidRDefault="007570F2" w:rsidP="00D94826">
            <w:pPr>
              <w:pStyle w:val="NoSpacing"/>
              <w:jc w:val="center"/>
              <w:rPr>
                <w:b/>
              </w:rPr>
            </w:pPr>
            <w:r w:rsidRPr="003C2D6B">
              <w:rPr>
                <w:b/>
              </w:rPr>
              <w:t>60</w:t>
            </w:r>
          </w:p>
        </w:tc>
        <w:tc>
          <w:tcPr>
            <w:tcW w:w="1728" w:type="dxa"/>
          </w:tcPr>
          <w:p w:rsidR="007570F2" w:rsidRPr="003C2D6B" w:rsidRDefault="007570F2" w:rsidP="00D94826">
            <w:pPr>
              <w:pStyle w:val="NoSpacing"/>
              <w:jc w:val="center"/>
              <w:rPr>
                <w:b/>
              </w:rPr>
            </w:pPr>
            <w:r w:rsidRPr="003C2D6B">
              <w:rPr>
                <w:b/>
              </w:rPr>
              <w:t>52</w:t>
            </w:r>
          </w:p>
        </w:tc>
        <w:tc>
          <w:tcPr>
            <w:tcW w:w="1841" w:type="dxa"/>
            <w:vAlign w:val="center"/>
          </w:tcPr>
          <w:p w:rsidR="007570F2" w:rsidRPr="003C2D6B" w:rsidRDefault="007570F2" w:rsidP="00D94826">
            <w:pPr>
              <w:pStyle w:val="NoSpacing"/>
              <w:jc w:val="center"/>
              <w:rPr>
                <w:b/>
              </w:rPr>
            </w:pPr>
            <w:r w:rsidRPr="003C2D6B">
              <w:rPr>
                <w:b/>
              </w:rPr>
              <w:t>8</w:t>
            </w:r>
          </w:p>
        </w:tc>
      </w:tr>
      <w:tr w:rsidR="007570F2" w:rsidRPr="003C2D6B" w:rsidTr="007570F2">
        <w:trPr>
          <w:jc w:val="center"/>
        </w:trPr>
        <w:tc>
          <w:tcPr>
            <w:tcW w:w="5217" w:type="dxa"/>
            <w:vAlign w:val="center"/>
          </w:tcPr>
          <w:p w:rsidR="007570F2" w:rsidRPr="003C2D6B" w:rsidRDefault="007570F2" w:rsidP="00D94826">
            <w:pPr>
              <w:pStyle w:val="NoSpacing"/>
              <w:rPr>
                <w:b/>
              </w:rPr>
            </w:pPr>
          </w:p>
        </w:tc>
        <w:tc>
          <w:tcPr>
            <w:tcW w:w="1155" w:type="dxa"/>
          </w:tcPr>
          <w:p w:rsidR="007570F2" w:rsidRPr="003C2D6B" w:rsidRDefault="007570F2" w:rsidP="00D94826">
            <w:pPr>
              <w:pStyle w:val="NoSpacing"/>
              <w:jc w:val="center"/>
              <w:rPr>
                <w:b/>
              </w:rPr>
            </w:pPr>
            <w:r>
              <w:rPr>
                <w:b/>
              </w:rPr>
              <w:t>100%</w:t>
            </w:r>
          </w:p>
        </w:tc>
        <w:tc>
          <w:tcPr>
            <w:tcW w:w="1728" w:type="dxa"/>
          </w:tcPr>
          <w:p w:rsidR="007570F2" w:rsidRPr="003C2D6B" w:rsidRDefault="007570F2" w:rsidP="00D94826">
            <w:pPr>
              <w:pStyle w:val="NoSpacing"/>
              <w:jc w:val="center"/>
              <w:rPr>
                <w:b/>
              </w:rPr>
            </w:pPr>
            <w:r>
              <w:rPr>
                <w:b/>
              </w:rPr>
              <w:t>86.7%</w:t>
            </w:r>
          </w:p>
        </w:tc>
        <w:tc>
          <w:tcPr>
            <w:tcW w:w="1841" w:type="dxa"/>
            <w:vAlign w:val="center"/>
          </w:tcPr>
          <w:p w:rsidR="007570F2" w:rsidRPr="003C2D6B" w:rsidRDefault="007570F2" w:rsidP="00D94826">
            <w:pPr>
              <w:pStyle w:val="NoSpacing"/>
              <w:jc w:val="center"/>
              <w:rPr>
                <w:b/>
              </w:rPr>
            </w:pPr>
            <w:r>
              <w:rPr>
                <w:b/>
              </w:rPr>
              <w:t>13.3%</w:t>
            </w:r>
          </w:p>
        </w:tc>
      </w:tr>
    </w:tbl>
    <w:p w:rsidR="007570F2" w:rsidRDefault="007570F2" w:rsidP="00ED5D81">
      <w:pPr>
        <w:pStyle w:val="ListParagraph"/>
        <w:ind w:left="0"/>
        <w:jc w:val="center"/>
        <w:rPr>
          <w:rFonts w:ascii="Calibri" w:hAnsi="Calibri"/>
          <w:lang w:val="en-GB"/>
        </w:rPr>
      </w:pPr>
    </w:p>
    <w:p w:rsidR="007570F2" w:rsidRPr="008247DC" w:rsidRDefault="007570F2" w:rsidP="00ED5D81">
      <w:pPr>
        <w:pStyle w:val="ListParagraph"/>
        <w:ind w:left="0"/>
        <w:jc w:val="center"/>
        <w:rPr>
          <w:rFonts w:ascii="Calibri" w:hAnsi="Calibri"/>
          <w:lang w:val="en-GB"/>
        </w:rPr>
      </w:pPr>
      <w:r>
        <w:rPr>
          <w:rFonts w:ascii="Calibri" w:hAnsi="Calibri"/>
          <w:lang w:val="en-GB"/>
        </w:rPr>
        <w:t>*****</w:t>
      </w:r>
    </w:p>
    <w:p w:rsidR="00ED5D81" w:rsidRDefault="00ED5D81" w:rsidP="00ED5D81">
      <w:pPr>
        <w:pStyle w:val="Reasons"/>
        <w:jc w:val="center"/>
      </w:pPr>
    </w:p>
    <w:p w:rsidR="00ED5D81" w:rsidRDefault="00ED5D81" w:rsidP="00ED5D81">
      <w:pPr>
        <w:jc w:val="center"/>
      </w:pPr>
      <w:r>
        <w:t>______________</w:t>
      </w:r>
    </w:p>
    <w:sectPr w:rsidR="00ED5D81" w:rsidSect="00D02712">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6D" w:rsidRDefault="00D55F6D">
      <w:r>
        <w:separator/>
      </w:r>
    </w:p>
  </w:endnote>
  <w:endnote w:type="continuationSeparator" w:id="0">
    <w:p w:rsidR="00D55F6D" w:rsidRDefault="00D5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446C5E" w:rsidP="00D858F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06CE8">
      <w:rPr>
        <w:lang w:val="en-US"/>
      </w:rPr>
      <w:t>L:\BRSGD\Documents\CPM-19\2nd Inter Regional Workshop 2018\Contributions\006-e.docx</w:t>
    </w:r>
    <w:r>
      <w:fldChar w:fldCharType="end"/>
    </w:r>
    <w:r w:rsidR="00FA124A" w:rsidRPr="002F7CB3">
      <w:rPr>
        <w:lang w:val="en-US"/>
      </w:rPr>
      <w:tab/>
    </w:r>
    <w:r w:rsidR="00D02712">
      <w:fldChar w:fldCharType="begin"/>
    </w:r>
    <w:r w:rsidR="00FA124A">
      <w:instrText xml:space="preserve"> savedate \@ dd.MM.yy </w:instrText>
    </w:r>
    <w:r w:rsidR="00D02712">
      <w:fldChar w:fldCharType="separate"/>
    </w:r>
    <w:r w:rsidR="00506CE8">
      <w:t>12.11.18</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506CE8">
      <w:t>21.02.08</w:t>
    </w:r>
    <w:r w:rsidR="00D027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D858FD" w:rsidRDefault="00D858FD" w:rsidP="00D858FD">
    <w:pPr>
      <w:pStyle w:val="Footer"/>
      <w:rPr>
        <w:lang w:val="en-US"/>
      </w:rPr>
    </w:pPr>
    <w:r>
      <w:rPr>
        <w:lang w:val="en-US"/>
      </w:rPr>
      <w:fldChar w:fldCharType="begin"/>
    </w:r>
    <w:r>
      <w:rPr>
        <w:lang w:val="en-US"/>
      </w:rPr>
      <w:instrText xml:space="preserve"> FILENAME \p \* MERGEFORMAT </w:instrText>
    </w:r>
    <w:r>
      <w:rPr>
        <w:lang w:val="en-US"/>
      </w:rPr>
      <w:fldChar w:fldCharType="separate"/>
    </w:r>
    <w:r w:rsidR="00506CE8">
      <w:rPr>
        <w:lang w:val="en-US"/>
      </w:rPr>
      <w:t>L:\BRSGD\Documents\CPM-19\2nd Inter Regional Workshop 2018\Contributions\006-e.docx</w:t>
    </w:r>
    <w:r>
      <w:fldChar w:fldCharType="end"/>
    </w:r>
    <w:r w:rsidRPr="002F7CB3">
      <w:rPr>
        <w:lang w:val="en-US"/>
      </w:rPr>
      <w:tab/>
    </w:r>
    <w:r>
      <w:fldChar w:fldCharType="begin"/>
    </w:r>
    <w:r>
      <w:instrText xml:space="preserve"> savedate \@ dd.MM.yy </w:instrText>
    </w:r>
    <w:r>
      <w:fldChar w:fldCharType="separate"/>
    </w:r>
    <w:r w:rsidR="00506CE8">
      <w:t>12.11.18</w:t>
    </w:r>
    <w:r>
      <w:fldChar w:fldCharType="end"/>
    </w:r>
    <w:r w:rsidRPr="002F7CB3">
      <w:rPr>
        <w:lang w:val="en-US"/>
      </w:rPr>
      <w:tab/>
    </w:r>
    <w:r>
      <w:fldChar w:fldCharType="begin"/>
    </w:r>
    <w:r>
      <w:instrText xml:space="preserve"> printdate \@ dd.MM.yy </w:instrText>
    </w:r>
    <w:r>
      <w:fldChar w:fldCharType="separate"/>
    </w:r>
    <w:r w:rsidR="00506CE8">
      <w:t>21.02.08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6D" w:rsidRDefault="00D55F6D">
      <w:r>
        <w:t>____________________</w:t>
      </w:r>
    </w:p>
  </w:footnote>
  <w:footnote w:type="continuationSeparator" w:id="0">
    <w:p w:rsidR="00D55F6D" w:rsidRDefault="00D55F6D">
      <w:r>
        <w:continuationSeparator/>
      </w:r>
    </w:p>
  </w:footnote>
  <w:footnote w:id="1">
    <w:p w:rsidR="007570F2" w:rsidRPr="007E6AF4" w:rsidRDefault="007570F2" w:rsidP="007570F2">
      <w:pPr>
        <w:pStyle w:val="FootnoteText"/>
        <w:rPr>
          <w:sz w:val="16"/>
          <w:szCs w:val="16"/>
          <w:lang w:val="en-US"/>
        </w:rPr>
      </w:pPr>
      <w:r w:rsidRPr="007E6AF4">
        <w:rPr>
          <w:rStyle w:val="FootnoteReference"/>
          <w:sz w:val="16"/>
          <w:szCs w:val="16"/>
        </w:rPr>
        <w:footnoteRef/>
      </w:r>
      <w:r w:rsidRPr="007E6AF4">
        <w:rPr>
          <w:sz w:val="16"/>
          <w:szCs w:val="16"/>
        </w:rPr>
        <w:t xml:space="preserve"> </w:t>
      </w:r>
      <w:r w:rsidRPr="004959BB">
        <w:rPr>
          <w:rFonts w:ascii="Calibri" w:hAnsi="Calibri" w:cs="Calibri"/>
          <w:sz w:val="16"/>
          <w:szCs w:val="16"/>
        </w:rPr>
        <w:t>AMRD that do not enhance the safety of navigation but do operate in the maritime environment.</w:t>
      </w:r>
    </w:p>
  </w:footnote>
  <w:footnote w:id="2">
    <w:p w:rsidR="007570F2" w:rsidRPr="003C2D6B" w:rsidRDefault="007570F2" w:rsidP="007570F2">
      <w:pPr>
        <w:pStyle w:val="FootnoteText"/>
        <w:rPr>
          <w:lang w:val="en-US"/>
        </w:rPr>
      </w:pPr>
      <w:r>
        <w:rPr>
          <w:rStyle w:val="FootnoteReference"/>
        </w:rPr>
        <w:footnoteRef/>
      </w:r>
      <w:r>
        <w:t xml:space="preserve"> </w:t>
      </w:r>
      <w:r w:rsidRPr="003C2D6B">
        <w:rPr>
          <w:sz w:val="18"/>
          <w:szCs w:val="18"/>
          <w:lang w:val="en-US"/>
        </w:rPr>
        <w:t>NB: Each sub-is</w:t>
      </w:r>
      <w:r>
        <w:rPr>
          <w:sz w:val="18"/>
          <w:szCs w:val="18"/>
          <w:lang w:val="en-US"/>
        </w:rPr>
        <w:t>sues or band under an AI counts, e.g. AI 1.13 has 12 elements because it has 12 bands under consideration.</w:t>
      </w:r>
    </w:p>
  </w:footnote>
  <w:footnote w:id="3">
    <w:p w:rsidR="007570F2" w:rsidRPr="002167E5" w:rsidRDefault="007570F2" w:rsidP="007570F2">
      <w:pPr>
        <w:pStyle w:val="FootnoteText"/>
        <w:rPr>
          <w:sz w:val="18"/>
          <w:szCs w:val="18"/>
          <w:lang w:val="en-US"/>
        </w:rPr>
      </w:pPr>
      <w:r w:rsidRPr="002167E5">
        <w:rPr>
          <w:rStyle w:val="FootnoteReference"/>
          <w:szCs w:val="18"/>
        </w:rPr>
        <w:footnoteRef/>
      </w:r>
      <w:r w:rsidRPr="002167E5">
        <w:rPr>
          <w:sz w:val="18"/>
          <w:szCs w:val="18"/>
        </w:rPr>
        <w:t xml:space="preserve"> </w:t>
      </w:r>
      <w:r w:rsidRPr="002167E5">
        <w:rPr>
          <w:sz w:val="18"/>
          <w:szCs w:val="18"/>
          <w:lang w:val="en-US"/>
        </w:rPr>
        <w:t>Discounting AIs 2 and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F37D53">
      <w:rPr>
        <w:rStyle w:val="PageNumber"/>
        <w:noProof/>
      </w:rPr>
      <w:t>2</w:t>
    </w:r>
    <w:r w:rsidR="00D02712">
      <w:rPr>
        <w:rStyle w:val="PageNumber"/>
      </w:rPr>
      <w:fldChar w:fldCharType="end"/>
    </w:r>
    <w:r>
      <w:rPr>
        <w:rStyle w:val="PageNumber"/>
      </w:rPr>
      <w:t xml:space="preserve"> -</w:t>
    </w:r>
  </w:p>
  <w:p w:rsidR="00FA124A" w:rsidRDefault="00D858FD">
    <w:pPr>
      <w:pStyle w:val="Header"/>
      <w:rPr>
        <w:lang w:val="en-US"/>
      </w:rPr>
    </w:pPr>
    <w:r>
      <w:rPr>
        <w:lang w:val="en-US"/>
      </w:rPr>
      <w:t>WRC-19-IRWSP-18/6</w:t>
    </w:r>
    <w:r w:rsidR="00D55F6D">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6DAC"/>
    <w:multiLevelType w:val="hybridMultilevel"/>
    <w:tmpl w:val="C91E3F28"/>
    <w:lvl w:ilvl="0" w:tplc="35B4B926">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A7CFA"/>
    <w:multiLevelType w:val="hybridMultilevel"/>
    <w:tmpl w:val="B3741BD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BA42C5"/>
    <w:multiLevelType w:val="hybridMultilevel"/>
    <w:tmpl w:val="C91E3F28"/>
    <w:lvl w:ilvl="0" w:tplc="35B4B926">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E10170"/>
    <w:multiLevelType w:val="hybridMultilevel"/>
    <w:tmpl w:val="C91E3F28"/>
    <w:lvl w:ilvl="0" w:tplc="35B4B926">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20714"/>
    <w:multiLevelType w:val="hybridMultilevel"/>
    <w:tmpl w:val="C91E3F28"/>
    <w:lvl w:ilvl="0" w:tplc="35B4B926">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B6DC4"/>
    <w:multiLevelType w:val="hybridMultilevel"/>
    <w:tmpl w:val="739A366C"/>
    <w:lvl w:ilvl="0" w:tplc="C0FC29E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AA2CE0"/>
    <w:multiLevelType w:val="hybridMultilevel"/>
    <w:tmpl w:val="931AF1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7AC7900"/>
    <w:multiLevelType w:val="hybridMultilevel"/>
    <w:tmpl w:val="C91E3F28"/>
    <w:lvl w:ilvl="0" w:tplc="35B4B926">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B15C98"/>
    <w:multiLevelType w:val="hybridMultilevel"/>
    <w:tmpl w:val="B3741BD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D3099C"/>
    <w:multiLevelType w:val="hybridMultilevel"/>
    <w:tmpl w:val="C21C27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BD03B5"/>
    <w:multiLevelType w:val="hybridMultilevel"/>
    <w:tmpl w:val="D2B8853C"/>
    <w:lvl w:ilvl="0" w:tplc="35B4B92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4BD17D5"/>
    <w:multiLevelType w:val="hybridMultilevel"/>
    <w:tmpl w:val="DC064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B9F2384"/>
    <w:multiLevelType w:val="hybridMultilevel"/>
    <w:tmpl w:val="5EC2D5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FD307A"/>
    <w:multiLevelType w:val="hybridMultilevel"/>
    <w:tmpl w:val="04CEC2DC"/>
    <w:lvl w:ilvl="0" w:tplc="6346EDB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660A82"/>
    <w:multiLevelType w:val="hybridMultilevel"/>
    <w:tmpl w:val="935248C8"/>
    <w:lvl w:ilvl="0" w:tplc="A45E382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1591E"/>
    <w:multiLevelType w:val="hybridMultilevel"/>
    <w:tmpl w:val="60DC684C"/>
    <w:lvl w:ilvl="0" w:tplc="B0F2BCD4">
      <w:start w:val="1"/>
      <w:numFmt w:val="decimal"/>
      <w:lvlText w:val="%1."/>
      <w:lvlJc w:val="left"/>
      <w:pPr>
        <w:ind w:left="360" w:hanging="360"/>
      </w:pPr>
      <w:rPr>
        <w:rFonts w:ascii="Calibri"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70216AC7"/>
    <w:multiLevelType w:val="hybridMultilevel"/>
    <w:tmpl w:val="1F6A8150"/>
    <w:lvl w:ilvl="0" w:tplc="8E8AD88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C8F5EFB"/>
    <w:multiLevelType w:val="hybridMultilevel"/>
    <w:tmpl w:val="C91E3F28"/>
    <w:lvl w:ilvl="0" w:tplc="35B4B926">
      <w:start w:val="1"/>
      <w:numFmt w:val="decimal"/>
      <w:lvlText w:val="%1."/>
      <w:lvlJc w:val="left"/>
      <w:pPr>
        <w:ind w:left="720" w:hanging="360"/>
      </w:pPr>
      <w:rPr>
        <w:rFonts w:hint="default"/>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52BF4"/>
    <w:multiLevelType w:val="hybridMultilevel"/>
    <w:tmpl w:val="04CEC2DC"/>
    <w:lvl w:ilvl="0" w:tplc="6346EDB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18"/>
  </w:num>
  <w:num w:numId="3">
    <w:abstractNumId w:val="12"/>
  </w:num>
  <w:num w:numId="4">
    <w:abstractNumId w:val="3"/>
  </w:num>
  <w:num w:numId="5">
    <w:abstractNumId w:val="6"/>
  </w:num>
  <w:num w:numId="6">
    <w:abstractNumId w:val="0"/>
  </w:num>
  <w:num w:numId="7">
    <w:abstractNumId w:val="7"/>
  </w:num>
  <w:num w:numId="8">
    <w:abstractNumId w:val="4"/>
  </w:num>
  <w:num w:numId="9">
    <w:abstractNumId w:val="2"/>
  </w:num>
  <w:num w:numId="10">
    <w:abstractNumId w:val="17"/>
  </w:num>
  <w:num w:numId="11">
    <w:abstractNumId w:val="15"/>
  </w:num>
  <w:num w:numId="12">
    <w:abstractNumId w:val="5"/>
  </w:num>
  <w:num w:numId="13">
    <w:abstractNumId w:val="9"/>
  </w:num>
  <w:num w:numId="14">
    <w:abstractNumId w:val="16"/>
  </w:num>
  <w:num w:numId="15">
    <w:abstractNumId w:val="8"/>
  </w:num>
  <w:num w:numId="16">
    <w:abstractNumId w:val="1"/>
  </w:num>
  <w:num w:numId="17">
    <w:abstractNumId w:val="10"/>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6D"/>
    <w:rsid w:val="000069D4"/>
    <w:rsid w:val="000174AD"/>
    <w:rsid w:val="00047A1D"/>
    <w:rsid w:val="000604B9"/>
    <w:rsid w:val="00062C1A"/>
    <w:rsid w:val="000A7D55"/>
    <w:rsid w:val="000C12C8"/>
    <w:rsid w:val="000C2E8E"/>
    <w:rsid w:val="000E0E7C"/>
    <w:rsid w:val="000F1B4B"/>
    <w:rsid w:val="0012744F"/>
    <w:rsid w:val="00131178"/>
    <w:rsid w:val="00156F66"/>
    <w:rsid w:val="00163271"/>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46C5E"/>
    <w:rsid w:val="004B1EF7"/>
    <w:rsid w:val="004B3FAD"/>
    <w:rsid w:val="004C5749"/>
    <w:rsid w:val="00501DCA"/>
    <w:rsid w:val="00506CE8"/>
    <w:rsid w:val="00513A47"/>
    <w:rsid w:val="005408DF"/>
    <w:rsid w:val="00573344"/>
    <w:rsid w:val="00583F9B"/>
    <w:rsid w:val="005B0D29"/>
    <w:rsid w:val="005E5C10"/>
    <w:rsid w:val="005F2C78"/>
    <w:rsid w:val="006144E4"/>
    <w:rsid w:val="00650299"/>
    <w:rsid w:val="00655FC5"/>
    <w:rsid w:val="007570F2"/>
    <w:rsid w:val="00814E0A"/>
    <w:rsid w:val="00822581"/>
    <w:rsid w:val="008309DD"/>
    <w:rsid w:val="0083227A"/>
    <w:rsid w:val="00866900"/>
    <w:rsid w:val="00876A8A"/>
    <w:rsid w:val="00881BA1"/>
    <w:rsid w:val="008C2302"/>
    <w:rsid w:val="008C26B8"/>
    <w:rsid w:val="008F208F"/>
    <w:rsid w:val="00962E4B"/>
    <w:rsid w:val="00982084"/>
    <w:rsid w:val="00995963"/>
    <w:rsid w:val="009B61EB"/>
    <w:rsid w:val="009C2064"/>
    <w:rsid w:val="009D1697"/>
    <w:rsid w:val="009F3A46"/>
    <w:rsid w:val="009F6520"/>
    <w:rsid w:val="00A014F8"/>
    <w:rsid w:val="00A5173C"/>
    <w:rsid w:val="00A61AEF"/>
    <w:rsid w:val="00AD2345"/>
    <w:rsid w:val="00AF173A"/>
    <w:rsid w:val="00B066A4"/>
    <w:rsid w:val="00B07A13"/>
    <w:rsid w:val="00B4279B"/>
    <w:rsid w:val="00B45FC9"/>
    <w:rsid w:val="00B76F35"/>
    <w:rsid w:val="00B81138"/>
    <w:rsid w:val="00BC7CCF"/>
    <w:rsid w:val="00BE470B"/>
    <w:rsid w:val="00BE6409"/>
    <w:rsid w:val="00C57A91"/>
    <w:rsid w:val="00CC01C2"/>
    <w:rsid w:val="00CF21F2"/>
    <w:rsid w:val="00D02712"/>
    <w:rsid w:val="00D046A7"/>
    <w:rsid w:val="00D214D0"/>
    <w:rsid w:val="00D55F6D"/>
    <w:rsid w:val="00D6546B"/>
    <w:rsid w:val="00D858FD"/>
    <w:rsid w:val="00DB178B"/>
    <w:rsid w:val="00DC17D3"/>
    <w:rsid w:val="00DD4BED"/>
    <w:rsid w:val="00DE39F0"/>
    <w:rsid w:val="00DF0AF3"/>
    <w:rsid w:val="00DF7E9F"/>
    <w:rsid w:val="00E27D7E"/>
    <w:rsid w:val="00E42E13"/>
    <w:rsid w:val="00E56D5C"/>
    <w:rsid w:val="00E6257C"/>
    <w:rsid w:val="00E63C59"/>
    <w:rsid w:val="00ED5D81"/>
    <w:rsid w:val="00F25662"/>
    <w:rsid w:val="00F37D53"/>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2508EF2-286E-4E84-91B1-59B6B221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8F208F"/>
    <w:rPr>
      <w:position w:val="6"/>
      <w:sz w:val="18"/>
    </w:rPr>
  </w:style>
  <w:style w:type="paragraph" w:styleId="FootnoteText">
    <w:name w:val="footnote text"/>
    <w:basedOn w:val="Normal"/>
    <w:link w:val="FootnoteTextChar"/>
    <w:uiPriority w:val="99"/>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uiPriority w:val="99"/>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odyTextIndent">
    <w:name w:val="Body Text Indent"/>
    <w:basedOn w:val="Normal"/>
    <w:link w:val="BodyTextIndentChar"/>
    <w:rsid w:val="007570F2"/>
    <w:pPr>
      <w:tabs>
        <w:tab w:val="clear" w:pos="1134"/>
        <w:tab w:val="clear" w:pos="1871"/>
        <w:tab w:val="clear" w:pos="2268"/>
      </w:tabs>
      <w:overflowPunct/>
      <w:autoSpaceDE/>
      <w:autoSpaceDN/>
      <w:adjustRightInd/>
      <w:spacing w:before="0" w:after="120"/>
      <w:ind w:left="283"/>
      <w:textAlignment w:val="auto"/>
    </w:pPr>
    <w:rPr>
      <w:rFonts w:eastAsia="MS Mincho"/>
      <w:sz w:val="20"/>
      <w:lang w:val="x-none" w:eastAsia="en-GB"/>
    </w:rPr>
  </w:style>
  <w:style w:type="character" w:customStyle="1" w:styleId="BodyTextIndentChar">
    <w:name w:val="Body Text Indent Char"/>
    <w:basedOn w:val="DefaultParagraphFont"/>
    <w:link w:val="BodyTextIndent"/>
    <w:rsid w:val="007570F2"/>
    <w:rPr>
      <w:rFonts w:ascii="Times New Roman" w:eastAsia="MS Mincho" w:hAnsi="Times New Roman"/>
      <w:lang w:val="x-none" w:eastAsia="en-GB"/>
    </w:rPr>
  </w:style>
  <w:style w:type="character" w:customStyle="1" w:styleId="Heading2Char">
    <w:name w:val="Heading 2 Char"/>
    <w:link w:val="Heading2"/>
    <w:uiPriority w:val="9"/>
    <w:rsid w:val="007570F2"/>
    <w:rPr>
      <w:rFonts w:ascii="Times New Roman" w:hAnsi="Times New Roman"/>
      <w:b/>
      <w:sz w:val="24"/>
      <w:lang w:val="en-GB" w:eastAsia="en-US"/>
    </w:rPr>
  </w:style>
  <w:style w:type="paragraph" w:styleId="ListParagraph">
    <w:name w:val="List Paragraph"/>
    <w:basedOn w:val="Normal"/>
    <w:link w:val="ListParagraphChar"/>
    <w:uiPriority w:val="34"/>
    <w:qFormat/>
    <w:rsid w:val="007570F2"/>
    <w:pPr>
      <w:tabs>
        <w:tab w:val="clear" w:pos="1134"/>
        <w:tab w:val="clear" w:pos="1871"/>
        <w:tab w:val="clear" w:pos="2268"/>
      </w:tabs>
      <w:suppressAutoHyphens/>
      <w:overflowPunct/>
      <w:autoSpaceDE/>
      <w:autoSpaceDN/>
      <w:adjustRightInd/>
      <w:spacing w:before="0" w:after="200" w:line="276" w:lineRule="auto"/>
      <w:ind w:left="720"/>
      <w:textAlignment w:val="auto"/>
    </w:pPr>
    <w:rPr>
      <w:rFonts w:ascii="Tahoma" w:eastAsia="Calibri" w:hAnsi="Tahoma" w:cs="Tahoma"/>
      <w:color w:val="000000"/>
      <w:kern w:val="1"/>
      <w:szCs w:val="24"/>
      <w:lang w:val="en-US" w:eastAsia="ar-SA"/>
    </w:rPr>
  </w:style>
  <w:style w:type="character" w:customStyle="1" w:styleId="ListParagraphChar">
    <w:name w:val="List Paragraph Char"/>
    <w:link w:val="ListParagraph"/>
    <w:uiPriority w:val="34"/>
    <w:locked/>
    <w:rsid w:val="007570F2"/>
    <w:rPr>
      <w:rFonts w:ascii="Tahoma" w:eastAsia="Calibri" w:hAnsi="Tahoma" w:cs="Tahoma"/>
      <w:color w:val="000000"/>
      <w:kern w:val="1"/>
      <w:sz w:val="24"/>
      <w:szCs w:val="24"/>
      <w:lang w:eastAsia="ar-SA"/>
    </w:rPr>
  </w:style>
  <w:style w:type="paragraph" w:styleId="NoSpacing">
    <w:name w:val="No Spacing"/>
    <w:qFormat/>
    <w:rsid w:val="007570F2"/>
    <w:pPr>
      <w:suppressAutoHyphens/>
    </w:pPr>
    <w:rPr>
      <w:rFonts w:ascii="Calibri" w:eastAsia="Calibri" w:hAnsi="Calibri"/>
      <w:kern w:val="1"/>
      <w:sz w:val="22"/>
      <w:szCs w:val="22"/>
      <w:lang w:val="en-GB" w:eastAsia="ar-SA"/>
    </w:rPr>
  </w:style>
  <w:style w:type="paragraph" w:customStyle="1" w:styleId="apm15-4">
    <w:name w:val="apm15-4"/>
    <w:basedOn w:val="BodyText"/>
    <w:next w:val="Normal"/>
    <w:link w:val="apm15-4Car"/>
    <w:autoRedefine/>
    <w:qFormat/>
    <w:rsid w:val="007570F2"/>
    <w:pPr>
      <w:tabs>
        <w:tab w:val="clear" w:pos="1134"/>
        <w:tab w:val="clear" w:pos="1871"/>
        <w:tab w:val="clear" w:pos="2268"/>
      </w:tabs>
      <w:overflowPunct/>
      <w:autoSpaceDE/>
      <w:autoSpaceDN/>
      <w:adjustRightInd/>
      <w:jc w:val="both"/>
      <w:textAlignment w:val="auto"/>
    </w:pPr>
    <w:rPr>
      <w:rFonts w:ascii="Calibri" w:hAnsi="Calibri"/>
      <w:szCs w:val="24"/>
      <w:lang w:eastAsia="fr-FR"/>
    </w:rPr>
  </w:style>
  <w:style w:type="character" w:customStyle="1" w:styleId="apm15-4Car">
    <w:name w:val="apm15-4 Car"/>
    <w:link w:val="apm15-4"/>
    <w:rsid w:val="007570F2"/>
    <w:rPr>
      <w:rFonts w:ascii="Calibri" w:hAnsi="Calibri"/>
      <w:sz w:val="24"/>
      <w:szCs w:val="24"/>
      <w:lang w:val="en-GB" w:eastAsia="fr-FR"/>
    </w:rPr>
  </w:style>
  <w:style w:type="paragraph" w:styleId="BodyText">
    <w:name w:val="Body Text"/>
    <w:basedOn w:val="Normal"/>
    <w:link w:val="BodyTextChar"/>
    <w:semiHidden/>
    <w:unhideWhenUsed/>
    <w:rsid w:val="007570F2"/>
    <w:pPr>
      <w:spacing w:after="120"/>
    </w:pPr>
  </w:style>
  <w:style w:type="character" w:customStyle="1" w:styleId="BodyTextChar">
    <w:name w:val="Body Text Char"/>
    <w:basedOn w:val="DefaultParagraphFont"/>
    <w:link w:val="BodyText"/>
    <w:semiHidden/>
    <w:rsid w:val="007570F2"/>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7C09-2B33-4DF6-8C6C-58E5D841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11</TotalTime>
  <Pages>11</Pages>
  <Words>3658</Words>
  <Characters>19496</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Huguet, Fabienne</dc:creator>
  <cp:lastModifiedBy>Huguet, Fabienne</cp:lastModifiedBy>
  <cp:revision>4</cp:revision>
  <cp:lastPrinted>2008-02-21T14:04:00Z</cp:lastPrinted>
  <dcterms:created xsi:type="dcterms:W3CDTF">2018-11-12T10:29:00Z</dcterms:created>
  <dcterms:modified xsi:type="dcterms:W3CDTF">2018-11-12T11:00:00Z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