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3C55DB" w:rsidTr="001927B4">
        <w:trPr>
          <w:cantSplit/>
        </w:trPr>
        <w:tc>
          <w:tcPr>
            <w:tcW w:w="6487" w:type="dxa"/>
          </w:tcPr>
          <w:p w:rsidR="003C55DB" w:rsidRPr="0051782D" w:rsidRDefault="003C55DB" w:rsidP="003C55DB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bookmarkStart w:id="0" w:name="_GoBack"/>
            <w:bookmarkEnd w:id="0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24-27 June 2014</w:t>
            </w:r>
          </w:p>
        </w:tc>
        <w:tc>
          <w:tcPr>
            <w:tcW w:w="3402" w:type="dxa"/>
          </w:tcPr>
          <w:p w:rsidR="003C55DB" w:rsidRDefault="003C55DB" w:rsidP="003C55DB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5DB" w:rsidRPr="0051782D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3C55DB" w:rsidRPr="0051782D" w:rsidRDefault="003C55DB" w:rsidP="003C55D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3C55DB" w:rsidRPr="0051782D" w:rsidRDefault="003C55DB" w:rsidP="003C55DB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C55DB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3C55DB" w:rsidRPr="0051782D" w:rsidRDefault="003C55DB" w:rsidP="003C55D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C55DB" w:rsidRPr="00710D66" w:rsidRDefault="003C55DB" w:rsidP="003C55DB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3C55DB" w:rsidRPr="00A57D5B" w:rsidTr="00B35BE4">
        <w:trPr>
          <w:cantSplit/>
        </w:trPr>
        <w:tc>
          <w:tcPr>
            <w:tcW w:w="6487" w:type="dxa"/>
            <w:vMerge w:val="restart"/>
          </w:tcPr>
          <w:p w:rsidR="003C55DB" w:rsidRDefault="003C55DB" w:rsidP="003C55DB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402" w:type="dxa"/>
          </w:tcPr>
          <w:p w:rsidR="003C55DB" w:rsidRPr="00A57D5B" w:rsidRDefault="003C55DB" w:rsidP="0001009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</w:rPr>
              <w:t>Document RAG14-1/</w:t>
            </w:r>
            <w:r w:rsidR="0001009D">
              <w:rPr>
                <w:rFonts w:ascii="Verdana" w:hAnsi="Verdana"/>
                <w:b/>
                <w:sz w:val="20"/>
              </w:rPr>
              <w:t>20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3C55DB" w:rsidTr="00B35BE4">
        <w:trPr>
          <w:cantSplit/>
        </w:trPr>
        <w:tc>
          <w:tcPr>
            <w:tcW w:w="6487" w:type="dxa"/>
            <w:vMerge/>
          </w:tcPr>
          <w:p w:rsidR="003C55DB" w:rsidRPr="00A57D5B" w:rsidRDefault="003C55DB" w:rsidP="003C55DB">
            <w:pPr>
              <w:spacing w:before="60"/>
              <w:jc w:val="center"/>
              <w:rPr>
                <w:b/>
                <w:smallCaps/>
                <w:sz w:val="32"/>
                <w:lang w:val="en-US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</w:tcPr>
          <w:p w:rsidR="003C55DB" w:rsidRPr="005E5CF7" w:rsidRDefault="0001009D" w:rsidP="003C55D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17 </w:t>
            </w:r>
            <w:r w:rsidR="003C55DB">
              <w:rPr>
                <w:rFonts w:ascii="Verdana" w:hAnsi="Verdana"/>
                <w:b/>
                <w:sz w:val="20"/>
              </w:rPr>
              <w:t>June 2014</w:t>
            </w:r>
          </w:p>
        </w:tc>
      </w:tr>
      <w:tr w:rsidR="003C55DB" w:rsidTr="00B35BE4">
        <w:trPr>
          <w:cantSplit/>
        </w:trPr>
        <w:tc>
          <w:tcPr>
            <w:tcW w:w="6487" w:type="dxa"/>
            <w:vMerge/>
          </w:tcPr>
          <w:p w:rsidR="003C55DB" w:rsidRDefault="003C55DB" w:rsidP="003C55DB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</w:tcPr>
          <w:p w:rsidR="003C55DB" w:rsidRPr="005E5CF7" w:rsidRDefault="003C55DB" w:rsidP="003C55DB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</w:t>
            </w:r>
            <w:r w:rsidR="0001009D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  <w:tr w:rsidR="003C55DB" w:rsidTr="00B35BE4">
        <w:trPr>
          <w:cantSplit/>
        </w:trPr>
        <w:tc>
          <w:tcPr>
            <w:tcW w:w="9889" w:type="dxa"/>
            <w:gridSpan w:val="2"/>
          </w:tcPr>
          <w:p w:rsidR="003C55DB" w:rsidRDefault="003C55DB" w:rsidP="003C55DB">
            <w:pPr>
              <w:pStyle w:val="Source"/>
            </w:pPr>
            <w:bookmarkStart w:id="4" w:name="dsource" w:colFirst="0" w:colLast="0"/>
            <w:bookmarkEnd w:id="3"/>
            <w:r>
              <w:rPr>
                <w:lang w:eastAsia="zh-CN"/>
              </w:rPr>
              <w:t xml:space="preserve">Chairman, </w:t>
            </w:r>
            <w:r>
              <w:rPr>
                <w:rFonts w:hint="eastAsia"/>
                <w:lang w:eastAsia="ja-JP"/>
              </w:rPr>
              <w:t>Study Group</w:t>
            </w:r>
            <w:r w:rsidRPr="0000257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1</w:t>
            </w:r>
          </w:p>
        </w:tc>
      </w:tr>
      <w:tr w:rsidR="003C55DB" w:rsidTr="00B35BE4">
        <w:trPr>
          <w:cantSplit/>
        </w:trPr>
        <w:tc>
          <w:tcPr>
            <w:tcW w:w="9889" w:type="dxa"/>
            <w:gridSpan w:val="2"/>
          </w:tcPr>
          <w:p w:rsidR="003C55DB" w:rsidRDefault="003C55DB" w:rsidP="003C55DB">
            <w:pPr>
              <w:pStyle w:val="Title1"/>
            </w:pPr>
            <w:bookmarkStart w:id="5" w:name="dtitle1" w:colFirst="0" w:colLast="0"/>
            <w:bookmarkEnd w:id="4"/>
            <w:r>
              <w:rPr>
                <w:lang w:eastAsia="ja-JP"/>
              </w:rPr>
              <w:t xml:space="preserve">Updated </w:t>
            </w:r>
            <w:r>
              <w:rPr>
                <w:rFonts w:hint="eastAsia"/>
                <w:lang w:eastAsia="ja-JP"/>
              </w:rPr>
              <w:t>Summary</w:t>
            </w:r>
            <w:r>
              <w:rPr>
                <w:lang w:eastAsia="zh-CN"/>
              </w:rPr>
              <w:t xml:space="preserve"> o</w:t>
            </w:r>
            <w:r>
              <w:rPr>
                <w:rFonts w:hint="eastAsia"/>
                <w:lang w:eastAsia="ja-JP"/>
              </w:rPr>
              <w:t>F</w:t>
            </w:r>
            <w:r>
              <w:rPr>
                <w:lang w:eastAsia="zh-CN"/>
              </w:rPr>
              <w:t xml:space="preserve"> the </w:t>
            </w:r>
            <w:r>
              <w:rPr>
                <w:rFonts w:hint="eastAsia"/>
                <w:lang w:eastAsia="ja-JP"/>
              </w:rPr>
              <w:t xml:space="preserve">Progress oF the </w:t>
            </w:r>
            <w:r>
              <w:rPr>
                <w:lang w:eastAsia="ja-JP"/>
              </w:rPr>
              <w:t xml:space="preserve">ITu-R Study Group 1 </w:t>
            </w:r>
            <w:r>
              <w:rPr>
                <w:rFonts w:hint="eastAsia"/>
                <w:lang w:eastAsia="ja-JP"/>
              </w:rPr>
              <w:t xml:space="preserve">Studies iN </w:t>
            </w:r>
            <w:r>
              <w:rPr>
                <w:lang w:eastAsia="ja-JP"/>
              </w:rPr>
              <w:t xml:space="preserve">response to the relevant </w:t>
            </w:r>
            <w:r>
              <w:rPr>
                <w:rFonts w:hint="eastAsia"/>
                <w:lang w:eastAsia="ja-JP"/>
              </w:rPr>
              <w:t>ITU-R Resolutions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>(For information)</w:t>
            </w:r>
          </w:p>
        </w:tc>
      </w:tr>
    </w:tbl>
    <w:bookmarkEnd w:id="5"/>
    <w:p w:rsidR="00723DB5" w:rsidRDefault="00723DB5" w:rsidP="00977C69">
      <w:pPr>
        <w:pStyle w:val="Normalaftertitle"/>
        <w:rPr>
          <w:lang w:eastAsia="ja-JP"/>
        </w:rPr>
      </w:pPr>
      <w:r>
        <w:rPr>
          <w:rFonts w:hint="eastAsia"/>
          <w:lang w:eastAsia="ja-JP"/>
        </w:rPr>
        <w:t>In reply to the RAG</w:t>
      </w:r>
      <w:r>
        <w:rPr>
          <w:lang w:eastAsia="ja-JP"/>
        </w:rPr>
        <w:t>’</w:t>
      </w:r>
      <w:r>
        <w:rPr>
          <w:rFonts w:hint="eastAsia"/>
          <w:lang w:eastAsia="ja-JP"/>
        </w:rPr>
        <w:t>s request at its June 2012 meeting</w:t>
      </w:r>
      <w:r w:rsidR="006C09CD" w:rsidRPr="006C09CD">
        <w:rPr>
          <w:lang w:eastAsia="ja-JP"/>
        </w:rPr>
        <w:t xml:space="preserve"> </w:t>
      </w:r>
      <w:r w:rsidR="006C09CD">
        <w:rPr>
          <w:lang w:eastAsia="ja-JP"/>
        </w:rPr>
        <w:t>and further to the information presented at the May 2013 meeting of the RAG</w:t>
      </w:r>
      <w:r>
        <w:rPr>
          <w:rFonts w:hint="eastAsia"/>
          <w:lang w:eastAsia="ja-JP"/>
        </w:rPr>
        <w:t xml:space="preserve">, this document provides </w:t>
      </w:r>
      <w:r w:rsidR="00F7439D">
        <w:rPr>
          <w:lang w:eastAsia="ja-JP"/>
        </w:rPr>
        <w:t>an update</w:t>
      </w:r>
      <w:r w:rsidR="006C09CD">
        <w:rPr>
          <w:lang w:eastAsia="ja-JP"/>
        </w:rPr>
        <w:t xml:space="preserve"> on the </w:t>
      </w:r>
      <w:r>
        <w:rPr>
          <w:rFonts w:hint="eastAsia"/>
          <w:lang w:eastAsia="ja-JP"/>
        </w:rPr>
        <w:t xml:space="preserve">progress of </w:t>
      </w:r>
      <w:r w:rsidRPr="005A2125">
        <w:rPr>
          <w:rFonts w:asciiTheme="majorBidi" w:hAnsiTheme="majorBidi" w:cstheme="majorBidi"/>
          <w:szCs w:val="24"/>
        </w:rPr>
        <w:t xml:space="preserve">the </w:t>
      </w:r>
      <w:r>
        <w:rPr>
          <w:lang w:eastAsia="ja-JP"/>
        </w:rPr>
        <w:t>ITU</w:t>
      </w:r>
      <w:r>
        <w:rPr>
          <w:lang w:eastAsia="ja-JP"/>
        </w:rPr>
        <w:noBreakHyphen/>
        <w:t xml:space="preserve">R Study Group 1 </w:t>
      </w:r>
      <w:r w:rsidR="00977C69">
        <w:rPr>
          <w:lang w:eastAsia="ja-JP"/>
        </w:rPr>
        <w:t>s</w:t>
      </w:r>
      <w:r>
        <w:rPr>
          <w:rFonts w:hint="eastAsia"/>
          <w:lang w:eastAsia="ja-JP"/>
        </w:rPr>
        <w:t xml:space="preserve">tudies </w:t>
      </w:r>
      <w:r>
        <w:rPr>
          <w:lang w:eastAsia="ja-JP"/>
        </w:rPr>
        <w:t xml:space="preserve">in response to </w:t>
      </w:r>
      <w:r>
        <w:rPr>
          <w:rFonts w:hint="eastAsia"/>
          <w:lang w:eastAsia="ja-JP"/>
        </w:rPr>
        <w:t xml:space="preserve">the </w:t>
      </w:r>
      <w:r>
        <w:rPr>
          <w:lang w:eastAsia="ja-JP"/>
        </w:rPr>
        <w:t xml:space="preserve">relevant </w:t>
      </w:r>
      <w:r>
        <w:rPr>
          <w:rFonts w:hint="eastAsia"/>
          <w:lang w:eastAsia="ja-JP"/>
        </w:rPr>
        <w:t>ITU-R Resolutions.</w:t>
      </w:r>
    </w:p>
    <w:p w:rsidR="00723DB5" w:rsidRDefault="00723DB5">
      <w:r>
        <w:rPr>
          <w:lang w:eastAsia="ja-JP"/>
        </w:rPr>
        <w:t xml:space="preserve">Noting that </w:t>
      </w:r>
      <w:r w:rsidR="00B23C1D">
        <w:rPr>
          <w:lang w:eastAsia="ja-JP"/>
        </w:rPr>
        <w:t xml:space="preserve">two </w:t>
      </w:r>
      <w:r>
        <w:rPr>
          <w:lang w:eastAsia="ja-JP"/>
        </w:rPr>
        <w:t xml:space="preserve">meetings of </w:t>
      </w:r>
      <w:r>
        <w:rPr>
          <w:rFonts w:hint="eastAsia"/>
          <w:lang w:eastAsia="ja-JP"/>
        </w:rPr>
        <w:t xml:space="preserve">Study Group </w:t>
      </w:r>
      <w:r>
        <w:rPr>
          <w:lang w:eastAsia="ja-JP"/>
        </w:rPr>
        <w:t xml:space="preserve">1 (SG 1) and </w:t>
      </w:r>
      <w:r w:rsidR="00B23C1D">
        <w:rPr>
          <w:lang w:eastAsia="ja-JP"/>
        </w:rPr>
        <w:t xml:space="preserve">several meetings of </w:t>
      </w:r>
      <w:r>
        <w:rPr>
          <w:lang w:eastAsia="ja-JP"/>
        </w:rPr>
        <w:t xml:space="preserve">its working parties were held since the last RAG meeting, </w:t>
      </w:r>
      <w:r>
        <w:rPr>
          <w:rFonts w:hint="eastAsia"/>
          <w:lang w:eastAsia="ja-JP"/>
        </w:rPr>
        <w:t xml:space="preserve">Attachment 1 summarizes the status of the studies </w:t>
      </w:r>
      <w:r>
        <w:rPr>
          <w:lang w:eastAsia="ja-JP"/>
        </w:rPr>
        <w:t xml:space="preserve">and </w:t>
      </w:r>
      <w:r>
        <w:rPr>
          <w:rFonts w:hint="eastAsia"/>
          <w:lang w:eastAsia="ja-JP"/>
        </w:rPr>
        <w:t xml:space="preserve">provisional outputs </w:t>
      </w:r>
      <w:r w:rsidRPr="005F65CC">
        <w:rPr>
          <w:rFonts w:asciiTheme="majorBidi" w:hAnsiTheme="majorBidi" w:cstheme="majorBidi"/>
          <w:szCs w:val="24"/>
        </w:rPr>
        <w:t xml:space="preserve">in response to the </w:t>
      </w:r>
      <w:r>
        <w:rPr>
          <w:rFonts w:asciiTheme="majorBidi" w:hAnsiTheme="majorBidi" w:cstheme="majorBidi" w:hint="eastAsia"/>
          <w:szCs w:val="24"/>
          <w:lang w:eastAsia="ja-JP"/>
        </w:rPr>
        <w:t xml:space="preserve">ITU-R </w:t>
      </w:r>
      <w:r w:rsidRPr="005F65CC">
        <w:rPr>
          <w:rFonts w:asciiTheme="majorBidi" w:hAnsiTheme="majorBidi" w:cstheme="majorBidi"/>
          <w:szCs w:val="24"/>
        </w:rPr>
        <w:t>Resolutions</w:t>
      </w:r>
      <w:r w:rsidRPr="005F65CC">
        <w:rPr>
          <w:rFonts w:hint="eastAsia"/>
          <w:lang w:eastAsia="ja-JP"/>
        </w:rPr>
        <w:t xml:space="preserve"> </w:t>
      </w:r>
      <w:r>
        <w:t xml:space="preserve">assigned or </w:t>
      </w:r>
      <w:r w:rsidRPr="0064624C">
        <w:t xml:space="preserve">of specific interest </w:t>
      </w:r>
      <w:r>
        <w:rPr>
          <w:rFonts w:hint="eastAsia"/>
          <w:lang w:eastAsia="ja-JP"/>
        </w:rPr>
        <w:t xml:space="preserve">to Study Group </w:t>
      </w:r>
      <w:r>
        <w:rPr>
          <w:lang w:eastAsia="ja-JP"/>
        </w:rPr>
        <w:t xml:space="preserve">1 (see Attachment 6 to Document </w:t>
      </w:r>
      <w:hyperlink r:id="rId10" w:history="1">
        <w:r w:rsidRPr="0018260E">
          <w:rPr>
            <w:rStyle w:val="Hyperlink"/>
            <w:lang w:eastAsia="ja-JP"/>
          </w:rPr>
          <w:t>1/2</w:t>
        </w:r>
        <w:r w:rsidR="00B23C1D" w:rsidRPr="0018260E">
          <w:rPr>
            <w:rStyle w:val="Hyperlink"/>
            <w:lang w:eastAsia="ja-JP"/>
          </w:rPr>
          <w:t xml:space="preserve"> (Rev.2)</w:t>
        </w:r>
      </w:hyperlink>
      <w:r>
        <w:rPr>
          <w:lang w:eastAsia="ja-JP"/>
        </w:rPr>
        <w:t>)</w:t>
      </w:r>
      <w:r>
        <w:rPr>
          <w:rFonts w:hint="eastAsia"/>
          <w:lang w:eastAsia="ja-JP"/>
        </w:rPr>
        <w:t>.</w:t>
      </w:r>
    </w:p>
    <w:p w:rsidR="00723DB5" w:rsidRPr="003C4080" w:rsidRDefault="00723DB5" w:rsidP="00977C69">
      <w:pPr>
        <w:rPr>
          <w:bCs/>
          <w:lang w:eastAsia="ja-JP"/>
        </w:rPr>
      </w:pPr>
      <w:r w:rsidRPr="003C4080">
        <w:rPr>
          <w:rFonts w:hint="eastAsia"/>
          <w:bCs/>
          <w:lang w:eastAsia="ja-JP"/>
        </w:rPr>
        <w:t>Th</w:t>
      </w:r>
      <w:r>
        <w:rPr>
          <w:rFonts w:hint="eastAsia"/>
          <w:bCs/>
          <w:lang w:eastAsia="ja-JP"/>
        </w:rPr>
        <w:t>is</w:t>
      </w:r>
      <w:r w:rsidRPr="003C4080">
        <w:rPr>
          <w:rFonts w:hint="eastAsia"/>
          <w:bCs/>
          <w:lang w:eastAsia="ja-JP"/>
        </w:rPr>
        <w:t xml:space="preserve"> information </w:t>
      </w:r>
      <w:r>
        <w:rPr>
          <w:rFonts w:hint="eastAsia"/>
          <w:bCs/>
          <w:lang w:eastAsia="ja-JP"/>
        </w:rPr>
        <w:t xml:space="preserve">has been conveyed to the Radiocommunication Bureau so that it </w:t>
      </w:r>
      <w:r w:rsidR="00977C69">
        <w:rPr>
          <w:bCs/>
          <w:lang w:eastAsia="ja-JP"/>
        </w:rPr>
        <w:t>can</w:t>
      </w:r>
      <w:r>
        <w:rPr>
          <w:rFonts w:hint="eastAsia"/>
          <w:bCs/>
          <w:lang w:eastAsia="ja-JP"/>
        </w:rPr>
        <w:t xml:space="preserve"> compile a list of the Study Group activities on the ITU-R Resolutions to be reported to the next RAG.</w:t>
      </w:r>
    </w:p>
    <w:p w:rsidR="00633B0E" w:rsidRDefault="003C55DB">
      <w:pPr>
        <w:rPr>
          <w:bCs/>
          <w:lang w:eastAsia="ja-JP"/>
        </w:rPr>
      </w:pPr>
      <w:r w:rsidRPr="00A10350">
        <w:rPr>
          <w:bCs/>
          <w:lang w:eastAsia="ja-JP"/>
        </w:rPr>
        <w:t xml:space="preserve">It should be noted that with respect to the studies on Resolution ITU-R 58, Working Party 1B has received a number of liaison statements from working parties of other study groups showing a possible lack of coordination between </w:t>
      </w:r>
      <w:r w:rsidRPr="004C0AAD">
        <w:rPr>
          <w:bCs/>
          <w:lang w:eastAsia="ja-JP"/>
        </w:rPr>
        <w:t xml:space="preserve">the working parties </w:t>
      </w:r>
      <w:r w:rsidR="00FC4D9A" w:rsidRPr="004C0AAD">
        <w:rPr>
          <w:bCs/>
          <w:lang w:eastAsia="ja-JP"/>
        </w:rPr>
        <w:t xml:space="preserve">of different study groups </w:t>
      </w:r>
      <w:r w:rsidRPr="004C0AAD">
        <w:rPr>
          <w:bCs/>
          <w:lang w:eastAsia="ja-JP"/>
        </w:rPr>
        <w:t xml:space="preserve">on the studies undertaken in response to this resolution. To improve this situation, coordination </w:t>
      </w:r>
      <w:r w:rsidR="00FC4D9A" w:rsidRPr="004C0AAD">
        <w:rPr>
          <w:bCs/>
          <w:lang w:eastAsia="ja-JP"/>
        </w:rPr>
        <w:t xml:space="preserve">between working parties with regard to the studies </w:t>
      </w:r>
      <w:r w:rsidR="004A3214" w:rsidRPr="004C0AAD">
        <w:rPr>
          <w:bCs/>
          <w:lang w:eastAsia="ja-JP"/>
        </w:rPr>
        <w:t>and</w:t>
      </w:r>
      <w:r w:rsidR="00FC4D9A" w:rsidRPr="004C0AAD">
        <w:rPr>
          <w:bCs/>
          <w:lang w:eastAsia="ja-JP"/>
        </w:rPr>
        <w:t xml:space="preserve"> deliverables in </w:t>
      </w:r>
      <w:r w:rsidR="007D4762" w:rsidRPr="004C0AAD">
        <w:rPr>
          <w:bCs/>
          <w:lang w:eastAsia="ja-JP"/>
        </w:rPr>
        <w:t>response</w:t>
      </w:r>
      <w:r w:rsidR="00FC4D9A" w:rsidRPr="004C0AAD">
        <w:rPr>
          <w:bCs/>
          <w:lang w:eastAsia="ja-JP"/>
        </w:rPr>
        <w:t xml:space="preserve"> to </w:t>
      </w:r>
      <w:r w:rsidR="005F29E4" w:rsidRPr="004C0AAD">
        <w:rPr>
          <w:bCs/>
          <w:lang w:eastAsia="ja-JP"/>
        </w:rPr>
        <w:t xml:space="preserve">relevant </w:t>
      </w:r>
      <w:r w:rsidR="00FC4D9A" w:rsidRPr="004C0AAD">
        <w:rPr>
          <w:bCs/>
          <w:lang w:eastAsia="ja-JP"/>
        </w:rPr>
        <w:t xml:space="preserve">RA </w:t>
      </w:r>
      <w:r w:rsidR="007D4762" w:rsidRPr="004C0AAD">
        <w:rPr>
          <w:bCs/>
          <w:lang w:eastAsia="ja-JP"/>
        </w:rPr>
        <w:t>r</w:t>
      </w:r>
      <w:r w:rsidR="00FC4D9A" w:rsidRPr="004C0AAD">
        <w:rPr>
          <w:bCs/>
          <w:lang w:eastAsia="ja-JP"/>
        </w:rPr>
        <w:t xml:space="preserve">esolutions </w:t>
      </w:r>
      <w:r w:rsidRPr="004C0AAD">
        <w:rPr>
          <w:bCs/>
          <w:lang w:eastAsia="ja-JP"/>
        </w:rPr>
        <w:t>may be considered</w:t>
      </w:r>
      <w:r w:rsidR="005F29E4" w:rsidRPr="004C0AAD">
        <w:rPr>
          <w:bCs/>
          <w:lang w:eastAsia="ja-JP"/>
        </w:rPr>
        <w:t xml:space="preserve"> after their approval at RA-15</w:t>
      </w:r>
      <w:r w:rsidRPr="004C0AAD">
        <w:rPr>
          <w:bCs/>
          <w:lang w:eastAsia="ja-JP"/>
        </w:rPr>
        <w:t xml:space="preserve">, following the example of the CPM process with respect to the allocation of the work to responsible </w:t>
      </w:r>
      <w:r w:rsidR="005F29E4" w:rsidRPr="004C0AAD">
        <w:rPr>
          <w:bCs/>
          <w:lang w:eastAsia="ja-JP"/>
        </w:rPr>
        <w:t xml:space="preserve">groups </w:t>
      </w:r>
      <w:r w:rsidRPr="004C0AAD">
        <w:rPr>
          <w:bCs/>
          <w:lang w:eastAsia="ja-JP"/>
        </w:rPr>
        <w:t>for relevant WRC resolutions.</w:t>
      </w:r>
    </w:p>
    <w:p w:rsidR="00977C69" w:rsidRDefault="00977C69" w:rsidP="00723DB5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977C69" w:rsidRDefault="00977C69" w:rsidP="00723DB5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977C69" w:rsidRDefault="00977C69" w:rsidP="00723DB5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977C69" w:rsidRDefault="00977C69" w:rsidP="00723DB5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723DB5" w:rsidRPr="00927EB2" w:rsidRDefault="00723DB5" w:rsidP="00723DB5">
      <w:pPr>
        <w:rPr>
          <w:lang w:eastAsia="ja-JP"/>
        </w:rPr>
      </w:pPr>
      <w:r>
        <w:rPr>
          <w:b/>
          <w:bCs/>
          <w:lang w:eastAsia="ja-JP"/>
        </w:rPr>
        <w:t>Attachment:</w:t>
      </w:r>
      <w:r>
        <w:rPr>
          <w:lang w:eastAsia="ja-JP"/>
        </w:rPr>
        <w:t xml:space="preserve"> 1</w:t>
      </w:r>
    </w:p>
    <w:p w:rsidR="00723DB5" w:rsidRDefault="00723DB5" w:rsidP="00723DB5">
      <w:pPr>
        <w:rPr>
          <w:lang w:eastAsia="ja-JP"/>
        </w:rPr>
      </w:pPr>
    </w:p>
    <w:p w:rsidR="00977C69" w:rsidRDefault="00977C69" w:rsidP="00723DB5">
      <w:pPr>
        <w:pStyle w:val="AppendixNo"/>
        <w:spacing w:before="120"/>
        <w:rPr>
          <w:lang w:eastAsia="ja-JP"/>
        </w:rPr>
        <w:sectPr w:rsidR="00977C69" w:rsidSect="00817846">
          <w:headerReference w:type="default" r:id="rId11"/>
          <w:footerReference w:type="default" r:id="rId12"/>
          <w:footerReference w:type="first" r:id="rId13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723DB5" w:rsidRPr="00806F95" w:rsidRDefault="00723DB5" w:rsidP="00723DB5">
      <w:pPr>
        <w:pStyle w:val="AppendixNo"/>
        <w:spacing w:before="120"/>
        <w:rPr>
          <w:lang w:eastAsia="ja-JP"/>
        </w:rPr>
      </w:pPr>
      <w:r w:rsidRPr="00806F95">
        <w:rPr>
          <w:rFonts w:hint="eastAsia"/>
          <w:lang w:eastAsia="ja-JP"/>
        </w:rPr>
        <w:lastRenderedPageBreak/>
        <w:t>Attachment 1</w:t>
      </w:r>
    </w:p>
    <w:p w:rsidR="00723DB5" w:rsidRDefault="00723DB5" w:rsidP="00723DB5">
      <w:pPr>
        <w:pStyle w:val="Appendixtitle"/>
        <w:rPr>
          <w:lang w:eastAsia="ja-JP"/>
        </w:rPr>
      </w:pPr>
      <w:r w:rsidRPr="0053054D">
        <w:rPr>
          <w:rFonts w:hint="eastAsia"/>
          <w:lang w:eastAsia="ja-JP"/>
        </w:rPr>
        <w:t>Summary</w:t>
      </w:r>
      <w:r w:rsidRPr="0053054D">
        <w:rPr>
          <w:lang w:eastAsia="zh-CN"/>
        </w:rPr>
        <w:t xml:space="preserve"> </w:t>
      </w:r>
      <w:r w:rsidRPr="0053054D">
        <w:rPr>
          <w:rFonts w:hint="eastAsia"/>
          <w:lang w:eastAsia="ja-JP"/>
        </w:rPr>
        <w:t>of</w:t>
      </w:r>
      <w:r w:rsidRPr="0053054D">
        <w:rPr>
          <w:lang w:eastAsia="zh-CN"/>
        </w:rPr>
        <w:t xml:space="preserve"> the </w:t>
      </w:r>
      <w:r w:rsidRPr="0053054D">
        <w:rPr>
          <w:rFonts w:hint="eastAsia"/>
          <w:lang w:eastAsia="ja-JP"/>
        </w:rPr>
        <w:t>progress of the studies requested in the</w:t>
      </w:r>
      <w:r w:rsidRPr="0053054D">
        <w:t xml:space="preserve"> ITU-R Resolutions </w:t>
      </w:r>
      <w:r w:rsidRPr="0053054D">
        <w:rPr>
          <w:rFonts w:hint="eastAsia"/>
          <w:lang w:eastAsia="ja-JP"/>
        </w:rPr>
        <w:t>relevant to</w:t>
      </w:r>
      <w:r w:rsidRPr="0053054D">
        <w:t xml:space="preserve"> Study</w:t>
      </w:r>
      <w:r w:rsidRPr="0053054D">
        <w:rPr>
          <w:rFonts w:hint="eastAsia"/>
          <w:lang w:eastAsia="ja-JP"/>
        </w:rPr>
        <w:t xml:space="preserve"> Group </w:t>
      </w:r>
      <w:r>
        <w:rPr>
          <w:lang w:eastAsia="ja-JP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5529"/>
        <w:gridCol w:w="1773"/>
      </w:tblGrid>
      <w:tr w:rsidR="00955BAD" w:rsidTr="00817846">
        <w:trPr>
          <w:tblHeader/>
        </w:trPr>
        <w:tc>
          <w:tcPr>
            <w:tcW w:w="1951" w:type="dxa"/>
            <w:shd w:val="clear" w:color="auto" w:fill="EEECE1" w:themeFill="background2"/>
            <w:vAlign w:val="center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b/>
                <w:bCs/>
                <w:lang w:eastAsia="ja-JP"/>
              </w:rPr>
            </w:pPr>
            <w:r w:rsidRPr="00976BD2">
              <w:rPr>
                <w:rFonts w:hint="eastAsia"/>
                <w:b/>
                <w:bCs/>
                <w:lang w:eastAsia="ja-JP"/>
              </w:rPr>
              <w:t>Resolution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955BAD" w:rsidRPr="00976BD2" w:rsidRDefault="00955BAD" w:rsidP="00F167E2">
            <w:pPr>
              <w:pStyle w:val="Tabletext"/>
              <w:spacing w:before="2"/>
              <w:jc w:val="center"/>
              <w:rPr>
                <w:b/>
                <w:bCs/>
              </w:rPr>
            </w:pPr>
            <w:r w:rsidRPr="00976BD2">
              <w:rPr>
                <w:b/>
                <w:bCs/>
              </w:rPr>
              <w:t>Title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b/>
                <w:bCs/>
                <w:lang w:eastAsia="ja-JP"/>
              </w:rPr>
            </w:pPr>
            <w:r w:rsidRPr="00976BD2">
              <w:rPr>
                <w:rFonts w:hint="eastAsia"/>
                <w:b/>
                <w:bCs/>
                <w:lang w:eastAsia="ja-JP"/>
              </w:rPr>
              <w:t>WP</w:t>
            </w:r>
          </w:p>
        </w:tc>
        <w:tc>
          <w:tcPr>
            <w:tcW w:w="5529" w:type="dxa"/>
            <w:shd w:val="clear" w:color="auto" w:fill="EEECE1" w:themeFill="background2"/>
            <w:vAlign w:val="center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b/>
                <w:bCs/>
              </w:rPr>
            </w:pPr>
            <w:r w:rsidRPr="00976BD2">
              <w:rPr>
                <w:b/>
                <w:bCs/>
              </w:rPr>
              <w:t xml:space="preserve">Status of </w:t>
            </w:r>
            <w:r>
              <w:rPr>
                <w:b/>
                <w:bCs/>
              </w:rPr>
              <w:t>s</w:t>
            </w:r>
            <w:r w:rsidRPr="00976BD2">
              <w:rPr>
                <w:b/>
                <w:bCs/>
              </w:rPr>
              <w:t>tudies</w:t>
            </w:r>
          </w:p>
        </w:tc>
        <w:tc>
          <w:tcPr>
            <w:tcW w:w="1773" w:type="dxa"/>
            <w:shd w:val="clear" w:color="auto" w:fill="EEECE1" w:themeFill="background2"/>
            <w:vAlign w:val="center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b/>
                <w:bCs/>
                <w:lang w:eastAsia="ja-JP"/>
              </w:rPr>
            </w:pPr>
            <w:r w:rsidRPr="00976BD2">
              <w:rPr>
                <w:rFonts w:hint="eastAsia"/>
                <w:b/>
                <w:bCs/>
                <w:lang w:eastAsia="ja-JP"/>
              </w:rPr>
              <w:t>Provisional output</w:t>
            </w:r>
          </w:p>
        </w:tc>
      </w:tr>
      <w:tr w:rsidR="00955BAD" w:rsidTr="00817846">
        <w:tc>
          <w:tcPr>
            <w:tcW w:w="1951" w:type="dxa"/>
          </w:tcPr>
          <w:p w:rsidR="00955BAD" w:rsidRPr="00976BD2" w:rsidRDefault="00955BAD" w:rsidP="00676ACE">
            <w:pPr>
              <w:pStyle w:val="Tabletext"/>
              <w:spacing w:before="2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Resolution </w:t>
            </w:r>
            <w:r w:rsidRPr="00976BD2">
              <w:rPr>
                <w:sz w:val="20"/>
                <w:lang w:eastAsia="ja-JP"/>
              </w:rPr>
              <w:t>11</w:t>
            </w:r>
            <w:r w:rsidRPr="00976BD2">
              <w:rPr>
                <w:rFonts w:hint="eastAsia"/>
                <w:sz w:val="20"/>
                <w:lang w:eastAsia="ja-JP"/>
              </w:rPr>
              <w:t>-</w:t>
            </w:r>
            <w:r w:rsidRPr="00976BD2">
              <w:rPr>
                <w:sz w:val="20"/>
                <w:lang w:eastAsia="ja-JP"/>
              </w:rPr>
              <w:t>4</w:t>
            </w:r>
          </w:p>
        </w:tc>
        <w:tc>
          <w:tcPr>
            <w:tcW w:w="3402" w:type="dxa"/>
          </w:tcPr>
          <w:p w:rsidR="00955BAD" w:rsidRPr="00976BD2" w:rsidRDefault="00955BAD" w:rsidP="00F167E2">
            <w:pPr>
              <w:pStyle w:val="Tabletext"/>
              <w:spacing w:before="0"/>
              <w:rPr>
                <w:sz w:val="21"/>
                <w:szCs w:val="21"/>
              </w:rPr>
            </w:pPr>
            <w:r w:rsidRPr="00976BD2">
              <w:rPr>
                <w:rFonts w:asciiTheme="majorBidi" w:hAnsiTheme="majorBidi" w:cstheme="majorBidi"/>
                <w:sz w:val="20"/>
              </w:rPr>
              <w:t>Further development of the spectrum management system for developing countries</w:t>
            </w:r>
          </w:p>
        </w:tc>
        <w:tc>
          <w:tcPr>
            <w:tcW w:w="1559" w:type="dxa"/>
          </w:tcPr>
          <w:p w:rsidR="00955BAD" w:rsidRPr="00976BD2" w:rsidRDefault="00955BAD" w:rsidP="009C302F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sz w:val="20"/>
                <w:lang w:eastAsia="ja-JP"/>
              </w:rPr>
              <w:t>WP 1A</w:t>
            </w:r>
            <w:r w:rsidR="009C302F">
              <w:rPr>
                <w:sz w:val="20"/>
                <w:lang w:eastAsia="ja-JP"/>
              </w:rPr>
              <w:br/>
            </w:r>
            <w:r w:rsidRPr="00976BD2">
              <w:rPr>
                <w:sz w:val="20"/>
                <w:lang w:eastAsia="ja-JP"/>
              </w:rPr>
              <w:t>&amp;</w:t>
            </w:r>
            <w:r w:rsidR="00F167E2">
              <w:rPr>
                <w:sz w:val="20"/>
                <w:lang w:eastAsia="ja-JP"/>
              </w:rPr>
              <w:br/>
            </w:r>
            <w:r w:rsidRPr="00976BD2">
              <w:rPr>
                <w:sz w:val="20"/>
                <w:lang w:eastAsia="ja-JP"/>
              </w:rPr>
              <w:t>WP 1B</w:t>
            </w:r>
          </w:p>
        </w:tc>
        <w:tc>
          <w:tcPr>
            <w:tcW w:w="5529" w:type="dxa"/>
          </w:tcPr>
          <w:p w:rsidR="00633B0E" w:rsidRDefault="00955BAD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sz w:val="21"/>
                <w:szCs w:val="21"/>
                <w:lang w:eastAsia="ja-JP"/>
              </w:rPr>
              <w:t>–</w:t>
            </w:r>
            <w:r w:rsidRPr="00976BD2">
              <w:rPr>
                <w:sz w:val="21"/>
                <w:szCs w:val="21"/>
                <w:lang w:eastAsia="ja-JP"/>
              </w:rPr>
              <w:tab/>
            </w:r>
            <w:r w:rsidR="007A3B08" w:rsidRPr="005F29E4">
              <w:rPr>
                <w:sz w:val="21"/>
                <w:szCs w:val="21"/>
                <w:lang w:eastAsia="ja-JP"/>
              </w:rPr>
              <w:t xml:space="preserve">Revision </w:t>
            </w:r>
            <w:r w:rsidR="007A3B08">
              <w:rPr>
                <w:sz w:val="21"/>
                <w:szCs w:val="21"/>
                <w:lang w:eastAsia="ja-JP"/>
              </w:rPr>
              <w:t>of the ITU Handbook on Computer-Aided Techniques for Spectrum Management</w:t>
            </w:r>
          </w:p>
          <w:p w:rsidR="00955BAD" w:rsidRPr="00976BD2" w:rsidRDefault="00955BAD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sz w:val="21"/>
                <w:szCs w:val="21"/>
                <w:lang w:eastAsia="ja-JP"/>
              </w:rPr>
              <w:t>–</w:t>
            </w:r>
            <w:r w:rsidRPr="00976BD2">
              <w:rPr>
                <w:sz w:val="21"/>
                <w:szCs w:val="21"/>
                <w:lang w:eastAsia="ja-JP"/>
              </w:rPr>
              <w:tab/>
            </w:r>
            <w:hyperlink r:id="rId14" w:history="1">
              <w:r w:rsidRPr="002C7AF2">
                <w:rPr>
                  <w:rStyle w:val="Hyperlink"/>
                  <w:sz w:val="21"/>
                  <w:szCs w:val="21"/>
                  <w:lang w:eastAsia="ja-JP"/>
                </w:rPr>
                <w:t>Rec</w:t>
              </w:r>
              <w:r w:rsidR="002C7AF2">
                <w:rPr>
                  <w:rStyle w:val="Hyperlink"/>
                  <w:sz w:val="21"/>
                  <w:szCs w:val="21"/>
                  <w:lang w:eastAsia="ja-JP"/>
                </w:rPr>
                <w:t>ommendation</w:t>
              </w:r>
              <w:r w:rsidRPr="002C7AF2">
                <w:rPr>
                  <w:rStyle w:val="Hyperlink"/>
                  <w:sz w:val="21"/>
                  <w:szCs w:val="21"/>
                  <w:lang w:eastAsia="ja-JP"/>
                </w:rPr>
                <w:t xml:space="preserve"> ITU-R SM.1307-</w:t>
              </w:r>
              <w:r w:rsidR="004E4AD4" w:rsidRPr="002C7AF2">
                <w:rPr>
                  <w:rStyle w:val="Hyperlink"/>
                  <w:sz w:val="21"/>
                  <w:szCs w:val="21"/>
                  <w:lang w:eastAsia="ja-JP"/>
                </w:rPr>
                <w:t>2</w:t>
              </w:r>
            </w:hyperlink>
            <w:r w:rsidRPr="00976BD2">
              <w:rPr>
                <w:sz w:val="21"/>
                <w:szCs w:val="21"/>
                <w:lang w:eastAsia="ja-JP"/>
              </w:rPr>
              <w:t xml:space="preserve"> on Design guidelines for developing automated spectrum management systems</w:t>
            </w:r>
            <w:r w:rsidR="004E4AD4">
              <w:rPr>
                <w:sz w:val="21"/>
                <w:szCs w:val="21"/>
                <w:lang w:eastAsia="ja-JP"/>
              </w:rPr>
              <w:t>.</w:t>
            </w:r>
          </w:p>
        </w:tc>
        <w:tc>
          <w:tcPr>
            <w:tcW w:w="1773" w:type="dxa"/>
          </w:tcPr>
          <w:p w:rsidR="00633B0E" w:rsidRDefault="00955BAD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 w:rsidRPr="00976BD2">
              <w:rPr>
                <w:iCs/>
                <w:sz w:val="21"/>
                <w:szCs w:val="21"/>
              </w:rPr>
              <w:t xml:space="preserve">Doc. </w:t>
            </w:r>
            <w:hyperlink r:id="rId15" w:history="1">
              <w:r w:rsidRPr="002B4357">
                <w:rPr>
                  <w:rStyle w:val="Hyperlink"/>
                  <w:iCs/>
                  <w:sz w:val="21"/>
                  <w:szCs w:val="21"/>
                </w:rPr>
                <w:t>1/</w:t>
              </w:r>
              <w:r w:rsidR="002B4357" w:rsidRPr="002B4357">
                <w:rPr>
                  <w:rStyle w:val="Hyperlink"/>
                  <w:iCs/>
                  <w:sz w:val="21"/>
                  <w:szCs w:val="21"/>
                </w:rPr>
                <w:t>108</w:t>
              </w:r>
            </w:hyperlink>
            <w:r w:rsidR="00157566">
              <w:rPr>
                <w:iCs/>
                <w:sz w:val="21"/>
                <w:szCs w:val="21"/>
              </w:rPr>
              <w:br/>
            </w:r>
          </w:p>
          <w:p w:rsidR="00633B0E" w:rsidRDefault="00157566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–</w:t>
            </w:r>
          </w:p>
        </w:tc>
      </w:tr>
      <w:tr w:rsidR="00955BAD" w:rsidTr="00817846">
        <w:tc>
          <w:tcPr>
            <w:tcW w:w="1951" w:type="dxa"/>
          </w:tcPr>
          <w:p w:rsidR="00955BAD" w:rsidRPr="00976BD2" w:rsidRDefault="00955BAD" w:rsidP="00676ACE">
            <w:pPr>
              <w:pStyle w:val="Tabletext"/>
              <w:spacing w:before="2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Resolution </w:t>
            </w:r>
            <w:r w:rsidRPr="00976BD2">
              <w:rPr>
                <w:sz w:val="20"/>
                <w:lang w:eastAsia="ja-JP"/>
              </w:rPr>
              <w:t>22</w:t>
            </w:r>
            <w:r w:rsidRPr="00976BD2">
              <w:rPr>
                <w:rFonts w:hint="eastAsia"/>
                <w:sz w:val="20"/>
                <w:lang w:eastAsia="ja-JP"/>
              </w:rPr>
              <w:t>-</w:t>
            </w:r>
            <w:r w:rsidRPr="00976BD2">
              <w:rPr>
                <w:sz w:val="20"/>
                <w:lang w:eastAsia="ja-JP"/>
              </w:rPr>
              <w:t>3</w:t>
            </w:r>
          </w:p>
        </w:tc>
        <w:tc>
          <w:tcPr>
            <w:tcW w:w="3402" w:type="dxa"/>
          </w:tcPr>
          <w:p w:rsidR="00955BAD" w:rsidRPr="00976BD2" w:rsidRDefault="00955BAD" w:rsidP="00F167E2">
            <w:pPr>
              <w:pStyle w:val="Tabletext"/>
              <w:spacing w:before="2"/>
              <w:rPr>
                <w:sz w:val="21"/>
                <w:szCs w:val="21"/>
              </w:rPr>
            </w:pPr>
            <w:r w:rsidRPr="00976BD2">
              <w:rPr>
                <w:rFonts w:asciiTheme="majorBidi" w:hAnsiTheme="majorBidi" w:cstheme="majorBidi"/>
                <w:sz w:val="20"/>
              </w:rPr>
              <w:t>Improvement of national radio spectrum management practices and techniques</w:t>
            </w:r>
          </w:p>
        </w:tc>
        <w:tc>
          <w:tcPr>
            <w:tcW w:w="1559" w:type="dxa"/>
          </w:tcPr>
          <w:p w:rsidR="00955BAD" w:rsidRPr="00976BD2" w:rsidRDefault="00955BAD" w:rsidP="00676ACE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sz w:val="20"/>
                <w:lang w:eastAsia="ja-JP"/>
              </w:rPr>
              <w:t>WP 1B</w:t>
            </w:r>
          </w:p>
        </w:tc>
        <w:tc>
          <w:tcPr>
            <w:tcW w:w="5529" w:type="dxa"/>
          </w:tcPr>
          <w:p w:rsidR="00955BAD" w:rsidRPr="00976BD2" w:rsidRDefault="00955BAD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sz w:val="21"/>
                <w:szCs w:val="21"/>
                <w:lang w:eastAsia="ja-JP"/>
              </w:rPr>
              <w:t>–</w:t>
            </w:r>
            <w:r w:rsidRPr="00976BD2">
              <w:rPr>
                <w:sz w:val="21"/>
                <w:szCs w:val="21"/>
                <w:lang w:eastAsia="ja-JP"/>
              </w:rPr>
              <w:tab/>
            </w:r>
            <w:hyperlink r:id="rId16" w:history="1">
              <w:r w:rsidRPr="002C7AF2">
                <w:rPr>
                  <w:rStyle w:val="Hyperlink"/>
                  <w:sz w:val="21"/>
                  <w:szCs w:val="21"/>
                  <w:lang w:eastAsia="ja-JP"/>
                </w:rPr>
                <w:t>Recommendation ITU-R SM.1047-2</w:t>
              </w:r>
            </w:hyperlink>
            <w:r w:rsidRPr="00976BD2">
              <w:rPr>
                <w:sz w:val="21"/>
                <w:szCs w:val="21"/>
                <w:lang w:eastAsia="ja-JP"/>
              </w:rPr>
              <w:t xml:space="preserve"> on National spectrum management</w:t>
            </w:r>
          </w:p>
          <w:p w:rsidR="00955BAD" w:rsidRPr="00976BD2" w:rsidRDefault="00955BAD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sz w:val="21"/>
                <w:szCs w:val="21"/>
                <w:lang w:eastAsia="ja-JP"/>
              </w:rPr>
              <w:t>–</w:t>
            </w:r>
            <w:r w:rsidRPr="00976BD2">
              <w:rPr>
                <w:sz w:val="21"/>
                <w:szCs w:val="21"/>
                <w:lang w:eastAsia="ja-JP"/>
              </w:rPr>
              <w:tab/>
            </w:r>
            <w:r w:rsidR="002B4357">
              <w:rPr>
                <w:sz w:val="21"/>
                <w:szCs w:val="21"/>
                <w:lang w:eastAsia="ja-JP"/>
              </w:rPr>
              <w:t xml:space="preserve">Draft revision of </w:t>
            </w:r>
            <w:hyperlink r:id="rId17" w:history="1">
              <w:r w:rsidRPr="002C7AF2">
                <w:rPr>
                  <w:rStyle w:val="Hyperlink"/>
                  <w:sz w:val="21"/>
                  <w:szCs w:val="21"/>
                  <w:lang w:eastAsia="ja-JP"/>
                </w:rPr>
                <w:t>Recommendation ITU-R SM.1603-1</w:t>
              </w:r>
            </w:hyperlink>
            <w:r w:rsidRPr="00976BD2">
              <w:rPr>
                <w:sz w:val="21"/>
                <w:szCs w:val="21"/>
                <w:lang w:eastAsia="ja-JP"/>
              </w:rPr>
              <w:t xml:space="preserve"> on Spectrum redeployment as a method of national spectrum management</w:t>
            </w:r>
          </w:p>
          <w:p w:rsidR="00955BAD" w:rsidRPr="00976BD2" w:rsidRDefault="00955BAD" w:rsidP="002B4357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sz w:val="21"/>
                <w:szCs w:val="21"/>
                <w:lang w:eastAsia="ja-JP"/>
              </w:rPr>
              <w:t>–</w:t>
            </w:r>
            <w:r w:rsidRPr="00976BD2">
              <w:rPr>
                <w:sz w:val="21"/>
                <w:szCs w:val="21"/>
                <w:lang w:eastAsia="ja-JP"/>
              </w:rPr>
              <w:tab/>
            </w:r>
            <w:r w:rsidR="007A3B08" w:rsidRPr="005F29E4">
              <w:rPr>
                <w:sz w:val="21"/>
                <w:szCs w:val="21"/>
                <w:lang w:eastAsia="ja-JP"/>
              </w:rPr>
              <w:t xml:space="preserve">Modification </w:t>
            </w:r>
            <w:r w:rsidR="007A3B08">
              <w:rPr>
                <w:sz w:val="21"/>
                <w:szCs w:val="21"/>
                <w:lang w:eastAsia="ja-JP"/>
              </w:rPr>
              <w:t xml:space="preserve">of </w:t>
            </w:r>
            <w:r w:rsidR="007A3B08" w:rsidRPr="004C0AAD">
              <w:t>Report ITU</w:t>
            </w:r>
            <w:r w:rsidR="007A3B08" w:rsidRPr="004C0AAD">
              <w:noBreakHyphen/>
              <w:t>R SM.2012-</w:t>
            </w:r>
            <w:r w:rsidRPr="00976BD2">
              <w:rPr>
                <w:sz w:val="21"/>
                <w:szCs w:val="21"/>
                <w:lang w:eastAsia="ja-JP"/>
              </w:rPr>
              <w:t>3 on Economic aspects of spectrum management</w:t>
            </w:r>
          </w:p>
          <w:p w:rsidR="00633B0E" w:rsidRDefault="00955BAD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2B4357">
              <w:rPr>
                <w:sz w:val="21"/>
                <w:szCs w:val="21"/>
                <w:lang w:eastAsia="ja-JP"/>
              </w:rPr>
              <w:t>–</w:t>
            </w:r>
            <w:r w:rsidRPr="002B4357">
              <w:rPr>
                <w:sz w:val="21"/>
                <w:szCs w:val="21"/>
                <w:lang w:eastAsia="ja-JP"/>
              </w:rPr>
              <w:tab/>
            </w:r>
            <w:r w:rsidR="002B4357" w:rsidRPr="002B4357">
              <w:rPr>
                <w:sz w:val="21"/>
                <w:szCs w:val="21"/>
                <w:lang w:eastAsia="ja-JP"/>
              </w:rPr>
              <w:t>Revision of</w:t>
            </w:r>
            <w:r w:rsidR="002B4357" w:rsidRPr="00612490">
              <w:rPr>
                <w:sz w:val="21"/>
                <w:szCs w:val="21"/>
                <w:lang w:eastAsia="ja-JP"/>
              </w:rPr>
              <w:t xml:space="preserve"> </w:t>
            </w:r>
            <w:r w:rsidRPr="00976BD2">
              <w:rPr>
                <w:sz w:val="21"/>
                <w:szCs w:val="21"/>
                <w:lang w:eastAsia="ja-JP"/>
              </w:rPr>
              <w:t>the ITU Handbook on National Spectrum Management.</w:t>
            </w:r>
          </w:p>
          <w:p w:rsidR="00633B0E" w:rsidRDefault="00361E61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2B4357">
              <w:rPr>
                <w:sz w:val="21"/>
                <w:szCs w:val="21"/>
                <w:lang w:eastAsia="ja-JP"/>
              </w:rPr>
              <w:t>–</w:t>
            </w:r>
            <w:r w:rsidRPr="002B4357">
              <w:rPr>
                <w:sz w:val="21"/>
                <w:szCs w:val="21"/>
                <w:lang w:eastAsia="ja-JP"/>
              </w:rPr>
              <w:tab/>
            </w:r>
            <w:r w:rsidR="007F52BA" w:rsidRPr="00612490">
              <w:rPr>
                <w:sz w:val="21"/>
                <w:szCs w:val="21"/>
                <w:lang w:eastAsia="ja-JP"/>
              </w:rPr>
              <w:t>Working Document towards a preliminary draft new Report ITU-R SM.[</w:t>
            </w:r>
            <w:r w:rsidR="007F52BA">
              <w:rPr>
                <w:lang w:eastAsia="zh-CN"/>
              </w:rPr>
              <w:t>INNOVATIVE REGULATORY TOOLS</w:t>
            </w:r>
            <w:r w:rsidR="007F52BA" w:rsidRPr="00612490">
              <w:rPr>
                <w:sz w:val="21"/>
                <w:szCs w:val="21"/>
                <w:lang w:eastAsia="ja-JP"/>
              </w:rPr>
              <w:t>]</w:t>
            </w:r>
          </w:p>
        </w:tc>
        <w:tc>
          <w:tcPr>
            <w:tcW w:w="1773" w:type="dxa"/>
          </w:tcPr>
          <w:p w:rsidR="00633B0E" w:rsidRDefault="002B4357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–</w:t>
            </w:r>
            <w:r w:rsidR="00955BAD" w:rsidRPr="00976BD2">
              <w:rPr>
                <w:iCs/>
                <w:sz w:val="21"/>
                <w:szCs w:val="21"/>
              </w:rPr>
              <w:br/>
            </w:r>
          </w:p>
          <w:p w:rsidR="00633B0E" w:rsidRDefault="00A91738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hyperlink r:id="rId18" w:history="1">
              <w:r w:rsidR="002B4357" w:rsidRPr="002B4357">
                <w:rPr>
                  <w:rStyle w:val="Hyperlink"/>
                  <w:iCs/>
                  <w:sz w:val="21"/>
                  <w:szCs w:val="21"/>
                </w:rPr>
                <w:t>Doc. 1/10</w:t>
              </w:r>
              <w:r w:rsidR="002B4357">
                <w:rPr>
                  <w:rStyle w:val="Hyperlink"/>
                  <w:iCs/>
                  <w:sz w:val="21"/>
                  <w:szCs w:val="21"/>
                </w:rPr>
                <w:t>3 (Rev.1)</w:t>
              </w:r>
            </w:hyperlink>
            <w:r w:rsidR="002B4357">
              <w:rPr>
                <w:iCs/>
                <w:sz w:val="21"/>
                <w:szCs w:val="21"/>
              </w:rPr>
              <w:br/>
            </w:r>
          </w:p>
          <w:p w:rsidR="00633B0E" w:rsidRDefault="00955BAD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 w:rsidRPr="00976BD2">
              <w:rPr>
                <w:iCs/>
                <w:sz w:val="21"/>
                <w:szCs w:val="21"/>
              </w:rPr>
              <w:t xml:space="preserve">Doc. </w:t>
            </w:r>
            <w:hyperlink r:id="rId19" w:history="1">
              <w:r w:rsidRPr="002B4357">
                <w:rPr>
                  <w:rStyle w:val="Hyperlink"/>
                  <w:iCs/>
                  <w:sz w:val="21"/>
                  <w:szCs w:val="21"/>
                </w:rPr>
                <w:t>1/</w:t>
              </w:r>
              <w:r w:rsidR="002B4357" w:rsidRPr="002B4357">
                <w:rPr>
                  <w:rStyle w:val="Hyperlink"/>
                  <w:iCs/>
                  <w:sz w:val="21"/>
                  <w:szCs w:val="21"/>
                </w:rPr>
                <w:t>112</w:t>
              </w:r>
            </w:hyperlink>
            <w:r w:rsidR="002B4357">
              <w:rPr>
                <w:iCs/>
                <w:sz w:val="21"/>
                <w:szCs w:val="21"/>
              </w:rPr>
              <w:br/>
            </w:r>
          </w:p>
          <w:p w:rsidR="00633B0E" w:rsidRDefault="00955BAD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 w:rsidRPr="00976BD2">
              <w:rPr>
                <w:iCs/>
                <w:sz w:val="21"/>
                <w:szCs w:val="21"/>
              </w:rPr>
              <w:t xml:space="preserve">Doc. </w:t>
            </w:r>
            <w:hyperlink r:id="rId20" w:history="1">
              <w:r w:rsidRPr="002B4357">
                <w:rPr>
                  <w:rStyle w:val="Hyperlink"/>
                  <w:iCs/>
                  <w:sz w:val="21"/>
                  <w:szCs w:val="21"/>
                </w:rPr>
                <w:t>1/</w:t>
              </w:r>
              <w:r w:rsidR="002B4357" w:rsidRPr="002B4357">
                <w:rPr>
                  <w:rStyle w:val="Hyperlink"/>
                  <w:iCs/>
                  <w:sz w:val="21"/>
                  <w:szCs w:val="21"/>
                </w:rPr>
                <w:t>113</w:t>
              </w:r>
            </w:hyperlink>
            <w:r w:rsidR="007F52BA">
              <w:rPr>
                <w:iCs/>
                <w:sz w:val="21"/>
                <w:szCs w:val="21"/>
              </w:rPr>
              <w:br/>
            </w:r>
          </w:p>
          <w:p w:rsidR="00633B0E" w:rsidRDefault="007F52BA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 w:rsidRPr="00612490">
              <w:rPr>
                <w:iCs/>
                <w:sz w:val="21"/>
                <w:szCs w:val="21"/>
              </w:rPr>
              <w:t xml:space="preserve">Relevant annex to Doc. </w:t>
            </w:r>
            <w:hyperlink r:id="rId21" w:history="1">
              <w:r w:rsidRPr="00612490">
                <w:rPr>
                  <w:rStyle w:val="Hyperlink"/>
                  <w:iCs/>
                  <w:sz w:val="21"/>
                  <w:szCs w:val="21"/>
                </w:rPr>
                <w:t>1B/181</w:t>
              </w:r>
            </w:hyperlink>
          </w:p>
        </w:tc>
      </w:tr>
      <w:tr w:rsidR="00955BAD" w:rsidTr="00817846">
        <w:tc>
          <w:tcPr>
            <w:tcW w:w="1951" w:type="dxa"/>
          </w:tcPr>
          <w:p w:rsidR="00955BAD" w:rsidRPr="00976BD2" w:rsidRDefault="00955BAD" w:rsidP="00676ACE">
            <w:pPr>
              <w:pStyle w:val="Tabletext"/>
              <w:spacing w:before="2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Resolution </w:t>
            </w:r>
            <w:r w:rsidRPr="00976BD2">
              <w:rPr>
                <w:sz w:val="20"/>
                <w:lang w:eastAsia="ja-JP"/>
              </w:rPr>
              <w:t>23</w:t>
            </w:r>
            <w:r w:rsidRPr="00976BD2">
              <w:rPr>
                <w:rFonts w:hint="eastAsia"/>
                <w:sz w:val="20"/>
                <w:lang w:eastAsia="ja-JP"/>
              </w:rPr>
              <w:t>-</w:t>
            </w:r>
            <w:r w:rsidRPr="00976BD2">
              <w:rPr>
                <w:sz w:val="20"/>
                <w:lang w:eastAsia="ja-JP"/>
              </w:rPr>
              <w:t>2</w:t>
            </w:r>
          </w:p>
        </w:tc>
        <w:tc>
          <w:tcPr>
            <w:tcW w:w="3402" w:type="dxa"/>
          </w:tcPr>
          <w:p w:rsidR="00955BAD" w:rsidRPr="00976BD2" w:rsidRDefault="00955BAD" w:rsidP="00F167E2">
            <w:pPr>
              <w:pStyle w:val="Tabletext"/>
              <w:spacing w:before="2"/>
              <w:rPr>
                <w:sz w:val="21"/>
                <w:szCs w:val="21"/>
              </w:rPr>
            </w:pPr>
            <w:r w:rsidRPr="00976BD2">
              <w:rPr>
                <w:rFonts w:asciiTheme="majorBidi" w:hAnsiTheme="majorBidi" w:cstheme="majorBidi"/>
                <w:sz w:val="20"/>
              </w:rPr>
              <w:t>Extension of the international monitoring system to a worldwide scale</w:t>
            </w:r>
          </w:p>
        </w:tc>
        <w:tc>
          <w:tcPr>
            <w:tcW w:w="1559" w:type="dxa"/>
          </w:tcPr>
          <w:p w:rsidR="00955BAD" w:rsidRPr="00976BD2" w:rsidRDefault="00955BAD" w:rsidP="00676ACE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sz w:val="20"/>
                <w:lang w:eastAsia="ja-JP"/>
              </w:rPr>
              <w:t>WP 1C</w:t>
            </w:r>
          </w:p>
        </w:tc>
        <w:tc>
          <w:tcPr>
            <w:tcW w:w="5529" w:type="dxa"/>
          </w:tcPr>
          <w:p w:rsidR="00955BAD" w:rsidRPr="00976BD2" w:rsidRDefault="00955BAD" w:rsidP="00AB3397">
            <w:pPr>
              <w:pStyle w:val="Tabletext"/>
              <w:spacing w:before="0"/>
              <w:rPr>
                <w:sz w:val="21"/>
                <w:szCs w:val="21"/>
                <w:lang w:eastAsia="ja-JP"/>
              </w:rPr>
            </w:pPr>
            <w:r w:rsidRPr="00976BD2">
              <w:rPr>
                <w:sz w:val="21"/>
                <w:szCs w:val="21"/>
                <w:lang w:eastAsia="ja-JP"/>
              </w:rPr>
              <w:t xml:space="preserve">Completed and subject to the addition of new administrations to List VIII (e.g. see also </w:t>
            </w:r>
            <w:hyperlink r:id="rId22" w:history="1">
              <w:r w:rsidRPr="001A2EC6">
                <w:rPr>
                  <w:rStyle w:val="Hyperlink"/>
                  <w:sz w:val="21"/>
                  <w:szCs w:val="21"/>
                  <w:lang w:eastAsia="ja-JP"/>
                </w:rPr>
                <w:t>Report ITU-R SM.2182</w:t>
              </w:r>
            </w:hyperlink>
            <w:r w:rsidRPr="00976BD2">
              <w:rPr>
                <w:sz w:val="21"/>
                <w:szCs w:val="21"/>
                <w:lang w:eastAsia="ja-JP"/>
              </w:rPr>
              <w:t>).</w:t>
            </w:r>
          </w:p>
        </w:tc>
        <w:tc>
          <w:tcPr>
            <w:tcW w:w="1773" w:type="dxa"/>
          </w:tcPr>
          <w:p w:rsidR="00955BAD" w:rsidRPr="00976BD2" w:rsidRDefault="00A46E19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–</w:t>
            </w:r>
          </w:p>
        </w:tc>
      </w:tr>
      <w:tr w:rsidR="00955BAD" w:rsidTr="00817846">
        <w:tc>
          <w:tcPr>
            <w:tcW w:w="1951" w:type="dxa"/>
          </w:tcPr>
          <w:p w:rsidR="00955BAD" w:rsidRPr="00976BD2" w:rsidDel="00BB22C0" w:rsidRDefault="00955BAD" w:rsidP="00676ACE">
            <w:pPr>
              <w:pStyle w:val="Tabletext"/>
              <w:spacing w:before="2"/>
              <w:rPr>
                <w:sz w:val="20"/>
              </w:rPr>
            </w:pPr>
            <w:r w:rsidRPr="00976BD2">
              <w:rPr>
                <w:sz w:val="20"/>
              </w:rPr>
              <w:t>Resolution</w:t>
            </w:r>
            <w:r w:rsidRPr="00976BD2">
              <w:rPr>
                <w:rFonts w:hint="eastAsia"/>
                <w:sz w:val="20"/>
                <w:lang w:eastAsia="ja-JP"/>
              </w:rPr>
              <w:t xml:space="preserve"> </w:t>
            </w:r>
            <w:r w:rsidRPr="00976BD2">
              <w:rPr>
                <w:sz w:val="20"/>
              </w:rPr>
              <w:t>5</w:t>
            </w:r>
            <w:r w:rsidRPr="00976BD2">
              <w:rPr>
                <w:rFonts w:hint="eastAsia"/>
                <w:sz w:val="20"/>
                <w:lang w:eastAsia="ja-JP"/>
              </w:rPr>
              <w:t>3-</w:t>
            </w:r>
            <w:r w:rsidRPr="00976BD2">
              <w:rPr>
                <w:sz w:val="20"/>
              </w:rPr>
              <w:t>1</w:t>
            </w:r>
          </w:p>
        </w:tc>
        <w:tc>
          <w:tcPr>
            <w:tcW w:w="3402" w:type="dxa"/>
          </w:tcPr>
          <w:p w:rsidR="00955BAD" w:rsidRPr="00976BD2" w:rsidRDefault="00955BAD" w:rsidP="00F167E2">
            <w:pPr>
              <w:pStyle w:val="Tabletext"/>
              <w:spacing w:before="2"/>
              <w:rPr>
                <w:sz w:val="21"/>
                <w:szCs w:val="21"/>
              </w:rPr>
            </w:pPr>
            <w:r w:rsidRPr="00976BD2">
              <w:rPr>
                <w:sz w:val="21"/>
                <w:szCs w:val="21"/>
              </w:rPr>
              <w:t>The use of radiocommunications in disaster response and relief</w:t>
            </w:r>
          </w:p>
        </w:tc>
        <w:tc>
          <w:tcPr>
            <w:tcW w:w="1559" w:type="dxa"/>
          </w:tcPr>
          <w:p w:rsidR="00955BAD" w:rsidRPr="00976BD2" w:rsidRDefault="00955BAD" w:rsidP="00676ACE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WP </w:t>
            </w:r>
            <w:r w:rsidRPr="00976BD2">
              <w:rPr>
                <w:sz w:val="20"/>
                <w:lang w:eastAsia="ja-JP"/>
              </w:rPr>
              <w:t>1B</w:t>
            </w:r>
          </w:p>
        </w:tc>
        <w:tc>
          <w:tcPr>
            <w:tcW w:w="5529" w:type="dxa"/>
          </w:tcPr>
          <w:p w:rsidR="00955BAD" w:rsidRPr="00976BD2" w:rsidRDefault="00955BAD" w:rsidP="00AB3397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Not yet started.</w:t>
            </w:r>
          </w:p>
        </w:tc>
        <w:tc>
          <w:tcPr>
            <w:tcW w:w="1773" w:type="dxa"/>
          </w:tcPr>
          <w:p w:rsidR="00955BAD" w:rsidRPr="00976BD2" w:rsidRDefault="00A46E19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>
              <w:rPr>
                <w:iCs/>
                <w:sz w:val="21"/>
                <w:szCs w:val="21"/>
              </w:rPr>
              <w:t>–</w:t>
            </w:r>
          </w:p>
        </w:tc>
      </w:tr>
      <w:tr w:rsidR="00A013A8" w:rsidTr="003F245C">
        <w:tc>
          <w:tcPr>
            <w:tcW w:w="14214" w:type="dxa"/>
            <w:gridSpan w:val="5"/>
          </w:tcPr>
          <w:p w:rsidR="00A013A8" w:rsidRDefault="00A013A8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…/…</w:t>
            </w:r>
          </w:p>
        </w:tc>
      </w:tr>
      <w:tr w:rsidR="00955BAD" w:rsidTr="00817846">
        <w:tc>
          <w:tcPr>
            <w:tcW w:w="1951" w:type="dxa"/>
          </w:tcPr>
          <w:p w:rsidR="00633B0E" w:rsidRDefault="00955BAD" w:rsidP="005F29E4">
            <w:pPr>
              <w:pStyle w:val="Tabletext"/>
              <w:keepNext/>
              <w:spacing w:before="2"/>
              <w:rPr>
                <w:rFonts w:asciiTheme="majorBidi" w:hAnsiTheme="majorBidi" w:cstheme="majorBidi"/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lastRenderedPageBreak/>
              <w:t>Resolution</w:t>
            </w:r>
            <w:r w:rsidRPr="00976BD2">
              <w:rPr>
                <w:rFonts w:asciiTheme="majorBidi" w:hAnsiTheme="majorBidi" w:cstheme="majorBidi" w:hint="eastAsia"/>
                <w:sz w:val="21"/>
                <w:szCs w:val="21"/>
                <w:lang w:eastAsia="ja-JP"/>
              </w:rPr>
              <w:t xml:space="preserve"> </w:t>
            </w: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54</w:t>
            </w:r>
            <w:r w:rsidRPr="00976BD2">
              <w:rPr>
                <w:rFonts w:asciiTheme="majorBidi" w:hAnsiTheme="majorBidi" w:cstheme="majorBidi" w:hint="eastAsia"/>
                <w:sz w:val="21"/>
                <w:szCs w:val="21"/>
                <w:lang w:eastAsia="ja-JP"/>
              </w:rPr>
              <w:t>-</w:t>
            </w: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3402" w:type="dxa"/>
          </w:tcPr>
          <w:p w:rsidR="00633B0E" w:rsidRDefault="00955BAD" w:rsidP="005F29E4">
            <w:pPr>
              <w:pStyle w:val="Tabletext"/>
              <w:keepNext/>
              <w:spacing w:before="2"/>
              <w:rPr>
                <w:sz w:val="21"/>
                <w:szCs w:val="21"/>
              </w:rPr>
            </w:pPr>
            <w:r w:rsidRPr="00976BD2">
              <w:rPr>
                <w:rFonts w:asciiTheme="majorBidi" w:hAnsiTheme="majorBidi" w:cstheme="majorBidi"/>
                <w:sz w:val="20"/>
              </w:rPr>
              <w:t>Studies to achieve harmonization for short-range devices</w:t>
            </w:r>
          </w:p>
        </w:tc>
        <w:tc>
          <w:tcPr>
            <w:tcW w:w="1559" w:type="dxa"/>
          </w:tcPr>
          <w:p w:rsidR="00633B0E" w:rsidRDefault="00955BAD" w:rsidP="005F29E4">
            <w:pPr>
              <w:pStyle w:val="Tabletext"/>
              <w:keepNext/>
              <w:tabs>
                <w:tab w:val="clear" w:pos="284"/>
                <w:tab w:val="clear" w:pos="567"/>
                <w:tab w:val="left" w:pos="625"/>
              </w:tabs>
              <w:spacing w:before="2"/>
              <w:jc w:val="center"/>
              <w:rPr>
                <w:b/>
                <w:sz w:val="20"/>
                <w:lang w:eastAsia="ja-JP"/>
              </w:rPr>
            </w:pPr>
            <w:r w:rsidRPr="00976BD2">
              <w:rPr>
                <w:sz w:val="20"/>
                <w:lang w:eastAsia="ja-JP"/>
              </w:rPr>
              <w:t>WP 1B</w:t>
            </w:r>
            <w:r w:rsidR="00F167E2">
              <w:rPr>
                <w:b/>
                <w:sz w:val="20"/>
                <w:lang w:eastAsia="ja-JP"/>
              </w:rPr>
              <w:br/>
            </w:r>
            <w:r w:rsidRPr="00976BD2">
              <w:rPr>
                <w:sz w:val="20"/>
                <w:lang w:eastAsia="ja-JP"/>
              </w:rPr>
              <w:t>(see Note 1)</w:t>
            </w:r>
          </w:p>
        </w:tc>
        <w:tc>
          <w:tcPr>
            <w:tcW w:w="5529" w:type="dxa"/>
          </w:tcPr>
          <w:p w:rsidR="00633B0E" w:rsidRDefault="00955BAD" w:rsidP="005F29E4">
            <w:pPr>
              <w:pStyle w:val="Tabletext"/>
              <w:keepNext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F167E2">
              <w:rPr>
                <w:sz w:val="21"/>
                <w:szCs w:val="21"/>
                <w:lang w:eastAsia="ja-JP"/>
              </w:rPr>
              <w:t>–</w:t>
            </w:r>
            <w:r w:rsidRPr="00F167E2">
              <w:rPr>
                <w:sz w:val="21"/>
                <w:szCs w:val="21"/>
                <w:lang w:eastAsia="ja-JP"/>
              </w:rPr>
              <w:tab/>
            </w:r>
            <w:hyperlink r:id="rId23" w:history="1">
              <w:r w:rsidRPr="001A2EC6">
                <w:rPr>
                  <w:rStyle w:val="Hyperlink"/>
                  <w:sz w:val="21"/>
                  <w:szCs w:val="21"/>
                  <w:lang w:eastAsia="ja-JP"/>
                </w:rPr>
                <w:t>Recommendation ITU-R SM.1896</w:t>
              </w:r>
            </w:hyperlink>
            <w:r w:rsidRPr="00F167E2">
              <w:rPr>
                <w:sz w:val="21"/>
                <w:szCs w:val="21"/>
                <w:lang w:eastAsia="ja-JP"/>
              </w:rPr>
              <w:t xml:space="preserve"> on Frequency ranges for global or regional harmonization of SRDs</w:t>
            </w:r>
          </w:p>
          <w:p w:rsidR="00633B0E" w:rsidRDefault="00955BAD" w:rsidP="005F29E4">
            <w:pPr>
              <w:pStyle w:val="Tabletext"/>
              <w:keepNext/>
              <w:spacing w:before="0"/>
              <w:ind w:left="284" w:hanging="284"/>
              <w:rPr>
                <w:b/>
                <w:sz w:val="21"/>
                <w:szCs w:val="21"/>
                <w:lang w:eastAsia="ja-JP"/>
              </w:rPr>
            </w:pPr>
            <w:r w:rsidRPr="00F167E2">
              <w:rPr>
                <w:sz w:val="21"/>
                <w:szCs w:val="21"/>
                <w:lang w:eastAsia="ja-JP"/>
              </w:rPr>
              <w:t>–</w:t>
            </w:r>
            <w:r w:rsidRPr="00F167E2">
              <w:rPr>
                <w:sz w:val="21"/>
                <w:szCs w:val="21"/>
                <w:lang w:eastAsia="ja-JP"/>
              </w:rPr>
              <w:tab/>
            </w:r>
            <w:hyperlink r:id="rId24" w:history="1">
              <w:r w:rsidRPr="001A2EC6">
                <w:rPr>
                  <w:rStyle w:val="Hyperlink"/>
                  <w:sz w:val="21"/>
                  <w:szCs w:val="21"/>
                  <w:lang w:eastAsia="ja-JP"/>
                </w:rPr>
                <w:t>Report ITU-R SM.2153-</w:t>
              </w:r>
              <w:r w:rsidR="001A2EC6" w:rsidRPr="001A2EC6">
                <w:rPr>
                  <w:rStyle w:val="Hyperlink"/>
                  <w:sz w:val="21"/>
                  <w:szCs w:val="21"/>
                  <w:lang w:eastAsia="ja-JP"/>
                </w:rPr>
                <w:t>4</w:t>
              </w:r>
            </w:hyperlink>
            <w:r w:rsidRPr="00F167E2">
              <w:rPr>
                <w:sz w:val="21"/>
                <w:szCs w:val="21"/>
                <w:lang w:eastAsia="ja-JP"/>
              </w:rPr>
              <w:t xml:space="preserve"> on Technical and operating parameters and spectrum use for SRDs</w:t>
            </w:r>
          </w:p>
          <w:p w:rsidR="00633B0E" w:rsidRDefault="00955BAD" w:rsidP="005F29E4">
            <w:pPr>
              <w:pStyle w:val="Tabletext"/>
              <w:keepNext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F167E2">
              <w:rPr>
                <w:sz w:val="21"/>
                <w:szCs w:val="21"/>
                <w:lang w:eastAsia="ja-JP"/>
              </w:rPr>
              <w:t>–</w:t>
            </w:r>
            <w:r w:rsidRPr="00F167E2">
              <w:rPr>
                <w:sz w:val="21"/>
                <w:szCs w:val="21"/>
                <w:lang w:eastAsia="ja-JP"/>
              </w:rPr>
              <w:tab/>
            </w:r>
            <w:hyperlink r:id="rId25" w:history="1">
              <w:r w:rsidRPr="001A2EC6">
                <w:rPr>
                  <w:rStyle w:val="Hyperlink"/>
                  <w:sz w:val="21"/>
                  <w:szCs w:val="21"/>
                  <w:lang w:eastAsia="ja-JP"/>
                </w:rPr>
                <w:t>Report ITU</w:t>
              </w:r>
              <w:r w:rsidRPr="001A2EC6">
                <w:rPr>
                  <w:rStyle w:val="Hyperlink"/>
                  <w:sz w:val="21"/>
                  <w:szCs w:val="21"/>
                  <w:lang w:eastAsia="ja-JP"/>
                </w:rPr>
                <w:noBreakHyphen/>
                <w:t>R SM.2255</w:t>
              </w:r>
            </w:hyperlink>
            <w:r w:rsidRPr="00F167E2">
              <w:rPr>
                <w:sz w:val="21"/>
                <w:szCs w:val="21"/>
                <w:lang w:eastAsia="ja-JP"/>
              </w:rPr>
              <w:t xml:space="preserve"> on Technical characteristics, standards, and frequency bands of operation for RFID and potential harmonization opportunities.</w:t>
            </w:r>
          </w:p>
          <w:p w:rsidR="00633B0E" w:rsidRDefault="001A2EC6" w:rsidP="005F29E4">
            <w:pPr>
              <w:pStyle w:val="Tabletext"/>
              <w:keepNext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F167E2">
              <w:rPr>
                <w:sz w:val="21"/>
                <w:szCs w:val="21"/>
                <w:lang w:eastAsia="ja-JP"/>
              </w:rPr>
              <w:t>–</w:t>
            </w:r>
            <w:r w:rsidRPr="00F167E2">
              <w:rPr>
                <w:sz w:val="21"/>
                <w:szCs w:val="21"/>
                <w:lang w:eastAsia="ja-JP"/>
              </w:rPr>
              <w:tab/>
            </w:r>
            <w:r>
              <w:rPr>
                <w:sz w:val="21"/>
                <w:szCs w:val="21"/>
                <w:lang w:eastAsia="ja-JP"/>
              </w:rPr>
              <w:t xml:space="preserve">An </w:t>
            </w:r>
            <w:hyperlink r:id="rId26" w:history="1">
              <w:r w:rsidRPr="001A2EC6">
                <w:rPr>
                  <w:rStyle w:val="Hyperlink"/>
                  <w:sz w:val="21"/>
                  <w:szCs w:val="21"/>
                  <w:lang w:eastAsia="ja-JP"/>
                </w:rPr>
                <w:t>ITU Workshop on SRD and UWB</w:t>
              </w:r>
            </w:hyperlink>
            <w:r>
              <w:rPr>
                <w:sz w:val="21"/>
                <w:szCs w:val="21"/>
                <w:lang w:eastAsia="ja-JP"/>
              </w:rPr>
              <w:t xml:space="preserve"> was held on 3 June 2014</w:t>
            </w:r>
            <w:r w:rsidRPr="00F167E2">
              <w:rPr>
                <w:sz w:val="21"/>
                <w:szCs w:val="21"/>
                <w:lang w:eastAsia="ja-JP"/>
              </w:rPr>
              <w:t>.</w:t>
            </w:r>
          </w:p>
          <w:p w:rsidR="00633B0E" w:rsidRDefault="005C4845" w:rsidP="005F29E4">
            <w:pPr>
              <w:pStyle w:val="Tabletext"/>
              <w:keepNext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E25236">
              <w:rPr>
                <w:sz w:val="21"/>
                <w:szCs w:val="21"/>
                <w:lang w:eastAsia="ja-JP"/>
              </w:rPr>
              <w:t>–</w:t>
            </w:r>
            <w:r w:rsidRPr="00E25236">
              <w:rPr>
                <w:sz w:val="21"/>
                <w:szCs w:val="21"/>
                <w:lang w:eastAsia="ja-JP"/>
              </w:rPr>
              <w:tab/>
              <w:t>Correspondence Group on the classification of SRDs</w:t>
            </w:r>
            <w:r>
              <w:rPr>
                <w:sz w:val="21"/>
                <w:szCs w:val="21"/>
                <w:lang w:eastAsia="ja-JP"/>
              </w:rPr>
              <w:br/>
            </w:r>
          </w:p>
          <w:p w:rsidR="00633B0E" w:rsidRDefault="00955BAD" w:rsidP="005F29E4">
            <w:pPr>
              <w:pStyle w:val="Tabletext"/>
              <w:keepNext/>
              <w:spacing w:before="0"/>
              <w:rPr>
                <w:sz w:val="21"/>
                <w:szCs w:val="21"/>
                <w:lang w:eastAsia="ja-JP"/>
              </w:rPr>
            </w:pPr>
            <w:r w:rsidRPr="003362CF">
              <w:rPr>
                <w:iCs/>
                <w:sz w:val="21"/>
                <w:szCs w:val="21"/>
                <w:lang w:eastAsia="ja-JP"/>
              </w:rPr>
              <w:t>(WP 1A and WP 1C developed also some ITU-R Reports on SRDs in their domain of competence prior to WRC-12).</w:t>
            </w:r>
          </w:p>
        </w:tc>
        <w:tc>
          <w:tcPr>
            <w:tcW w:w="1773" w:type="dxa"/>
          </w:tcPr>
          <w:p w:rsidR="00633B0E" w:rsidRDefault="00D75026" w:rsidP="005F29E4">
            <w:pPr>
              <w:pStyle w:val="Tabletext"/>
              <w:keepNext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>
              <w:rPr>
                <w:iCs/>
                <w:sz w:val="21"/>
                <w:szCs w:val="21"/>
              </w:rPr>
              <w:t>–</w:t>
            </w:r>
            <w:r w:rsidR="005C4845">
              <w:rPr>
                <w:iCs/>
                <w:sz w:val="21"/>
                <w:szCs w:val="21"/>
                <w:lang w:eastAsia="ja-JP"/>
              </w:rPr>
              <w:br/>
            </w:r>
          </w:p>
          <w:p w:rsidR="00633B0E" w:rsidRDefault="00E25236" w:rsidP="005F29E4">
            <w:pPr>
              <w:pStyle w:val="Tabletext"/>
              <w:keepNext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>
              <w:rPr>
                <w:iCs/>
                <w:sz w:val="21"/>
                <w:szCs w:val="21"/>
              </w:rPr>
              <w:t>–</w:t>
            </w:r>
            <w:r w:rsidR="005C4845">
              <w:rPr>
                <w:iCs/>
                <w:sz w:val="21"/>
                <w:szCs w:val="21"/>
                <w:lang w:eastAsia="ja-JP"/>
              </w:rPr>
              <w:br/>
            </w:r>
          </w:p>
          <w:p w:rsidR="00633B0E" w:rsidRDefault="00E25236" w:rsidP="005F29E4">
            <w:pPr>
              <w:pStyle w:val="Tabletext"/>
              <w:keepNext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>
              <w:rPr>
                <w:iCs/>
                <w:sz w:val="21"/>
                <w:szCs w:val="21"/>
              </w:rPr>
              <w:t>–</w:t>
            </w:r>
            <w:r w:rsidR="005C4845">
              <w:rPr>
                <w:iCs/>
                <w:sz w:val="21"/>
                <w:szCs w:val="21"/>
                <w:lang w:eastAsia="ja-JP"/>
              </w:rPr>
              <w:br/>
            </w:r>
            <w:r w:rsidR="005C4845">
              <w:rPr>
                <w:iCs/>
                <w:sz w:val="21"/>
                <w:szCs w:val="21"/>
                <w:lang w:eastAsia="ja-JP"/>
              </w:rPr>
              <w:br/>
            </w:r>
          </w:p>
          <w:p w:rsidR="00633B0E" w:rsidRDefault="00E25236" w:rsidP="005F29E4">
            <w:pPr>
              <w:pStyle w:val="Tabletext"/>
              <w:keepNext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>
              <w:rPr>
                <w:iCs/>
                <w:sz w:val="21"/>
                <w:szCs w:val="21"/>
              </w:rPr>
              <w:t>–</w:t>
            </w:r>
            <w:r w:rsidR="005C4845">
              <w:rPr>
                <w:iCs/>
                <w:sz w:val="21"/>
                <w:szCs w:val="21"/>
                <w:lang w:eastAsia="ja-JP"/>
              </w:rPr>
              <w:br/>
            </w:r>
          </w:p>
          <w:p w:rsidR="00633B0E" w:rsidRDefault="007A3B08" w:rsidP="005F29E4">
            <w:pPr>
              <w:pStyle w:val="Tabletext"/>
              <w:keepNext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 w:rsidRPr="005F29E4">
              <w:rPr>
                <w:iCs/>
                <w:sz w:val="21"/>
                <w:szCs w:val="21"/>
              </w:rPr>
              <w:t xml:space="preserve">Relevant annex to Doc. </w:t>
            </w:r>
            <w:hyperlink r:id="rId27" w:history="1">
              <w:r w:rsidRPr="005F29E4">
                <w:rPr>
                  <w:rStyle w:val="Hyperlink"/>
                </w:rPr>
                <w:t>1B/181</w:t>
              </w:r>
            </w:hyperlink>
          </w:p>
        </w:tc>
      </w:tr>
      <w:tr w:rsidR="00F167E2" w:rsidTr="00817846">
        <w:tc>
          <w:tcPr>
            <w:tcW w:w="1951" w:type="dxa"/>
            <w:vMerge w:val="restart"/>
          </w:tcPr>
          <w:p w:rsidR="00F167E2" w:rsidRPr="00976BD2" w:rsidDel="00BB22C0" w:rsidRDefault="00F167E2" w:rsidP="00F167E2">
            <w:pPr>
              <w:pStyle w:val="Tabletext"/>
              <w:spacing w:before="2"/>
              <w:rPr>
                <w:rFonts w:asciiTheme="majorBidi" w:hAnsiTheme="majorBidi" w:cstheme="majorBidi"/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Resolution</w:t>
            </w:r>
            <w:r w:rsidRPr="00976BD2">
              <w:rPr>
                <w:rFonts w:asciiTheme="majorBidi" w:hAnsiTheme="majorBidi" w:cstheme="majorBidi" w:hint="eastAsia"/>
                <w:sz w:val="21"/>
                <w:szCs w:val="21"/>
                <w:lang w:eastAsia="ja-JP"/>
              </w:rPr>
              <w:t xml:space="preserve"> </w:t>
            </w: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55</w:t>
            </w:r>
            <w:r w:rsidRPr="00976BD2">
              <w:rPr>
                <w:rFonts w:asciiTheme="majorBidi" w:hAnsiTheme="majorBidi" w:cstheme="majorBidi" w:hint="eastAsia"/>
                <w:sz w:val="21"/>
                <w:szCs w:val="21"/>
                <w:lang w:eastAsia="ja-JP"/>
              </w:rPr>
              <w:t>-</w:t>
            </w: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3402" w:type="dxa"/>
            <w:vMerge w:val="restart"/>
          </w:tcPr>
          <w:p w:rsidR="00F167E2" w:rsidRPr="00976BD2" w:rsidRDefault="00F167E2" w:rsidP="00F167E2">
            <w:pPr>
              <w:pStyle w:val="Tabletext"/>
              <w:spacing w:before="2"/>
              <w:rPr>
                <w:sz w:val="21"/>
                <w:szCs w:val="21"/>
              </w:rPr>
            </w:pPr>
            <w:r w:rsidRPr="00976BD2">
              <w:rPr>
                <w:sz w:val="21"/>
                <w:szCs w:val="21"/>
              </w:rPr>
              <w:t>ITU studies of disaster prediction, detection, mitigation and relief</w:t>
            </w:r>
          </w:p>
        </w:tc>
        <w:tc>
          <w:tcPr>
            <w:tcW w:w="1559" w:type="dxa"/>
          </w:tcPr>
          <w:p w:rsidR="00F167E2" w:rsidRPr="00976BD2" w:rsidRDefault="00F167E2" w:rsidP="00676ACE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WP </w:t>
            </w:r>
            <w:r w:rsidRPr="00976BD2">
              <w:rPr>
                <w:sz w:val="20"/>
                <w:lang w:eastAsia="ja-JP"/>
              </w:rPr>
              <w:t>1B</w:t>
            </w:r>
          </w:p>
        </w:tc>
        <w:tc>
          <w:tcPr>
            <w:tcW w:w="5529" w:type="dxa"/>
          </w:tcPr>
          <w:p w:rsidR="00F167E2" w:rsidRPr="00976BD2" w:rsidRDefault="00F167E2" w:rsidP="00AB3397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Not yet started.</w:t>
            </w:r>
          </w:p>
        </w:tc>
        <w:tc>
          <w:tcPr>
            <w:tcW w:w="1773" w:type="dxa"/>
          </w:tcPr>
          <w:p w:rsidR="00F167E2" w:rsidRPr="00976BD2" w:rsidRDefault="00084396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>
              <w:rPr>
                <w:iCs/>
                <w:sz w:val="21"/>
                <w:szCs w:val="21"/>
              </w:rPr>
              <w:t>–</w:t>
            </w:r>
          </w:p>
        </w:tc>
      </w:tr>
      <w:tr w:rsidR="00F167E2" w:rsidTr="00817846">
        <w:tc>
          <w:tcPr>
            <w:tcW w:w="1951" w:type="dxa"/>
            <w:vMerge/>
          </w:tcPr>
          <w:p w:rsidR="00F167E2" w:rsidRPr="00976BD2" w:rsidRDefault="00F167E2" w:rsidP="00676ACE">
            <w:pPr>
              <w:pStyle w:val="Tabletext"/>
              <w:spacing w:before="2"/>
              <w:ind w:left="62"/>
              <w:rPr>
                <w:rFonts w:asciiTheme="majorBidi" w:hAnsiTheme="majorBidi" w:cstheme="majorBidi"/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Merge/>
          </w:tcPr>
          <w:p w:rsidR="00F167E2" w:rsidRPr="00976BD2" w:rsidRDefault="00F167E2" w:rsidP="00F167E2">
            <w:pPr>
              <w:pStyle w:val="Tabletext"/>
              <w:spacing w:before="2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167E2" w:rsidRPr="00976BD2" w:rsidRDefault="00F167E2" w:rsidP="00676ACE">
            <w:pPr>
              <w:pStyle w:val="Tabletext"/>
              <w:tabs>
                <w:tab w:val="clear" w:pos="284"/>
                <w:tab w:val="clear" w:pos="567"/>
                <w:tab w:val="left" w:pos="625"/>
              </w:tabs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WP </w:t>
            </w:r>
            <w:r w:rsidRPr="00976BD2">
              <w:rPr>
                <w:sz w:val="20"/>
                <w:lang w:eastAsia="ja-JP"/>
              </w:rPr>
              <w:t>1C</w:t>
            </w:r>
          </w:p>
        </w:tc>
        <w:tc>
          <w:tcPr>
            <w:tcW w:w="5529" w:type="dxa"/>
          </w:tcPr>
          <w:p w:rsidR="00F167E2" w:rsidRPr="00976BD2" w:rsidRDefault="00F167E2" w:rsidP="00AB3397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Not yet started.</w:t>
            </w:r>
          </w:p>
        </w:tc>
        <w:tc>
          <w:tcPr>
            <w:tcW w:w="1773" w:type="dxa"/>
          </w:tcPr>
          <w:p w:rsidR="00F167E2" w:rsidRPr="00976BD2" w:rsidRDefault="00084396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>
              <w:rPr>
                <w:iCs/>
                <w:sz w:val="21"/>
                <w:szCs w:val="21"/>
              </w:rPr>
              <w:t>–</w:t>
            </w:r>
          </w:p>
        </w:tc>
      </w:tr>
      <w:tr w:rsidR="00F167E2" w:rsidTr="00817846">
        <w:tc>
          <w:tcPr>
            <w:tcW w:w="1951" w:type="dxa"/>
            <w:vMerge w:val="restart"/>
          </w:tcPr>
          <w:p w:rsidR="00F167E2" w:rsidRPr="00976BD2" w:rsidRDefault="00F167E2" w:rsidP="00817846">
            <w:pPr>
              <w:pStyle w:val="Tabletext"/>
              <w:spacing w:before="2"/>
              <w:rPr>
                <w:rFonts w:asciiTheme="majorBidi" w:hAnsiTheme="majorBidi" w:cstheme="majorBidi"/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Resolution</w:t>
            </w:r>
            <w:r w:rsidRPr="00976BD2">
              <w:rPr>
                <w:rFonts w:asciiTheme="majorBidi" w:hAnsiTheme="majorBidi" w:cstheme="majorBidi" w:hint="eastAsia"/>
                <w:sz w:val="21"/>
                <w:szCs w:val="21"/>
                <w:lang w:eastAsia="ja-JP"/>
              </w:rPr>
              <w:t xml:space="preserve"> </w:t>
            </w: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58</w:t>
            </w:r>
          </w:p>
        </w:tc>
        <w:tc>
          <w:tcPr>
            <w:tcW w:w="3402" w:type="dxa"/>
            <w:vMerge w:val="restart"/>
          </w:tcPr>
          <w:p w:rsidR="00F167E2" w:rsidRPr="00976BD2" w:rsidRDefault="00F167E2" w:rsidP="00F167E2">
            <w:pPr>
              <w:pStyle w:val="Tabletext"/>
              <w:spacing w:before="2"/>
              <w:rPr>
                <w:sz w:val="21"/>
                <w:szCs w:val="21"/>
              </w:rPr>
            </w:pPr>
            <w:r w:rsidRPr="00976BD2">
              <w:rPr>
                <w:sz w:val="21"/>
                <w:szCs w:val="21"/>
              </w:rPr>
              <w:t>Studies on the implementation and use of cognitive radio systems</w:t>
            </w:r>
          </w:p>
        </w:tc>
        <w:tc>
          <w:tcPr>
            <w:tcW w:w="1559" w:type="dxa"/>
          </w:tcPr>
          <w:p w:rsidR="00F167E2" w:rsidRPr="00976BD2" w:rsidRDefault="00F167E2" w:rsidP="00676ACE">
            <w:pPr>
              <w:pStyle w:val="Tabletext"/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WP </w:t>
            </w:r>
            <w:r w:rsidRPr="00976BD2">
              <w:rPr>
                <w:sz w:val="20"/>
                <w:lang w:eastAsia="ja-JP"/>
              </w:rPr>
              <w:t>1A</w:t>
            </w:r>
          </w:p>
        </w:tc>
        <w:tc>
          <w:tcPr>
            <w:tcW w:w="5529" w:type="dxa"/>
          </w:tcPr>
          <w:p w:rsidR="00F167E2" w:rsidRPr="00976BD2" w:rsidRDefault="00F167E2" w:rsidP="00AB3397">
            <w:pPr>
              <w:pStyle w:val="Tabletext"/>
              <w:spacing w:before="0"/>
              <w:rPr>
                <w:sz w:val="21"/>
                <w:szCs w:val="21"/>
                <w:lang w:eastAsia="ja-JP"/>
              </w:rPr>
            </w:pPr>
            <w:r w:rsidRPr="00976BD2">
              <w:rPr>
                <w:iCs/>
                <w:sz w:val="21"/>
                <w:szCs w:val="21"/>
                <w:lang w:eastAsia="ja-JP"/>
              </w:rPr>
              <w:t xml:space="preserve">Organization of the </w:t>
            </w:r>
            <w:r w:rsidRPr="00976BD2">
              <w:rPr>
                <w:lang w:eastAsia="ja-JP"/>
              </w:rPr>
              <w:t>studies on Cognitive Radio Systems (CRS) in relation to Resolution ITU-R 58 within Working Parties 1A and 1B</w:t>
            </w:r>
          </w:p>
        </w:tc>
        <w:tc>
          <w:tcPr>
            <w:tcW w:w="1773" w:type="dxa"/>
          </w:tcPr>
          <w:p w:rsidR="00F167E2" w:rsidRPr="00976BD2" w:rsidRDefault="00F167E2" w:rsidP="00084396">
            <w:pPr>
              <w:pStyle w:val="Tabletext"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 w:rsidRPr="00976BD2">
              <w:rPr>
                <w:iCs/>
                <w:sz w:val="21"/>
                <w:szCs w:val="21"/>
              </w:rPr>
              <w:t>Annex 11 to</w:t>
            </w:r>
            <w:r>
              <w:rPr>
                <w:iCs/>
                <w:sz w:val="21"/>
                <w:szCs w:val="21"/>
              </w:rPr>
              <w:br/>
            </w:r>
            <w:r w:rsidRPr="00976BD2">
              <w:rPr>
                <w:iCs/>
                <w:sz w:val="21"/>
                <w:szCs w:val="21"/>
              </w:rPr>
              <w:t xml:space="preserve">Doc. </w:t>
            </w:r>
            <w:hyperlink r:id="rId28" w:history="1">
              <w:r w:rsidRPr="00084396">
                <w:rPr>
                  <w:rStyle w:val="Hyperlink"/>
                  <w:iCs/>
                  <w:sz w:val="21"/>
                  <w:szCs w:val="21"/>
                </w:rPr>
                <w:t>1A/39</w:t>
              </w:r>
            </w:hyperlink>
          </w:p>
        </w:tc>
      </w:tr>
      <w:tr w:rsidR="00F167E2" w:rsidTr="00817846">
        <w:tc>
          <w:tcPr>
            <w:tcW w:w="1951" w:type="dxa"/>
            <w:vMerge/>
          </w:tcPr>
          <w:p w:rsidR="00F167E2" w:rsidRPr="00976BD2" w:rsidRDefault="00F167E2" w:rsidP="00676ACE">
            <w:pPr>
              <w:pStyle w:val="Tabletext"/>
              <w:spacing w:before="2"/>
              <w:ind w:left="62"/>
              <w:rPr>
                <w:rFonts w:asciiTheme="majorBidi" w:hAnsiTheme="majorBidi" w:cstheme="majorBidi"/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Merge/>
          </w:tcPr>
          <w:p w:rsidR="00F167E2" w:rsidRPr="00976BD2" w:rsidRDefault="00F167E2" w:rsidP="00F167E2">
            <w:pPr>
              <w:pStyle w:val="Tabletext"/>
              <w:spacing w:before="2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167E2" w:rsidRPr="00976BD2" w:rsidRDefault="00F167E2" w:rsidP="00676ACE">
            <w:pPr>
              <w:pStyle w:val="Tabletext"/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WP </w:t>
            </w:r>
            <w:r w:rsidRPr="00976BD2">
              <w:rPr>
                <w:sz w:val="20"/>
                <w:lang w:eastAsia="ja-JP"/>
              </w:rPr>
              <w:t>1B</w:t>
            </w:r>
          </w:p>
        </w:tc>
        <w:tc>
          <w:tcPr>
            <w:tcW w:w="5529" w:type="dxa"/>
          </w:tcPr>
          <w:p w:rsidR="00633B0E" w:rsidRPr="005F29E4" w:rsidRDefault="00FD0F30" w:rsidP="005F29E4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F167E2">
              <w:rPr>
                <w:sz w:val="21"/>
                <w:szCs w:val="21"/>
                <w:lang w:eastAsia="ja-JP"/>
              </w:rPr>
              <w:t>–</w:t>
            </w:r>
            <w:r w:rsidRPr="00F167E2">
              <w:rPr>
                <w:sz w:val="21"/>
                <w:szCs w:val="21"/>
                <w:lang w:eastAsia="ja-JP"/>
              </w:rPr>
              <w:tab/>
            </w:r>
            <w:r w:rsidR="00F167E2" w:rsidRPr="00976BD2">
              <w:rPr>
                <w:iCs/>
                <w:sz w:val="21"/>
                <w:szCs w:val="21"/>
                <w:lang w:eastAsia="ja-JP"/>
              </w:rPr>
              <w:t xml:space="preserve">Organization of the </w:t>
            </w:r>
            <w:r w:rsidR="00F167E2" w:rsidRPr="00976BD2">
              <w:rPr>
                <w:lang w:eastAsia="ja-JP"/>
              </w:rPr>
              <w:t>studies on Cognitive Radio Systems (CRS) in relation to Resolution ITU-R 58 within Working Parties 1A and 1B</w:t>
            </w:r>
          </w:p>
          <w:p w:rsidR="00633B0E" w:rsidRDefault="00522079" w:rsidP="005F29E4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F167E2">
              <w:rPr>
                <w:sz w:val="21"/>
                <w:szCs w:val="21"/>
                <w:lang w:eastAsia="ja-JP"/>
              </w:rPr>
              <w:t>–</w:t>
            </w:r>
            <w:r w:rsidRPr="00F167E2">
              <w:rPr>
                <w:sz w:val="21"/>
                <w:szCs w:val="21"/>
                <w:lang w:eastAsia="ja-JP"/>
              </w:rPr>
              <w:tab/>
            </w:r>
            <w:r>
              <w:rPr>
                <w:sz w:val="21"/>
                <w:szCs w:val="21"/>
                <w:lang w:eastAsia="ja-JP"/>
              </w:rPr>
              <w:t xml:space="preserve">An </w:t>
            </w:r>
            <w:hyperlink r:id="rId29" w:history="1">
              <w:r w:rsidRPr="00A255DE">
                <w:rPr>
                  <w:rStyle w:val="Hyperlink"/>
                  <w:sz w:val="21"/>
                  <w:szCs w:val="21"/>
                  <w:lang w:eastAsia="ja-JP"/>
                </w:rPr>
                <w:t xml:space="preserve">ITU Workshop – </w:t>
              </w:r>
              <w:r w:rsidRPr="001A2EC6">
                <w:rPr>
                  <w:rStyle w:val="Hyperlink"/>
                  <w:rFonts w:cs="Segoe UI"/>
                </w:rPr>
                <w:t>Spectrum Management issues on the use of White Spaces by Cognitive Radio Systems</w:t>
              </w:r>
            </w:hyperlink>
            <w:r>
              <w:rPr>
                <w:sz w:val="21"/>
                <w:szCs w:val="21"/>
                <w:lang w:eastAsia="ja-JP"/>
              </w:rPr>
              <w:t xml:space="preserve"> was held on 20 January 2014</w:t>
            </w:r>
            <w:r w:rsidRPr="00F167E2">
              <w:rPr>
                <w:sz w:val="21"/>
                <w:szCs w:val="21"/>
                <w:lang w:eastAsia="ja-JP"/>
              </w:rPr>
              <w:t>.</w:t>
            </w:r>
          </w:p>
          <w:p w:rsidR="00633B0E" w:rsidRDefault="00DD134C" w:rsidP="005F29E4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612490">
              <w:rPr>
                <w:sz w:val="21"/>
                <w:szCs w:val="21"/>
                <w:lang w:eastAsia="ja-JP"/>
              </w:rPr>
              <w:t>–</w:t>
            </w:r>
            <w:r w:rsidRPr="00612490">
              <w:rPr>
                <w:sz w:val="21"/>
                <w:szCs w:val="21"/>
                <w:lang w:eastAsia="ja-JP"/>
              </w:rPr>
              <w:tab/>
              <w:t>Working Document towards a preliminary draft new Report ITU-R SM.[</w:t>
            </w:r>
            <w:r>
              <w:rPr>
                <w:lang w:eastAsia="zh-CN"/>
              </w:rPr>
              <w:t xml:space="preserve"> DYNAMIC ACCESS</w:t>
            </w:r>
            <w:r w:rsidRPr="00612490">
              <w:rPr>
                <w:sz w:val="21"/>
                <w:szCs w:val="21"/>
                <w:lang w:eastAsia="ja-JP"/>
              </w:rPr>
              <w:t>]</w:t>
            </w:r>
          </w:p>
        </w:tc>
        <w:tc>
          <w:tcPr>
            <w:tcW w:w="1773" w:type="dxa"/>
          </w:tcPr>
          <w:p w:rsidR="00633B0E" w:rsidRDefault="00F167E2" w:rsidP="005F29E4">
            <w:pPr>
              <w:pStyle w:val="Tabletext"/>
              <w:spacing w:before="0"/>
              <w:ind w:left="284" w:hanging="284"/>
              <w:jc w:val="center"/>
              <w:rPr>
                <w:iCs/>
                <w:sz w:val="21"/>
                <w:szCs w:val="21"/>
              </w:rPr>
            </w:pPr>
            <w:r w:rsidRPr="00976BD2">
              <w:rPr>
                <w:iCs/>
                <w:sz w:val="21"/>
                <w:szCs w:val="21"/>
              </w:rPr>
              <w:t>Annex 14 to</w:t>
            </w:r>
            <w:r>
              <w:rPr>
                <w:iCs/>
                <w:sz w:val="21"/>
                <w:szCs w:val="21"/>
              </w:rPr>
              <w:br/>
            </w:r>
            <w:r w:rsidRPr="00976BD2">
              <w:rPr>
                <w:iCs/>
                <w:sz w:val="21"/>
                <w:szCs w:val="21"/>
              </w:rPr>
              <w:t xml:space="preserve">Doc. </w:t>
            </w:r>
            <w:hyperlink r:id="rId30" w:history="1">
              <w:r w:rsidRPr="00084396">
                <w:rPr>
                  <w:rStyle w:val="Hyperlink"/>
                  <w:iCs/>
                  <w:sz w:val="21"/>
                  <w:szCs w:val="21"/>
                </w:rPr>
                <w:t>1B/42</w:t>
              </w:r>
            </w:hyperlink>
            <w:r w:rsidR="00522079">
              <w:rPr>
                <w:iCs/>
                <w:sz w:val="21"/>
                <w:szCs w:val="21"/>
              </w:rPr>
              <w:br/>
            </w:r>
          </w:p>
          <w:p w:rsidR="00633B0E" w:rsidRDefault="00084396" w:rsidP="005F29E4">
            <w:pPr>
              <w:pStyle w:val="Tabletext"/>
              <w:spacing w:before="0"/>
              <w:ind w:left="284" w:hanging="284"/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–</w:t>
            </w:r>
            <w:r w:rsidR="00522079">
              <w:rPr>
                <w:iCs/>
                <w:sz w:val="21"/>
                <w:szCs w:val="21"/>
              </w:rPr>
              <w:br/>
            </w:r>
            <w:r w:rsidR="00522079">
              <w:rPr>
                <w:iCs/>
                <w:sz w:val="21"/>
                <w:szCs w:val="21"/>
              </w:rPr>
              <w:br/>
            </w:r>
          </w:p>
          <w:p w:rsidR="00633B0E" w:rsidRDefault="00DD134C" w:rsidP="005F29E4">
            <w:pPr>
              <w:pStyle w:val="Tabletext"/>
              <w:spacing w:before="0"/>
              <w:ind w:left="284" w:hanging="284"/>
              <w:jc w:val="center"/>
              <w:rPr>
                <w:iCs/>
                <w:sz w:val="21"/>
                <w:szCs w:val="21"/>
                <w:lang w:eastAsia="ja-JP"/>
              </w:rPr>
            </w:pPr>
            <w:r w:rsidRPr="00612490">
              <w:rPr>
                <w:iCs/>
                <w:sz w:val="21"/>
                <w:szCs w:val="21"/>
              </w:rPr>
              <w:t xml:space="preserve">Relevant annex to Doc. </w:t>
            </w:r>
            <w:hyperlink r:id="rId31" w:history="1">
              <w:r w:rsidRPr="00612490">
                <w:rPr>
                  <w:rStyle w:val="Hyperlink"/>
                  <w:iCs/>
                  <w:sz w:val="21"/>
                  <w:szCs w:val="21"/>
                </w:rPr>
                <w:t>1B/181</w:t>
              </w:r>
            </w:hyperlink>
          </w:p>
        </w:tc>
      </w:tr>
      <w:tr w:rsidR="00F167E2" w:rsidTr="00817846">
        <w:tc>
          <w:tcPr>
            <w:tcW w:w="1951" w:type="dxa"/>
            <w:vMerge/>
          </w:tcPr>
          <w:p w:rsidR="00F167E2" w:rsidRPr="00976BD2" w:rsidRDefault="00F167E2" w:rsidP="00676ACE">
            <w:pPr>
              <w:pStyle w:val="Tabletext"/>
              <w:spacing w:before="2"/>
              <w:ind w:left="62"/>
              <w:rPr>
                <w:rFonts w:asciiTheme="majorBidi" w:hAnsiTheme="majorBidi" w:cstheme="majorBidi"/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Merge/>
          </w:tcPr>
          <w:p w:rsidR="00F167E2" w:rsidRPr="00976BD2" w:rsidRDefault="00F167E2" w:rsidP="00F167E2">
            <w:pPr>
              <w:pStyle w:val="Tabletext"/>
              <w:spacing w:before="2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167E2" w:rsidRPr="00976BD2" w:rsidRDefault="00F167E2" w:rsidP="00676ACE">
            <w:pPr>
              <w:pStyle w:val="Tabletext"/>
              <w:keepNext/>
              <w:keepLines/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sz w:val="20"/>
                <w:lang w:eastAsia="ja-JP"/>
              </w:rPr>
              <w:t>WP 1C</w:t>
            </w:r>
          </w:p>
        </w:tc>
        <w:tc>
          <w:tcPr>
            <w:tcW w:w="5529" w:type="dxa"/>
          </w:tcPr>
          <w:p w:rsidR="00633B0E" w:rsidRDefault="00F167E2">
            <w:pPr>
              <w:pStyle w:val="Tabletext"/>
              <w:spacing w:before="0"/>
              <w:rPr>
                <w:sz w:val="21"/>
                <w:szCs w:val="21"/>
                <w:lang w:eastAsia="ja-JP"/>
              </w:rPr>
            </w:pPr>
            <w:r w:rsidRPr="00976BD2">
              <w:rPr>
                <w:lang w:eastAsia="ja-JP"/>
              </w:rPr>
              <w:t xml:space="preserve">Studies on spectrum monitoring evolution in response to Question ITU-R 235/1 (see </w:t>
            </w:r>
            <w:r w:rsidRPr="00976BD2">
              <w:rPr>
                <w:i/>
                <w:iCs/>
                <w:lang w:eastAsia="ja-JP"/>
              </w:rPr>
              <w:t>considering c)</w:t>
            </w:r>
            <w:r w:rsidRPr="00976BD2">
              <w:rPr>
                <w:lang w:eastAsia="ja-JP"/>
              </w:rPr>
              <w:t>)</w:t>
            </w:r>
            <w:r w:rsidR="00944206">
              <w:rPr>
                <w:lang w:eastAsia="ja-JP"/>
              </w:rPr>
              <w:t>:</w:t>
            </w:r>
            <w:r w:rsidR="00944206">
              <w:rPr>
                <w:lang w:eastAsia="ja-JP"/>
              </w:rPr>
              <w:br/>
            </w:r>
            <w:r w:rsidR="00944206" w:rsidRPr="00976BD2">
              <w:rPr>
                <w:lang w:eastAsia="ja-JP"/>
              </w:rPr>
              <w:t>–</w:t>
            </w:r>
            <w:r w:rsidR="00944206" w:rsidRPr="00944206">
              <w:rPr>
                <w:sz w:val="21"/>
                <w:szCs w:val="21"/>
                <w:lang w:eastAsia="ja-JP"/>
              </w:rPr>
              <w:tab/>
            </w:r>
            <w:hyperlink r:id="rId32" w:history="1">
              <w:r w:rsidR="00944206" w:rsidRPr="00944206">
                <w:rPr>
                  <w:rStyle w:val="Hyperlink"/>
                  <w:sz w:val="21"/>
                  <w:szCs w:val="21"/>
                  <w:lang w:eastAsia="ja-JP"/>
                </w:rPr>
                <w:t>Recommendation ITU-R SM.2039</w:t>
              </w:r>
            </w:hyperlink>
            <w:r w:rsidR="00944206">
              <w:rPr>
                <w:lang w:eastAsia="ja-JP"/>
              </w:rPr>
              <w:br/>
            </w:r>
            <w:r w:rsidRPr="00976BD2">
              <w:rPr>
                <w:lang w:eastAsia="ja-JP"/>
              </w:rPr>
              <w:t>–</w:t>
            </w:r>
            <w:r w:rsidR="0028536D" w:rsidRPr="00944206">
              <w:rPr>
                <w:sz w:val="21"/>
                <w:szCs w:val="21"/>
                <w:lang w:eastAsia="ja-JP"/>
              </w:rPr>
              <w:tab/>
            </w:r>
            <w:r w:rsidRPr="00976BD2">
              <w:rPr>
                <w:lang w:eastAsia="ja-JP"/>
              </w:rPr>
              <w:t>Working document towards a draft new Re</w:t>
            </w:r>
            <w:r w:rsidR="00BC3EC0">
              <w:rPr>
                <w:lang w:eastAsia="ja-JP"/>
              </w:rPr>
              <w:t>port</w:t>
            </w:r>
            <w:r w:rsidRPr="00976BD2">
              <w:rPr>
                <w:lang w:eastAsia="ja-JP"/>
              </w:rPr>
              <w:t xml:space="preserve"> ITU-R SM.[</w:t>
            </w:r>
            <w:r w:rsidRPr="00084396">
              <w:rPr>
                <w:caps/>
              </w:rPr>
              <w:t>spectrum</w:t>
            </w:r>
            <w:r w:rsidRPr="00976BD2">
              <w:rPr>
                <w:lang w:eastAsia="zh-CN"/>
              </w:rPr>
              <w:t>_MONITORING</w:t>
            </w:r>
            <w:r w:rsidRPr="00976BD2">
              <w:t>_</w:t>
            </w:r>
            <w:r w:rsidRPr="00976BD2">
              <w:rPr>
                <w:lang w:eastAsia="zh-CN"/>
              </w:rPr>
              <w:t>EVOLUTION]</w:t>
            </w:r>
          </w:p>
        </w:tc>
        <w:tc>
          <w:tcPr>
            <w:tcW w:w="1773" w:type="dxa"/>
          </w:tcPr>
          <w:p w:rsidR="00633B0E" w:rsidRDefault="00944206">
            <w:pPr>
              <w:pStyle w:val="Tabletext"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>
              <w:rPr>
                <w:iCs/>
                <w:sz w:val="21"/>
                <w:szCs w:val="21"/>
              </w:rPr>
              <w:br/>
            </w:r>
            <w:r>
              <w:rPr>
                <w:iCs/>
                <w:sz w:val="21"/>
                <w:szCs w:val="21"/>
              </w:rPr>
              <w:br/>
            </w:r>
            <w:r w:rsidRPr="00976BD2">
              <w:rPr>
                <w:lang w:eastAsia="ja-JP"/>
              </w:rPr>
              <w:t>–</w:t>
            </w:r>
            <w:r>
              <w:rPr>
                <w:iCs/>
                <w:sz w:val="21"/>
                <w:szCs w:val="21"/>
              </w:rPr>
              <w:br/>
            </w:r>
            <w:r w:rsidR="004D53F2" w:rsidRPr="00612490">
              <w:rPr>
                <w:iCs/>
                <w:sz w:val="21"/>
                <w:szCs w:val="21"/>
              </w:rPr>
              <w:t>Relevant a</w:t>
            </w:r>
            <w:r w:rsidR="00F167E2" w:rsidRPr="00976BD2">
              <w:rPr>
                <w:iCs/>
                <w:sz w:val="21"/>
                <w:szCs w:val="21"/>
              </w:rPr>
              <w:t>nnex to</w:t>
            </w:r>
            <w:r w:rsidR="004D53F2">
              <w:rPr>
                <w:iCs/>
                <w:sz w:val="21"/>
                <w:szCs w:val="21"/>
              </w:rPr>
              <w:t xml:space="preserve"> </w:t>
            </w:r>
            <w:r w:rsidR="00F167E2" w:rsidRPr="00976BD2">
              <w:rPr>
                <w:iCs/>
                <w:sz w:val="21"/>
                <w:szCs w:val="21"/>
              </w:rPr>
              <w:t xml:space="preserve">Doc. </w:t>
            </w:r>
            <w:hyperlink r:id="rId33" w:history="1">
              <w:r w:rsidR="00F167E2" w:rsidRPr="00BC3EC0">
                <w:rPr>
                  <w:rStyle w:val="Hyperlink"/>
                  <w:iCs/>
                  <w:sz w:val="21"/>
                  <w:szCs w:val="21"/>
                </w:rPr>
                <w:t>1C/</w:t>
              </w:r>
              <w:r w:rsidR="00BC3EC0" w:rsidRPr="00BC3EC0">
                <w:rPr>
                  <w:rStyle w:val="Hyperlink"/>
                  <w:iCs/>
                  <w:sz w:val="21"/>
                  <w:szCs w:val="21"/>
                </w:rPr>
                <w:t>119</w:t>
              </w:r>
            </w:hyperlink>
          </w:p>
        </w:tc>
      </w:tr>
      <w:tr w:rsidR="00E60ADB" w:rsidTr="00314143">
        <w:tc>
          <w:tcPr>
            <w:tcW w:w="14214" w:type="dxa"/>
            <w:gridSpan w:val="5"/>
          </w:tcPr>
          <w:p w:rsidR="00E60ADB" w:rsidRDefault="00E60ADB" w:rsidP="004D53F2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…/…</w:t>
            </w:r>
          </w:p>
        </w:tc>
      </w:tr>
      <w:tr w:rsidR="00955BAD" w:rsidTr="00817846">
        <w:tc>
          <w:tcPr>
            <w:tcW w:w="1951" w:type="dxa"/>
          </w:tcPr>
          <w:p w:rsidR="00955BAD" w:rsidRPr="00976BD2" w:rsidDel="00BB22C0" w:rsidRDefault="00955BAD" w:rsidP="00DB44DD">
            <w:pPr>
              <w:pStyle w:val="Tabletext"/>
              <w:keepNext/>
              <w:keepLines/>
              <w:spacing w:before="2"/>
              <w:rPr>
                <w:rFonts w:asciiTheme="majorBidi" w:hAnsiTheme="majorBidi" w:cstheme="majorBidi"/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lastRenderedPageBreak/>
              <w:t>Resolution</w:t>
            </w:r>
            <w:r w:rsidRPr="00976BD2">
              <w:rPr>
                <w:rFonts w:asciiTheme="majorBidi" w:hAnsiTheme="majorBidi" w:cstheme="majorBidi" w:hint="eastAsia"/>
                <w:sz w:val="21"/>
                <w:szCs w:val="21"/>
                <w:lang w:eastAsia="ja-JP"/>
              </w:rPr>
              <w:t xml:space="preserve"> </w:t>
            </w: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59</w:t>
            </w:r>
          </w:p>
        </w:tc>
        <w:tc>
          <w:tcPr>
            <w:tcW w:w="3402" w:type="dxa"/>
          </w:tcPr>
          <w:p w:rsidR="00955BAD" w:rsidRPr="00976BD2" w:rsidRDefault="00955BAD" w:rsidP="00DB44DD">
            <w:pPr>
              <w:pStyle w:val="Figurelegend"/>
              <w:spacing w:before="2" w:after="40"/>
              <w:rPr>
                <w:rFonts w:eastAsia="MS PGothic"/>
                <w:sz w:val="21"/>
                <w:szCs w:val="21"/>
                <w:lang w:val="en-US" w:eastAsia="ja-JP"/>
              </w:rPr>
            </w:pPr>
            <w:r w:rsidRPr="00976BD2">
              <w:rPr>
                <w:rFonts w:eastAsia="MS PGothic"/>
                <w:sz w:val="21"/>
                <w:szCs w:val="21"/>
                <w:lang w:val="en-US" w:eastAsia="ja-JP"/>
              </w:rPr>
              <w:t>Studies on availability of frequency bands and/or tuning ranges for worldwide and/or regional harmonization and conditions for their use by terrestrial electronic news gathering systems</w:t>
            </w:r>
          </w:p>
        </w:tc>
        <w:tc>
          <w:tcPr>
            <w:tcW w:w="1559" w:type="dxa"/>
          </w:tcPr>
          <w:p w:rsidR="00955BAD" w:rsidRPr="00976BD2" w:rsidRDefault="00955BAD" w:rsidP="00DB44DD">
            <w:pPr>
              <w:pStyle w:val="Tabletext"/>
              <w:keepNext/>
              <w:keepLines/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WP </w:t>
            </w:r>
            <w:r w:rsidRPr="00976BD2">
              <w:rPr>
                <w:sz w:val="20"/>
                <w:lang w:eastAsia="ja-JP"/>
              </w:rPr>
              <w:t>1B</w:t>
            </w:r>
          </w:p>
        </w:tc>
        <w:tc>
          <w:tcPr>
            <w:tcW w:w="5529" w:type="dxa"/>
          </w:tcPr>
          <w:p w:rsidR="00955BAD" w:rsidRPr="00976BD2" w:rsidRDefault="00955BAD" w:rsidP="00DB44DD">
            <w:pPr>
              <w:pStyle w:val="Tabletext"/>
              <w:keepNext/>
              <w:keepLines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Not yet started.</w:t>
            </w:r>
          </w:p>
        </w:tc>
        <w:tc>
          <w:tcPr>
            <w:tcW w:w="1773" w:type="dxa"/>
          </w:tcPr>
          <w:p w:rsidR="00955BAD" w:rsidRPr="00976BD2" w:rsidRDefault="00557D38" w:rsidP="00DB44DD">
            <w:pPr>
              <w:pStyle w:val="Tabletext"/>
              <w:keepNext/>
              <w:keepLines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 w:rsidRPr="00976BD2">
              <w:rPr>
                <w:lang w:eastAsia="ja-JP"/>
              </w:rPr>
              <w:t>–</w:t>
            </w:r>
          </w:p>
        </w:tc>
      </w:tr>
      <w:tr w:rsidR="00955BAD" w:rsidTr="00817846">
        <w:tc>
          <w:tcPr>
            <w:tcW w:w="1951" w:type="dxa"/>
          </w:tcPr>
          <w:p w:rsidR="00955BAD" w:rsidRPr="00976BD2" w:rsidRDefault="00955BAD" w:rsidP="00F40D06">
            <w:pPr>
              <w:pStyle w:val="Tabletext"/>
              <w:keepNext/>
              <w:spacing w:before="2"/>
              <w:rPr>
                <w:sz w:val="21"/>
                <w:szCs w:val="21"/>
              </w:rPr>
            </w:pPr>
            <w:r w:rsidRPr="00976BD2">
              <w:rPr>
                <w:sz w:val="21"/>
                <w:szCs w:val="21"/>
              </w:rPr>
              <w:t>Resolution</w:t>
            </w:r>
            <w:r w:rsidRPr="00976BD2">
              <w:rPr>
                <w:rFonts w:hint="eastAsia"/>
                <w:sz w:val="21"/>
                <w:szCs w:val="21"/>
                <w:lang w:eastAsia="ja-JP"/>
              </w:rPr>
              <w:t xml:space="preserve"> 60</w:t>
            </w:r>
          </w:p>
        </w:tc>
        <w:tc>
          <w:tcPr>
            <w:tcW w:w="3402" w:type="dxa"/>
          </w:tcPr>
          <w:p w:rsidR="00955BAD" w:rsidRPr="00976BD2" w:rsidRDefault="00955BAD" w:rsidP="00FC6A70">
            <w:pPr>
              <w:pStyle w:val="Tabletext"/>
              <w:keepNext/>
              <w:spacing w:before="2"/>
              <w:rPr>
                <w:sz w:val="21"/>
                <w:szCs w:val="21"/>
              </w:rPr>
            </w:pPr>
            <w:r w:rsidRPr="00976BD2">
              <w:rPr>
                <w:sz w:val="21"/>
                <w:szCs w:val="21"/>
              </w:rPr>
              <w:t>Reduction of energy consumption for environmental protection and mitigating climate change by use of ICT/radiocommunication technologies and systems</w:t>
            </w:r>
          </w:p>
        </w:tc>
        <w:tc>
          <w:tcPr>
            <w:tcW w:w="1559" w:type="dxa"/>
          </w:tcPr>
          <w:p w:rsidR="00955BAD" w:rsidRPr="00976BD2" w:rsidRDefault="00955BAD" w:rsidP="00F40D06">
            <w:pPr>
              <w:pStyle w:val="Tabletext"/>
              <w:keepNext/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rFonts w:hint="eastAsia"/>
                <w:sz w:val="20"/>
                <w:lang w:eastAsia="ja-JP"/>
              </w:rPr>
              <w:t xml:space="preserve">WP </w:t>
            </w:r>
            <w:r w:rsidRPr="00976BD2">
              <w:rPr>
                <w:sz w:val="20"/>
                <w:lang w:eastAsia="ja-JP"/>
              </w:rPr>
              <w:t>1B</w:t>
            </w:r>
          </w:p>
        </w:tc>
        <w:tc>
          <w:tcPr>
            <w:tcW w:w="5529" w:type="dxa"/>
          </w:tcPr>
          <w:p w:rsidR="00955BAD" w:rsidRPr="00976BD2" w:rsidRDefault="00955BAD" w:rsidP="00F40D06">
            <w:pPr>
              <w:pStyle w:val="Tabletext"/>
              <w:keepNext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Not yet started.</w:t>
            </w:r>
          </w:p>
        </w:tc>
        <w:tc>
          <w:tcPr>
            <w:tcW w:w="1773" w:type="dxa"/>
          </w:tcPr>
          <w:p w:rsidR="00955BAD" w:rsidRPr="00976BD2" w:rsidRDefault="00557D38" w:rsidP="00F40D06">
            <w:pPr>
              <w:pStyle w:val="Tabletext"/>
              <w:keepNext/>
              <w:spacing w:before="2"/>
              <w:jc w:val="center"/>
              <w:rPr>
                <w:iCs/>
                <w:sz w:val="21"/>
                <w:szCs w:val="21"/>
                <w:lang w:eastAsia="ja-JP"/>
              </w:rPr>
            </w:pPr>
            <w:r w:rsidRPr="00976BD2">
              <w:rPr>
                <w:lang w:eastAsia="ja-JP"/>
              </w:rPr>
              <w:t>–</w:t>
            </w:r>
          </w:p>
        </w:tc>
      </w:tr>
      <w:tr w:rsidR="00955BAD" w:rsidTr="00817846">
        <w:tc>
          <w:tcPr>
            <w:tcW w:w="1951" w:type="dxa"/>
          </w:tcPr>
          <w:p w:rsidR="00955BAD" w:rsidRPr="00976BD2" w:rsidRDefault="00955BAD" w:rsidP="00817846">
            <w:pPr>
              <w:pStyle w:val="Tabletext"/>
              <w:spacing w:before="2"/>
              <w:rPr>
                <w:rFonts w:asciiTheme="majorBidi" w:hAnsiTheme="majorBidi" w:cstheme="majorBidi"/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Resolution</w:t>
            </w:r>
            <w:r w:rsidRPr="00976BD2">
              <w:rPr>
                <w:rFonts w:asciiTheme="majorBidi" w:hAnsiTheme="majorBidi" w:cstheme="majorBidi" w:hint="eastAsia"/>
                <w:sz w:val="21"/>
                <w:szCs w:val="21"/>
                <w:lang w:eastAsia="ja-JP"/>
              </w:rPr>
              <w:t xml:space="preserve"> 6</w:t>
            </w: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3402" w:type="dxa"/>
          </w:tcPr>
          <w:p w:rsidR="00955BAD" w:rsidRPr="00E31AE0" w:rsidRDefault="00BC48F8" w:rsidP="00F167E2">
            <w:pPr>
              <w:pStyle w:val="Tabletext"/>
              <w:spacing w:before="2"/>
              <w:rPr>
                <w:rFonts w:eastAsia="MS PGothic"/>
                <w:sz w:val="21"/>
                <w:szCs w:val="21"/>
                <w:lang w:val="en-US" w:eastAsia="ja-JP"/>
              </w:rPr>
            </w:pPr>
            <w:r w:rsidRPr="00E31AE0">
              <w:rPr>
                <w:sz w:val="21"/>
                <w:szCs w:val="21"/>
              </w:rPr>
              <w:t>ITU R’</w:t>
            </w:r>
            <w:r w:rsidR="00955BAD" w:rsidRPr="00E31AE0">
              <w:rPr>
                <w:sz w:val="21"/>
                <w:szCs w:val="21"/>
              </w:rPr>
              <w:t>s contribution in implementing the outcomes of the World Summit on the Information Society</w:t>
            </w:r>
          </w:p>
        </w:tc>
        <w:tc>
          <w:tcPr>
            <w:tcW w:w="1559" w:type="dxa"/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sz w:val="20"/>
                <w:lang w:eastAsia="ja-JP"/>
              </w:rPr>
              <w:t>SG 1</w:t>
            </w:r>
          </w:p>
        </w:tc>
        <w:tc>
          <w:tcPr>
            <w:tcW w:w="5529" w:type="dxa"/>
          </w:tcPr>
          <w:p w:rsidR="00955BAD" w:rsidRPr="00976BD2" w:rsidRDefault="00955BAD" w:rsidP="00AB3397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Not yet started.</w:t>
            </w:r>
          </w:p>
        </w:tc>
        <w:tc>
          <w:tcPr>
            <w:tcW w:w="1773" w:type="dxa"/>
          </w:tcPr>
          <w:p w:rsidR="00955BAD" w:rsidRPr="00976BD2" w:rsidRDefault="00557D38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 w:rsidRPr="00976BD2">
              <w:rPr>
                <w:lang w:eastAsia="ja-JP"/>
              </w:rPr>
              <w:t>–</w:t>
            </w:r>
          </w:p>
        </w:tc>
      </w:tr>
      <w:tr w:rsidR="00955BAD" w:rsidTr="00817846">
        <w:tc>
          <w:tcPr>
            <w:tcW w:w="1951" w:type="dxa"/>
            <w:tcBorders>
              <w:bottom w:val="single" w:sz="4" w:space="0" w:color="auto"/>
            </w:tcBorders>
          </w:tcPr>
          <w:p w:rsidR="00955BAD" w:rsidRPr="00976BD2" w:rsidRDefault="00955BAD" w:rsidP="00817846">
            <w:pPr>
              <w:pStyle w:val="Tabletext"/>
              <w:spacing w:before="2"/>
              <w:rPr>
                <w:rFonts w:asciiTheme="majorBidi" w:hAnsiTheme="majorBidi" w:cstheme="majorBidi"/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Resolution</w:t>
            </w:r>
            <w:r w:rsidRPr="00976BD2">
              <w:rPr>
                <w:rFonts w:asciiTheme="majorBidi" w:hAnsiTheme="majorBidi" w:cstheme="majorBidi" w:hint="eastAsia"/>
                <w:sz w:val="21"/>
                <w:szCs w:val="21"/>
                <w:lang w:eastAsia="ja-JP"/>
              </w:rPr>
              <w:t xml:space="preserve"> 62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55BAD" w:rsidRPr="00976BD2" w:rsidRDefault="00955BAD" w:rsidP="00F167E2">
            <w:pPr>
              <w:pStyle w:val="Tabletext"/>
              <w:spacing w:before="2"/>
              <w:rPr>
                <w:rFonts w:eastAsia="MS PGothic"/>
                <w:sz w:val="21"/>
                <w:szCs w:val="21"/>
                <w:lang w:val="en-US" w:eastAsia="ja-JP"/>
              </w:rPr>
            </w:pPr>
            <w:r w:rsidRPr="00976BD2">
              <w:rPr>
                <w:rFonts w:eastAsia="MS PGothic"/>
                <w:sz w:val="21"/>
                <w:szCs w:val="21"/>
                <w:lang w:val="en-US" w:eastAsia="ja-JP"/>
              </w:rPr>
              <w:t>Studies related to testing for conformance with ITU R Recommendations and interoperability of radiocommunication equipment and systems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5BAD" w:rsidRPr="00976BD2" w:rsidRDefault="00955BAD" w:rsidP="00676ACE">
            <w:pPr>
              <w:pStyle w:val="Tabletext"/>
              <w:spacing w:before="2"/>
              <w:jc w:val="center"/>
              <w:rPr>
                <w:sz w:val="20"/>
                <w:lang w:eastAsia="ja-JP"/>
              </w:rPr>
            </w:pPr>
            <w:r w:rsidRPr="00976BD2">
              <w:rPr>
                <w:sz w:val="20"/>
                <w:lang w:eastAsia="ja-JP"/>
              </w:rPr>
              <w:t xml:space="preserve">SG 1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55BAD" w:rsidRPr="00976BD2" w:rsidRDefault="00955BAD" w:rsidP="00AB3397">
            <w:pPr>
              <w:pStyle w:val="Tabletext"/>
              <w:spacing w:before="0"/>
              <w:ind w:left="284" w:hanging="284"/>
              <w:rPr>
                <w:sz w:val="21"/>
                <w:szCs w:val="21"/>
                <w:lang w:eastAsia="ja-JP"/>
              </w:rPr>
            </w:pPr>
            <w:r w:rsidRPr="00976BD2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Not yet started.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955BAD" w:rsidRPr="00976BD2" w:rsidRDefault="00557D38" w:rsidP="00676ACE">
            <w:pPr>
              <w:pStyle w:val="Tabletext"/>
              <w:spacing w:before="2"/>
              <w:jc w:val="center"/>
              <w:rPr>
                <w:iCs/>
                <w:sz w:val="21"/>
                <w:szCs w:val="21"/>
              </w:rPr>
            </w:pPr>
            <w:r w:rsidRPr="00976BD2">
              <w:rPr>
                <w:lang w:eastAsia="ja-JP"/>
              </w:rPr>
              <w:t>–</w:t>
            </w:r>
          </w:p>
        </w:tc>
      </w:tr>
      <w:tr w:rsidR="00817846" w:rsidTr="00817846">
        <w:tc>
          <w:tcPr>
            <w:tcW w:w="14214" w:type="dxa"/>
            <w:gridSpan w:val="5"/>
            <w:tcBorders>
              <w:left w:val="nil"/>
              <w:bottom w:val="nil"/>
              <w:right w:val="nil"/>
            </w:tcBorders>
          </w:tcPr>
          <w:p w:rsidR="00817846" w:rsidRPr="00817846" w:rsidRDefault="00817846" w:rsidP="00817846">
            <w:pPr>
              <w:pStyle w:val="enumlev1"/>
              <w:tabs>
                <w:tab w:val="clear" w:pos="794"/>
              </w:tabs>
              <w:spacing w:before="120" w:after="120"/>
              <w:ind w:left="0" w:firstLine="0"/>
              <w:rPr>
                <w:sz w:val="20"/>
              </w:rPr>
            </w:pPr>
            <w:r w:rsidRPr="00D7268E">
              <w:rPr>
                <w:sz w:val="20"/>
                <w:lang w:eastAsia="ja-JP"/>
              </w:rPr>
              <w:t xml:space="preserve">NOTE </w:t>
            </w:r>
            <w:r w:rsidRPr="00D7268E">
              <w:rPr>
                <w:rFonts w:hint="eastAsia"/>
                <w:sz w:val="20"/>
                <w:lang w:eastAsia="ja-JP"/>
              </w:rPr>
              <w:t>1</w:t>
            </w:r>
            <w:r>
              <w:rPr>
                <w:sz w:val="20"/>
                <w:lang w:eastAsia="ja-JP"/>
              </w:rPr>
              <w:t xml:space="preserve"> </w:t>
            </w:r>
            <w:r w:rsidRPr="00977C69">
              <w:rPr>
                <w:sz w:val="20"/>
                <w:lang w:eastAsia="ja-JP"/>
              </w:rPr>
              <w:t>–</w:t>
            </w:r>
            <w:r w:rsidRPr="00D7268E">
              <w:rPr>
                <w:rFonts w:hint="eastAsia"/>
                <w:sz w:val="20"/>
                <w:lang w:eastAsia="ja-JP"/>
              </w:rPr>
              <w:t xml:space="preserve"> </w:t>
            </w:r>
            <w:r w:rsidRPr="00723DB5">
              <w:rPr>
                <w:sz w:val="20"/>
                <w:lang w:val="en-US"/>
              </w:rPr>
              <w:t>WP 1A may also be involved upon request from WP 1B.</w:t>
            </w:r>
          </w:p>
        </w:tc>
      </w:tr>
    </w:tbl>
    <w:p w:rsidR="00955BAD" w:rsidRDefault="00955BAD" w:rsidP="00955BAD">
      <w:pPr>
        <w:rPr>
          <w:lang w:eastAsia="ja-JP"/>
        </w:rPr>
      </w:pPr>
    </w:p>
    <w:p w:rsidR="00955BAD" w:rsidRDefault="00955BAD" w:rsidP="00955BAD">
      <w:pPr>
        <w:rPr>
          <w:lang w:eastAsia="ja-JP"/>
        </w:rPr>
      </w:pPr>
    </w:p>
    <w:p w:rsidR="00723DB5" w:rsidRDefault="00723DB5" w:rsidP="00723DB5">
      <w:pPr>
        <w:ind w:right="-142"/>
        <w:jc w:val="center"/>
      </w:pPr>
      <w:r>
        <w:t>_____________</w:t>
      </w:r>
    </w:p>
    <w:sectPr w:rsidR="00723DB5" w:rsidSect="00817846">
      <w:headerReference w:type="default" r:id="rId34"/>
      <w:headerReference w:type="first" r:id="rId35"/>
      <w:footerReference w:type="first" r:id="rId36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DD" w:rsidRDefault="003936DD">
      <w:r>
        <w:separator/>
      </w:r>
    </w:p>
  </w:endnote>
  <w:endnote w:type="continuationSeparator" w:id="0">
    <w:p w:rsidR="003936DD" w:rsidRDefault="0039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F71" w:rsidRDefault="003F4313" w:rsidP="001E0433">
    <w:pPr>
      <w:pStyle w:val="Footer"/>
    </w:pPr>
    <w:fldSimple w:instr=" FILENAME \p  \* MERGEFORMAT ">
      <w:r w:rsidR="00A91738">
        <w:t>P:\ENG\ITU-R\AG\RAG\RAG14\000\020e.docx</w:t>
      </w:r>
    </w:fldSimple>
    <w:r w:rsidR="007C7F71">
      <w:t xml:space="preserve"> (</w:t>
    </w:r>
    <w:r w:rsidR="001E0433">
      <w:t>364958</w:t>
    </w:r>
    <w:r w:rsidR="007C7F71">
      <w:t>)</w:t>
    </w:r>
    <w:r w:rsidR="007C7F71">
      <w:tab/>
    </w:r>
    <w:r w:rsidR="007A3B08">
      <w:fldChar w:fldCharType="begin"/>
    </w:r>
    <w:r w:rsidR="007C7F71">
      <w:instrText xml:space="preserve"> SAVEDATE \@ DD.MM.YY </w:instrText>
    </w:r>
    <w:r w:rsidR="007A3B08">
      <w:fldChar w:fldCharType="separate"/>
    </w:r>
    <w:r w:rsidR="00A91738">
      <w:t>17.06.14</w:t>
    </w:r>
    <w:r w:rsidR="007A3B08">
      <w:fldChar w:fldCharType="end"/>
    </w:r>
    <w:r w:rsidR="007C7F71">
      <w:tab/>
    </w:r>
    <w:r w:rsidR="007A3B08">
      <w:fldChar w:fldCharType="begin"/>
    </w:r>
    <w:r w:rsidR="007C7F71">
      <w:instrText xml:space="preserve"> PRINTDATE \@ DD.MM.YY </w:instrText>
    </w:r>
    <w:r w:rsidR="007A3B08">
      <w:fldChar w:fldCharType="separate"/>
    </w:r>
    <w:r w:rsidR="00A91738">
      <w:t>17.06.14</w:t>
    </w:r>
    <w:r w:rsidR="007A3B0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F71" w:rsidRDefault="003F4313" w:rsidP="0001009D">
    <w:pPr>
      <w:pStyle w:val="Footer"/>
    </w:pPr>
    <w:fldSimple w:instr=" FILENAME \p  \* MERGEFORMAT ">
      <w:r w:rsidR="00A91738">
        <w:t>P:\ENG\ITU-R\AG\RAG\RAG14\000\020e.docx</w:t>
      </w:r>
    </w:fldSimple>
    <w:r w:rsidR="007C7F71">
      <w:t xml:space="preserve"> (</w:t>
    </w:r>
    <w:r w:rsidR="0001009D">
      <w:t>364958</w:t>
    </w:r>
    <w:r w:rsidR="007C7F71">
      <w:t>)</w:t>
    </w:r>
    <w:r w:rsidR="007C7F71">
      <w:tab/>
    </w:r>
    <w:r w:rsidR="007A3B08">
      <w:fldChar w:fldCharType="begin"/>
    </w:r>
    <w:r w:rsidR="007C7F71">
      <w:instrText xml:space="preserve"> SAVEDATE \@ DD.MM.YY </w:instrText>
    </w:r>
    <w:r w:rsidR="007A3B08">
      <w:fldChar w:fldCharType="separate"/>
    </w:r>
    <w:r w:rsidR="00A91738">
      <w:t>17.06.14</w:t>
    </w:r>
    <w:r w:rsidR="007A3B08">
      <w:fldChar w:fldCharType="end"/>
    </w:r>
    <w:r w:rsidR="007C7F71">
      <w:tab/>
    </w:r>
    <w:r w:rsidR="007A3B08">
      <w:fldChar w:fldCharType="begin"/>
    </w:r>
    <w:r w:rsidR="007C7F71">
      <w:instrText xml:space="preserve"> PRINTDATE \@ DD.MM.YY </w:instrText>
    </w:r>
    <w:r w:rsidR="007A3B08">
      <w:fldChar w:fldCharType="separate"/>
    </w:r>
    <w:r w:rsidR="00A91738">
      <w:t>17.06.14</w:t>
    </w:r>
    <w:r w:rsidR="007A3B0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F71" w:rsidRDefault="003F4313" w:rsidP="0001009D">
    <w:pPr>
      <w:pStyle w:val="Footer"/>
    </w:pPr>
    <w:fldSimple w:instr=" FILENAME \p  \* MERGEFORMAT ">
      <w:r w:rsidR="00A91738">
        <w:t>P:\ENG\ITU-R\AG\RAG\RAG14\000\020e.docx</w:t>
      </w:r>
    </w:fldSimple>
    <w:r w:rsidR="007C7F71">
      <w:t xml:space="preserve"> (</w:t>
    </w:r>
    <w:r w:rsidR="0001009D">
      <w:t>364958</w:t>
    </w:r>
    <w:r w:rsidR="007C7F71">
      <w:t>)</w:t>
    </w:r>
    <w:r w:rsidR="007C7F71">
      <w:tab/>
    </w:r>
    <w:r w:rsidR="007A3B08">
      <w:fldChar w:fldCharType="begin"/>
    </w:r>
    <w:r w:rsidR="007C7F71">
      <w:instrText xml:space="preserve"> SAVEDATE \@ DD.MM.YY </w:instrText>
    </w:r>
    <w:r w:rsidR="007A3B08">
      <w:fldChar w:fldCharType="separate"/>
    </w:r>
    <w:r w:rsidR="00A91738">
      <w:t>17.06.14</w:t>
    </w:r>
    <w:r w:rsidR="007A3B08">
      <w:fldChar w:fldCharType="end"/>
    </w:r>
    <w:r w:rsidR="007C7F71">
      <w:tab/>
    </w:r>
    <w:r w:rsidR="007A3B08">
      <w:fldChar w:fldCharType="begin"/>
    </w:r>
    <w:r w:rsidR="007C7F71">
      <w:instrText xml:space="preserve"> PRINTDATE \@ DD.MM.YY </w:instrText>
    </w:r>
    <w:r w:rsidR="007A3B08">
      <w:fldChar w:fldCharType="separate"/>
    </w:r>
    <w:r w:rsidR="00A91738">
      <w:t>17.06.14</w:t>
    </w:r>
    <w:r w:rsidR="007A3B0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DD" w:rsidRDefault="003936DD">
      <w:r>
        <w:t>____________________</w:t>
      </w:r>
    </w:p>
  </w:footnote>
  <w:footnote w:type="continuationSeparator" w:id="0">
    <w:p w:rsidR="003936DD" w:rsidRDefault="00393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7A3B08" w:rsidP="001E41A0">
    <w:pPr>
      <w:pStyle w:val="Header"/>
      <w:rPr>
        <w:lang w:val="es-ES"/>
      </w:rPr>
    </w:pPr>
    <w:r>
      <w:fldChar w:fldCharType="begin"/>
    </w:r>
    <w:r w:rsidR="001E41A0">
      <w:instrText xml:space="preserve"> PAGE </w:instrText>
    </w:r>
    <w:r>
      <w:fldChar w:fldCharType="separate"/>
    </w:r>
    <w:r w:rsidR="007C7F71">
      <w:rPr>
        <w:noProof/>
      </w:rPr>
      <w:t>1</w:t>
    </w:r>
    <w:r>
      <w:rPr>
        <w:noProof/>
      </w:rPr>
      <w:fldChar w:fldCharType="end"/>
    </w:r>
  </w:p>
  <w:p w:rsidR="0095426A" w:rsidRDefault="00597657" w:rsidP="00B35BE4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B35BE4">
      <w:rPr>
        <w:lang w:val="es-ES"/>
      </w:rPr>
      <w:t>3</w:t>
    </w:r>
    <w:r w:rsidR="0095426A">
      <w:rPr>
        <w:lang w:val="es-ES"/>
      </w:rPr>
      <w:t>-1/#-E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F71" w:rsidRDefault="007A3B08" w:rsidP="001E41A0">
    <w:pPr>
      <w:pStyle w:val="Header"/>
      <w:rPr>
        <w:lang w:val="es-ES"/>
      </w:rPr>
    </w:pPr>
    <w:r>
      <w:fldChar w:fldCharType="begin"/>
    </w:r>
    <w:r w:rsidR="007C7F71">
      <w:instrText xml:space="preserve"> PAGE </w:instrText>
    </w:r>
    <w:r>
      <w:fldChar w:fldCharType="separate"/>
    </w:r>
    <w:r w:rsidR="00A91738">
      <w:rPr>
        <w:noProof/>
      </w:rPr>
      <w:t>4</w:t>
    </w:r>
    <w:r>
      <w:rPr>
        <w:noProof/>
      </w:rPr>
      <w:fldChar w:fldCharType="end"/>
    </w:r>
  </w:p>
  <w:p w:rsidR="007C7F71" w:rsidRDefault="002F7632" w:rsidP="007C7F71">
    <w:pPr>
      <w:pStyle w:val="Header"/>
      <w:rPr>
        <w:lang w:val="es-ES"/>
      </w:rPr>
    </w:pPr>
    <w:r>
      <w:t>RAG14-1/20-E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9273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7F71" w:rsidRDefault="007A3B08" w:rsidP="007C7F71">
        <w:pPr>
          <w:pStyle w:val="Header"/>
        </w:pPr>
        <w:r>
          <w:fldChar w:fldCharType="begin"/>
        </w:r>
        <w:r w:rsidR="007C7F71">
          <w:instrText xml:space="preserve"> PAGE   \* MERGEFORMAT </w:instrText>
        </w:r>
        <w:r>
          <w:fldChar w:fldCharType="separate"/>
        </w:r>
        <w:r w:rsidR="00A917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7F71" w:rsidRDefault="0001009D" w:rsidP="00A57D5B">
    <w:pPr>
      <w:pStyle w:val="Header"/>
    </w:pPr>
    <w:r>
      <w:t>RAG14-1/20-E</w:t>
    </w:r>
  </w:p>
  <w:p w:rsidR="007C7F71" w:rsidRPr="007C7F71" w:rsidRDefault="007C7F71" w:rsidP="007C7F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649D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00895"/>
    <w:multiLevelType w:val="hybridMultilevel"/>
    <w:tmpl w:val="2390C7D2"/>
    <w:lvl w:ilvl="0" w:tplc="BD2CD37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EBF77E2"/>
    <w:multiLevelType w:val="hybridMultilevel"/>
    <w:tmpl w:val="275EB74E"/>
    <w:lvl w:ilvl="0" w:tplc="9A88FFC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D1E04"/>
    <w:multiLevelType w:val="hybridMultilevel"/>
    <w:tmpl w:val="1B1AF858"/>
    <w:lvl w:ilvl="0" w:tplc="F91A069E">
      <w:numFmt w:val="bullet"/>
      <w:lvlText w:val="–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3">
    <w:nsid w:val="28754EE0"/>
    <w:multiLevelType w:val="hybridMultilevel"/>
    <w:tmpl w:val="4B00CEC8"/>
    <w:lvl w:ilvl="0" w:tplc="AA4E0D5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9220589"/>
    <w:multiLevelType w:val="hybridMultilevel"/>
    <w:tmpl w:val="374CD07A"/>
    <w:lvl w:ilvl="0" w:tplc="745454C4">
      <w:start w:val="2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5">
    <w:nsid w:val="53854FE6"/>
    <w:multiLevelType w:val="hybridMultilevel"/>
    <w:tmpl w:val="2E46BE1A"/>
    <w:lvl w:ilvl="0" w:tplc="B1B4FE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FCE20AB"/>
    <w:multiLevelType w:val="hybridMultilevel"/>
    <w:tmpl w:val="7FF692B2"/>
    <w:lvl w:ilvl="0" w:tplc="9C1C7608">
      <w:start w:val="2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1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F7"/>
    <w:rsid w:val="0001009D"/>
    <w:rsid w:val="00084396"/>
    <w:rsid w:val="00093C73"/>
    <w:rsid w:val="000E6245"/>
    <w:rsid w:val="000F3B85"/>
    <w:rsid w:val="001377D6"/>
    <w:rsid w:val="00140A42"/>
    <w:rsid w:val="00157566"/>
    <w:rsid w:val="0018260E"/>
    <w:rsid w:val="001A2EC6"/>
    <w:rsid w:val="001E0433"/>
    <w:rsid w:val="001E41A0"/>
    <w:rsid w:val="002774E4"/>
    <w:rsid w:val="0028536D"/>
    <w:rsid w:val="002B4357"/>
    <w:rsid w:val="002C7AF2"/>
    <w:rsid w:val="002F7632"/>
    <w:rsid w:val="003362CF"/>
    <w:rsid w:val="00361E61"/>
    <w:rsid w:val="00377765"/>
    <w:rsid w:val="003936DD"/>
    <w:rsid w:val="003A3A7C"/>
    <w:rsid w:val="003C55DB"/>
    <w:rsid w:val="003D068D"/>
    <w:rsid w:val="003F4313"/>
    <w:rsid w:val="004A3214"/>
    <w:rsid w:val="004B7C96"/>
    <w:rsid w:val="004C0AAD"/>
    <w:rsid w:val="004D53F2"/>
    <w:rsid w:val="004E4AD4"/>
    <w:rsid w:val="00507DA3"/>
    <w:rsid w:val="0051782D"/>
    <w:rsid w:val="00522079"/>
    <w:rsid w:val="00557D38"/>
    <w:rsid w:val="00597657"/>
    <w:rsid w:val="005C4845"/>
    <w:rsid w:val="005E5CF7"/>
    <w:rsid w:val="005F29E4"/>
    <w:rsid w:val="00633B0E"/>
    <w:rsid w:val="00636065"/>
    <w:rsid w:val="006B638F"/>
    <w:rsid w:val="006C09CD"/>
    <w:rsid w:val="00723DB5"/>
    <w:rsid w:val="0073780A"/>
    <w:rsid w:val="00746923"/>
    <w:rsid w:val="007A3B08"/>
    <w:rsid w:val="007C7F71"/>
    <w:rsid w:val="007D4762"/>
    <w:rsid w:val="007F52BA"/>
    <w:rsid w:val="00806E63"/>
    <w:rsid w:val="00817846"/>
    <w:rsid w:val="0089446E"/>
    <w:rsid w:val="0089487A"/>
    <w:rsid w:val="008B3F50"/>
    <w:rsid w:val="0092493E"/>
    <w:rsid w:val="00944206"/>
    <w:rsid w:val="0095426A"/>
    <w:rsid w:val="00955BAD"/>
    <w:rsid w:val="00976BD2"/>
    <w:rsid w:val="00977C69"/>
    <w:rsid w:val="009C057B"/>
    <w:rsid w:val="009C302F"/>
    <w:rsid w:val="009D0919"/>
    <w:rsid w:val="009E0490"/>
    <w:rsid w:val="00A013A8"/>
    <w:rsid w:val="00A10350"/>
    <w:rsid w:val="00A16CB2"/>
    <w:rsid w:val="00A27BF5"/>
    <w:rsid w:val="00A37AF3"/>
    <w:rsid w:val="00A46E19"/>
    <w:rsid w:val="00A57D5B"/>
    <w:rsid w:val="00A72D70"/>
    <w:rsid w:val="00A91738"/>
    <w:rsid w:val="00AB0414"/>
    <w:rsid w:val="00AB3397"/>
    <w:rsid w:val="00B23C1D"/>
    <w:rsid w:val="00B25929"/>
    <w:rsid w:val="00B35BE4"/>
    <w:rsid w:val="00B5056C"/>
    <w:rsid w:val="00B50A1B"/>
    <w:rsid w:val="00B52992"/>
    <w:rsid w:val="00BC3EC0"/>
    <w:rsid w:val="00BC48F8"/>
    <w:rsid w:val="00BD2C42"/>
    <w:rsid w:val="00BE435B"/>
    <w:rsid w:val="00C101DB"/>
    <w:rsid w:val="00C502A3"/>
    <w:rsid w:val="00CC1D49"/>
    <w:rsid w:val="00CD4D80"/>
    <w:rsid w:val="00D211BC"/>
    <w:rsid w:val="00D75026"/>
    <w:rsid w:val="00DB44DD"/>
    <w:rsid w:val="00DD134C"/>
    <w:rsid w:val="00DD3BF8"/>
    <w:rsid w:val="00E25236"/>
    <w:rsid w:val="00E31AE0"/>
    <w:rsid w:val="00E32DFB"/>
    <w:rsid w:val="00E60ADB"/>
    <w:rsid w:val="00F167E2"/>
    <w:rsid w:val="00F40D06"/>
    <w:rsid w:val="00F7439D"/>
    <w:rsid w:val="00F749FF"/>
    <w:rsid w:val="00FC1E29"/>
    <w:rsid w:val="00FC4D9A"/>
    <w:rsid w:val="00FC6A70"/>
    <w:rsid w:val="00FD0F30"/>
    <w:rsid w:val="00FF5373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link w:val="enumlev1Char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aliases w:val="pie de página,footer odd,fo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oter odd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723DB5"/>
    <w:rPr>
      <w:rFonts w:ascii="Times New Roman" w:hAnsi="Times New Roman"/>
      <w:caps/>
      <w:sz w:val="28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723DB5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23DB5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23DB5"/>
    <w:pPr>
      <w:ind w:left="720"/>
      <w:contextualSpacing/>
      <w:jc w:val="both"/>
      <w:textAlignment w:val="auto"/>
    </w:pPr>
  </w:style>
  <w:style w:type="paragraph" w:customStyle="1" w:styleId="Annexref">
    <w:name w:val="Annex_ref"/>
    <w:basedOn w:val="Normal"/>
    <w:next w:val="Normal"/>
    <w:uiPriority w:val="99"/>
    <w:rsid w:val="00723DB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Theme="minorEastAsia"/>
    </w:rPr>
  </w:style>
  <w:style w:type="paragraph" w:customStyle="1" w:styleId="AppendixNo">
    <w:name w:val="Appendix_No"/>
    <w:basedOn w:val="Normal"/>
    <w:next w:val="Annexref"/>
    <w:rsid w:val="00723DB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</w:rPr>
  </w:style>
  <w:style w:type="paragraph" w:customStyle="1" w:styleId="Appendixtitle">
    <w:name w:val="Appendix_title"/>
    <w:basedOn w:val="Normal"/>
    <w:next w:val="Normal"/>
    <w:rsid w:val="00723DB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</w:rPr>
  </w:style>
  <w:style w:type="table" w:styleId="TableGrid">
    <w:name w:val="Table Grid"/>
    <w:basedOn w:val="TableNormal"/>
    <w:rsid w:val="0095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AB3397"/>
    <w:pPr>
      <w:numPr>
        <w:numId w:val="1"/>
      </w:numPr>
      <w:contextualSpacing/>
    </w:pPr>
  </w:style>
  <w:style w:type="character" w:styleId="Hyperlink">
    <w:name w:val="Hyperlink"/>
    <w:basedOn w:val="DefaultParagraphFont"/>
    <w:rsid w:val="002C7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link w:val="enumlev1Char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aliases w:val="pie de página,footer odd,fo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oter odd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723DB5"/>
    <w:rPr>
      <w:rFonts w:ascii="Times New Roman" w:hAnsi="Times New Roman"/>
      <w:caps/>
      <w:sz w:val="28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723DB5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23DB5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23DB5"/>
    <w:pPr>
      <w:ind w:left="720"/>
      <w:contextualSpacing/>
      <w:jc w:val="both"/>
      <w:textAlignment w:val="auto"/>
    </w:pPr>
  </w:style>
  <w:style w:type="paragraph" w:customStyle="1" w:styleId="Annexref">
    <w:name w:val="Annex_ref"/>
    <w:basedOn w:val="Normal"/>
    <w:next w:val="Normal"/>
    <w:uiPriority w:val="99"/>
    <w:rsid w:val="00723DB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Theme="minorEastAsia"/>
    </w:rPr>
  </w:style>
  <w:style w:type="paragraph" w:customStyle="1" w:styleId="AppendixNo">
    <w:name w:val="Appendix_No"/>
    <w:basedOn w:val="Normal"/>
    <w:next w:val="Annexref"/>
    <w:rsid w:val="00723DB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</w:rPr>
  </w:style>
  <w:style w:type="paragraph" w:customStyle="1" w:styleId="Appendixtitle">
    <w:name w:val="Appendix_title"/>
    <w:basedOn w:val="Normal"/>
    <w:next w:val="Normal"/>
    <w:rsid w:val="00723DB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</w:rPr>
  </w:style>
  <w:style w:type="table" w:styleId="TableGrid">
    <w:name w:val="Table Grid"/>
    <w:basedOn w:val="TableNormal"/>
    <w:rsid w:val="0095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AB3397"/>
    <w:pPr>
      <w:numPr>
        <w:numId w:val="1"/>
      </w:numPr>
      <w:contextualSpacing/>
    </w:pPr>
  </w:style>
  <w:style w:type="character" w:styleId="Hyperlink">
    <w:name w:val="Hyperlink"/>
    <w:basedOn w:val="DefaultParagraphFont"/>
    <w:rsid w:val="002C7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itu.int/md/R12-SG01-C-0103/en" TargetMode="External"/><Relationship Id="rId26" Type="http://schemas.openxmlformats.org/officeDocument/2006/relationships/hyperlink" Target="http://www.itu.int/en/ITU-R/study-groups/workshops/RWP1B-SRD-UWB-14/Pages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WP1B-C-0181/en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itu.int/rec/R-REC-SM.1603" TargetMode="External"/><Relationship Id="rId25" Type="http://schemas.openxmlformats.org/officeDocument/2006/relationships/hyperlink" Target="http://www.itu.int/pub/R-REP-SM.2255" TargetMode="External"/><Relationship Id="rId33" Type="http://schemas.openxmlformats.org/officeDocument/2006/relationships/hyperlink" Target="http://www.itu.int/md/R12-WP1C-C-0119/e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rec/R-REC-SM.1047/en" TargetMode="External"/><Relationship Id="rId20" Type="http://schemas.openxmlformats.org/officeDocument/2006/relationships/hyperlink" Target="http://www.itu.int/md/R12-SG01-C-0113/en" TargetMode="External"/><Relationship Id="rId29" Type="http://schemas.openxmlformats.org/officeDocument/2006/relationships/hyperlink" Target="http://www.itu.int/en/ITU-R/study-groups/workshops/RWP1B-SMWSCRS-14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itu.int/pub/R-REP-SM.2153" TargetMode="External"/><Relationship Id="rId32" Type="http://schemas.openxmlformats.org/officeDocument/2006/relationships/hyperlink" Target="http://www.itu.int/rec/R-REC-SM.2039/en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2-SG01-C-0108/en" TargetMode="External"/><Relationship Id="rId23" Type="http://schemas.openxmlformats.org/officeDocument/2006/relationships/hyperlink" Target="http://www.itu.int/rec/R-REC-SM.1896" TargetMode="External"/><Relationship Id="rId28" Type="http://schemas.openxmlformats.org/officeDocument/2006/relationships/hyperlink" Target="http://www.itu.int/md/R12-WP1A-C-0039/en" TargetMode="External"/><Relationship Id="rId36" Type="http://schemas.openxmlformats.org/officeDocument/2006/relationships/footer" Target="footer3.xml"/><Relationship Id="rId10" Type="http://schemas.openxmlformats.org/officeDocument/2006/relationships/hyperlink" Target="http://www.itu.int/md/R12-SG01-C-0002/en" TargetMode="External"/><Relationship Id="rId19" Type="http://schemas.openxmlformats.org/officeDocument/2006/relationships/hyperlink" Target="http://www.itu.int/md/R12-SG01-C-0112/en" TargetMode="External"/><Relationship Id="rId31" Type="http://schemas.openxmlformats.org/officeDocument/2006/relationships/hyperlink" Target="http://www.itu.int/md/R12-WP1B-C-018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u.int/rec/R-REC-SM.1370" TargetMode="External"/><Relationship Id="rId22" Type="http://schemas.openxmlformats.org/officeDocument/2006/relationships/hyperlink" Target="http://www.itu.int/pub/R-REP-SM.2182" TargetMode="External"/><Relationship Id="rId27" Type="http://schemas.openxmlformats.org/officeDocument/2006/relationships/hyperlink" Target="http://www.itu.int/md/R12-WP1B-C-0181/en" TargetMode="External"/><Relationship Id="rId30" Type="http://schemas.openxmlformats.org/officeDocument/2006/relationships/hyperlink" Target="http://www.itu.int/md/R12-WP1B-C-0042/en" TargetMode="External"/><Relationship Id="rId35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rrie\Application%20Data\Microsoft\Templates\POOL%20E%20-%20ITU\PE_RAG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560E-83E2-429C-BDA4-D6CCA60F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PE_RAG13.dotm</Template>
  <TotalTime>8</TotalTime>
  <Pages>4</Pages>
  <Words>862</Words>
  <Characters>6104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</dc:creator>
  <dc:description>PE_RAG10.dotm  For: _x000d_Document date: _x000d_Saved by TRA44246 at 12:32:17 on 12.02.2010</dc:description>
  <cp:lastModifiedBy>Neal, Sharon</cp:lastModifiedBy>
  <cp:revision>11</cp:revision>
  <cp:lastPrinted>2014-06-17T10:02:00Z</cp:lastPrinted>
  <dcterms:created xsi:type="dcterms:W3CDTF">2014-06-17T07:53:00Z</dcterms:created>
  <dcterms:modified xsi:type="dcterms:W3CDTF">2014-06-17T10:03:00Z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