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6E291F" w:rsidTr="00451457">
        <w:trPr>
          <w:cantSplit/>
        </w:trPr>
        <w:tc>
          <w:tcPr>
            <w:tcW w:w="6629" w:type="dxa"/>
          </w:tcPr>
          <w:p w:rsidR="006E291F" w:rsidRPr="006E291F" w:rsidRDefault="006E291F" w:rsidP="000C62BA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6E291F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48290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0C62BA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48290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0C62BA">
              <w:rPr>
                <w:rFonts w:ascii="Verdana" w:hAnsi="Verdana" w:cs="Times New Roman Bold"/>
                <w:b/>
                <w:bCs/>
                <w:sz w:val="20"/>
              </w:rPr>
              <w:t>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0C62BA">
              <w:rPr>
                <w:rFonts w:ascii="Verdana" w:hAnsi="Verdana" w:cs="Times New Roman Bold"/>
                <w:b/>
                <w:bCs/>
                <w:sz w:val="20"/>
              </w:rPr>
              <w:t>junio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5D3E02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0C62BA">
              <w:rPr>
                <w:rFonts w:ascii="Verdana" w:hAnsi="Verdana" w:cs="Times New Roman Bold"/>
                <w:b/>
                <w:bCs/>
                <w:sz w:val="20"/>
              </w:rPr>
              <w:t>4</w:t>
            </w:r>
          </w:p>
        </w:tc>
        <w:tc>
          <w:tcPr>
            <w:tcW w:w="3260" w:type="dxa"/>
          </w:tcPr>
          <w:p w:rsidR="006E291F" w:rsidRDefault="006A42AB" w:rsidP="00CB7A43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D5CB023" wp14:editId="37DDF35A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:rsidTr="0045145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:rsidTr="0045145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:rsidTr="00451457">
        <w:trPr>
          <w:cantSplit/>
        </w:trPr>
        <w:tc>
          <w:tcPr>
            <w:tcW w:w="6629" w:type="dxa"/>
            <w:vMerge w:val="restart"/>
          </w:tcPr>
          <w:p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260" w:type="dxa"/>
          </w:tcPr>
          <w:p w:rsidR="006E291F" w:rsidRPr="00451457" w:rsidRDefault="00451457" w:rsidP="0045145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RAG14-1/15-S</w:t>
            </w:r>
          </w:p>
        </w:tc>
      </w:tr>
      <w:tr w:rsidR="006E291F" w:rsidRPr="002A127E" w:rsidTr="00451457">
        <w:trPr>
          <w:cantSplit/>
        </w:trPr>
        <w:tc>
          <w:tcPr>
            <w:tcW w:w="6629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260" w:type="dxa"/>
          </w:tcPr>
          <w:p w:rsidR="006E291F" w:rsidRPr="00451457" w:rsidRDefault="00451457" w:rsidP="0045145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 de junio de 2014</w:t>
            </w:r>
          </w:p>
        </w:tc>
      </w:tr>
      <w:tr w:rsidR="006E291F" w:rsidRPr="002A127E" w:rsidTr="00451457">
        <w:trPr>
          <w:cantSplit/>
        </w:trPr>
        <w:tc>
          <w:tcPr>
            <w:tcW w:w="6629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260" w:type="dxa"/>
          </w:tcPr>
          <w:p w:rsidR="006E291F" w:rsidRPr="00451457" w:rsidRDefault="00451457" w:rsidP="00451457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072C72" w:rsidP="00072C72">
            <w:pPr>
              <w:pStyle w:val="Source"/>
            </w:pPr>
            <w:bookmarkStart w:id="3" w:name="dsource" w:colFirst="0" w:colLast="0"/>
            <w:bookmarkEnd w:id="2"/>
            <w:r>
              <w:t xml:space="preserve">Kenya </w:t>
            </w:r>
            <w:r w:rsidR="00451457">
              <w:t>(República de)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451457" w:rsidP="00CB7A43">
            <w:pPr>
              <w:pStyle w:val="Title1"/>
            </w:pPr>
            <w:bookmarkStart w:id="4" w:name="dtitle1" w:colFirst="0" w:colLast="0"/>
            <w:bookmarkEnd w:id="3"/>
            <w:r>
              <w:t xml:space="preserve">Fechas de la primera sesión de la reunión preparatoria de la conferencia (RPC) para la próxima conferencia mundial </w:t>
            </w:r>
            <w:r>
              <w:br/>
              <w:t>de radiocomunicaciones después de la CMR-15</w:t>
            </w:r>
          </w:p>
        </w:tc>
      </w:tr>
    </w:tbl>
    <w:bookmarkEnd w:id="4"/>
    <w:p w:rsidR="00451457" w:rsidRDefault="00451457" w:rsidP="00451457">
      <w:pPr>
        <w:pStyle w:val="Heading1"/>
      </w:pPr>
      <w:r>
        <w:t>1</w:t>
      </w:r>
      <w:r>
        <w:tab/>
      </w:r>
      <w:r w:rsidR="00072C72">
        <w:t>Introducción</w:t>
      </w:r>
    </w:p>
    <w:p w:rsidR="00451457" w:rsidRDefault="00451457" w:rsidP="00451457">
      <w:r>
        <w:t xml:space="preserve">Hemos tomado nota de los debates celebrados en el Consejo 2014 y durante la 20ª </w:t>
      </w:r>
      <w:r w:rsidR="00072C72">
        <w:t>reunión</w:t>
      </w:r>
      <w:r>
        <w:t xml:space="preserve"> del GAR sobre la mejor época para celebrar la primera sesión de la RPC (RPC-1). Ya sea inmediatamente después de la CMR o el lunes de la siguiente semana.</w:t>
      </w:r>
    </w:p>
    <w:p w:rsidR="00451457" w:rsidRDefault="00451457" w:rsidP="003F006E">
      <w:r>
        <w:t>La 20ª reuni</w:t>
      </w:r>
      <w:r w:rsidR="00072C72">
        <w:t>ón</w:t>
      </w:r>
      <w:r>
        <w:t xml:space="preserve"> del GAR recomendó </w:t>
      </w:r>
      <w:r w:rsidR="00072C72">
        <w:t>analizar</w:t>
      </w:r>
      <w:r>
        <w:t xml:space="preserve"> </w:t>
      </w:r>
      <w:r w:rsidR="00072C72">
        <w:t>este</w:t>
      </w:r>
      <w:r>
        <w:t xml:space="preserve"> tema </w:t>
      </w:r>
      <w:r w:rsidR="00072C72">
        <w:t>teniendo</w:t>
      </w:r>
      <w:r>
        <w:t xml:space="preserve"> en cuenta </w:t>
      </w:r>
      <w:r w:rsidR="00072C72">
        <w:t>experiencias</w:t>
      </w:r>
      <w:r w:rsidR="00072C72">
        <w:t xml:space="preserve"> </w:t>
      </w:r>
      <w:r>
        <w:t>pasadas y recientes e invit</w:t>
      </w:r>
      <w:r w:rsidR="003F006E">
        <w:t>ó</w:t>
      </w:r>
      <w:r>
        <w:t xml:space="preserve"> al Director de la BR a informa</w:t>
      </w:r>
      <w:r w:rsidR="00072C72">
        <w:t>r</w:t>
      </w:r>
      <w:r>
        <w:t xml:space="preserve"> de los </w:t>
      </w:r>
      <w:r w:rsidR="00072C72">
        <w:t>resultados</w:t>
      </w:r>
      <w:r>
        <w:t xml:space="preserve"> de dicho análisis a la próxima </w:t>
      </w:r>
      <w:r w:rsidR="00072C72">
        <w:t>reunión</w:t>
      </w:r>
      <w:r>
        <w:t xml:space="preserve"> del GAR. Entendemos que la BR ha </w:t>
      </w:r>
      <w:r w:rsidR="00072C72">
        <w:t xml:space="preserve">estudiado </w:t>
      </w:r>
      <w:r>
        <w:t xml:space="preserve">estas dos opciones y sugiere algunas propuestas en el </w:t>
      </w:r>
      <w:r w:rsidR="00072C72">
        <w:t>D</w:t>
      </w:r>
      <w:r>
        <w:t xml:space="preserve">ocumento RAG14-1/8. En el análisis se </w:t>
      </w:r>
      <w:r w:rsidR="00072C72">
        <w:t>señalan</w:t>
      </w:r>
      <w:r>
        <w:t xml:space="preserve"> las ventajas y los inconvenientes de cada una de las dos opciones.</w:t>
      </w:r>
    </w:p>
    <w:p w:rsidR="00451457" w:rsidRDefault="00072C72" w:rsidP="00072C72">
      <w:r>
        <w:t>Teniendo</w:t>
      </w:r>
      <w:r w:rsidR="00451457">
        <w:t xml:space="preserve"> en cu</w:t>
      </w:r>
      <w:r>
        <w:t>e</w:t>
      </w:r>
      <w:r w:rsidR="00451457">
        <w:t xml:space="preserve">nta el pertinente </w:t>
      </w:r>
      <w:r>
        <w:t xml:space="preserve">análisis </w:t>
      </w:r>
      <w:r w:rsidR="00451457">
        <w:t>de la BR</w:t>
      </w:r>
      <w:r w:rsidR="003F006E">
        <w:t>,</w:t>
      </w:r>
      <w:r w:rsidR="00451457">
        <w:t xml:space="preserve"> </w:t>
      </w:r>
      <w:r>
        <w:t>deseamos</w:t>
      </w:r>
      <w:r w:rsidR="00451457">
        <w:t xml:space="preserve"> presentar la</w:t>
      </w:r>
      <w:r w:rsidR="00E63C39">
        <w:t>s</w:t>
      </w:r>
      <w:r w:rsidR="00451457">
        <w:t xml:space="preserve"> siguientes sugerencias sobre este asunto.</w:t>
      </w:r>
    </w:p>
    <w:p w:rsidR="00451457" w:rsidRDefault="00451457" w:rsidP="00451457">
      <w:pPr>
        <w:pStyle w:val="Heading1"/>
      </w:pPr>
      <w:r>
        <w:t>2</w:t>
      </w:r>
      <w:r>
        <w:tab/>
      </w:r>
      <w:r>
        <w:t>Propuesta</w:t>
      </w:r>
    </w:p>
    <w:p w:rsidR="00451457" w:rsidRDefault="00451457" w:rsidP="00E63C39">
      <w:r>
        <w:t>2.1</w:t>
      </w:r>
      <w:r>
        <w:tab/>
        <w:t>C</w:t>
      </w:r>
      <w:r>
        <w:t xml:space="preserve">onsiderando el análisis de la BR que figura en el </w:t>
      </w:r>
      <w:r w:rsidR="00072C72">
        <w:t>D</w:t>
      </w:r>
      <w:r>
        <w:t xml:space="preserve">ocumento RAG14-1/8 y específicamente el párrafo 3.4 </w:t>
      </w:r>
      <w:r w:rsidR="00E63C39">
        <w:t>de ese</w:t>
      </w:r>
      <w:r>
        <w:t xml:space="preserve"> documento </w:t>
      </w:r>
      <w:r w:rsidR="00072C72">
        <w:t>así</w:t>
      </w:r>
      <w:r>
        <w:t xml:space="preserve"> como la experiencia de los delegados de nuestra </w:t>
      </w:r>
      <w:r w:rsidR="00072C72">
        <w:t>Administración</w:t>
      </w:r>
      <w:r>
        <w:t xml:space="preserve"> en pasadas CMR, apoyamos la opción de que la RPC-1 tras la CMR-15 se celebre el lunes y el martes de la semana </w:t>
      </w:r>
      <w:r w:rsidR="00072C72">
        <w:t>inmediatamente</w:t>
      </w:r>
      <w:r>
        <w:t xml:space="preserve"> posterior a la CMR.</w:t>
      </w:r>
    </w:p>
    <w:p w:rsidR="00451457" w:rsidRPr="00122DFE" w:rsidRDefault="00451457" w:rsidP="00E63C39">
      <w:r>
        <w:t>2.2</w:t>
      </w:r>
      <w:r>
        <w:tab/>
      </w:r>
      <w:r w:rsidR="00072C72">
        <w:t>También</w:t>
      </w:r>
      <w:r>
        <w:t xml:space="preserve"> apoyamos la propuesta de </w:t>
      </w:r>
      <w:r w:rsidR="00072C72">
        <w:t>celebrar</w:t>
      </w:r>
      <w:r>
        <w:t xml:space="preserve"> una </w:t>
      </w:r>
      <w:r w:rsidR="00072C72">
        <w:t>reunión</w:t>
      </w:r>
      <w:r>
        <w:t xml:space="preserve"> de la </w:t>
      </w:r>
      <w:r w:rsidR="00072C72">
        <w:t>Comisión</w:t>
      </w:r>
      <w:r>
        <w:t xml:space="preserve"> de </w:t>
      </w:r>
      <w:r w:rsidR="00E63C39">
        <w:t>D</w:t>
      </w:r>
      <w:r>
        <w:t xml:space="preserve">irección de la RPC después de que finalice la </w:t>
      </w:r>
      <w:r w:rsidR="00072C72">
        <w:t>reunión</w:t>
      </w:r>
      <w:r>
        <w:t xml:space="preserve"> </w:t>
      </w:r>
      <w:r w:rsidR="00E63C39">
        <w:t>P</w:t>
      </w:r>
      <w:r>
        <w:t xml:space="preserve">lenaria de la CMR en que se aprueben las resoluciones relativas a los puntos del orden del </w:t>
      </w:r>
      <w:r w:rsidR="00072C72">
        <w:t>día</w:t>
      </w:r>
      <w:r>
        <w:t xml:space="preserve"> de la siguiente CMR y antes de la </w:t>
      </w:r>
      <w:r w:rsidR="00072C72">
        <w:t>reunión</w:t>
      </w:r>
      <w:r>
        <w:t xml:space="preserve"> </w:t>
      </w:r>
      <w:r w:rsidR="00E63C39">
        <w:t>P</w:t>
      </w:r>
      <w:r w:rsidR="00072C72">
        <w:t>lenaria</w:t>
      </w:r>
      <w:r>
        <w:t xml:space="preserve"> de la CMR que tome nota de las </w:t>
      </w:r>
      <w:r w:rsidR="00072C72">
        <w:t>«</w:t>
      </w:r>
      <w:r>
        <w:t>declaraciones y reservas</w:t>
      </w:r>
      <w:r w:rsidR="00072C72">
        <w:t>»</w:t>
      </w:r>
      <w:r>
        <w:t>.</w:t>
      </w:r>
    </w:p>
    <w:p w:rsidR="00072C72" w:rsidRPr="00E63C39" w:rsidRDefault="00072C72" w:rsidP="0032202E">
      <w:pPr>
        <w:pStyle w:val="Reasons"/>
        <w:rPr>
          <w:lang w:val="es-ES_tradnl"/>
        </w:rPr>
      </w:pPr>
    </w:p>
    <w:p w:rsidR="00072C72" w:rsidRPr="00E63C39" w:rsidRDefault="00072C72" w:rsidP="0032202E">
      <w:pPr>
        <w:pStyle w:val="Reasons"/>
        <w:rPr>
          <w:lang w:val="es-ES_tradnl"/>
        </w:rPr>
      </w:pPr>
    </w:p>
    <w:p w:rsidR="00072C72" w:rsidRDefault="00072C72">
      <w:pPr>
        <w:jc w:val="center"/>
      </w:pPr>
      <w:r>
        <w:t>______________</w:t>
      </w:r>
    </w:p>
    <w:p w:rsidR="00E72EA7" w:rsidRPr="00072C72" w:rsidRDefault="00E72EA7" w:rsidP="00072C72">
      <w:pPr>
        <w:pStyle w:val="li"/>
      </w:pPr>
      <w:bookmarkStart w:id="5" w:name="_GoBack"/>
      <w:bookmarkEnd w:id="5"/>
    </w:p>
    <w:sectPr w:rsidR="00E72EA7" w:rsidRPr="00072C72" w:rsidSect="004D6C09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57" w:rsidRDefault="00451457">
      <w:r>
        <w:separator/>
      </w:r>
    </w:p>
  </w:endnote>
  <w:endnote w:type="continuationSeparator" w:id="0">
    <w:p w:rsidR="00451457" w:rsidRDefault="0045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01" w:rsidRDefault="00E72EA7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9D32D9">
      <w:rPr>
        <w:lang w:val="en-US"/>
      </w:rPr>
      <w:t>P:\ESP\ITU-R\AG\RAG\RAG14\000\015S.docx</w:t>
    </w:r>
    <w:r>
      <w:rPr>
        <w:lang w:val="en-US"/>
      </w:rPr>
      <w:fldChar w:fldCharType="end"/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savedate \@ dd.MM.yy </w:instrText>
    </w:r>
    <w:r w:rsidR="004D6C09">
      <w:fldChar w:fldCharType="separate"/>
    </w:r>
    <w:r w:rsidR="009D32D9">
      <w:t>17.06.14</w:t>
    </w:r>
    <w:r w:rsidR="004D6C09">
      <w:fldChar w:fldCharType="end"/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printdate \@ dd.MM.yy </w:instrText>
    </w:r>
    <w:r w:rsidR="004D6C09">
      <w:fldChar w:fldCharType="separate"/>
    </w:r>
    <w:r w:rsidR="009D32D9">
      <w:t>17.06.14</w:t>
    </w:r>
    <w:r w:rsidR="004D6C0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BD" w:rsidRDefault="00D546BD">
    <w:pPr>
      <w:pStyle w:val="Footer"/>
    </w:pPr>
    <w:fldSimple w:instr=" FILENAME \p  \* MERGEFORMAT ">
      <w:r w:rsidR="009D32D9">
        <w:t>P:\ESP\ITU-R\AG\RAG\RAG14\000\015S.docx</w:t>
      </w:r>
    </w:fldSimple>
    <w:r>
      <w:t xml:space="preserve"> (364747)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D32D9">
      <w:t>17.06.14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9D32D9">
      <w:t>17.06.14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57" w:rsidRDefault="00451457">
      <w:r>
        <w:t>____________________</w:t>
      </w:r>
    </w:p>
  </w:footnote>
  <w:footnote w:type="continuationSeparator" w:id="0">
    <w:p w:rsidR="00451457" w:rsidRDefault="0045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62BA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601" w:rsidRDefault="0034043B" w:rsidP="000C62BA">
    <w:pPr>
      <w:pStyle w:val="Header"/>
      <w:rPr>
        <w:lang w:val="es-ES"/>
      </w:rPr>
    </w:pPr>
    <w:r>
      <w:rPr>
        <w:lang w:val="es-ES"/>
      </w:rPr>
      <w:t>RAG</w:t>
    </w:r>
    <w:r w:rsidR="005D3E02">
      <w:rPr>
        <w:lang w:val="es-ES"/>
      </w:rPr>
      <w:t>1</w:t>
    </w:r>
    <w:r w:rsidR="000C62BA">
      <w:rPr>
        <w:lang w:val="es-ES"/>
      </w:rPr>
      <w:t>4</w:t>
    </w:r>
    <w:r w:rsidR="00616601">
      <w:rPr>
        <w:lang w:val="es-ES"/>
      </w:rPr>
      <w:t>-1/#-S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323D"/>
    <w:multiLevelType w:val="multilevel"/>
    <w:tmpl w:val="46DAA27E"/>
    <w:lvl w:ilvl="0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57"/>
    <w:rsid w:val="00072C72"/>
    <w:rsid w:val="000C62BA"/>
    <w:rsid w:val="0012592F"/>
    <w:rsid w:val="0031432E"/>
    <w:rsid w:val="0034043B"/>
    <w:rsid w:val="003F006E"/>
    <w:rsid w:val="00414D8B"/>
    <w:rsid w:val="00451457"/>
    <w:rsid w:val="00482905"/>
    <w:rsid w:val="004D6C09"/>
    <w:rsid w:val="005D3E02"/>
    <w:rsid w:val="00610642"/>
    <w:rsid w:val="00616601"/>
    <w:rsid w:val="006A42AB"/>
    <w:rsid w:val="006E291F"/>
    <w:rsid w:val="009D32D9"/>
    <w:rsid w:val="00B32E51"/>
    <w:rsid w:val="00CB7A43"/>
    <w:rsid w:val="00D546BD"/>
    <w:rsid w:val="00E63C39"/>
    <w:rsid w:val="00E7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paragraph" w:customStyle="1" w:styleId="l">
    <w:name w:val="l"/>
    <w:basedOn w:val="Normalaftertitle"/>
    <w:rsid w:val="00072C72"/>
  </w:style>
  <w:style w:type="paragraph" w:customStyle="1" w:styleId="li">
    <w:name w:val="li"/>
    <w:basedOn w:val="l"/>
    <w:rsid w:val="00072C72"/>
  </w:style>
  <w:style w:type="paragraph" w:customStyle="1" w:styleId="Reasons">
    <w:name w:val="Reasons"/>
    <w:basedOn w:val="Normal"/>
    <w:qFormat/>
    <w:rsid w:val="00072C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paragraph" w:customStyle="1" w:styleId="l">
    <w:name w:val="l"/>
    <w:basedOn w:val="Normalaftertitle"/>
    <w:rsid w:val="00072C72"/>
  </w:style>
  <w:style w:type="paragraph" w:customStyle="1" w:styleId="li">
    <w:name w:val="li"/>
    <w:basedOn w:val="l"/>
    <w:rsid w:val="00072C72"/>
  </w:style>
  <w:style w:type="paragraph" w:customStyle="1" w:styleId="Reasons">
    <w:name w:val="Reasons"/>
    <w:basedOn w:val="Normal"/>
    <w:qFormat/>
    <w:rsid w:val="00072C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RAG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PS_RAG14.dotm</Template>
  <TotalTime>15</TotalTime>
  <Pages>1</Pages>
  <Words>305</Words>
  <Characters>1493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FECHAS DE LA PRIMERA SESIÓN DE LA REUNIÓN PREPARATORIA DE LA CONFERENCIA (RPC) PARA LA PRÓXIMA CONFERENCIA MUNDIAL DE RADIOCOMUNICACIONES DESPUÉS DE LA CMR-15</dc:title>
  <dc:subject>GRUPO ASESOR DE RADIOCOMUNICACIONES</dc:subject>
  <dc:creator>Kenya (República de)</dc:creator>
  <cp:keywords>RAG03-1</cp:keywords>
  <dc:description>Documento RAG14-1/15-S  For: _x000d_Document date: 12 de junio de 2014_x000d_Saved by ITU51007797 at 14:25:17 on 17/06/2014</dc:description>
  <cp:lastModifiedBy>Christe-Baldan, Susana</cp:lastModifiedBy>
  <cp:revision>5</cp:revision>
  <cp:lastPrinted>2014-06-17T12:25:00Z</cp:lastPrinted>
  <dcterms:created xsi:type="dcterms:W3CDTF">2014-06-17T12:04:00Z</dcterms:created>
  <dcterms:modified xsi:type="dcterms:W3CDTF">2014-06-17T12:25:00Z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RAG14-1/15-S</vt:lpwstr>
  </property>
  <property fmtid="{D5CDD505-2E9C-101B-9397-08002B2CF9AE}" pid="3" name="Docdate">
    <vt:lpwstr>12 de junio de 2014</vt:lpwstr>
  </property>
  <property fmtid="{D5CDD505-2E9C-101B-9397-08002B2CF9AE}" pid="4" name="Docorlang">
    <vt:lpwstr>Original: inglés</vt:lpwstr>
  </property>
  <property fmtid="{D5CDD505-2E9C-101B-9397-08002B2CF9AE}" pid="5" name="Docauthor">
    <vt:lpwstr>Kenya (República de)</vt:lpwstr>
  </property>
</Properties>
</file>