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766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2D238A">
        <w:trPr>
          <w:cantSplit/>
        </w:trPr>
        <w:tc>
          <w:tcPr>
            <w:tcW w:w="6771" w:type="dxa"/>
          </w:tcPr>
          <w:p w:rsidR="002D238A" w:rsidRPr="002D238A" w:rsidRDefault="002D238A" w:rsidP="00B41D84">
            <w:pPr>
              <w:shd w:val="solid" w:color="FFFFFF" w:fill="FFFFFF"/>
              <w:spacing w:before="360" w:after="240"/>
              <w:rPr>
                <w:rFonts w:ascii="Verdana" w:hAnsi="Verdana"/>
                <w:b/>
                <w:bCs/>
              </w:rPr>
            </w:pPr>
            <w:r w:rsidRPr="002D238A">
              <w:rPr>
                <w:rFonts w:ascii="Verdana" w:hAnsi="Verdana" w:cs="Times New Roman Bold"/>
                <w:b/>
                <w:sz w:val="25"/>
                <w:szCs w:val="25"/>
              </w:rPr>
              <w:t>Groupe Consultatif des Radiocommunications</w:t>
            </w:r>
            <w:r w:rsidRPr="002D238A">
              <w:rPr>
                <w:rFonts w:ascii="Verdana" w:hAnsi="Verdana"/>
                <w:b/>
                <w:sz w:val="25"/>
                <w:szCs w:val="25"/>
              </w:rPr>
              <w:br/>
            </w:r>
            <w:r w:rsidRPr="002D238A">
              <w:rPr>
                <w:rFonts w:ascii="Verdana" w:hAnsi="Verdana" w:cs="Times New Roman Bold"/>
                <w:b/>
                <w:bCs/>
                <w:sz w:val="20"/>
              </w:rPr>
              <w:t>Genève,</w:t>
            </w:r>
            <w:r w:rsidRPr="002D238A"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="00AC39EE">
              <w:rPr>
                <w:rFonts w:ascii="Verdana" w:hAnsi="Verdana"/>
                <w:b/>
                <w:bCs/>
                <w:sz w:val="20"/>
              </w:rPr>
              <w:t>2</w:t>
            </w:r>
            <w:r w:rsidR="00B41D84">
              <w:rPr>
                <w:rFonts w:ascii="Verdana" w:hAnsi="Verdana"/>
                <w:b/>
                <w:bCs/>
                <w:sz w:val="20"/>
              </w:rPr>
              <w:t>4</w:t>
            </w:r>
            <w:r w:rsidRPr="002D238A">
              <w:rPr>
                <w:rFonts w:ascii="Verdana" w:hAnsi="Verdana"/>
                <w:b/>
                <w:bCs/>
                <w:sz w:val="20"/>
              </w:rPr>
              <w:t>-</w:t>
            </w:r>
            <w:r w:rsidR="00AC39EE">
              <w:rPr>
                <w:rFonts w:ascii="Verdana" w:hAnsi="Verdana"/>
                <w:b/>
                <w:bCs/>
                <w:sz w:val="20"/>
              </w:rPr>
              <w:t>2</w:t>
            </w:r>
            <w:r w:rsidR="00B41D84">
              <w:rPr>
                <w:rFonts w:ascii="Verdana" w:hAnsi="Verdana"/>
                <w:b/>
                <w:bCs/>
                <w:sz w:val="20"/>
              </w:rPr>
              <w:t>7</w:t>
            </w:r>
            <w:r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="00B41D84">
              <w:rPr>
                <w:rFonts w:ascii="Verdana" w:hAnsi="Verdana"/>
                <w:b/>
                <w:bCs/>
                <w:sz w:val="20"/>
              </w:rPr>
              <w:t>juin</w:t>
            </w:r>
            <w:r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Pr="002D238A">
              <w:rPr>
                <w:rFonts w:ascii="Verdana" w:hAnsi="Verdana"/>
                <w:b/>
                <w:bCs/>
                <w:sz w:val="20"/>
              </w:rPr>
              <w:t>20</w:t>
            </w:r>
            <w:r w:rsidR="00925627">
              <w:rPr>
                <w:rFonts w:ascii="Verdana" w:hAnsi="Verdana"/>
                <w:b/>
                <w:bCs/>
                <w:sz w:val="20"/>
              </w:rPr>
              <w:t>1</w:t>
            </w:r>
            <w:r w:rsidR="00B41D84">
              <w:rPr>
                <w:rFonts w:ascii="Verdana" w:hAnsi="Verdana"/>
                <w:b/>
                <w:bCs/>
                <w:sz w:val="20"/>
              </w:rPr>
              <w:t>4</w:t>
            </w:r>
          </w:p>
        </w:tc>
        <w:tc>
          <w:tcPr>
            <w:tcW w:w="3118" w:type="dxa"/>
          </w:tcPr>
          <w:p w:rsidR="002D238A" w:rsidRDefault="005430E4" w:rsidP="00773E5E">
            <w:pPr>
              <w:shd w:val="solid" w:color="FFFFFF" w:fill="FFFFFF"/>
              <w:spacing w:before="0" w:line="240" w:lineRule="atLeast"/>
            </w:pPr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31114821" wp14:editId="7F08E3A4">
                  <wp:extent cx="1775460" cy="701040"/>
                  <wp:effectExtent l="19050" t="0" r="0" b="0"/>
                  <wp:docPr id="1" name="Picture 1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38A" w:rsidRPr="0051782D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2D238A" w:rsidRPr="0051782D" w:rsidRDefault="002D238A" w:rsidP="00773E5E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2D238A" w:rsidRPr="0051782D" w:rsidRDefault="002D238A" w:rsidP="00773E5E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2D238A" w:rsidRPr="00710D66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2D238A" w:rsidRPr="0051782D" w:rsidRDefault="002D238A" w:rsidP="00773E5E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2D238A" w:rsidRPr="002D238A" w:rsidRDefault="002D238A" w:rsidP="00773E5E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2D238A" w:rsidRPr="002A127E">
        <w:trPr>
          <w:cantSplit/>
        </w:trPr>
        <w:tc>
          <w:tcPr>
            <w:tcW w:w="6771" w:type="dxa"/>
            <w:vMerge w:val="restart"/>
          </w:tcPr>
          <w:p w:rsidR="002D238A" w:rsidRDefault="002D238A" w:rsidP="00773E5E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2D238A" w:rsidRPr="00BD50A6" w:rsidRDefault="00BD50A6" w:rsidP="00BD50A6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RAG14-1/11-F</w:t>
            </w:r>
          </w:p>
        </w:tc>
      </w:tr>
      <w:tr w:rsidR="002D238A" w:rsidRPr="002A127E">
        <w:trPr>
          <w:cantSplit/>
        </w:trPr>
        <w:tc>
          <w:tcPr>
            <w:tcW w:w="6771" w:type="dxa"/>
            <w:vMerge/>
          </w:tcPr>
          <w:p w:rsidR="002D238A" w:rsidRDefault="002D238A" w:rsidP="00773E5E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2D238A" w:rsidRPr="00BD50A6" w:rsidRDefault="00BD50A6" w:rsidP="00BD50A6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1er juin 2014</w:t>
            </w:r>
          </w:p>
        </w:tc>
      </w:tr>
      <w:tr w:rsidR="002D238A" w:rsidRPr="002A127E">
        <w:trPr>
          <w:cantSplit/>
        </w:trPr>
        <w:tc>
          <w:tcPr>
            <w:tcW w:w="6771" w:type="dxa"/>
            <w:vMerge/>
          </w:tcPr>
          <w:p w:rsidR="002D238A" w:rsidRDefault="002D238A" w:rsidP="00773E5E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2D238A" w:rsidRPr="00BD50A6" w:rsidRDefault="00BD50A6" w:rsidP="00BD50A6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2D238A">
        <w:trPr>
          <w:cantSplit/>
        </w:trPr>
        <w:tc>
          <w:tcPr>
            <w:tcW w:w="9889" w:type="dxa"/>
            <w:gridSpan w:val="2"/>
          </w:tcPr>
          <w:p w:rsidR="002D238A" w:rsidRDefault="00BD50A6" w:rsidP="00773E5E">
            <w:pPr>
              <w:pStyle w:val="Source"/>
            </w:pPr>
            <w:bookmarkStart w:id="3" w:name="dsource" w:colFirst="0" w:colLast="0"/>
            <w:bookmarkEnd w:id="2"/>
            <w:r>
              <w:t>Corée (République de)</w:t>
            </w:r>
          </w:p>
        </w:tc>
      </w:tr>
      <w:tr w:rsidR="002D238A">
        <w:trPr>
          <w:cantSplit/>
        </w:trPr>
        <w:tc>
          <w:tcPr>
            <w:tcW w:w="9889" w:type="dxa"/>
            <w:gridSpan w:val="2"/>
          </w:tcPr>
          <w:p w:rsidR="002D238A" w:rsidRDefault="00BD50A6" w:rsidP="00BD50A6">
            <w:pPr>
              <w:pStyle w:val="Title1"/>
              <w:spacing w:after="60"/>
            </w:pPr>
            <w:bookmarkStart w:id="4" w:name="dtitle1" w:colFirst="0" w:colLast="0"/>
            <w:bookmarkEnd w:id="3"/>
            <w:r>
              <w:t>propositions pour les travaux de l'assemblée</w:t>
            </w:r>
          </w:p>
        </w:tc>
      </w:tr>
    </w:tbl>
    <w:bookmarkEnd w:id="4"/>
    <w:p w:rsidR="0085033B" w:rsidRDefault="0085033B" w:rsidP="0085033B">
      <w:pPr>
        <w:pStyle w:val="Heading1"/>
      </w:pPr>
      <w:r>
        <w:t>1</w:t>
      </w:r>
      <w:r>
        <w:tab/>
        <w:t>Introduction</w:t>
      </w:r>
    </w:p>
    <w:p w:rsidR="0085033B" w:rsidRDefault="0085033B" w:rsidP="0085033B">
      <w:r>
        <w:t>Aux termes du § 3 de la Résolution UIT-R 1-6, on distingue deux catégories d</w:t>
      </w:r>
      <w:r w:rsidR="002C32E6">
        <w:t>'</w:t>
      </w:r>
      <w:r>
        <w:t>études qui sont du ressort des Commissions d</w:t>
      </w:r>
      <w:r w:rsidR="002C32E6">
        <w:t>'</w:t>
      </w:r>
      <w:r>
        <w:t>études des radiocommunications.</w:t>
      </w:r>
    </w:p>
    <w:p w:rsidR="00BD50A6" w:rsidRDefault="00BD50A6" w:rsidP="005424A2">
      <w:r>
        <w:t xml:space="preserve">La première se compose des </w:t>
      </w:r>
      <w:r w:rsidR="005424A2">
        <w:t>«</w:t>
      </w:r>
      <w:r>
        <w:t>Questions</w:t>
      </w:r>
      <w:r w:rsidR="005424A2">
        <w:t>»</w:t>
      </w:r>
      <w:r>
        <w:t xml:space="preserve"> approuvées par l'Assemblée des radiocommunications et portant sur des sujets soumis par la Confére</w:t>
      </w:r>
      <w:r w:rsidR="004E2AAD">
        <w:t xml:space="preserve">nce de plénipotentiaires, </w:t>
      </w:r>
      <w:bookmarkStart w:id="5" w:name="_GoBack"/>
      <w:bookmarkEnd w:id="5"/>
      <w:r>
        <w:t xml:space="preserve">une autre conférence, le Conseil ou le Comité du Règlement des radiocommunications, conformément au </w:t>
      </w:r>
      <w:r w:rsidR="00894947">
        <w:t xml:space="preserve">§ </w:t>
      </w:r>
      <w:r>
        <w:t>3.1.1 de la Résolution UIT-R 1-6. L</w:t>
      </w:r>
      <w:r w:rsidR="002C32E6">
        <w:t>'</w:t>
      </w:r>
      <w:r>
        <w:t>étude de Questions nouvell</w:t>
      </w:r>
      <w:r w:rsidR="002C32E6">
        <w:t xml:space="preserve">es ou révisées peut aussi être </w:t>
      </w:r>
      <w:r>
        <w:t xml:space="preserve">proposée dans les </w:t>
      </w:r>
      <w:r w:rsidR="005424A2">
        <w:t>c</w:t>
      </w:r>
      <w:r>
        <w:t>ommissions d'études, qui les adoptent, conformément au §</w:t>
      </w:r>
      <w:r w:rsidR="002C32E6">
        <w:t xml:space="preserve"> </w:t>
      </w:r>
      <w:r>
        <w:t>10.2 de la Résolution UIT-R 1-6. Ces Questions sont approuvées par l</w:t>
      </w:r>
      <w:r w:rsidR="002C32E6">
        <w:t>'</w:t>
      </w:r>
      <w:r>
        <w:t>Assemblée des radiocommunications, ou par voie de consultation, en vertu du §</w:t>
      </w:r>
      <w:r w:rsidR="002C32E6">
        <w:t xml:space="preserve"> </w:t>
      </w:r>
      <w:r>
        <w:t xml:space="preserve">10.4 de ladite Résolution. Chaque Question est attribuée à la </w:t>
      </w:r>
      <w:r w:rsidR="005424A2">
        <w:t>c</w:t>
      </w:r>
      <w:r>
        <w:t>ommission d</w:t>
      </w:r>
      <w:r w:rsidR="002C32E6">
        <w:t>'</w:t>
      </w:r>
      <w:r>
        <w:t>études compétente, après évaluation de la priorité et de l</w:t>
      </w:r>
      <w:r w:rsidR="002C32E6">
        <w:t>'</w:t>
      </w:r>
      <w:r>
        <w:t>urgence des études, sans qu</w:t>
      </w:r>
      <w:r w:rsidR="002C32E6">
        <w:t>'</w:t>
      </w:r>
      <w:r>
        <w:t>elle ait à être adoptée ou approuvée par la commission d</w:t>
      </w:r>
      <w:r w:rsidR="002C32E6">
        <w:t>'</w:t>
      </w:r>
      <w:r>
        <w:t>études</w:t>
      </w:r>
      <w:r w:rsidR="0085033B">
        <w:t>.</w:t>
      </w:r>
    </w:p>
    <w:p w:rsidR="00BD50A6" w:rsidRDefault="00BD50A6" w:rsidP="005424A2">
      <w:r>
        <w:t xml:space="preserve">La seconde se compose des </w:t>
      </w:r>
      <w:r w:rsidR="005424A2">
        <w:t>«</w:t>
      </w:r>
      <w:r>
        <w:t>autres sujets</w:t>
      </w:r>
      <w:r w:rsidR="005424A2">
        <w:t>»</w:t>
      </w:r>
      <w:r>
        <w:t xml:space="preserve"> que les </w:t>
      </w:r>
      <w:r w:rsidR="005424A2">
        <w:t>c</w:t>
      </w:r>
      <w:r>
        <w:t>ommissions d</w:t>
      </w:r>
      <w:r w:rsidR="002C32E6">
        <w:t>'</w:t>
      </w:r>
      <w:r>
        <w:t>études des radiocommunications peuvent entreprendre d</w:t>
      </w:r>
      <w:r w:rsidR="002C32E6">
        <w:t>'</w:t>
      </w:r>
      <w:r>
        <w:t>étudier sans qu</w:t>
      </w:r>
      <w:r w:rsidR="002C32E6">
        <w:t>'</w:t>
      </w:r>
      <w:r>
        <w:t>ils fassent l</w:t>
      </w:r>
      <w:r w:rsidR="002C32E6">
        <w:t>'</w:t>
      </w:r>
      <w:r>
        <w:t xml:space="preserve">objet de Questions, sur des thèmes relevant du domaine de compétence de la </w:t>
      </w:r>
      <w:r w:rsidR="005424A2">
        <w:t>c</w:t>
      </w:r>
      <w:r>
        <w:t>ommission d'études, conformément au §</w:t>
      </w:r>
      <w:r w:rsidR="002C32E6">
        <w:t xml:space="preserve"> </w:t>
      </w:r>
      <w:r>
        <w:t>3.3 de la Résolution UIT</w:t>
      </w:r>
      <w:r w:rsidR="005424A2">
        <w:noBreakHyphen/>
      </w:r>
      <w:r>
        <w:t>R</w:t>
      </w:r>
      <w:r w:rsidR="005424A2">
        <w:t> </w:t>
      </w:r>
      <w:r>
        <w:t>1-6. Manifestement, ces dispositions laissent une marge de manœuvre suffisante pour tenir compte de la nécessité et de l</w:t>
      </w:r>
      <w:r w:rsidR="002C32E6">
        <w:t>'</w:t>
      </w:r>
      <w:r>
        <w:t>urgence d</w:t>
      </w:r>
      <w:r w:rsidR="002C32E6">
        <w:t>'</w:t>
      </w:r>
      <w:r>
        <w:t>entreprendre des recherches et de l</w:t>
      </w:r>
      <w:r w:rsidR="002C32E6">
        <w:t>'</w:t>
      </w:r>
      <w:r>
        <w:t>évolution rapide des technologies de radiocommunication et des marchés.</w:t>
      </w:r>
    </w:p>
    <w:p w:rsidR="00BD50A6" w:rsidRDefault="00BD50A6" w:rsidP="002C32E6">
      <w:r>
        <w:t>Néanmoins, les études qui ne font pas l</w:t>
      </w:r>
      <w:r w:rsidR="002C32E6">
        <w:t>'</w:t>
      </w:r>
      <w:r>
        <w:t>objet de Questions peuvent donner des résultats au même titre que celles qui font l</w:t>
      </w:r>
      <w:r w:rsidR="002C32E6">
        <w:t>'</w:t>
      </w:r>
      <w:r>
        <w:t>objet de Questions, d</w:t>
      </w:r>
      <w:r w:rsidR="002C32E6">
        <w:t>'</w:t>
      </w:r>
      <w:r>
        <w:t>une ou de parties de Question, ou d</w:t>
      </w:r>
      <w:r w:rsidR="002C32E6">
        <w:t>'</w:t>
      </w:r>
      <w:r>
        <w:t>autres sujets mentionnés au § 3.3. En effet, il n</w:t>
      </w:r>
      <w:r w:rsidR="002C32E6">
        <w:t>'</w:t>
      </w:r>
      <w:r>
        <w:t>existe pas de processus officiel d</w:t>
      </w:r>
      <w:r w:rsidR="002C32E6">
        <w:t>'</w:t>
      </w:r>
      <w:r>
        <w:t>adoption ou d</w:t>
      </w:r>
      <w:r w:rsidR="002C32E6">
        <w:t>'</w:t>
      </w:r>
      <w:r>
        <w:t>approbation de ces études par une conférence ou par voie de consultation. Il est nécessaire que l</w:t>
      </w:r>
      <w:r w:rsidR="002C32E6">
        <w:t>'</w:t>
      </w:r>
      <w:r>
        <w:t>Assemblée des radiocommunications définisse des critères visant à établir une distinction entre les sujets à l</w:t>
      </w:r>
      <w:r w:rsidR="002C32E6">
        <w:t>'</w:t>
      </w:r>
      <w:r>
        <w:t>étude qui devraient faire l</w:t>
      </w:r>
      <w:r w:rsidR="002C32E6">
        <w:t>'</w:t>
      </w:r>
      <w:r>
        <w:t>objet de Questions et ceux qui ne font pas l</w:t>
      </w:r>
      <w:r w:rsidR="002C32E6">
        <w:t>'</w:t>
      </w:r>
      <w:r>
        <w:t>objet de Questions</w:t>
      </w:r>
      <w:r w:rsidR="0085033B">
        <w:t>.</w:t>
      </w:r>
    </w:p>
    <w:p w:rsidR="00BD50A6" w:rsidRDefault="002C32E6" w:rsidP="0085033B">
      <w:r>
        <w:t xml:space="preserve">Par ailleurs, l'UIT publie </w:t>
      </w:r>
      <w:r w:rsidR="00BD50A6">
        <w:t>dans la Résolution UIT-R 5-6 une liste de Questions nouvelles ou révisées approuvées par l</w:t>
      </w:r>
      <w:r>
        <w:t>'</w:t>
      </w:r>
      <w:r w:rsidR="00BD50A6">
        <w:t>Assemblée des radiocommunications. Or, les études qui ne font pas l</w:t>
      </w:r>
      <w:r>
        <w:t>'</w:t>
      </w:r>
      <w:r w:rsidR="00BD50A6">
        <w:t>objet de Questions ne figurent pas dans cette liste, ce qui complique la tâche des administrations qui veulent suivre l</w:t>
      </w:r>
      <w:r>
        <w:t>'</w:t>
      </w:r>
      <w:r w:rsidR="00BD50A6">
        <w:t>avancement des travaux de chaque commission d</w:t>
      </w:r>
      <w:r>
        <w:t>'</w:t>
      </w:r>
      <w:r w:rsidR="00BD50A6">
        <w:t>études.</w:t>
      </w:r>
    </w:p>
    <w:p w:rsidR="00BD50A6" w:rsidRDefault="0085033B" w:rsidP="00894947">
      <w:pPr>
        <w:pStyle w:val="Heading1"/>
      </w:pPr>
      <w:r>
        <w:lastRenderedPageBreak/>
        <w:t>2</w:t>
      </w:r>
      <w:r>
        <w:tab/>
        <w:t>Proposition</w:t>
      </w:r>
    </w:p>
    <w:p w:rsidR="0085033B" w:rsidRPr="0085033B" w:rsidRDefault="0085033B" w:rsidP="00894947">
      <w:pPr>
        <w:keepNext/>
        <w:keepLines/>
      </w:pPr>
      <w:r>
        <w:t>La République de Corée propose d</w:t>
      </w:r>
      <w:r w:rsidR="002C32E6">
        <w:t>'</w:t>
      </w:r>
      <w:r>
        <w:t>envisager une révision de la Résolution UIT-R 1-6 relative aux méthodes de travail des commissions d</w:t>
      </w:r>
      <w:r w:rsidR="002C32E6">
        <w:t>'</w:t>
      </w:r>
      <w:r>
        <w:t>études des radiocommunications. Cette révision serait soumise à l</w:t>
      </w:r>
      <w:r w:rsidR="002C32E6">
        <w:t>'</w:t>
      </w:r>
      <w:r>
        <w:t>approbation de l</w:t>
      </w:r>
      <w:r w:rsidR="002C32E6">
        <w:t>'</w:t>
      </w:r>
      <w:r>
        <w:t>AR-15 en vue de clarifier le traitement des études ne faisant pas l</w:t>
      </w:r>
      <w:r w:rsidR="002C32E6">
        <w:t>'</w:t>
      </w:r>
      <w:r>
        <w:t>objet de Questions par chaque commission d</w:t>
      </w:r>
      <w:r w:rsidR="002C32E6">
        <w:t>'</w:t>
      </w:r>
      <w:r>
        <w:t>études. Les méthodes e</w:t>
      </w:r>
      <w:r w:rsidR="00894947">
        <w:t>nvisageables sont les suivantes:</w:t>
      </w:r>
    </w:p>
    <w:p w:rsidR="00BD50A6" w:rsidRPr="00BD50A6" w:rsidRDefault="0085033B" w:rsidP="005424A2">
      <w:pPr>
        <w:pStyle w:val="enumlev1"/>
      </w:pPr>
      <w:r>
        <w:t>–</w:t>
      </w:r>
      <w:r>
        <w:tab/>
        <w:t>Inclusion de critères établissant une distinction entre les sujets à l</w:t>
      </w:r>
      <w:r w:rsidR="002C32E6">
        <w:t>'</w:t>
      </w:r>
      <w:r>
        <w:t>étude qui devraient faire l</w:t>
      </w:r>
      <w:r w:rsidR="002C32E6">
        <w:t>'</w:t>
      </w:r>
      <w:r>
        <w:t>objet de Questions et ceux qui ne font pas l</w:t>
      </w:r>
      <w:r w:rsidR="002C32E6">
        <w:t>'</w:t>
      </w:r>
      <w:r>
        <w:t>objet de Questions</w:t>
      </w:r>
      <w:r w:rsidR="005424A2">
        <w:t>.</w:t>
      </w:r>
    </w:p>
    <w:p w:rsidR="00AC39EE" w:rsidRDefault="0085033B" w:rsidP="00894947">
      <w:pPr>
        <w:pStyle w:val="enumlev1"/>
      </w:pPr>
      <w:r>
        <w:t>–</w:t>
      </w:r>
      <w:r>
        <w:tab/>
      </w:r>
      <w:r w:rsidR="00BD50A6">
        <w:t>Insertion des modalités de la notification aux Etats Membres des études qui ne font pas l</w:t>
      </w:r>
      <w:r w:rsidR="002C32E6">
        <w:t>'</w:t>
      </w:r>
      <w:r w:rsidR="00BD50A6">
        <w:t>objet de Questions</w:t>
      </w:r>
      <w:r w:rsidR="00894947">
        <w:t>.</w:t>
      </w:r>
    </w:p>
    <w:p w:rsidR="00F029F0" w:rsidRDefault="00F029F0" w:rsidP="005424A2">
      <w:pPr>
        <w:rPr>
          <w:lang w:val="fr-CH"/>
        </w:rPr>
      </w:pPr>
    </w:p>
    <w:p w:rsidR="005424A2" w:rsidRDefault="005424A2" w:rsidP="005424A2">
      <w:pPr>
        <w:rPr>
          <w:lang w:val="fr-CH"/>
        </w:rPr>
      </w:pPr>
    </w:p>
    <w:p w:rsidR="005424A2" w:rsidRPr="005424A2" w:rsidRDefault="005424A2" w:rsidP="005424A2">
      <w:pPr>
        <w:rPr>
          <w:lang w:val="fr-CH"/>
        </w:rPr>
      </w:pPr>
    </w:p>
    <w:p w:rsidR="00F029F0" w:rsidRDefault="00F029F0">
      <w:pPr>
        <w:jc w:val="center"/>
      </w:pPr>
      <w:r>
        <w:t>______________</w:t>
      </w:r>
    </w:p>
    <w:p w:rsidR="00F029F0" w:rsidRDefault="00F029F0" w:rsidP="00894947">
      <w:pPr>
        <w:pStyle w:val="enumlev1"/>
      </w:pPr>
    </w:p>
    <w:sectPr w:rsidR="00F029F0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0A6" w:rsidRDefault="00BD50A6">
      <w:r>
        <w:separator/>
      </w:r>
    </w:p>
  </w:endnote>
  <w:endnote w:type="continuationSeparator" w:id="0">
    <w:p w:rsidR="00BD50A6" w:rsidRDefault="00BD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AAC" w:rsidRDefault="00A9055C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A75CCD">
      <w:rPr>
        <w:lang w:val="en-US"/>
      </w:rPr>
      <w:t>P:\FRA\ITU-R\AG\RAG\RAG14\000\011F.docx</w:t>
    </w:r>
    <w:r>
      <w:rPr>
        <w:lang w:val="en-US"/>
      </w:rPr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savedate \@ dd.MM.yy </w:instrText>
    </w:r>
    <w:r w:rsidR="00847AAC">
      <w:fldChar w:fldCharType="separate"/>
    </w:r>
    <w:r w:rsidR="004E2AAD">
      <w:t>13.06.14</w:t>
    </w:r>
    <w:r w:rsidR="00847AAC"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printdate \@ dd.MM.yy </w:instrText>
    </w:r>
    <w:r w:rsidR="00847AAC">
      <w:fldChar w:fldCharType="separate"/>
    </w:r>
    <w:r w:rsidR="00A75CCD">
      <w:t>13.06.14</w:t>
    </w:r>
    <w:r w:rsidR="00847AAC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F0" w:rsidRDefault="00F029F0" w:rsidP="00F029F0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A75CCD">
      <w:rPr>
        <w:lang w:val="en-US"/>
      </w:rPr>
      <w:t>P:\FRA\ITU-R\AG\RAG\RAG14\000\011F.docx</w:t>
    </w:r>
    <w:r>
      <w:rPr>
        <w:lang w:val="en-US"/>
      </w:rPr>
      <w:fldChar w:fldCharType="end"/>
    </w:r>
    <w:r>
      <w:rPr>
        <w:lang w:val="en-US"/>
      </w:rPr>
      <w:t xml:space="preserve"> (364408)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E2AAD">
      <w:t>13.06.14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75CCD">
      <w:t>13.06.14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AAC" w:rsidRDefault="00A9055C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A75CCD">
      <w:rPr>
        <w:lang w:val="en-US"/>
      </w:rPr>
      <w:t>P:\FRA\ITU-R\AG\RAG\RAG14\000\011F.docx</w:t>
    </w:r>
    <w:r>
      <w:rPr>
        <w:lang w:val="en-US"/>
      </w:rPr>
      <w:fldChar w:fldCharType="end"/>
    </w:r>
    <w:r w:rsidR="00F029F0">
      <w:rPr>
        <w:lang w:val="en-US"/>
      </w:rPr>
      <w:t xml:space="preserve"> (364408)</w:t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savedate \@ dd.MM.yy </w:instrText>
    </w:r>
    <w:r w:rsidR="00847AAC">
      <w:fldChar w:fldCharType="separate"/>
    </w:r>
    <w:r w:rsidR="004E2AAD">
      <w:t>13.06.14</w:t>
    </w:r>
    <w:r w:rsidR="00847AAC"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printdate \@ dd.MM.yy </w:instrText>
    </w:r>
    <w:r w:rsidR="00847AAC">
      <w:fldChar w:fldCharType="separate"/>
    </w:r>
    <w:r w:rsidR="00A75CCD">
      <w:t>13.06.14</w:t>
    </w:r>
    <w:r w:rsidR="00847AA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0A6" w:rsidRDefault="00BD50A6">
      <w:r>
        <w:t>____________________</w:t>
      </w:r>
    </w:p>
  </w:footnote>
  <w:footnote w:type="continuationSeparator" w:id="0">
    <w:p w:rsidR="00BD50A6" w:rsidRDefault="00BD5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AAC" w:rsidRDefault="00847AAC">
    <w:pPr>
      <w:pStyle w:val="Header"/>
    </w:pPr>
    <w:r>
      <w:rPr>
        <w:lang w:val="es-ES"/>
      </w:rPr>
      <w:t xml:space="preserve">- </w:t>
    </w:r>
    <w:r w:rsidR="00A9055C">
      <w:fldChar w:fldCharType="begin"/>
    </w:r>
    <w:r w:rsidR="00A9055C">
      <w:instrText xml:space="preserve"> PAGE </w:instrText>
    </w:r>
    <w:r w:rsidR="00A9055C">
      <w:fldChar w:fldCharType="separate"/>
    </w:r>
    <w:r>
      <w:rPr>
        <w:noProof/>
      </w:rPr>
      <w:t>2</w:t>
    </w:r>
    <w:r w:rsidR="00A9055C">
      <w:rPr>
        <w:noProof/>
      </w:rPr>
      <w:fldChar w:fldCharType="end"/>
    </w:r>
    <w:r>
      <w:rPr>
        <w:lang w:val="es-ES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AAC" w:rsidRDefault="00A9055C" w:rsidP="00925627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4E2AAD">
      <w:rPr>
        <w:noProof/>
      </w:rPr>
      <w:t>2</w:t>
    </w:r>
    <w:r>
      <w:rPr>
        <w:noProof/>
      </w:rPr>
      <w:fldChar w:fldCharType="end"/>
    </w:r>
  </w:p>
  <w:p w:rsidR="00847AAC" w:rsidRDefault="0097156E" w:rsidP="00265915">
    <w:pPr>
      <w:pStyle w:val="Header"/>
      <w:rPr>
        <w:lang w:val="es-ES"/>
      </w:rPr>
    </w:pPr>
    <w:r>
      <w:rPr>
        <w:lang w:val="es-ES"/>
      </w:rPr>
      <w:t>RAG</w:t>
    </w:r>
    <w:r w:rsidR="00925627">
      <w:rPr>
        <w:lang w:val="es-ES"/>
      </w:rPr>
      <w:t>1</w:t>
    </w:r>
    <w:r w:rsidR="00B41D84">
      <w:rPr>
        <w:lang w:val="es-ES"/>
      </w:rPr>
      <w:t>4</w:t>
    </w:r>
    <w:r w:rsidR="00847AAC">
      <w:rPr>
        <w:lang w:val="es-ES"/>
      </w:rPr>
      <w:t>-1/</w:t>
    </w:r>
    <w:r w:rsidR="005424A2">
      <w:rPr>
        <w:lang w:val="es-ES"/>
      </w:rPr>
      <w:t>1</w:t>
    </w:r>
    <w:r w:rsidR="00265915">
      <w:rPr>
        <w:lang w:val="es-ES"/>
      </w:rPr>
      <w:t>1</w:t>
    </w:r>
    <w:r w:rsidR="00847AAC">
      <w:rPr>
        <w:lang w:val="es-ES"/>
      </w:rP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149E"/>
    <w:multiLevelType w:val="hybridMultilevel"/>
    <w:tmpl w:val="AD701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A493B"/>
    <w:multiLevelType w:val="hybridMultilevel"/>
    <w:tmpl w:val="AD701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A40DB"/>
    <w:multiLevelType w:val="hybridMultilevel"/>
    <w:tmpl w:val="4420DA60"/>
    <w:lvl w:ilvl="0" w:tplc="35B4A3B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A6"/>
    <w:rsid w:val="00140AE6"/>
    <w:rsid w:val="00265915"/>
    <w:rsid w:val="0029409E"/>
    <w:rsid w:val="002C32E6"/>
    <w:rsid w:val="002D238A"/>
    <w:rsid w:val="004E2AAD"/>
    <w:rsid w:val="005424A2"/>
    <w:rsid w:val="005430E4"/>
    <w:rsid w:val="0067019B"/>
    <w:rsid w:val="00773E5E"/>
    <w:rsid w:val="007C44E3"/>
    <w:rsid w:val="00847AAC"/>
    <w:rsid w:val="0085033B"/>
    <w:rsid w:val="00894947"/>
    <w:rsid w:val="00925627"/>
    <w:rsid w:val="0093101F"/>
    <w:rsid w:val="0097156E"/>
    <w:rsid w:val="00A75CCD"/>
    <w:rsid w:val="00A9055C"/>
    <w:rsid w:val="00AB7F92"/>
    <w:rsid w:val="00AC39EE"/>
    <w:rsid w:val="00B41D84"/>
    <w:rsid w:val="00BA0C7B"/>
    <w:rsid w:val="00BD50A6"/>
    <w:rsid w:val="00CC5B9E"/>
    <w:rsid w:val="00CC7208"/>
    <w:rsid w:val="00D228F7"/>
    <w:rsid w:val="00F0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Pr>
      <w:b w:val="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BA0C7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0C7B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D50A6"/>
    <w:pPr>
      <w:ind w:left="720"/>
      <w:contextualSpacing/>
      <w:textAlignment w:val="auto"/>
    </w:pPr>
  </w:style>
  <w:style w:type="character" w:customStyle="1" w:styleId="FooterChar">
    <w:name w:val="Footer Char"/>
    <w:basedOn w:val="DefaultParagraphFont"/>
    <w:link w:val="Footer"/>
    <w:rsid w:val="00F029F0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Reasons">
    <w:name w:val="Reasons"/>
    <w:basedOn w:val="Normal"/>
    <w:qFormat/>
    <w:rsid w:val="00F029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Pr>
      <w:b w:val="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BA0C7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0C7B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D50A6"/>
    <w:pPr>
      <w:ind w:left="720"/>
      <w:contextualSpacing/>
      <w:textAlignment w:val="auto"/>
    </w:pPr>
  </w:style>
  <w:style w:type="character" w:customStyle="1" w:styleId="FooterChar">
    <w:name w:val="Footer Char"/>
    <w:basedOn w:val="DefaultParagraphFont"/>
    <w:link w:val="Footer"/>
    <w:rsid w:val="00F029F0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Reasons">
    <w:name w:val="Reasons"/>
    <w:basedOn w:val="Normal"/>
    <w:qFormat/>
    <w:rsid w:val="00F029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RAG1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PF_RAG14.dotm</Template>
  <TotalTime>82</TotalTime>
  <Pages>2</Pages>
  <Words>564</Words>
  <Characters>2783</Characters>
  <Application>Microsoft Office Word</Application>
  <DocSecurity>0</DocSecurity>
  <Lines>73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PROPOSITIONS POUR LES TRAVAUX DE L'ASSEMBLÉE</vt:lpstr>
    </vt:vector>
  </TitlesOfParts>
  <Manager>General Secretariat - Pool</Manager>
  <Company>International Telecommunication Union (ITU)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PROPOSITIONS POUR LES TRAVAUX DE L'ASSEMBLÉE</dc:title>
  <dc:subject>GROUPE CONSULTATIF DES RADIOCOMMUNICATIONS</dc:subject>
  <dc:creator>Corée (République de)</dc:creator>
  <cp:keywords>RAG03-1</cp:keywords>
  <dc:description>Document RAG14-1/11-F  For: _x000d_Document date: 1er juin 2014_x000d_Saved by MHS107813 at 14:16:33 on 12.06.2014</dc:description>
  <cp:lastModifiedBy>saxod</cp:lastModifiedBy>
  <cp:revision>9</cp:revision>
  <cp:lastPrinted>2014-06-13T12:52:00Z</cp:lastPrinted>
  <dcterms:created xsi:type="dcterms:W3CDTF">2014-06-12T10:57:00Z</dcterms:created>
  <dcterms:modified xsi:type="dcterms:W3CDTF">2014-06-13T12:54:00Z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RAG14-1/11-F</vt:lpwstr>
  </property>
  <property fmtid="{D5CDD505-2E9C-101B-9397-08002B2CF9AE}" pid="3" name="Docdate">
    <vt:lpwstr>1er juin 2014</vt:lpwstr>
  </property>
  <property fmtid="{D5CDD505-2E9C-101B-9397-08002B2CF9AE}" pid="4" name="Docorlang">
    <vt:lpwstr>Original: anglais</vt:lpwstr>
  </property>
  <property fmtid="{D5CDD505-2E9C-101B-9397-08002B2CF9AE}" pid="5" name="Docauthor">
    <vt:lpwstr>Corée (République de)</vt:lpwstr>
  </property>
</Properties>
</file>