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tblpXSpec="right" w:tblpY="721"/>
        <w:bidiVisual/>
        <w:tblW w:w="5017" w:type="pct"/>
        <w:tblLayout w:type="fixed"/>
        <w:tblLook w:val="0000" w:firstRow="0" w:lastRow="0" w:firstColumn="0" w:lastColumn="0" w:noHBand="0" w:noVBand="0"/>
      </w:tblPr>
      <w:tblGrid>
        <w:gridCol w:w="6770"/>
        <w:gridCol w:w="3119"/>
      </w:tblGrid>
      <w:tr w:rsidR="00044D43" w:rsidTr="00044D43">
        <w:trPr>
          <w:cantSplit/>
          <w:trHeight w:val="20"/>
        </w:trPr>
        <w:tc>
          <w:tcPr>
            <w:tcW w:w="6770" w:type="dxa"/>
          </w:tcPr>
          <w:p w:rsidR="00044D43" w:rsidRPr="003E1D90" w:rsidRDefault="00CD1D8F" w:rsidP="00CD1D8F">
            <w:pPr>
              <w:pStyle w:val="LOGO"/>
              <w:framePr w:hSpace="0" w:wrap="auto" w:xAlign="left" w:yAlign="inline"/>
              <w:rPr>
                <w:smallCaps/>
                <w:sz w:val="25"/>
                <w:szCs w:val="38"/>
                <w:rtl/>
                <w:lang w:bidi="ar-SY"/>
              </w:rPr>
            </w:pPr>
            <w:r w:rsidRPr="00CD1D8F">
              <w:rPr>
                <w:rFonts w:ascii="Calibri" w:hAnsi="Calibri" w:hint="cs"/>
                <w:w w:val="125"/>
                <w:position w:val="6"/>
                <w:sz w:val="32"/>
                <w:szCs w:val="44"/>
                <w:rtl/>
                <w:lang w:val="en-GB"/>
              </w:rPr>
              <w:t>الفريق الاستشاري للاتصالات الراديوية</w:t>
            </w:r>
            <w:r>
              <w:rPr>
                <w:rtl/>
              </w:rPr>
              <w:br/>
            </w:r>
            <w:r w:rsidR="00044D43" w:rsidRPr="00CD1D8F">
              <w:rPr>
                <w:rFonts w:ascii="Calibri" w:hAnsi="Calibri" w:hint="cs"/>
                <w:w w:val="125"/>
                <w:position w:val="6"/>
                <w:sz w:val="25"/>
                <w:szCs w:val="34"/>
                <w:rtl/>
                <w:lang w:val="en-GB"/>
              </w:rPr>
              <w:t xml:space="preserve">جنيف، </w:t>
            </w:r>
            <w:r w:rsidRPr="00CD1D8F">
              <w:rPr>
                <w:rFonts w:ascii="Calibri" w:hAnsi="Calibri"/>
                <w:w w:val="125"/>
                <w:position w:val="6"/>
                <w:sz w:val="25"/>
                <w:szCs w:val="34"/>
                <w:lang w:val="en-GB"/>
              </w:rPr>
              <w:t>27-24</w:t>
            </w:r>
            <w:r w:rsidR="00044D43" w:rsidRPr="00CD1D8F">
              <w:rPr>
                <w:rFonts w:ascii="Calibri" w:hAnsi="Calibri" w:hint="cs"/>
                <w:w w:val="125"/>
                <w:position w:val="6"/>
                <w:sz w:val="25"/>
                <w:szCs w:val="34"/>
                <w:rtl/>
                <w:lang w:val="en-GB"/>
              </w:rPr>
              <w:t xml:space="preserve"> </w:t>
            </w:r>
            <w:r w:rsidRPr="00CD1D8F">
              <w:rPr>
                <w:rFonts w:ascii="Calibri" w:hAnsi="Calibri" w:hint="cs"/>
                <w:w w:val="125"/>
                <w:position w:val="6"/>
                <w:sz w:val="25"/>
                <w:szCs w:val="34"/>
                <w:rtl/>
                <w:lang w:val="en-GB"/>
              </w:rPr>
              <w:t>يونيو</w:t>
            </w:r>
            <w:r w:rsidR="00044D43" w:rsidRPr="00CD1D8F">
              <w:rPr>
                <w:rFonts w:ascii="Calibri" w:hAnsi="Calibri" w:hint="cs"/>
                <w:w w:val="125"/>
                <w:position w:val="6"/>
                <w:sz w:val="25"/>
                <w:szCs w:val="34"/>
                <w:rtl/>
                <w:lang w:val="en-GB"/>
              </w:rPr>
              <w:t xml:space="preserve"> </w:t>
            </w:r>
            <w:r w:rsidRPr="00CD1D8F">
              <w:rPr>
                <w:rFonts w:ascii="Calibri" w:hAnsi="Calibri"/>
                <w:w w:val="125"/>
                <w:position w:val="6"/>
                <w:sz w:val="25"/>
                <w:szCs w:val="34"/>
                <w:lang w:val="en-GB"/>
              </w:rPr>
              <w:t>2014</w:t>
            </w:r>
          </w:p>
        </w:tc>
        <w:tc>
          <w:tcPr>
            <w:tcW w:w="3119" w:type="dxa"/>
          </w:tcPr>
          <w:p w:rsidR="00044D43" w:rsidRDefault="00044D43" w:rsidP="00044D43">
            <w:pPr>
              <w:rPr>
                <w:rtl/>
                <w:lang w:bidi="ar-EG"/>
              </w:rPr>
            </w:pPr>
            <w:bookmarkStart w:id="0" w:name="ditulogo"/>
            <w:bookmarkEnd w:id="0"/>
            <w:r>
              <w:rPr>
                <w:noProof/>
                <w:lang w:eastAsia="zh-CN"/>
              </w:rPr>
              <w:drawing>
                <wp:inline distT="0" distB="0" distL="0" distR="0" wp14:anchorId="04E95E33" wp14:editId="07CF834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044D43" w:rsidTr="00044D43">
        <w:trPr>
          <w:cantSplit/>
          <w:trHeight w:val="20"/>
        </w:trPr>
        <w:tc>
          <w:tcPr>
            <w:tcW w:w="6770" w:type="dxa"/>
            <w:tcBorders>
              <w:bottom w:val="single" w:sz="12" w:space="0" w:color="auto"/>
            </w:tcBorders>
          </w:tcPr>
          <w:p w:rsidR="00044D43" w:rsidRPr="00960962" w:rsidRDefault="00044D43" w:rsidP="00044D43">
            <w:pPr>
              <w:rPr>
                <w:rtl/>
                <w:lang w:bidi="ar-EG"/>
              </w:rPr>
            </w:pPr>
          </w:p>
        </w:tc>
        <w:tc>
          <w:tcPr>
            <w:tcW w:w="3119" w:type="dxa"/>
            <w:tcBorders>
              <w:bottom w:val="single" w:sz="12" w:space="0" w:color="auto"/>
            </w:tcBorders>
          </w:tcPr>
          <w:p w:rsidR="00044D43" w:rsidRPr="00A9645C" w:rsidRDefault="00044D43" w:rsidP="00044D43">
            <w:pPr>
              <w:rPr>
                <w:lang w:bidi="ar-EG"/>
              </w:rPr>
            </w:pPr>
          </w:p>
        </w:tc>
      </w:tr>
      <w:tr w:rsidR="00044D43" w:rsidTr="00044D43">
        <w:trPr>
          <w:cantSplit/>
          <w:trHeight w:val="20"/>
        </w:trPr>
        <w:tc>
          <w:tcPr>
            <w:tcW w:w="6770" w:type="dxa"/>
            <w:tcBorders>
              <w:top w:val="single" w:sz="12" w:space="0" w:color="auto"/>
            </w:tcBorders>
          </w:tcPr>
          <w:p w:rsidR="00044D43" w:rsidRPr="00BD6EF3" w:rsidRDefault="00044D43" w:rsidP="00044D43">
            <w:pPr>
              <w:pStyle w:val="Adress"/>
              <w:framePr w:hSpace="0" w:wrap="auto" w:xAlign="left" w:yAlign="inline"/>
              <w:rPr>
                <w:rtl/>
              </w:rPr>
            </w:pPr>
          </w:p>
        </w:tc>
        <w:tc>
          <w:tcPr>
            <w:tcW w:w="3119" w:type="dxa"/>
            <w:tcBorders>
              <w:top w:val="single" w:sz="12" w:space="0" w:color="auto"/>
            </w:tcBorders>
          </w:tcPr>
          <w:p w:rsidR="00044D43" w:rsidRPr="00BD6EF3" w:rsidRDefault="00044D43" w:rsidP="00044D43">
            <w:pPr>
              <w:pStyle w:val="Adress"/>
              <w:framePr w:hSpace="0" w:wrap="auto" w:xAlign="left" w:yAlign="inline"/>
            </w:pPr>
          </w:p>
        </w:tc>
      </w:tr>
      <w:tr w:rsidR="00044D43" w:rsidTr="00044D43">
        <w:trPr>
          <w:cantSplit/>
        </w:trPr>
        <w:tc>
          <w:tcPr>
            <w:tcW w:w="6770" w:type="dxa"/>
          </w:tcPr>
          <w:p w:rsidR="00044D43" w:rsidRPr="00BD6EF3" w:rsidRDefault="00044D43" w:rsidP="00044D43">
            <w:pPr>
              <w:pStyle w:val="Adress"/>
              <w:framePr w:hSpace="0" w:wrap="auto" w:xAlign="left" w:yAlign="inline"/>
              <w:rPr>
                <w:rtl/>
              </w:rPr>
            </w:pPr>
          </w:p>
        </w:tc>
        <w:tc>
          <w:tcPr>
            <w:tcW w:w="3119" w:type="dxa"/>
            <w:vAlign w:val="center"/>
          </w:tcPr>
          <w:p w:rsidR="00044D43" w:rsidRPr="00BD6EF3" w:rsidRDefault="00973754" w:rsidP="00973754">
            <w:pPr>
              <w:pStyle w:val="Adress"/>
              <w:framePr w:hSpace="0" w:wrap="auto" w:xAlign="left" w:yAlign="inline"/>
              <w:rPr>
                <w:rtl/>
              </w:rPr>
            </w:pPr>
            <w:r w:rsidRPr="00973754">
              <w:rPr>
                <w:rFonts w:hint="cs"/>
                <w:rtl/>
                <w:lang w:bidi="ar-SA"/>
              </w:rPr>
              <w:t xml:space="preserve">الوثيقة </w:t>
            </w:r>
            <w:r w:rsidRPr="00973754">
              <w:t>RAG14-1/11-A</w:t>
            </w:r>
          </w:p>
        </w:tc>
      </w:tr>
      <w:tr w:rsidR="00044D43" w:rsidTr="00044D43">
        <w:trPr>
          <w:cantSplit/>
        </w:trPr>
        <w:tc>
          <w:tcPr>
            <w:tcW w:w="6770" w:type="dxa"/>
          </w:tcPr>
          <w:p w:rsidR="00044D43" w:rsidRPr="00BD6EF3" w:rsidRDefault="00044D43" w:rsidP="00044D43">
            <w:pPr>
              <w:pStyle w:val="Adress"/>
              <w:framePr w:hSpace="0" w:wrap="auto" w:xAlign="left" w:yAlign="inline"/>
              <w:rPr>
                <w:rtl/>
              </w:rPr>
            </w:pPr>
          </w:p>
        </w:tc>
        <w:tc>
          <w:tcPr>
            <w:tcW w:w="3119" w:type="dxa"/>
            <w:vAlign w:val="center"/>
          </w:tcPr>
          <w:p w:rsidR="00044D43" w:rsidRPr="00BD6EF3" w:rsidRDefault="00973754" w:rsidP="00973754">
            <w:pPr>
              <w:pStyle w:val="Adress"/>
              <w:framePr w:hSpace="0" w:wrap="auto" w:xAlign="left" w:yAlign="inline"/>
              <w:rPr>
                <w:rtl/>
              </w:rPr>
            </w:pPr>
            <w:r w:rsidRPr="00973754">
              <w:t>1</w:t>
            </w:r>
            <w:r w:rsidRPr="00973754">
              <w:rPr>
                <w:rFonts w:hint="cs"/>
                <w:rtl/>
                <w:lang w:bidi="ar-SA"/>
              </w:rPr>
              <w:t xml:space="preserve"> يونيو </w:t>
            </w:r>
            <w:r w:rsidRPr="00973754">
              <w:t>2014</w:t>
            </w:r>
          </w:p>
        </w:tc>
      </w:tr>
      <w:tr w:rsidR="00044D43" w:rsidTr="00044D43">
        <w:trPr>
          <w:cantSplit/>
        </w:trPr>
        <w:tc>
          <w:tcPr>
            <w:tcW w:w="6770" w:type="dxa"/>
          </w:tcPr>
          <w:p w:rsidR="00044D43" w:rsidRPr="00BD6EF3" w:rsidRDefault="00044D43" w:rsidP="00044D43">
            <w:pPr>
              <w:pStyle w:val="Adress"/>
              <w:framePr w:hSpace="0" w:wrap="auto" w:xAlign="left" w:yAlign="inline"/>
              <w:rPr>
                <w:rFonts w:eastAsia="SimSun" w:hint="eastAsia"/>
                <w:rtl/>
              </w:rPr>
            </w:pPr>
          </w:p>
        </w:tc>
        <w:tc>
          <w:tcPr>
            <w:tcW w:w="3119" w:type="dxa"/>
            <w:vAlign w:val="center"/>
          </w:tcPr>
          <w:p w:rsidR="00044D43" w:rsidRPr="00BD6EF3" w:rsidRDefault="00973754" w:rsidP="00973754">
            <w:pPr>
              <w:pStyle w:val="Adress"/>
              <w:framePr w:hSpace="0" w:wrap="auto" w:xAlign="left" w:yAlign="inline"/>
              <w:rPr>
                <w:rFonts w:eastAsia="SimSun" w:hint="eastAsia"/>
              </w:rPr>
            </w:pPr>
            <w:r w:rsidRPr="00973754">
              <w:rPr>
                <w:rFonts w:hint="cs"/>
                <w:rtl/>
                <w:lang w:bidi="ar-SA"/>
              </w:rPr>
              <w:t>الأصل: بالإنكليزية</w:t>
            </w:r>
          </w:p>
        </w:tc>
      </w:tr>
      <w:tr w:rsidR="00044D43" w:rsidTr="00044D43">
        <w:trPr>
          <w:cantSplit/>
        </w:trPr>
        <w:tc>
          <w:tcPr>
            <w:tcW w:w="9889" w:type="dxa"/>
            <w:gridSpan w:val="2"/>
          </w:tcPr>
          <w:p w:rsidR="00044D43" w:rsidRPr="00BD6EF3" w:rsidRDefault="00973754" w:rsidP="00973754">
            <w:pPr>
              <w:pStyle w:val="Source"/>
              <w:rPr>
                <w:rtl/>
              </w:rPr>
            </w:pPr>
            <w:r w:rsidRPr="00973754">
              <w:rPr>
                <w:rFonts w:hint="cs"/>
                <w:snapToGrid/>
                <w:rtl/>
                <w:lang w:bidi="ar-SA"/>
              </w:rPr>
              <w:t>ج</w:t>
            </w:r>
            <w:r w:rsidR="007E1E10">
              <w:rPr>
                <w:rFonts w:hint="cs"/>
                <w:snapToGrid/>
                <w:rtl/>
              </w:rPr>
              <w:t>‍</w:t>
            </w:r>
            <w:r w:rsidRPr="00973754">
              <w:rPr>
                <w:rFonts w:hint="cs"/>
                <w:snapToGrid/>
                <w:rtl/>
                <w:lang w:bidi="ar-SA"/>
              </w:rPr>
              <w:t>مهورية كوريا</w:t>
            </w:r>
          </w:p>
        </w:tc>
      </w:tr>
      <w:tr w:rsidR="00044D43" w:rsidTr="00044D43">
        <w:trPr>
          <w:cantSplit/>
        </w:trPr>
        <w:tc>
          <w:tcPr>
            <w:tcW w:w="9889" w:type="dxa"/>
            <w:gridSpan w:val="2"/>
          </w:tcPr>
          <w:p w:rsidR="00044D43" w:rsidRPr="00E621A3" w:rsidRDefault="00973754" w:rsidP="00973754">
            <w:pPr>
              <w:pStyle w:val="Title1"/>
              <w:spacing w:before="240"/>
              <w:rPr>
                <w:rtl/>
              </w:rPr>
            </w:pPr>
            <w:r w:rsidRPr="00973754">
              <w:rPr>
                <w:rFonts w:hint="cs"/>
                <w:rtl/>
                <w:lang w:bidi="ar-SA"/>
              </w:rPr>
              <w:t>مقترحات بشأن أعمال الجمعية</w:t>
            </w:r>
          </w:p>
        </w:tc>
      </w:tr>
    </w:tbl>
    <w:p w:rsidR="00973754" w:rsidRPr="00256C70" w:rsidRDefault="00973754" w:rsidP="00973754">
      <w:pPr>
        <w:pStyle w:val="Heading1"/>
        <w:spacing w:before="720"/>
        <w:rPr>
          <w:rtl/>
        </w:rPr>
      </w:pPr>
      <w:r w:rsidRPr="00256C70">
        <w:t>1</w:t>
      </w:r>
      <w:r w:rsidRPr="00256C70">
        <w:rPr>
          <w:rFonts w:hint="cs"/>
          <w:rtl/>
        </w:rPr>
        <w:tab/>
        <w:t>مقدمة</w:t>
      </w:r>
    </w:p>
    <w:p w:rsidR="00973754" w:rsidRPr="004A3D99" w:rsidRDefault="00973754" w:rsidP="00973754">
      <w:pPr>
        <w:rPr>
          <w:spacing w:val="-4"/>
          <w:rtl/>
        </w:rPr>
      </w:pPr>
      <w:r w:rsidRPr="004A3D99">
        <w:rPr>
          <w:rFonts w:hint="cs"/>
          <w:spacing w:val="-4"/>
          <w:rtl/>
          <w:lang w:bidi="ar-SY"/>
        </w:rPr>
        <w:t xml:space="preserve">وفقاً للفقرة </w:t>
      </w:r>
      <w:r w:rsidRPr="004A3D99">
        <w:rPr>
          <w:spacing w:val="-4"/>
        </w:rPr>
        <w:t>3</w:t>
      </w:r>
      <w:r w:rsidRPr="004A3D99">
        <w:rPr>
          <w:rFonts w:hint="cs"/>
          <w:spacing w:val="-4"/>
          <w:rtl/>
          <w:lang w:bidi="ar-SY"/>
        </w:rPr>
        <w:t xml:space="preserve"> من القرار </w:t>
      </w:r>
      <w:r w:rsidRPr="004A3D99">
        <w:rPr>
          <w:spacing w:val="-4"/>
        </w:rPr>
        <w:t>ITU</w:t>
      </w:r>
      <w:r w:rsidRPr="004A3D99">
        <w:rPr>
          <w:spacing w:val="-4"/>
        </w:rPr>
        <w:noBreakHyphen/>
        <w:t>R 1</w:t>
      </w:r>
      <w:r w:rsidRPr="004A3D99">
        <w:rPr>
          <w:spacing w:val="-4"/>
        </w:rPr>
        <w:noBreakHyphen/>
        <w:t>6</w:t>
      </w:r>
      <w:r w:rsidRPr="004A3D99">
        <w:rPr>
          <w:rFonts w:hint="cs"/>
          <w:spacing w:val="-4"/>
          <w:rtl/>
        </w:rPr>
        <w:t>، هناك نوعان من الدراسات التي يجب/يمكن أن تعالجها لجان دراسات الاتصالات الراديوية.</w:t>
      </w:r>
    </w:p>
    <w:p w:rsidR="00973754" w:rsidRPr="00973754" w:rsidRDefault="00973754" w:rsidP="00A8226A">
      <w:pPr>
        <w:rPr>
          <w:rtl/>
          <w:lang w:bidi="ar-EG"/>
        </w:rPr>
      </w:pPr>
      <w:r w:rsidRPr="00973754">
        <w:rPr>
          <w:rFonts w:hint="cs"/>
          <w:rtl/>
        </w:rPr>
        <w:t xml:space="preserve">أحد هذين النوعين من الدراسات هو "المسائل" التي تعتمدها جمعية الاتصالات الراديوية بشأن المواضيع المحالة إليها من مؤتمر المندوبين المفوضين أو من أي مؤتمر آخر أو من المجلس أو من لجنة لوائح الراديو، عملاً بالفقرة </w:t>
      </w:r>
      <w:r w:rsidRPr="00973754">
        <w:t>1.1.3</w:t>
      </w:r>
      <w:r w:rsidRPr="00973754">
        <w:rPr>
          <w:rFonts w:hint="cs"/>
          <w:rtl/>
          <w:lang w:bidi="ar-EG"/>
        </w:rPr>
        <w:t xml:space="preserve"> من القرار</w:t>
      </w:r>
      <w:r w:rsidR="009A677F">
        <w:rPr>
          <w:rFonts w:hint="eastAsia"/>
          <w:rtl/>
          <w:lang w:bidi="ar-EG"/>
        </w:rPr>
        <w:t> </w:t>
      </w:r>
      <w:r w:rsidRPr="00973754">
        <w:t>ITU</w:t>
      </w:r>
      <w:r w:rsidRPr="00973754">
        <w:noBreakHyphen/>
        <w:t>R 1</w:t>
      </w:r>
      <w:r w:rsidRPr="00973754">
        <w:noBreakHyphen/>
        <w:t>6</w:t>
      </w:r>
      <w:r w:rsidRPr="00973754">
        <w:rPr>
          <w:rFonts w:hint="cs"/>
          <w:rtl/>
        </w:rPr>
        <w:t>. ويجوز أيضاً أن تُقترح داخل لجان الدراسات مسائل جديدة أو منقحة تعتمدها لجنة الدراسات المعنية، عملاً بالفقرة</w:t>
      </w:r>
      <w:r w:rsidR="007E1E10">
        <w:rPr>
          <w:rFonts w:hint="eastAsia"/>
          <w:rtl/>
        </w:rPr>
        <w:t> </w:t>
      </w:r>
      <w:r w:rsidRPr="00973754">
        <w:t>2.10</w:t>
      </w:r>
      <w:r w:rsidRPr="00973754">
        <w:rPr>
          <w:rFonts w:hint="cs"/>
          <w:rtl/>
          <w:lang w:bidi="ar-EG"/>
        </w:rPr>
        <w:t xml:space="preserve"> من القرار</w:t>
      </w:r>
      <w:r w:rsidR="009A677F">
        <w:rPr>
          <w:rFonts w:hint="eastAsia"/>
          <w:rtl/>
          <w:lang w:bidi="ar-EG"/>
        </w:rPr>
        <w:t> </w:t>
      </w:r>
      <w:r w:rsidRPr="00973754">
        <w:t>ITU</w:t>
      </w:r>
      <w:r w:rsidRPr="00973754">
        <w:noBreakHyphen/>
        <w:t>R 1</w:t>
      </w:r>
      <w:r w:rsidRPr="00973754">
        <w:noBreakHyphen/>
        <w:t>6</w:t>
      </w:r>
      <w:r w:rsidRPr="00973754">
        <w:rPr>
          <w:rFonts w:hint="cs"/>
          <w:rtl/>
        </w:rPr>
        <w:t>، وتتم الموافقة</w:t>
      </w:r>
      <w:r w:rsidRPr="00973754">
        <w:t xml:space="preserve"> </w:t>
      </w:r>
      <w:r w:rsidRPr="00973754">
        <w:rPr>
          <w:rFonts w:hint="cs"/>
          <w:rtl/>
          <w:lang w:bidi="ar-EG"/>
        </w:rPr>
        <w:t>عليها</w:t>
      </w:r>
      <w:r w:rsidRPr="00973754">
        <w:rPr>
          <w:rFonts w:hint="cs"/>
          <w:rtl/>
        </w:rPr>
        <w:t xml:space="preserve"> من جانب جمعية الاتصالات الراديوية أو بالتشاور وفقاً للفقرة</w:t>
      </w:r>
      <w:r w:rsidR="00A8226A">
        <w:rPr>
          <w:rFonts w:hint="eastAsia"/>
          <w:rtl/>
        </w:rPr>
        <w:t> </w:t>
      </w:r>
      <w:r w:rsidRPr="00973754">
        <w:t>4.10</w:t>
      </w:r>
      <w:r w:rsidRPr="00973754">
        <w:rPr>
          <w:rFonts w:hint="cs"/>
          <w:rtl/>
          <w:lang w:bidi="ar-EG"/>
        </w:rPr>
        <w:t xml:space="preserve"> من القرار.</w:t>
      </w:r>
      <w:r w:rsidRPr="00973754">
        <w:rPr>
          <w:rFonts w:hint="cs"/>
          <w:rtl/>
        </w:rPr>
        <w:t xml:space="preserve"> </w:t>
      </w:r>
      <w:r w:rsidRPr="00973754">
        <w:rPr>
          <w:rFonts w:hint="cs"/>
          <w:rtl/>
          <w:lang w:bidi="ar-EG"/>
        </w:rPr>
        <w:t>ويُعهد بكل مسألة للجنة الدراسات الملائمة، بعد تحديد أولوية المسألة ومدى إلحاح الحاجة إليها، دون أي اعتماد أو موافقة من</w:t>
      </w:r>
      <w:r w:rsidR="007E1E10">
        <w:rPr>
          <w:rFonts w:hint="eastAsia"/>
          <w:rtl/>
          <w:lang w:bidi="ar-EG"/>
        </w:rPr>
        <w:t> </w:t>
      </w:r>
      <w:r w:rsidRPr="00973754">
        <w:rPr>
          <w:rFonts w:hint="cs"/>
          <w:rtl/>
          <w:lang w:bidi="ar-EG"/>
        </w:rPr>
        <w:t>اللجنة.</w:t>
      </w:r>
    </w:p>
    <w:p w:rsidR="00973754" w:rsidRPr="00973754" w:rsidRDefault="00973754" w:rsidP="009B087C">
      <w:pPr>
        <w:rPr>
          <w:rtl/>
          <w:lang w:bidi="ar-EG"/>
        </w:rPr>
      </w:pPr>
      <w:r w:rsidRPr="00973754">
        <w:rPr>
          <w:rFonts w:hint="cs"/>
          <w:rtl/>
          <w:lang w:bidi="ar-EG"/>
        </w:rPr>
        <w:t xml:space="preserve">والنوع الآخر دراسات "المواضيع الأخرى" التي يجوز للجان دراسات الاتصالات الراديوية أن تجريها </w:t>
      </w:r>
      <w:r w:rsidRPr="00973754">
        <w:rPr>
          <w:rFonts w:hint="cs"/>
          <w:rtl/>
        </w:rPr>
        <w:t>لمواضيع تدخل في</w:t>
      </w:r>
      <w:r w:rsidR="007E1E10">
        <w:rPr>
          <w:rFonts w:hint="eastAsia"/>
          <w:rtl/>
        </w:rPr>
        <w:t> </w:t>
      </w:r>
      <w:r w:rsidRPr="00973754">
        <w:rPr>
          <w:rFonts w:hint="cs"/>
          <w:rtl/>
        </w:rPr>
        <w:t>مجال اختصاصها دون أن تكون هناك مسائل بشأنها وفقاً للفقرة</w:t>
      </w:r>
      <w:r w:rsidR="009B087C">
        <w:rPr>
          <w:rFonts w:hint="eastAsia"/>
          <w:rtl/>
        </w:rPr>
        <w:t> </w:t>
      </w:r>
      <w:r w:rsidRPr="00973754">
        <w:t>3.3</w:t>
      </w:r>
      <w:r w:rsidRPr="00973754">
        <w:rPr>
          <w:rFonts w:hint="cs"/>
          <w:rtl/>
          <w:lang w:bidi="ar-EG"/>
        </w:rPr>
        <w:t xml:space="preserve"> من القرار</w:t>
      </w:r>
      <w:r w:rsidR="009B087C">
        <w:rPr>
          <w:rFonts w:hint="eastAsia"/>
          <w:rtl/>
          <w:lang w:bidi="ar-EG"/>
        </w:rPr>
        <w:t> </w:t>
      </w:r>
      <w:r w:rsidRPr="00973754">
        <w:t>ITU</w:t>
      </w:r>
      <w:r w:rsidRPr="00973754">
        <w:noBreakHyphen/>
        <w:t>R 1</w:t>
      </w:r>
      <w:r w:rsidRPr="00973754">
        <w:noBreakHyphen/>
        <w:t>6</w:t>
      </w:r>
      <w:r w:rsidRPr="00973754">
        <w:rPr>
          <w:rFonts w:hint="cs"/>
          <w:rtl/>
        </w:rPr>
        <w:t>. و</w:t>
      </w:r>
      <w:r w:rsidRPr="00973754">
        <w:rPr>
          <w:rFonts w:hint="cs"/>
          <w:rtl/>
          <w:lang w:bidi="ar-EG"/>
        </w:rPr>
        <w:t>يبدو أن</w:t>
      </w:r>
      <w:r w:rsidRPr="00973754">
        <w:rPr>
          <w:rFonts w:hint="cs"/>
          <w:rtl/>
        </w:rPr>
        <w:t xml:space="preserve"> المواد توفر المرونة اللازمة للتعامل مع </w:t>
      </w:r>
      <w:r w:rsidRPr="00973754">
        <w:rPr>
          <w:rFonts w:hint="cs"/>
          <w:rtl/>
          <w:lang w:bidi="ar-EG"/>
        </w:rPr>
        <w:t>الضرورة الملحة للبحوث وعلى مراعاة التطورات السريعة في الاتصالات الراديوية وتغيرات السوق.</w:t>
      </w:r>
    </w:p>
    <w:p w:rsidR="00973754" w:rsidRPr="00973754" w:rsidRDefault="00973754" w:rsidP="00EE784F">
      <w:pPr>
        <w:rPr>
          <w:rtl/>
          <w:lang w:bidi="ar-EG"/>
        </w:rPr>
      </w:pPr>
      <w:r w:rsidRPr="00973754">
        <w:rPr>
          <w:rFonts w:hint="cs"/>
          <w:rtl/>
          <w:lang w:bidi="ar-EG"/>
        </w:rPr>
        <w:t>على أن الدراسات التي لا توجد مسائل بشأنها يمكن أن تحقق نفس النواتج</w:t>
      </w:r>
      <w:r w:rsidR="009A677F">
        <w:rPr>
          <w:rFonts w:hint="cs"/>
          <w:rtl/>
          <w:lang w:bidi="ar-EG"/>
        </w:rPr>
        <w:t xml:space="preserve"> </w:t>
      </w:r>
      <w:r w:rsidRPr="00973754">
        <w:rPr>
          <w:rFonts w:hint="cs"/>
          <w:rtl/>
          <w:lang w:bidi="ar-EG"/>
        </w:rPr>
        <w:t>في الإجابة على مسألة ما، أو على جزء (أجزاء) من مسألة ما، أو المواضيع الأخرى المشار إليها في الفقرة</w:t>
      </w:r>
      <w:r w:rsidR="00EE784F">
        <w:rPr>
          <w:rFonts w:hint="eastAsia"/>
          <w:rtl/>
          <w:lang w:bidi="ar-EG"/>
        </w:rPr>
        <w:t> </w:t>
      </w:r>
      <w:r w:rsidRPr="00973754">
        <w:t>3.3</w:t>
      </w:r>
      <w:r w:rsidRPr="00973754">
        <w:rPr>
          <w:rFonts w:hint="cs"/>
          <w:rtl/>
          <w:lang w:bidi="ar-EG"/>
        </w:rPr>
        <w:t>، نظراً لأن اعتماد تلك الدراسات والموافقة عليها لا يسيران وفق عملية رسمية في أي مؤتمر أو عن طريق التشاور. ومن الضروري أن تضع جمعية الاتصالات الراديوية معايير لتحديد أنواع بنود الدراسات التي ينبغي أن تندرج ضمن "دراسات توجد مسائل بشأنها" أو "دراسات لا</w:t>
      </w:r>
      <w:r w:rsidRPr="00973754">
        <w:rPr>
          <w:rFonts w:hint="eastAsia"/>
          <w:rtl/>
          <w:lang w:bidi="ar-EG"/>
        </w:rPr>
        <w:t> </w:t>
      </w:r>
      <w:r w:rsidRPr="00973754">
        <w:rPr>
          <w:rFonts w:hint="cs"/>
          <w:rtl/>
          <w:lang w:bidi="ar-EG"/>
        </w:rPr>
        <w:t>توجد مسائل بشأنها".</w:t>
      </w:r>
    </w:p>
    <w:p w:rsidR="00973754" w:rsidRPr="00973754" w:rsidRDefault="00973754" w:rsidP="007E1E10">
      <w:pPr>
        <w:rPr>
          <w:rtl/>
          <w:lang w:bidi="ar-EG"/>
        </w:rPr>
      </w:pPr>
      <w:r w:rsidRPr="00973754">
        <w:rPr>
          <w:rFonts w:hint="cs"/>
          <w:rtl/>
          <w:lang w:bidi="ar-EG"/>
        </w:rPr>
        <w:t>وعلاوة</w:t>
      </w:r>
      <w:r w:rsidR="007E1E10">
        <w:rPr>
          <w:rFonts w:hint="cs"/>
          <w:rtl/>
          <w:lang w:bidi="ar-EG"/>
        </w:rPr>
        <w:t>ً</w:t>
      </w:r>
      <w:r w:rsidRPr="00973754">
        <w:rPr>
          <w:rFonts w:hint="cs"/>
          <w:rtl/>
          <w:lang w:bidi="ar-EG"/>
        </w:rPr>
        <w:t xml:space="preserve"> على ذلك، ينشر الاتحاد في جمعية الاتصالات الراديوية قائمة بالمسائل الجديدة والمنقحة في القرار</w:t>
      </w:r>
      <w:r w:rsidR="007E1E10">
        <w:rPr>
          <w:rFonts w:hint="eastAsia"/>
          <w:rtl/>
          <w:lang w:bidi="ar-EG"/>
        </w:rPr>
        <w:t> </w:t>
      </w:r>
      <w:r w:rsidRPr="00973754">
        <w:t>ITU</w:t>
      </w:r>
      <w:r w:rsidRPr="00973754">
        <w:noBreakHyphen/>
        <w:t>R 5</w:t>
      </w:r>
      <w:r w:rsidRPr="00973754">
        <w:noBreakHyphen/>
        <w:t>6</w:t>
      </w:r>
      <w:r w:rsidRPr="00973754">
        <w:rPr>
          <w:rFonts w:hint="cs"/>
          <w:rtl/>
          <w:lang w:bidi="ar-EG"/>
        </w:rPr>
        <w:t>. غير أن "الدراسات التي لا</w:t>
      </w:r>
      <w:r w:rsidRPr="00973754">
        <w:rPr>
          <w:rFonts w:hint="eastAsia"/>
          <w:rtl/>
          <w:lang w:bidi="ar-EG"/>
        </w:rPr>
        <w:t> </w:t>
      </w:r>
      <w:r w:rsidRPr="00973754">
        <w:rPr>
          <w:rFonts w:hint="cs"/>
          <w:rtl/>
          <w:lang w:bidi="ar-EG"/>
        </w:rPr>
        <w:t>توجد مسائل بشأنها" لا</w:t>
      </w:r>
      <w:r w:rsidR="009A677F">
        <w:rPr>
          <w:rFonts w:hint="eastAsia"/>
          <w:rtl/>
          <w:lang w:bidi="ar-EG"/>
        </w:rPr>
        <w:t> </w:t>
      </w:r>
      <w:r w:rsidRPr="00973754">
        <w:rPr>
          <w:rFonts w:hint="cs"/>
          <w:rtl/>
          <w:lang w:bidi="ar-EG"/>
        </w:rPr>
        <w:t>تدرج في القائمة، ويؤدي ذلك إلى صعوبات أمام الإدارة في تتبع التقدم الذي تحققه كل لجنة من لجان الدراسات.</w:t>
      </w:r>
    </w:p>
    <w:p w:rsidR="00973754" w:rsidRPr="00256C70" w:rsidRDefault="00973754" w:rsidP="00973754">
      <w:pPr>
        <w:pStyle w:val="Heading1"/>
        <w:rPr>
          <w:rFonts w:eastAsia="SimSun"/>
          <w:rtl/>
          <w:lang w:bidi="ar-SA"/>
        </w:rPr>
      </w:pPr>
      <w:r w:rsidRPr="00256C70">
        <w:lastRenderedPageBreak/>
        <w:t>2</w:t>
      </w:r>
      <w:r w:rsidRPr="00256C70">
        <w:rPr>
          <w:rFonts w:eastAsia="SimSun" w:hint="cs"/>
          <w:rtl/>
          <w:lang w:bidi="ar-SA"/>
        </w:rPr>
        <w:tab/>
        <w:t>المقترح</w:t>
      </w:r>
    </w:p>
    <w:p w:rsidR="00973754" w:rsidRPr="00973754" w:rsidRDefault="00973754" w:rsidP="00EE784F">
      <w:pPr>
        <w:keepNext/>
        <w:keepLines/>
        <w:rPr>
          <w:rtl/>
        </w:rPr>
      </w:pPr>
      <w:r w:rsidRPr="00973754">
        <w:rPr>
          <w:rFonts w:hint="cs"/>
          <w:rtl/>
          <w:lang w:bidi="ar-EG"/>
        </w:rPr>
        <w:t xml:space="preserve">يتمثل مقترح جمهورية كوريا في النظر في مراجعة القرار </w:t>
      </w:r>
      <w:r w:rsidRPr="00973754">
        <w:t>ITU</w:t>
      </w:r>
      <w:r w:rsidRPr="00973754">
        <w:noBreakHyphen/>
        <w:t>R 1</w:t>
      </w:r>
      <w:r w:rsidRPr="00973754">
        <w:noBreakHyphen/>
        <w:t>6</w:t>
      </w:r>
      <w:r w:rsidRPr="00973754">
        <w:rPr>
          <w:rFonts w:hint="cs"/>
          <w:rtl/>
        </w:rPr>
        <w:t xml:space="preserve"> بشأن طرائق عمل لجان دراسات</w:t>
      </w:r>
      <w:r w:rsidRPr="00973754">
        <w:t xml:space="preserve"> </w:t>
      </w:r>
      <w:r w:rsidRPr="00973754">
        <w:rPr>
          <w:rFonts w:hint="cs"/>
          <w:rtl/>
        </w:rPr>
        <w:t>الاتصالات الراديوية لاعتماده في جمعية الاتصالات الراديوية لعام</w:t>
      </w:r>
      <w:r w:rsidR="00EE784F">
        <w:rPr>
          <w:rFonts w:hint="eastAsia"/>
          <w:rtl/>
        </w:rPr>
        <w:t> </w:t>
      </w:r>
      <w:bookmarkStart w:id="1" w:name="_GoBack"/>
      <w:bookmarkEnd w:id="1"/>
      <w:r>
        <w:t>2015</w:t>
      </w:r>
      <w:r w:rsidRPr="00973754">
        <w:rPr>
          <w:rFonts w:hint="cs"/>
          <w:rtl/>
        </w:rPr>
        <w:t xml:space="preserve"> من أجل توضيح الطريقة التي تعالج بها كل لجنة "الدراسات التي </w:t>
      </w:r>
      <w:r w:rsidRPr="00973754">
        <w:rPr>
          <w:rFonts w:hint="cs"/>
          <w:rtl/>
          <w:lang w:bidi="ar-EG"/>
        </w:rPr>
        <w:t>لا</w:t>
      </w:r>
      <w:r w:rsidRPr="00973754">
        <w:rPr>
          <w:rFonts w:hint="eastAsia"/>
          <w:rtl/>
          <w:lang w:bidi="ar-EG"/>
        </w:rPr>
        <w:t> </w:t>
      </w:r>
      <w:r w:rsidRPr="00973754">
        <w:rPr>
          <w:rFonts w:hint="cs"/>
          <w:rtl/>
          <w:lang w:bidi="ar-EG"/>
        </w:rPr>
        <w:t>توجد مسائل بشأنها</w:t>
      </w:r>
      <w:r w:rsidRPr="00973754">
        <w:rPr>
          <w:rFonts w:hint="cs"/>
          <w:rtl/>
        </w:rPr>
        <w:t>". وفيما يلي السبل الممكنة للقيام بذلك:</w:t>
      </w:r>
    </w:p>
    <w:p w:rsidR="00973754" w:rsidRPr="00973754" w:rsidRDefault="00973754" w:rsidP="00604E4F">
      <w:pPr>
        <w:pStyle w:val="enumlev1"/>
        <w:rPr>
          <w:rtl/>
        </w:rPr>
      </w:pPr>
      <w:r w:rsidRPr="00973754">
        <w:rPr>
          <w:rFonts w:hint="cs"/>
          <w:rtl/>
        </w:rPr>
        <w:t>-</w:t>
      </w:r>
      <w:r w:rsidR="00604E4F">
        <w:tab/>
      </w:r>
      <w:r w:rsidRPr="00973754">
        <w:rPr>
          <w:rFonts w:hint="cs"/>
          <w:rtl/>
        </w:rPr>
        <w:t xml:space="preserve">إدراج معايير التمييز بين "الدراسات التي توجد مسائل بشأنها" و"الدراسات التي </w:t>
      </w:r>
      <w:r w:rsidRPr="00973754">
        <w:rPr>
          <w:rFonts w:hint="cs"/>
          <w:rtl/>
          <w:lang w:bidi="ar-EG"/>
        </w:rPr>
        <w:t>لا</w:t>
      </w:r>
      <w:r w:rsidRPr="00973754">
        <w:rPr>
          <w:rFonts w:hint="eastAsia"/>
          <w:rtl/>
          <w:lang w:bidi="ar-EG"/>
        </w:rPr>
        <w:t> </w:t>
      </w:r>
      <w:r w:rsidRPr="00973754">
        <w:rPr>
          <w:rFonts w:hint="cs"/>
          <w:rtl/>
          <w:lang w:bidi="ar-EG"/>
        </w:rPr>
        <w:t>توجد مسائل بشأنها</w:t>
      </w:r>
      <w:r w:rsidRPr="00973754">
        <w:rPr>
          <w:rFonts w:hint="cs"/>
          <w:rtl/>
        </w:rPr>
        <w:t>"</w:t>
      </w:r>
      <w:r w:rsidR="00763025">
        <w:rPr>
          <w:rFonts w:hint="cs"/>
          <w:rtl/>
        </w:rPr>
        <w:t>؛</w:t>
      </w:r>
    </w:p>
    <w:p w:rsidR="00973754" w:rsidRDefault="00973754" w:rsidP="00604E4F">
      <w:pPr>
        <w:pStyle w:val="enumlev1"/>
        <w:rPr>
          <w:rtl/>
        </w:rPr>
      </w:pPr>
      <w:r w:rsidRPr="00973754">
        <w:rPr>
          <w:rFonts w:hint="cs"/>
          <w:rtl/>
        </w:rPr>
        <w:t>-</w:t>
      </w:r>
      <w:r w:rsidR="00604E4F">
        <w:tab/>
      </w:r>
      <w:r w:rsidRPr="00973754">
        <w:rPr>
          <w:rFonts w:hint="cs"/>
          <w:rtl/>
        </w:rPr>
        <w:t xml:space="preserve">إدراج طريقة تبليغ الدول الأعضاء عن "الدراسات التي </w:t>
      </w:r>
      <w:r w:rsidRPr="00973754">
        <w:rPr>
          <w:rFonts w:hint="cs"/>
          <w:rtl/>
          <w:lang w:bidi="ar-EG"/>
        </w:rPr>
        <w:t>لا</w:t>
      </w:r>
      <w:r w:rsidRPr="00973754">
        <w:rPr>
          <w:rFonts w:hint="eastAsia"/>
          <w:rtl/>
          <w:lang w:bidi="ar-EG"/>
        </w:rPr>
        <w:t> </w:t>
      </w:r>
      <w:r w:rsidRPr="00973754">
        <w:rPr>
          <w:rFonts w:hint="cs"/>
          <w:rtl/>
          <w:lang w:bidi="ar-EG"/>
        </w:rPr>
        <w:t>توجد مسائل بشأنها</w:t>
      </w:r>
      <w:r w:rsidRPr="00973754">
        <w:rPr>
          <w:rFonts w:hint="cs"/>
          <w:rtl/>
        </w:rPr>
        <w:t>"</w:t>
      </w:r>
      <w:r w:rsidR="00763025">
        <w:rPr>
          <w:rFonts w:hint="cs"/>
          <w:rtl/>
        </w:rPr>
        <w:t>.</w:t>
      </w:r>
    </w:p>
    <w:p w:rsidR="00B357E9" w:rsidRPr="002919E1" w:rsidRDefault="00B357E9" w:rsidP="007F7FC3">
      <w:pPr>
        <w:pStyle w:val="Dash"/>
        <w:rPr>
          <w:rtl/>
        </w:rPr>
      </w:pPr>
      <w:r w:rsidRPr="00DF2A6A">
        <w:rPr>
          <w:rtl/>
        </w:rPr>
        <w:t>__________</w:t>
      </w:r>
      <w:r w:rsidR="009004DF">
        <w:rPr>
          <w:rFonts w:hint="cs"/>
          <w:rtl/>
        </w:rPr>
        <w:t>_</w:t>
      </w:r>
    </w:p>
    <w:sectPr w:rsidR="00B357E9" w:rsidRPr="002919E1"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54" w:rsidRDefault="00973754" w:rsidP="002919E1">
      <w:r>
        <w:separator/>
      </w:r>
    </w:p>
    <w:p w:rsidR="00973754" w:rsidRDefault="00973754" w:rsidP="002919E1"/>
    <w:p w:rsidR="00973754" w:rsidRDefault="00973754" w:rsidP="002919E1"/>
    <w:p w:rsidR="00973754" w:rsidRDefault="00973754"/>
  </w:endnote>
  <w:endnote w:type="continuationSeparator" w:id="0">
    <w:p w:rsidR="00973754" w:rsidRDefault="00973754" w:rsidP="002919E1">
      <w:r>
        <w:continuationSeparator/>
      </w:r>
    </w:p>
    <w:p w:rsidR="00973754" w:rsidRDefault="00973754" w:rsidP="002919E1"/>
    <w:p w:rsidR="00973754" w:rsidRDefault="00973754" w:rsidP="002919E1"/>
    <w:p w:rsidR="00973754" w:rsidRDefault="00973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altName w:val="Tahoma"/>
    <w:panose1 w:val="020B080403050404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C8" w:rsidRPr="00CD1D8F" w:rsidRDefault="002543C8" w:rsidP="00973754">
    <w:pPr>
      <w:pStyle w:val="Footer"/>
      <w:tabs>
        <w:tab w:val="clear" w:pos="1134"/>
        <w:tab w:val="clear" w:pos="5812"/>
        <w:tab w:val="center" w:pos="5670"/>
      </w:tabs>
    </w:pPr>
    <w:r w:rsidRPr="00CB4300">
      <w:fldChar w:fldCharType="begin"/>
    </w:r>
    <w:r w:rsidRPr="00CD1D8F">
      <w:instrText xml:space="preserve"> FILENAME \p \* MERGEFORMAT </w:instrText>
    </w:r>
    <w:r w:rsidRPr="00CB4300">
      <w:fldChar w:fldCharType="separate"/>
    </w:r>
    <w:r w:rsidR="00116F32">
      <w:rPr>
        <w:noProof/>
      </w:rPr>
      <w:t>P:\ARA\ITU-R\AG\RAG\RAG14\000\011A.docx</w:t>
    </w:r>
    <w:r w:rsidRPr="00CB4300">
      <w:fldChar w:fldCharType="end"/>
    </w:r>
    <w:r w:rsidRPr="00CD1D8F">
      <w:t xml:space="preserve">  (</w:t>
    </w:r>
    <w:r w:rsidR="00973754" w:rsidRPr="00973754">
      <w:t>364408</w:t>
    </w:r>
    <w:r w:rsidRPr="00CD1D8F">
      <w:t>)</w:t>
    </w:r>
    <w:r w:rsidRPr="00CD1D8F">
      <w:tab/>
    </w:r>
    <w:r w:rsidRPr="00CB4300">
      <w:fldChar w:fldCharType="begin"/>
    </w:r>
    <w:r w:rsidRPr="00CB4300">
      <w:instrText xml:space="preserve"> savedate \@ dd.MM.yy </w:instrText>
    </w:r>
    <w:r w:rsidRPr="00CB4300">
      <w:fldChar w:fldCharType="separate"/>
    </w:r>
    <w:r w:rsidR="007E1E10">
      <w:rPr>
        <w:noProof/>
      </w:rPr>
      <w:t>13.06.14</w:t>
    </w:r>
    <w:r w:rsidRPr="00CB4300">
      <w:fldChar w:fldCharType="end"/>
    </w:r>
    <w:r w:rsidRPr="00CD1D8F">
      <w:tab/>
    </w:r>
    <w:r w:rsidRPr="00CB4300">
      <w:fldChar w:fldCharType="begin"/>
    </w:r>
    <w:r w:rsidRPr="00CB4300">
      <w:instrText xml:space="preserve"> printdate \@ dd.MM.yy </w:instrText>
    </w:r>
    <w:r w:rsidRPr="00CB4300">
      <w:fldChar w:fldCharType="separate"/>
    </w:r>
    <w:r w:rsidR="00116F32">
      <w:rPr>
        <w:noProof/>
      </w:rPr>
      <w:t>29.07.11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C8" w:rsidRPr="00CD1D8F" w:rsidRDefault="002543C8" w:rsidP="00973754">
    <w:pPr>
      <w:pStyle w:val="Footer"/>
      <w:tabs>
        <w:tab w:val="clear" w:pos="1134"/>
        <w:tab w:val="clear" w:pos="5812"/>
        <w:tab w:val="center" w:pos="5670"/>
      </w:tabs>
    </w:pPr>
    <w:r>
      <w:fldChar w:fldCharType="begin"/>
    </w:r>
    <w:r w:rsidRPr="00CD1D8F">
      <w:instrText xml:space="preserve"> FILENAME \p \* MERGEFORMAT </w:instrText>
    </w:r>
    <w:r>
      <w:fldChar w:fldCharType="separate"/>
    </w:r>
    <w:r w:rsidR="00116F32">
      <w:rPr>
        <w:noProof/>
      </w:rPr>
      <w:t>P:\ARA\ITU-R\AG\RAG\RAG14\000\011A.docx</w:t>
    </w:r>
    <w:r>
      <w:fldChar w:fldCharType="end"/>
    </w:r>
    <w:r w:rsidRPr="00CD1D8F">
      <w:t xml:space="preserve">   (</w:t>
    </w:r>
    <w:r w:rsidR="00973754">
      <w:t>364408</w:t>
    </w:r>
    <w:r w:rsidRPr="00CD1D8F">
      <w:t>)</w:t>
    </w:r>
    <w:r w:rsidRPr="00CD1D8F">
      <w:tab/>
    </w:r>
    <w:r w:rsidRPr="00B12661">
      <w:fldChar w:fldCharType="begin"/>
    </w:r>
    <w:r w:rsidRPr="00B12661">
      <w:instrText xml:space="preserve"> savedate \@ dd.MM.yy </w:instrText>
    </w:r>
    <w:r w:rsidRPr="00B12661">
      <w:fldChar w:fldCharType="separate"/>
    </w:r>
    <w:r w:rsidR="007E1E10">
      <w:rPr>
        <w:noProof/>
      </w:rPr>
      <w:t>13.06.14</w:t>
    </w:r>
    <w:r w:rsidRPr="00B12661">
      <w:fldChar w:fldCharType="end"/>
    </w:r>
    <w:r w:rsidRPr="00CD1D8F">
      <w:tab/>
    </w:r>
    <w:r w:rsidRPr="00B12661">
      <w:fldChar w:fldCharType="begin"/>
    </w:r>
    <w:r w:rsidRPr="00B12661">
      <w:instrText xml:space="preserve"> printdate \@ dd.MM.yy </w:instrText>
    </w:r>
    <w:r w:rsidRPr="00B12661">
      <w:fldChar w:fldCharType="separate"/>
    </w:r>
    <w:r w:rsidR="00116F32">
      <w:rPr>
        <w:noProof/>
      </w:rPr>
      <w:t>29.07.11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54" w:rsidRDefault="00973754" w:rsidP="002919E1">
      <w:r>
        <w:t>___________________</w:t>
      </w:r>
    </w:p>
  </w:footnote>
  <w:footnote w:type="continuationSeparator" w:id="0">
    <w:p w:rsidR="00973754" w:rsidRDefault="00973754" w:rsidP="002919E1">
      <w:r>
        <w:continuationSeparator/>
      </w:r>
    </w:p>
    <w:p w:rsidR="00973754" w:rsidRDefault="00973754" w:rsidP="002919E1"/>
    <w:p w:rsidR="00973754" w:rsidRDefault="00973754" w:rsidP="002919E1"/>
    <w:p w:rsidR="00973754" w:rsidRDefault="009737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C8" w:rsidRDefault="002543C8" w:rsidP="002919E1"/>
  <w:p w:rsidR="002543C8" w:rsidRDefault="002543C8" w:rsidP="002919E1"/>
  <w:p w:rsidR="002543C8" w:rsidRDefault="002543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C8" w:rsidRPr="0088384B" w:rsidRDefault="002543C8" w:rsidP="00F477B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E784F">
      <w:rPr>
        <w:rStyle w:val="PageNumber"/>
        <w:noProof/>
      </w:rPr>
      <w:t>2</w:t>
    </w:r>
    <w:r w:rsidRPr="0088384B">
      <w:rPr>
        <w:rStyle w:val="PageNumber"/>
      </w:rPr>
      <w:fldChar w:fldCharType="end"/>
    </w:r>
    <w:r>
      <w:rPr>
        <w:rStyle w:val="PageNumber"/>
        <w:rtl/>
      </w:rPr>
      <w:br/>
    </w:r>
    <w:r w:rsidR="00CD1D8F">
      <w:rPr>
        <w:rStyle w:val="PageNumber"/>
      </w:rPr>
      <w:t>RAG14-1</w:t>
    </w:r>
    <w:r w:rsidRPr="0088384B">
      <w:rPr>
        <w:rStyle w:val="PageNumber"/>
      </w:rPr>
      <w:t>/</w:t>
    </w:r>
    <w:r w:rsidR="00F477B0">
      <w:rPr>
        <w:rStyle w:val="PageNumber"/>
      </w:rPr>
      <w:t>11</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1DD85A04"/>
    <w:lvl w:ilvl="0">
      <w:start w:val="1"/>
      <w:numFmt w:val="decimal"/>
      <w:lvlText w:val="%1."/>
      <w:lvlJc w:val="left"/>
      <w:pPr>
        <w:tabs>
          <w:tab w:val="num" w:pos="926"/>
        </w:tabs>
        <w:ind w:left="926" w:hanging="360"/>
      </w:pPr>
    </w:lvl>
  </w:abstractNum>
  <w:abstractNum w:abstractNumId="3">
    <w:nsid w:val="FFFFFF7F"/>
    <w:multiLevelType w:val="singleLevel"/>
    <w:tmpl w:val="B324DA0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F658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BCF5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5C8F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54"/>
    <w:rsid w:val="00011021"/>
    <w:rsid w:val="000114EC"/>
    <w:rsid w:val="00011F8C"/>
    <w:rsid w:val="00040C94"/>
    <w:rsid w:val="000425FC"/>
    <w:rsid w:val="00044D43"/>
    <w:rsid w:val="00051907"/>
    <w:rsid w:val="00075A3F"/>
    <w:rsid w:val="000A1B16"/>
    <w:rsid w:val="000E2AFC"/>
    <w:rsid w:val="000E6D30"/>
    <w:rsid w:val="000F05F5"/>
    <w:rsid w:val="000F518F"/>
    <w:rsid w:val="0010081C"/>
    <w:rsid w:val="001013E3"/>
    <w:rsid w:val="00116F32"/>
    <w:rsid w:val="001464F2"/>
    <w:rsid w:val="00167364"/>
    <w:rsid w:val="001903B2"/>
    <w:rsid w:val="001E190C"/>
    <w:rsid w:val="001E54F6"/>
    <w:rsid w:val="001E5A8C"/>
    <w:rsid w:val="001F1D6A"/>
    <w:rsid w:val="00201A0A"/>
    <w:rsid w:val="002075D4"/>
    <w:rsid w:val="00211B2A"/>
    <w:rsid w:val="002333A0"/>
    <w:rsid w:val="002543C8"/>
    <w:rsid w:val="002543CF"/>
    <w:rsid w:val="00256C70"/>
    <w:rsid w:val="0026062E"/>
    <w:rsid w:val="002618D8"/>
    <w:rsid w:val="00261EF7"/>
    <w:rsid w:val="0027069F"/>
    <w:rsid w:val="00281F5F"/>
    <w:rsid w:val="002843E4"/>
    <w:rsid w:val="002919E1"/>
    <w:rsid w:val="00295917"/>
    <w:rsid w:val="00296071"/>
    <w:rsid w:val="002A4572"/>
    <w:rsid w:val="002A7E2E"/>
    <w:rsid w:val="002B16D8"/>
    <w:rsid w:val="002D5F64"/>
    <w:rsid w:val="002D6FBF"/>
    <w:rsid w:val="002E48BF"/>
    <w:rsid w:val="002E61C2"/>
    <w:rsid w:val="003569E1"/>
    <w:rsid w:val="003815E2"/>
    <w:rsid w:val="00381FAD"/>
    <w:rsid w:val="00387FBB"/>
    <w:rsid w:val="003923B1"/>
    <w:rsid w:val="003965FE"/>
    <w:rsid w:val="003B27AD"/>
    <w:rsid w:val="003B4F23"/>
    <w:rsid w:val="003C12F6"/>
    <w:rsid w:val="003C3A13"/>
    <w:rsid w:val="003E02EF"/>
    <w:rsid w:val="003E1D90"/>
    <w:rsid w:val="00400CD4"/>
    <w:rsid w:val="004147B9"/>
    <w:rsid w:val="00422C04"/>
    <w:rsid w:val="00426144"/>
    <w:rsid w:val="004704EC"/>
    <w:rsid w:val="00470CBD"/>
    <w:rsid w:val="00483758"/>
    <w:rsid w:val="004909DD"/>
    <w:rsid w:val="004A05E6"/>
    <w:rsid w:val="004A3D99"/>
    <w:rsid w:val="004A6C66"/>
    <w:rsid w:val="004C11BC"/>
    <w:rsid w:val="004D4AE6"/>
    <w:rsid w:val="00505FCA"/>
    <w:rsid w:val="005169F4"/>
    <w:rsid w:val="005210D1"/>
    <w:rsid w:val="00523146"/>
    <w:rsid w:val="00523275"/>
    <w:rsid w:val="005350B0"/>
    <w:rsid w:val="00546A99"/>
    <w:rsid w:val="00553411"/>
    <w:rsid w:val="0056395D"/>
    <w:rsid w:val="0056512C"/>
    <w:rsid w:val="00576D0A"/>
    <w:rsid w:val="00584333"/>
    <w:rsid w:val="005953EC"/>
    <w:rsid w:val="005B00A1"/>
    <w:rsid w:val="005C29C8"/>
    <w:rsid w:val="005C5D25"/>
    <w:rsid w:val="005D72A4"/>
    <w:rsid w:val="005F65DE"/>
    <w:rsid w:val="00604E4F"/>
    <w:rsid w:val="0065562F"/>
    <w:rsid w:val="00680A66"/>
    <w:rsid w:val="00681391"/>
    <w:rsid w:val="006A12AC"/>
    <w:rsid w:val="006A2162"/>
    <w:rsid w:val="006B4B90"/>
    <w:rsid w:val="006D2674"/>
    <w:rsid w:val="006E38D0"/>
    <w:rsid w:val="006E465B"/>
    <w:rsid w:val="006F70BF"/>
    <w:rsid w:val="00716B1D"/>
    <w:rsid w:val="007248EC"/>
    <w:rsid w:val="00731150"/>
    <w:rsid w:val="00736DCC"/>
    <w:rsid w:val="00741855"/>
    <w:rsid w:val="00742B73"/>
    <w:rsid w:val="00751251"/>
    <w:rsid w:val="00763025"/>
    <w:rsid w:val="00771F7E"/>
    <w:rsid w:val="00773E9C"/>
    <w:rsid w:val="00776F6B"/>
    <w:rsid w:val="00777694"/>
    <w:rsid w:val="00786A7E"/>
    <w:rsid w:val="007A0802"/>
    <w:rsid w:val="007B1FCA"/>
    <w:rsid w:val="007C2C12"/>
    <w:rsid w:val="007C3CFA"/>
    <w:rsid w:val="007E0E8B"/>
    <w:rsid w:val="007E1E10"/>
    <w:rsid w:val="007F08CA"/>
    <w:rsid w:val="007F7FC3"/>
    <w:rsid w:val="00810482"/>
    <w:rsid w:val="00817568"/>
    <w:rsid w:val="008261C2"/>
    <w:rsid w:val="0085569D"/>
    <w:rsid w:val="00855B59"/>
    <w:rsid w:val="0088384B"/>
    <w:rsid w:val="00893E53"/>
    <w:rsid w:val="008A1137"/>
    <w:rsid w:val="008A1788"/>
    <w:rsid w:val="008A4185"/>
    <w:rsid w:val="008A6552"/>
    <w:rsid w:val="008B4E93"/>
    <w:rsid w:val="008D05CF"/>
    <w:rsid w:val="008D7AF0"/>
    <w:rsid w:val="008F4626"/>
    <w:rsid w:val="009004DF"/>
    <w:rsid w:val="00904AA5"/>
    <w:rsid w:val="00951718"/>
    <w:rsid w:val="00960962"/>
    <w:rsid w:val="00972CE0"/>
    <w:rsid w:val="00973754"/>
    <w:rsid w:val="009A3D30"/>
    <w:rsid w:val="009A677F"/>
    <w:rsid w:val="009B087C"/>
    <w:rsid w:val="009D6348"/>
    <w:rsid w:val="009E613F"/>
    <w:rsid w:val="009F042B"/>
    <w:rsid w:val="00A03FD6"/>
    <w:rsid w:val="00A116A8"/>
    <w:rsid w:val="00A22AE9"/>
    <w:rsid w:val="00A26D0E"/>
    <w:rsid w:val="00A278E9"/>
    <w:rsid w:val="00A3451F"/>
    <w:rsid w:val="00A36268"/>
    <w:rsid w:val="00A40B2C"/>
    <w:rsid w:val="00A66D2B"/>
    <w:rsid w:val="00A8226A"/>
    <w:rsid w:val="00A9645C"/>
    <w:rsid w:val="00AC1275"/>
    <w:rsid w:val="00AD690F"/>
    <w:rsid w:val="00AD69DD"/>
    <w:rsid w:val="00AF41D1"/>
    <w:rsid w:val="00B01623"/>
    <w:rsid w:val="00B033DF"/>
    <w:rsid w:val="00B05B3A"/>
    <w:rsid w:val="00B07CEE"/>
    <w:rsid w:val="00B12661"/>
    <w:rsid w:val="00B357E9"/>
    <w:rsid w:val="00B4164D"/>
    <w:rsid w:val="00B606BA"/>
    <w:rsid w:val="00B66817"/>
    <w:rsid w:val="00B71E3B"/>
    <w:rsid w:val="00B721D5"/>
    <w:rsid w:val="00B81CB5"/>
    <w:rsid w:val="00B8351F"/>
    <w:rsid w:val="00B86C44"/>
    <w:rsid w:val="00BA7D44"/>
    <w:rsid w:val="00BD6EF3"/>
    <w:rsid w:val="00BE69C3"/>
    <w:rsid w:val="00C022CF"/>
    <w:rsid w:val="00C1165E"/>
    <w:rsid w:val="00C3693C"/>
    <w:rsid w:val="00C53F6F"/>
    <w:rsid w:val="00C71759"/>
    <w:rsid w:val="00C8199C"/>
    <w:rsid w:val="00C84112"/>
    <w:rsid w:val="00C841EB"/>
    <w:rsid w:val="00C8665F"/>
    <w:rsid w:val="00C917B5"/>
    <w:rsid w:val="00C94DFA"/>
    <w:rsid w:val="00CA298C"/>
    <w:rsid w:val="00CB2BF9"/>
    <w:rsid w:val="00CB4300"/>
    <w:rsid w:val="00CC030E"/>
    <w:rsid w:val="00CC68C4"/>
    <w:rsid w:val="00CC79A4"/>
    <w:rsid w:val="00CD0FDE"/>
    <w:rsid w:val="00CD1D8F"/>
    <w:rsid w:val="00CE0E68"/>
    <w:rsid w:val="00CE5BA4"/>
    <w:rsid w:val="00D25120"/>
    <w:rsid w:val="00D419CB"/>
    <w:rsid w:val="00D44E3F"/>
    <w:rsid w:val="00D525F5"/>
    <w:rsid w:val="00D535D0"/>
    <w:rsid w:val="00D81703"/>
    <w:rsid w:val="00D82929"/>
    <w:rsid w:val="00DA1AE0"/>
    <w:rsid w:val="00DC29DD"/>
    <w:rsid w:val="00DC7C0E"/>
    <w:rsid w:val="00DF2A6A"/>
    <w:rsid w:val="00DF3B72"/>
    <w:rsid w:val="00E2489D"/>
    <w:rsid w:val="00E26520"/>
    <w:rsid w:val="00E343A3"/>
    <w:rsid w:val="00E51BFA"/>
    <w:rsid w:val="00E621A3"/>
    <w:rsid w:val="00E833BC"/>
    <w:rsid w:val="00E8580E"/>
    <w:rsid w:val="00EA1B76"/>
    <w:rsid w:val="00EA77D7"/>
    <w:rsid w:val="00EC09B9"/>
    <w:rsid w:val="00ED048C"/>
    <w:rsid w:val="00EE784F"/>
    <w:rsid w:val="00EF38AF"/>
    <w:rsid w:val="00F055F8"/>
    <w:rsid w:val="00F10CB4"/>
    <w:rsid w:val="00F11B3D"/>
    <w:rsid w:val="00F14763"/>
    <w:rsid w:val="00F16212"/>
    <w:rsid w:val="00F25B80"/>
    <w:rsid w:val="00F2685F"/>
    <w:rsid w:val="00F350C8"/>
    <w:rsid w:val="00F477B0"/>
    <w:rsid w:val="00F507C6"/>
    <w:rsid w:val="00F8654D"/>
    <w:rsid w:val="00F900C9"/>
    <w:rsid w:val="00F92C96"/>
    <w:rsid w:val="00FA0D4E"/>
    <w:rsid w:val="00FB0753"/>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qFormat="1"/>
    <w:lsdException w:name="footer"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uiPriority="99"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Strong" w:uiPriority="22"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3C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qFormat="1"/>
    <w:lsdException w:name="footer"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uiPriority="99"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Strong" w:uiPriority="22"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3C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AG\RAG\RAG14\Template%20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F3B24-6933-423D-AD4A-4BB09A19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RAG14.dotm</Template>
  <TotalTime>2</TotalTime>
  <Pages>2</Pages>
  <Words>393</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Khalil, Magdy</dc:creator>
  <cp:keywords>WRC-12</cp:keywords>
  <cp:lastModifiedBy>Samy AWAD</cp:lastModifiedBy>
  <cp:revision>10</cp:revision>
  <cp:lastPrinted>2011-07-29T12:30:00Z</cp:lastPrinted>
  <dcterms:created xsi:type="dcterms:W3CDTF">2014-06-13T13:23:00Z</dcterms:created>
  <dcterms:modified xsi:type="dcterms:W3CDTF">2014-06-13T15:20:00Z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