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3A41BF21" wp14:editId="074E34FA">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255CCF" w:rsidRDefault="00255CCF" w:rsidP="00255CCF">
            <w:pPr>
              <w:shd w:val="solid" w:color="FFFFFF" w:fill="FFFFFF"/>
              <w:spacing w:before="0" w:line="240" w:lineRule="atLeast"/>
              <w:rPr>
                <w:rFonts w:ascii="Verdana" w:hAnsi="Verdana"/>
                <w:sz w:val="20"/>
              </w:rPr>
            </w:pPr>
            <w:r>
              <w:rPr>
                <w:rFonts w:ascii="Verdana" w:hAnsi="Verdana"/>
                <w:b/>
                <w:sz w:val="20"/>
              </w:rPr>
              <w:t>Documento RAG14-1/8-S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255CCF" w:rsidRDefault="00255CCF" w:rsidP="00255CCF">
            <w:pPr>
              <w:shd w:val="solid" w:color="FFFFFF" w:fill="FFFFFF"/>
              <w:spacing w:before="0" w:line="240" w:lineRule="atLeast"/>
              <w:rPr>
                <w:rFonts w:ascii="Verdana" w:hAnsi="Verdana"/>
                <w:sz w:val="20"/>
              </w:rPr>
            </w:pPr>
            <w:r>
              <w:rPr>
                <w:rFonts w:ascii="Verdana" w:hAnsi="Verdana"/>
                <w:b/>
                <w:sz w:val="20"/>
              </w:rPr>
              <w:t>29 de mayo de 2014</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255CCF" w:rsidRDefault="00255CCF" w:rsidP="00255CCF">
            <w:pPr>
              <w:shd w:val="solid" w:color="FFFFFF" w:fill="FFFFFF"/>
              <w:spacing w:before="0" w:after="120" w:line="240" w:lineRule="atLeast"/>
              <w:rPr>
                <w:rFonts w:ascii="Verdana" w:hAnsi="Verdana"/>
                <w:sz w:val="20"/>
              </w:rPr>
            </w:pPr>
            <w:r>
              <w:rPr>
                <w:rFonts w:ascii="Verdana" w:hAnsi="Verdana"/>
                <w:b/>
                <w:sz w:val="20"/>
              </w:rPr>
              <w:t>Original: inglés</w:t>
            </w:r>
          </w:p>
        </w:tc>
      </w:tr>
      <w:tr w:rsidR="00255CCF">
        <w:trPr>
          <w:cantSplit/>
        </w:trPr>
        <w:tc>
          <w:tcPr>
            <w:tcW w:w="9889" w:type="dxa"/>
            <w:gridSpan w:val="2"/>
          </w:tcPr>
          <w:p w:rsidR="00255CCF" w:rsidRPr="00255CCF" w:rsidRDefault="00255CCF" w:rsidP="00255CCF">
            <w:pPr>
              <w:pStyle w:val="Source"/>
            </w:pPr>
            <w:bookmarkStart w:id="3" w:name="dsource" w:colFirst="0" w:colLast="0"/>
            <w:bookmarkEnd w:id="2"/>
            <w:r w:rsidRPr="00255CCF">
              <w:t>Director de la Oficina de Radiocomunicaciones</w:t>
            </w:r>
          </w:p>
        </w:tc>
      </w:tr>
      <w:tr w:rsidR="00255CCF">
        <w:trPr>
          <w:cantSplit/>
        </w:trPr>
        <w:tc>
          <w:tcPr>
            <w:tcW w:w="9889" w:type="dxa"/>
            <w:gridSpan w:val="2"/>
          </w:tcPr>
          <w:p w:rsidR="00255CCF" w:rsidRPr="00255CCF" w:rsidRDefault="00255CCF" w:rsidP="00255CCF">
            <w:pPr>
              <w:pStyle w:val="Title1"/>
              <w:rPr>
                <w:rFonts w:asciiTheme="majorBidi" w:eastAsia="SimSun" w:hAnsiTheme="majorBidi" w:cstheme="majorBidi"/>
                <w:bCs/>
                <w:szCs w:val="24"/>
                <w:lang w:eastAsia="zh-CN"/>
              </w:rPr>
            </w:pPr>
            <w:bookmarkStart w:id="4" w:name="dtitle1" w:colFirst="0" w:colLast="0"/>
            <w:bookmarkEnd w:id="3"/>
            <w:r w:rsidRPr="00255CCF">
              <w:rPr>
                <w:bCs/>
              </w:rPr>
              <w:t xml:space="preserve">FECHAS DE LA PRIMERA SESIÓN DE LA REUNIÓN PREPARATORIA DE </w:t>
            </w:r>
            <w:r>
              <w:rPr>
                <w:bCs/>
              </w:rPr>
              <w:br/>
            </w:r>
            <w:r w:rsidRPr="00255CCF">
              <w:rPr>
                <w:bCs/>
              </w:rPr>
              <w:t>LA CONFERENCIA (rpc) PARA LA CONFERENCIA MUNDIAL</w:t>
            </w:r>
            <w:r>
              <w:rPr>
                <w:bCs/>
              </w:rPr>
              <w:t xml:space="preserve"> </w:t>
            </w:r>
            <w:r>
              <w:rPr>
                <w:bCs/>
              </w:rPr>
              <w:br/>
            </w:r>
            <w:r w:rsidRPr="00255CCF">
              <w:rPr>
                <w:bCs/>
              </w:rPr>
              <w:t>DE RADIOCOMUNICACIONES</w:t>
            </w:r>
            <w:r>
              <w:rPr>
                <w:bCs/>
              </w:rPr>
              <w:t xml:space="preserve"> </w:t>
            </w:r>
            <w:r w:rsidRPr="00255CCF">
              <w:rPr>
                <w:bCs/>
              </w:rPr>
              <w:t>(cmr)</w:t>
            </w:r>
          </w:p>
        </w:tc>
      </w:tr>
      <w:bookmarkEnd w:id="4"/>
    </w:tbl>
    <w:p w:rsidR="00AF7BE1" w:rsidRDefault="00AF7BE1" w:rsidP="00255CCF">
      <w:pPr>
        <w:pStyle w:val="Heading1"/>
      </w:pPr>
    </w:p>
    <w:p w:rsidR="00255CCF" w:rsidRPr="00F13802" w:rsidRDefault="00255CCF" w:rsidP="00255CCF">
      <w:pPr>
        <w:pStyle w:val="Heading1"/>
      </w:pPr>
      <w:r w:rsidRPr="00F13802">
        <w:t>1</w:t>
      </w:r>
      <w:r w:rsidRPr="00F13802">
        <w:tab/>
        <w:t>Introducción</w:t>
      </w:r>
    </w:p>
    <w:p w:rsidR="00255CCF" w:rsidRPr="00815926" w:rsidRDefault="00255CCF" w:rsidP="00AF7BE1">
      <w:r w:rsidRPr="00435681">
        <w:t xml:space="preserve">Se comunicó a la 20ª reunión del GAR, celebrada del 22 al 24 de mayo de 2013, la siguiente información del Consejo sobre si el mejor momento para celebrar la primera sesión de la RPC (RPC-1) es inmediatamente después de la CMR o el lunes de la semana siguiente (véase el </w:t>
      </w:r>
      <w:r w:rsidRPr="00435681">
        <w:rPr>
          <w:lang w:eastAsia="zh-CN"/>
        </w:rPr>
        <w:t xml:space="preserve">§ 2.1 del </w:t>
      </w:r>
      <w:hyperlink r:id="rId9" w:history="1">
        <w:r w:rsidRPr="00435681">
          <w:rPr>
            <w:rStyle w:val="Hyperlink"/>
          </w:rPr>
          <w:t>Documento RAG13-1/1</w:t>
        </w:r>
      </w:hyperlink>
      <w:r w:rsidRPr="00435681">
        <w:t xml:space="preserve">): </w:t>
      </w:r>
      <w:r w:rsidR="00A31D34">
        <w:t>«</w:t>
      </w:r>
      <w:r w:rsidRPr="00435681">
        <w:t xml:space="preserve">Se sugirió que, para mayor conveniencia, la primera sesión de la RPC (RPC-1) se celebrase inmediatamente después de la ceremonia de firmas de la CMR y continuase el sábado siguiente a la finalización de la conferencia, evitando de esa forma que las delegaciones tengan que esperar todo el fin de semana hasta que la RPC-1 comience en la siguiente semana. Otros manifestaron la opinión de que los delegados deben poder descansar precisamente durante el fin de semana. </w:t>
      </w:r>
      <w:r w:rsidRPr="00815926">
        <w:t>Este tema seguirá estudiándose a la vista de experiencias anteriores y recientes y se abordará en la reunión de 2014 del GAR</w:t>
      </w:r>
      <w:r w:rsidR="00AF7BE1">
        <w:t>»</w:t>
      </w:r>
      <w:r w:rsidRPr="00815926">
        <w:t>.</w:t>
      </w:r>
    </w:p>
    <w:p w:rsidR="00255CCF" w:rsidRPr="00815926" w:rsidRDefault="00255CCF" w:rsidP="00255CCF">
      <w:r w:rsidRPr="00F7518D">
        <w:t>El GAR llegó a la conclusión de que este asunto debe seguir analizándose teniendo en cuenta las experiencias pasadas y recientes, e invitó al Director a informar sobre los resultados de su análisis a la próxima reunión del GAR</w:t>
      </w:r>
      <w:r>
        <w:t xml:space="preserve"> (véase el</w:t>
      </w:r>
      <w:r w:rsidRPr="00815926">
        <w:t xml:space="preserve"> </w:t>
      </w:r>
      <w:r w:rsidRPr="00815926">
        <w:rPr>
          <w:lang w:eastAsia="zh-CN"/>
        </w:rPr>
        <w:t xml:space="preserve">§ 6.2 </w:t>
      </w:r>
      <w:r>
        <w:rPr>
          <w:lang w:eastAsia="zh-CN"/>
        </w:rPr>
        <w:t>del Anexo al Documento</w:t>
      </w:r>
      <w:r w:rsidRPr="00815926">
        <w:rPr>
          <w:lang w:eastAsia="zh-CN"/>
        </w:rPr>
        <w:t xml:space="preserve"> </w:t>
      </w:r>
      <w:hyperlink r:id="rId10" w:history="1">
        <w:r w:rsidRPr="00815926">
          <w:rPr>
            <w:rStyle w:val="Hyperlink"/>
            <w:lang w:eastAsia="zh-CN"/>
          </w:rPr>
          <w:t>BR CA/</w:t>
        </w:r>
        <w:r w:rsidRPr="00815926">
          <w:rPr>
            <w:rStyle w:val="Hyperlink"/>
          </w:rPr>
          <w:t>211</w:t>
        </w:r>
      </w:hyperlink>
      <w:r w:rsidRPr="00815926">
        <w:t>).</w:t>
      </w:r>
    </w:p>
    <w:p w:rsidR="00255CCF" w:rsidRPr="00815926" w:rsidRDefault="00255CCF" w:rsidP="00DA5436">
      <w:r w:rsidRPr="00815926">
        <w:t xml:space="preserve">El objetivo del presente documento es facilitar la información solicitada a partir de las experiencias vividas al final de las </w:t>
      </w:r>
      <w:r>
        <w:t xml:space="preserve">últimas cuatro CMR. </w:t>
      </w:r>
      <w:r w:rsidRPr="00815926">
        <w:t>En la cláusula 2 siguiente se repasan las actividades habituales de la RPC-1 y se describe brevemente lo que ocurri</w:t>
      </w:r>
      <w:r>
        <w:t xml:space="preserve">ó al final de las últimas dos </w:t>
      </w:r>
      <w:r w:rsidR="00DA5436">
        <w:t>c</w:t>
      </w:r>
      <w:r>
        <w:t>onferencias, es decir, la RPC1</w:t>
      </w:r>
      <w:r w:rsidRPr="00815926">
        <w:t xml:space="preserve">1-1 </w:t>
      </w:r>
      <w:r>
        <w:t>después de la CMR</w:t>
      </w:r>
      <w:r w:rsidRPr="00815926">
        <w:t xml:space="preserve">-07 </w:t>
      </w:r>
      <w:r>
        <w:t>y la RPC</w:t>
      </w:r>
      <w:r w:rsidRPr="00815926">
        <w:t xml:space="preserve">15-1 </w:t>
      </w:r>
      <w:r>
        <w:t>después de la CMR</w:t>
      </w:r>
      <w:r w:rsidRPr="00815926">
        <w:t xml:space="preserve">-12. Además, en el Anexo al presente documento se reproduce el calendario de Sesiones Plenarias celebradas durante los dos últimos días de las </w:t>
      </w:r>
      <w:r>
        <w:t>últimas cuatro CMR</w:t>
      </w:r>
      <w:r w:rsidRPr="00815926">
        <w:t>. En la cláusula 3 se presenta un resumen y se sugieren posibles conclusiones para su consideraci</w:t>
      </w:r>
      <w:r>
        <w:t>ón por el GAR</w:t>
      </w:r>
      <w:r w:rsidRPr="00815926">
        <w:t>.</w:t>
      </w:r>
    </w:p>
    <w:p w:rsidR="00255CCF" w:rsidRPr="00F13802" w:rsidRDefault="00255CCF" w:rsidP="00255CCF">
      <w:pPr>
        <w:pStyle w:val="Heading1"/>
      </w:pPr>
      <w:r w:rsidRPr="00F13802">
        <w:t>2</w:t>
      </w:r>
      <w:r w:rsidRPr="00F13802">
        <w:tab/>
        <w:t>Organización y actividades de la primera sesión de la RPC</w:t>
      </w:r>
    </w:p>
    <w:p w:rsidR="00255CCF" w:rsidRPr="00815926" w:rsidRDefault="00255CCF" w:rsidP="00255CCF">
      <w:r w:rsidRPr="00815926">
        <w:t xml:space="preserve">La Reunión Preparatoria de la Conferencia (RPC) para las Conferencias Mundiales de Radiocomunicaciones (CMR) es objeto de la </w:t>
      </w:r>
      <w:hyperlink r:id="rId11" w:history="1">
        <w:r w:rsidRPr="00815926">
          <w:rPr>
            <w:rStyle w:val="Hyperlink"/>
          </w:rPr>
          <w:t>Resolu</w:t>
        </w:r>
        <w:r>
          <w:rPr>
            <w:rStyle w:val="Hyperlink"/>
          </w:rPr>
          <w:t>ción UIT</w:t>
        </w:r>
        <w:r w:rsidRPr="00815926">
          <w:rPr>
            <w:rStyle w:val="Hyperlink"/>
          </w:rPr>
          <w:t>-R 2-6</w:t>
        </w:r>
      </w:hyperlink>
      <w:r w:rsidRPr="00815926">
        <w:t>.</w:t>
      </w:r>
    </w:p>
    <w:p w:rsidR="00AF7BE1" w:rsidRDefault="00AF7BE1">
      <w:pPr>
        <w:tabs>
          <w:tab w:val="clear" w:pos="794"/>
          <w:tab w:val="clear" w:pos="1191"/>
          <w:tab w:val="clear" w:pos="1588"/>
          <w:tab w:val="clear" w:pos="1985"/>
        </w:tabs>
        <w:overflowPunct/>
        <w:autoSpaceDE/>
        <w:autoSpaceDN/>
        <w:adjustRightInd/>
        <w:spacing w:before="0"/>
        <w:textAlignment w:val="auto"/>
      </w:pPr>
      <w:r>
        <w:br w:type="page"/>
      </w:r>
    </w:p>
    <w:p w:rsidR="00255CCF" w:rsidRDefault="00255CCF" w:rsidP="00255CCF">
      <w:r w:rsidRPr="00815926">
        <w:lastRenderedPageBreak/>
        <w:t>Habida cuenta de los principios y el alcance de la RPC, que se presentan en la parte resolutiva de la Resolución, y considerando en concreto la primera sesión de la RPC, de acuerdo con el An</w:t>
      </w:r>
      <w:r>
        <w:t>exo 1 a dicha Resolución, los métodos de trabajo de la RPC son los siguientes</w:t>
      </w:r>
      <w:r w:rsidRPr="00815926">
        <w:t>:</w:t>
      </w:r>
    </w:p>
    <w:p w:rsidR="00AF7BE1" w:rsidRDefault="00AF7BE1" w:rsidP="00255CCF"/>
    <w:tbl>
      <w:tblPr>
        <w:tblStyle w:val="TableGrid"/>
        <w:tblW w:w="9639" w:type="dxa"/>
        <w:tblLook w:val="04A0" w:firstRow="1" w:lastRow="0" w:firstColumn="1" w:lastColumn="0" w:noHBand="0" w:noVBand="1"/>
      </w:tblPr>
      <w:tblGrid>
        <w:gridCol w:w="9639"/>
      </w:tblGrid>
      <w:tr w:rsidR="00A31D34" w:rsidTr="000F5736">
        <w:tc>
          <w:tcPr>
            <w:tcW w:w="9639" w:type="dxa"/>
          </w:tcPr>
          <w:p w:rsidR="00A31D34" w:rsidRDefault="00A31D34" w:rsidP="00A31D34">
            <w:pPr>
              <w:keepNext/>
              <w:keepLines/>
              <w:rPr>
                <w:shd w:val="clear" w:color="auto" w:fill="BFBFBF" w:themeFill="background1" w:themeFillShade="BF"/>
              </w:rPr>
            </w:pPr>
            <w:hyperlink r:id="rId12" w:history="1">
              <w:r w:rsidRPr="00815926">
                <w:rPr>
                  <w:rStyle w:val="Hyperlink"/>
                  <w:shd w:val="clear" w:color="auto" w:fill="BFBFBF" w:themeFill="background1" w:themeFillShade="BF"/>
                </w:rPr>
                <w:t>Resolución UIT-R 2-6</w:t>
              </w:r>
            </w:hyperlink>
            <w:r w:rsidRPr="00815926">
              <w:rPr>
                <w:shd w:val="clear" w:color="auto" w:fill="BFBFBF" w:themeFill="background1" w:themeFillShade="BF"/>
              </w:rPr>
              <w:t xml:space="preserve"> </w:t>
            </w:r>
            <w:r>
              <w:rPr>
                <w:shd w:val="clear" w:color="auto" w:fill="BFBFBF" w:themeFill="background1" w:themeFillShade="BF"/>
              </w:rPr>
              <w:t>–</w:t>
            </w:r>
            <w:r w:rsidRPr="00815926">
              <w:rPr>
                <w:shd w:val="clear" w:color="auto" w:fill="BFBFBF" w:themeFill="background1" w:themeFillShade="BF"/>
              </w:rPr>
              <w:t xml:space="preserve"> Anexo 1 </w:t>
            </w:r>
            <w:r>
              <w:rPr>
                <w:shd w:val="clear" w:color="auto" w:fill="BFBFBF" w:themeFill="background1" w:themeFillShade="BF"/>
              </w:rPr>
              <w:t>–</w:t>
            </w:r>
            <w:r w:rsidRPr="00815926">
              <w:rPr>
                <w:shd w:val="clear" w:color="auto" w:fill="BFBFBF" w:themeFill="background1" w:themeFillShade="BF"/>
              </w:rPr>
              <w:t xml:space="preserve"> </w:t>
            </w:r>
          </w:p>
          <w:p w:rsidR="00A31D34" w:rsidRPr="00815926" w:rsidRDefault="00A31D34" w:rsidP="00A31D34">
            <w:pPr>
              <w:keepNext/>
              <w:keepLines/>
            </w:pPr>
            <w:r>
              <w:t>«</w:t>
            </w:r>
            <w:r w:rsidRPr="00815926">
              <w:rPr>
                <w:bCs/>
              </w:rPr>
              <w:t>2</w:t>
            </w:r>
            <w:r w:rsidRPr="00815926">
              <w:tab/>
              <w:t>La RPC celebrará normalmente dos sesiones durante el intervalo entre las CMR.</w:t>
            </w:r>
          </w:p>
          <w:p w:rsidR="00A31D34" w:rsidRPr="00815926" w:rsidRDefault="00A31D34" w:rsidP="00A31D34">
            <w:pPr>
              <w:keepNext/>
              <w:keepLines/>
            </w:pPr>
            <w:r w:rsidRPr="00815926">
              <w:rPr>
                <w:bCs/>
              </w:rPr>
              <w:t>2.1</w:t>
            </w:r>
            <w:r w:rsidRPr="00815926">
              <w:tab/>
              <w:t>La primera sesión tendrá como objetivo coordinar los programas de trabajo de las Comisiones de Estudio pertinentes del UIT-R y preparar un proyecto de estructura para el Informe de la</w:t>
            </w:r>
            <w:r>
              <w:t xml:space="preserve"> </w:t>
            </w:r>
            <w:r w:rsidRPr="00815926">
              <w:t>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A31D34" w:rsidRDefault="00A31D34" w:rsidP="000F5736">
            <w:pPr>
              <w:keepNext/>
              <w:keepLines/>
            </w:pPr>
            <w:r w:rsidRPr="00815926">
              <w:rPr>
                <w:bCs/>
              </w:rPr>
              <w:t>2.2</w:t>
            </w:r>
            <w:r w:rsidRPr="00815926">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000F5736" w:rsidRPr="00AF7BE1">
              <w:rPr>
                <w:sz w:val="20"/>
                <w:vertAlign w:val="superscript"/>
              </w:rPr>
              <w:sym w:font="Symbol" w:char="F02A"/>
            </w:r>
            <w:r w:rsidRPr="00815926">
              <w:t>. En la medida de lo posible, se debe recurrir para este fin a grupos existentes, y sólo crear nuevos grupos cuando se considere imprescindible.</w:t>
            </w:r>
          </w:p>
          <w:p w:rsidR="00A31D34" w:rsidRPr="00AF7BE1" w:rsidRDefault="000F5736" w:rsidP="00AF7BE1">
            <w:pPr>
              <w:keepNext/>
              <w:keepLines/>
              <w:tabs>
                <w:tab w:val="clear" w:pos="794"/>
                <w:tab w:val="left" w:pos="142"/>
              </w:tabs>
              <w:ind w:left="142" w:hanging="142"/>
              <w:rPr>
                <w:sz w:val="22"/>
                <w:szCs w:val="22"/>
              </w:rPr>
            </w:pPr>
            <w:r w:rsidRPr="00AF7BE1">
              <w:rPr>
                <w:sz w:val="22"/>
                <w:szCs w:val="22"/>
                <w:vertAlign w:val="superscript"/>
              </w:rPr>
              <w:sym w:font="Symbol" w:char="F02A"/>
            </w:r>
            <w:r w:rsidR="00A31D34" w:rsidRPr="00AF7BE1">
              <w:rPr>
                <w:sz w:val="22"/>
                <w:szCs w:val="22"/>
              </w:rPr>
              <w:tab/>
              <w:t>Por grupo del UIT-R interesado se entiende un grupo que aporta contribuciones sobre un determinado tema o al que se tiene informado de los trabajos sobre un determinado tema y toma las medidas apropiadas.</w:t>
            </w:r>
            <w:r w:rsidR="00A31D34" w:rsidRPr="00AF7BE1">
              <w:rPr>
                <w:sz w:val="22"/>
                <w:szCs w:val="22"/>
              </w:rPr>
              <w:t>»</w:t>
            </w:r>
          </w:p>
          <w:p w:rsidR="00A31D34" w:rsidRDefault="00A31D34" w:rsidP="00A31D34">
            <w:pPr>
              <w:keepNext/>
              <w:keepLines/>
            </w:pPr>
            <w:r>
              <w:t>«</w:t>
            </w:r>
            <w:r w:rsidRPr="00815926">
              <w:rPr>
                <w:bCs/>
              </w:rPr>
              <w:t>4</w:t>
            </w:r>
            <w:r w:rsidRPr="00815926">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r>
              <w:t>»</w:t>
            </w:r>
          </w:p>
        </w:tc>
      </w:tr>
    </w:tbl>
    <w:p w:rsidR="00255CCF" w:rsidRPr="00815926" w:rsidRDefault="00255CCF" w:rsidP="00255CCF">
      <w:r w:rsidRPr="00815926">
        <w:t>Aparte de la duración de la RPC-1, indicada en la cláusula 2.1 anterior, los textos de las cláusulas indicadas no se modificaron sustancialmente en la AR-07 ni en la AR-12.</w:t>
      </w:r>
    </w:p>
    <w:p w:rsidR="00255CCF" w:rsidRDefault="00255CCF" w:rsidP="00255CCF">
      <w:r w:rsidRPr="00815926">
        <w:t xml:space="preserve">En el siguiente cuadro se presenta información sobre las actividades realizadas al final de las dos últimas CMR, así como en las </w:t>
      </w:r>
      <w:r>
        <w:t>reuniones de la RPC-1 posteriores</w:t>
      </w:r>
      <w:r w:rsidRPr="00815926">
        <w:t>:</w:t>
      </w:r>
    </w:p>
    <w:p w:rsidR="00AF7BE1" w:rsidRDefault="00AF7BE1">
      <w:pPr>
        <w:tabs>
          <w:tab w:val="clear" w:pos="794"/>
          <w:tab w:val="clear" w:pos="1191"/>
          <w:tab w:val="clear" w:pos="1588"/>
          <w:tab w:val="clear" w:pos="1985"/>
        </w:tabs>
        <w:overflowPunct/>
        <w:autoSpaceDE/>
        <w:autoSpaceDN/>
        <w:adjustRightInd/>
        <w:spacing w:before="0"/>
        <w:textAlignment w:val="auto"/>
      </w:pPr>
      <w:r>
        <w:br w:type="page"/>
      </w:r>
    </w:p>
    <w:tbl>
      <w:tblPr>
        <w:tblStyle w:val="TableGrid"/>
        <w:tblW w:w="9639" w:type="dxa"/>
        <w:tblLayout w:type="fixed"/>
        <w:tblCellMar>
          <w:left w:w="57" w:type="dxa"/>
          <w:right w:w="57" w:type="dxa"/>
        </w:tblCellMar>
        <w:tblLook w:val="04A0" w:firstRow="1" w:lastRow="0" w:firstColumn="1" w:lastColumn="0" w:noHBand="0" w:noVBand="1"/>
      </w:tblPr>
      <w:tblGrid>
        <w:gridCol w:w="2376"/>
        <w:gridCol w:w="3493"/>
        <w:gridCol w:w="3770"/>
      </w:tblGrid>
      <w:tr w:rsidR="000F5736" w:rsidRPr="00F13802" w:rsidTr="000F5736">
        <w:tc>
          <w:tcPr>
            <w:tcW w:w="2376" w:type="dxa"/>
            <w:shd w:val="pct20" w:color="auto" w:fill="auto"/>
          </w:tcPr>
          <w:p w:rsidR="00255CCF" w:rsidRPr="001A2538" w:rsidRDefault="00255CCF" w:rsidP="00DA2AF4">
            <w:pPr>
              <w:spacing w:before="60" w:after="60"/>
              <w:rPr>
                <w:b/>
                <w:bCs/>
              </w:rPr>
            </w:pPr>
            <w:r>
              <w:rPr>
                <w:b/>
                <w:bCs/>
              </w:rPr>
              <w:lastRenderedPageBreak/>
              <w:t>Eventos</w:t>
            </w:r>
          </w:p>
        </w:tc>
        <w:tc>
          <w:tcPr>
            <w:tcW w:w="3493" w:type="dxa"/>
            <w:shd w:val="pct20" w:color="auto" w:fill="auto"/>
          </w:tcPr>
          <w:p w:rsidR="00255CCF" w:rsidRPr="009C6344" w:rsidRDefault="00255CCF" w:rsidP="000F5736">
            <w:pPr>
              <w:spacing w:before="60" w:after="60"/>
              <w:ind w:right="-57"/>
              <w:jc w:val="center"/>
              <w:rPr>
                <w:b/>
                <w:bCs/>
              </w:rPr>
            </w:pPr>
            <w:r w:rsidRPr="009C6344">
              <w:rPr>
                <w:b/>
                <w:bCs/>
              </w:rPr>
              <w:t>En la CMR-07 o la RPC11-1</w:t>
            </w:r>
          </w:p>
        </w:tc>
        <w:tc>
          <w:tcPr>
            <w:tcW w:w="3770" w:type="dxa"/>
            <w:shd w:val="pct20" w:color="auto" w:fill="auto"/>
          </w:tcPr>
          <w:p w:rsidR="00255CCF" w:rsidRPr="009C6344" w:rsidRDefault="00255CCF" w:rsidP="00DA2AF4">
            <w:pPr>
              <w:spacing w:before="60" w:after="60"/>
              <w:jc w:val="center"/>
              <w:rPr>
                <w:b/>
                <w:bCs/>
              </w:rPr>
            </w:pPr>
            <w:r w:rsidRPr="009C6344">
              <w:rPr>
                <w:b/>
                <w:bCs/>
              </w:rPr>
              <w:t>En la CMR-12 o la RPC15-1</w:t>
            </w:r>
          </w:p>
        </w:tc>
      </w:tr>
      <w:tr w:rsidR="00255CCF" w:rsidRPr="00F13802" w:rsidTr="000F5736">
        <w:tc>
          <w:tcPr>
            <w:tcW w:w="2376" w:type="dxa"/>
            <w:tcBorders>
              <w:bottom w:val="single" w:sz="4" w:space="0" w:color="auto"/>
            </w:tcBorders>
          </w:tcPr>
          <w:p w:rsidR="00255CCF" w:rsidRPr="00F13802" w:rsidRDefault="00255CCF" w:rsidP="00DA2AF4">
            <w:pPr>
              <w:spacing w:before="60" w:after="60"/>
            </w:pPr>
            <w:r w:rsidRPr="00F13802">
              <w:t>Fecha (hora) de las Sesiones Plenarias durante los dos últimos d</w:t>
            </w:r>
            <w:r>
              <w:t>ías de la CMR</w:t>
            </w:r>
          </w:p>
        </w:tc>
        <w:tc>
          <w:tcPr>
            <w:tcW w:w="3493" w:type="dxa"/>
            <w:tcBorders>
              <w:bottom w:val="single" w:sz="4" w:space="0" w:color="auto"/>
            </w:tcBorders>
          </w:tcPr>
          <w:p w:rsidR="00255CCF" w:rsidRPr="00F13802" w:rsidRDefault="00255CCF" w:rsidP="00AF7BE1">
            <w:pPr>
              <w:spacing w:before="60" w:after="60"/>
              <w:ind w:left="-57" w:right="-57"/>
              <w:jc w:val="center"/>
            </w:pPr>
            <w:r w:rsidRPr="00F13802">
              <w:t xml:space="preserve">Jueves 15/11/07 </w:t>
            </w:r>
            <w:r w:rsidR="000F5736">
              <w:br/>
            </w:r>
            <w:r w:rsidRPr="00F13802">
              <w:t xml:space="preserve">(00.00 </w:t>
            </w:r>
            <w:r w:rsidR="00AF7BE1">
              <w:t>–</w:t>
            </w:r>
            <w:r w:rsidRPr="00F13802">
              <w:t xml:space="preserve"> 06.</w:t>
            </w:r>
            <w:r w:rsidR="00AF7BE1">
              <w:t>10 h</w:t>
            </w:r>
            <w:r w:rsidRPr="00F13802">
              <w:t xml:space="preserve"> y 09.10 – 16.50 h)</w:t>
            </w:r>
            <w:r w:rsidRPr="00F13802">
              <w:br/>
              <w:t>(Aprobación de textos finales);</w:t>
            </w:r>
          </w:p>
          <w:p w:rsidR="00255CCF" w:rsidRPr="00F13802" w:rsidRDefault="00255CCF" w:rsidP="000F5736">
            <w:pPr>
              <w:spacing w:before="60" w:after="60"/>
              <w:ind w:right="-57"/>
              <w:jc w:val="center"/>
            </w:pPr>
            <w:r>
              <w:t>V</w:t>
            </w:r>
            <w:r w:rsidRPr="00F13802">
              <w:t xml:space="preserve">iernes 16/11/07 (09.10 – 09.25 </w:t>
            </w:r>
            <w:r w:rsidR="000F5736">
              <w:t>h</w:t>
            </w:r>
            <w:r w:rsidRPr="00F13802">
              <w:t>)</w:t>
            </w:r>
            <w:r w:rsidRPr="00F13802">
              <w:br/>
              <w:t>(Declaraciones y reservas);</w:t>
            </w:r>
          </w:p>
          <w:p w:rsidR="00255CCF" w:rsidRPr="00F13802" w:rsidRDefault="00255CCF" w:rsidP="000F5736">
            <w:pPr>
              <w:spacing w:before="60" w:after="60"/>
              <w:ind w:right="-57"/>
              <w:jc w:val="center"/>
            </w:pPr>
            <w:r w:rsidRPr="00F13802">
              <w:t>Viernes 16/11/07 (16.30 – 19.55 h)</w:t>
            </w:r>
            <w:r w:rsidRPr="00F13802">
              <w:br/>
              <w:t>(</w:t>
            </w:r>
            <w:r w:rsidR="000F5736">
              <w:t xml:space="preserve">Declaraciones </w:t>
            </w:r>
            <w:r w:rsidRPr="00F13802">
              <w:t>y reservas adicionales; firma de las Actas Finales; clausura de la CMR)</w:t>
            </w:r>
          </w:p>
        </w:tc>
        <w:tc>
          <w:tcPr>
            <w:tcW w:w="3770" w:type="dxa"/>
            <w:tcBorders>
              <w:bottom w:val="single" w:sz="4" w:space="0" w:color="auto"/>
            </w:tcBorders>
          </w:tcPr>
          <w:p w:rsidR="00255CCF" w:rsidRPr="00F13802" w:rsidRDefault="00255CCF" w:rsidP="000F5736">
            <w:pPr>
              <w:spacing w:before="60" w:after="60"/>
              <w:ind w:right="-57"/>
              <w:jc w:val="center"/>
            </w:pPr>
            <w:r w:rsidRPr="00F13802">
              <w:t xml:space="preserve">Jueves 16/02/12 </w:t>
            </w:r>
            <w:r w:rsidR="000F5736">
              <w:br/>
            </w:r>
            <w:r w:rsidRPr="00F13802">
              <w:t>(00.00 – 05.45 h y 10.10 – 10.50</w:t>
            </w:r>
            <w:r w:rsidR="000F5736">
              <w:t xml:space="preserve"> h</w:t>
            </w:r>
            <w:r w:rsidRPr="00F13802">
              <w:t>)</w:t>
            </w:r>
            <w:r w:rsidRPr="00F13802">
              <w:br/>
              <w:t>(Aprobación de textos finales);</w:t>
            </w:r>
          </w:p>
          <w:p w:rsidR="00255CCF" w:rsidRPr="00F13802" w:rsidRDefault="00255CCF" w:rsidP="000F5736">
            <w:pPr>
              <w:spacing w:before="60" w:after="60"/>
              <w:jc w:val="center"/>
            </w:pPr>
            <w:r w:rsidRPr="00F13802">
              <w:t>Jueves 16/02/12 (19.55 – 20.05 h)</w:t>
            </w:r>
            <w:r w:rsidRPr="00F13802">
              <w:br/>
              <w:t>(Declaraciones y reservas);</w:t>
            </w:r>
          </w:p>
          <w:p w:rsidR="00255CCF" w:rsidRPr="00F13802" w:rsidRDefault="00255CCF" w:rsidP="000F5736">
            <w:pPr>
              <w:spacing w:before="60" w:after="60"/>
              <w:jc w:val="center"/>
            </w:pPr>
            <w:r w:rsidRPr="00F13802">
              <w:t>Viernes 17/02/12 (15.25 – 17.55 h) (Declaraciones y reservas adicionales; firma de las Actas Finales; clausura de la CMR)</w:t>
            </w:r>
          </w:p>
        </w:tc>
      </w:tr>
      <w:tr w:rsidR="000F5736" w:rsidTr="000F5736">
        <w:tc>
          <w:tcPr>
            <w:tcW w:w="2376" w:type="dxa"/>
            <w:shd w:val="pct12" w:color="auto" w:fill="auto"/>
          </w:tcPr>
          <w:p w:rsidR="00255CCF" w:rsidRPr="00F13802" w:rsidRDefault="00255CCF" w:rsidP="000F5736">
            <w:pPr>
              <w:keepNext/>
              <w:keepLines/>
              <w:spacing w:before="60" w:after="60"/>
            </w:pPr>
            <w:r w:rsidRPr="00F13802">
              <w:t>Fecha (hora) de aprobación de las Resoluciones finales relativas a puntos del orden del d</w:t>
            </w:r>
            <w:r>
              <w:t>ía de la siguiente CMR</w:t>
            </w:r>
          </w:p>
        </w:tc>
        <w:tc>
          <w:tcPr>
            <w:tcW w:w="3493" w:type="dxa"/>
            <w:shd w:val="pct12" w:color="auto" w:fill="auto"/>
          </w:tcPr>
          <w:p w:rsidR="00255CCF" w:rsidRPr="00F13802" w:rsidRDefault="00255CCF" w:rsidP="000F5736">
            <w:pPr>
              <w:keepNext/>
              <w:keepLines/>
              <w:spacing w:before="60" w:after="60"/>
              <w:ind w:right="-57"/>
              <w:jc w:val="center"/>
            </w:pPr>
            <w:r w:rsidRPr="00F13802">
              <w:t>Jueves 15/11/07</w:t>
            </w:r>
            <w:r w:rsidRPr="00F13802">
              <w:br/>
              <w:t xml:space="preserve">(entre las 09.10 y las 16.50 h) </w:t>
            </w:r>
            <w:r w:rsidR="000F5736">
              <w:br/>
            </w:r>
            <w:r w:rsidRPr="00F13802">
              <w:t>(véase el Doc.</w:t>
            </w:r>
            <w:r w:rsidR="000F5736">
              <w:t xml:space="preserve"> </w:t>
            </w:r>
            <w:r w:rsidRPr="00F13802">
              <w:t>435 de la CMR-07)</w:t>
            </w:r>
          </w:p>
        </w:tc>
        <w:tc>
          <w:tcPr>
            <w:tcW w:w="3770" w:type="dxa"/>
            <w:shd w:val="pct12" w:color="auto" w:fill="auto"/>
          </w:tcPr>
          <w:p w:rsidR="00255CCF" w:rsidRDefault="00255CCF" w:rsidP="000F5736">
            <w:pPr>
              <w:keepNext/>
              <w:keepLines/>
              <w:spacing w:before="60" w:after="60"/>
              <w:ind w:right="-57"/>
              <w:jc w:val="center"/>
            </w:pPr>
            <w:r w:rsidRPr="00F13802">
              <w:t>Entre el miércoles 15/02/12 (19</w:t>
            </w:r>
            <w:r>
              <w:t>.</w:t>
            </w:r>
            <w:r w:rsidRPr="00F13802">
              <w:t>35</w:t>
            </w:r>
            <w:r w:rsidR="000F5736">
              <w:t xml:space="preserve"> h</w:t>
            </w:r>
            <w:r w:rsidRPr="00F13802">
              <w:t xml:space="preserve">) </w:t>
            </w:r>
            <w:r>
              <w:t>y el jueves</w:t>
            </w:r>
            <w:r w:rsidRPr="00F13802">
              <w:t xml:space="preserve"> 16/02/12 (05</w:t>
            </w:r>
            <w:r>
              <w:t>.</w:t>
            </w:r>
            <w:r w:rsidRPr="00F13802">
              <w:t>45 h)</w:t>
            </w:r>
            <w:r w:rsidRPr="00F13802">
              <w:br/>
            </w:r>
            <w:r>
              <w:t>(véase el Doc.554 de la CMR-12)</w:t>
            </w:r>
          </w:p>
        </w:tc>
      </w:tr>
      <w:tr w:rsidR="00255CCF" w:rsidTr="000F5736">
        <w:tc>
          <w:tcPr>
            <w:tcW w:w="2376" w:type="dxa"/>
            <w:tcBorders>
              <w:bottom w:val="single" w:sz="4" w:space="0" w:color="auto"/>
            </w:tcBorders>
          </w:tcPr>
          <w:p w:rsidR="00255CCF" w:rsidRPr="00F13802" w:rsidRDefault="00255CCF" w:rsidP="00DA2AF4">
            <w:pPr>
              <w:spacing w:before="60" w:after="60"/>
            </w:pPr>
            <w:r w:rsidRPr="00F13802">
              <w:t>Fechas (horas) de presentación de las contribuciones/</w:t>
            </w:r>
            <w:r w:rsidR="00DA5436">
              <w:br/>
            </w:r>
            <w:r w:rsidRPr="00F13802">
              <w:t>documentos de la RPC-1 pertinentes.</w:t>
            </w:r>
          </w:p>
          <w:p w:rsidR="00255CCF" w:rsidRPr="00F13802" w:rsidRDefault="00255CCF" w:rsidP="00DA2AF4">
            <w:pPr>
              <w:spacing w:before="60" w:after="60"/>
            </w:pPr>
            <w:r w:rsidRPr="00F13802">
              <w:t>(Número de contribuci</w:t>
            </w:r>
            <w:r>
              <w:t>ones</w:t>
            </w:r>
            <w:r w:rsidRPr="00F13802">
              <w:t>/doc.)</w:t>
            </w:r>
          </w:p>
        </w:tc>
        <w:tc>
          <w:tcPr>
            <w:tcW w:w="3493" w:type="dxa"/>
            <w:tcBorders>
              <w:bottom w:val="single" w:sz="4" w:space="0" w:color="auto"/>
            </w:tcBorders>
          </w:tcPr>
          <w:p w:rsidR="00255CCF" w:rsidRPr="00F13802" w:rsidRDefault="00255CCF" w:rsidP="000F5736">
            <w:pPr>
              <w:spacing w:before="60" w:after="60"/>
              <w:ind w:right="-57"/>
              <w:jc w:val="center"/>
            </w:pPr>
            <w:r w:rsidRPr="00F13802">
              <w:t>Entre el viernes 16/11/07 (11</w:t>
            </w:r>
            <w:r>
              <w:t>.</w:t>
            </w:r>
            <w:r w:rsidRPr="00F13802">
              <w:t>39 h)</w:t>
            </w:r>
            <w:r w:rsidRPr="00F13802">
              <w:br/>
            </w:r>
            <w:r>
              <w:t>y el domingo</w:t>
            </w:r>
            <w:r w:rsidRPr="00F13802">
              <w:t xml:space="preserve"> 18/11/07 (18</w:t>
            </w:r>
            <w:r>
              <w:t>.</w:t>
            </w:r>
            <w:r w:rsidRPr="00F13802">
              <w:t>09 h)</w:t>
            </w:r>
          </w:p>
          <w:p w:rsidR="00255CCF" w:rsidRDefault="00255CCF" w:rsidP="000F5736">
            <w:pPr>
              <w:spacing w:before="60" w:after="60"/>
              <w:ind w:right="-57"/>
              <w:jc w:val="center"/>
            </w:pPr>
            <w:r>
              <w:t>(9)</w:t>
            </w:r>
          </w:p>
        </w:tc>
        <w:tc>
          <w:tcPr>
            <w:tcW w:w="3770" w:type="dxa"/>
            <w:tcBorders>
              <w:bottom w:val="single" w:sz="4" w:space="0" w:color="auto"/>
            </w:tcBorders>
          </w:tcPr>
          <w:p w:rsidR="00255CCF" w:rsidRPr="00F13802" w:rsidRDefault="00255CCF" w:rsidP="000F5736">
            <w:pPr>
              <w:spacing w:before="60" w:after="60"/>
              <w:ind w:right="-57"/>
              <w:jc w:val="center"/>
            </w:pPr>
            <w:r w:rsidRPr="00F13802">
              <w:t>Entre el jueves 16/02/12 (20</w:t>
            </w:r>
            <w:r>
              <w:t>.</w:t>
            </w:r>
            <w:r w:rsidR="000F5736">
              <w:t>56 h</w:t>
            </w:r>
            <w:r w:rsidRPr="00F13802">
              <w:t>)</w:t>
            </w:r>
            <w:r w:rsidRPr="00F13802">
              <w:br/>
            </w:r>
            <w:r>
              <w:t>y el domingo</w:t>
            </w:r>
            <w:r w:rsidRPr="00F13802">
              <w:t xml:space="preserve"> 19/02/12 (14</w:t>
            </w:r>
            <w:r>
              <w:t>.</w:t>
            </w:r>
            <w:r w:rsidRPr="00F13802">
              <w:t>08 h)</w:t>
            </w:r>
          </w:p>
          <w:p w:rsidR="00255CCF" w:rsidRDefault="00255CCF" w:rsidP="000F5736">
            <w:pPr>
              <w:spacing w:before="60" w:after="60"/>
              <w:ind w:right="-57"/>
              <w:jc w:val="center"/>
            </w:pPr>
            <w:r>
              <w:t>(21)</w:t>
            </w:r>
          </w:p>
        </w:tc>
      </w:tr>
      <w:tr w:rsidR="000F5736" w:rsidTr="000F5736">
        <w:tc>
          <w:tcPr>
            <w:tcW w:w="2376" w:type="dxa"/>
            <w:shd w:val="pct12" w:color="auto" w:fill="auto"/>
          </w:tcPr>
          <w:p w:rsidR="00255CCF" w:rsidRPr="00F13802" w:rsidRDefault="00255CCF" w:rsidP="00DA2AF4">
            <w:pPr>
              <w:spacing w:before="60" w:after="60"/>
            </w:pPr>
            <w:r w:rsidRPr="00F13802">
              <w:t>Fecha de la RPC-1</w:t>
            </w:r>
          </w:p>
        </w:tc>
        <w:tc>
          <w:tcPr>
            <w:tcW w:w="3493" w:type="dxa"/>
            <w:shd w:val="pct12" w:color="auto" w:fill="auto"/>
          </w:tcPr>
          <w:p w:rsidR="00255CCF" w:rsidRDefault="00255CCF" w:rsidP="000F5736">
            <w:pPr>
              <w:spacing w:before="60" w:after="60"/>
              <w:ind w:right="-57"/>
              <w:jc w:val="center"/>
            </w:pPr>
            <w:r>
              <w:t>Lunes 19 y martes 20/11/07</w:t>
            </w:r>
          </w:p>
        </w:tc>
        <w:tc>
          <w:tcPr>
            <w:tcW w:w="3770" w:type="dxa"/>
            <w:shd w:val="pct12" w:color="auto" w:fill="auto"/>
          </w:tcPr>
          <w:p w:rsidR="00255CCF" w:rsidRDefault="00255CCF" w:rsidP="000F5736">
            <w:pPr>
              <w:spacing w:before="60" w:after="60"/>
              <w:ind w:right="-57"/>
              <w:jc w:val="center"/>
            </w:pPr>
            <w:r>
              <w:t>Lunes 20 y martes 21/02/12</w:t>
            </w:r>
          </w:p>
        </w:tc>
      </w:tr>
      <w:tr w:rsidR="00255CCF" w:rsidTr="000F5736">
        <w:tc>
          <w:tcPr>
            <w:tcW w:w="2376" w:type="dxa"/>
          </w:tcPr>
          <w:p w:rsidR="00255CCF" w:rsidRPr="00F13802" w:rsidRDefault="00255CCF" w:rsidP="00DA2AF4">
            <w:pPr>
              <w:spacing w:before="60" w:after="60"/>
            </w:pPr>
            <w:r w:rsidRPr="00F13802">
              <w:t>Fech</w:t>
            </w:r>
            <w:r w:rsidR="000F5736">
              <w:t>a de las decisiones de la RPC-1</w:t>
            </w:r>
            <w:r w:rsidR="000F5736" w:rsidRPr="000F5736">
              <w:rPr>
                <w:sz w:val="26"/>
                <w:szCs w:val="22"/>
                <w:vertAlign w:val="superscript"/>
              </w:rPr>
              <w:sym w:font="Symbol" w:char="F02A"/>
            </w:r>
          </w:p>
        </w:tc>
        <w:tc>
          <w:tcPr>
            <w:tcW w:w="3493" w:type="dxa"/>
          </w:tcPr>
          <w:p w:rsidR="00255CCF" w:rsidRDefault="00255CCF" w:rsidP="000F5736">
            <w:pPr>
              <w:spacing w:before="60" w:after="60"/>
              <w:ind w:right="-57"/>
              <w:jc w:val="center"/>
            </w:pPr>
            <w:r>
              <w:t>Martes 20/11/07</w:t>
            </w:r>
          </w:p>
        </w:tc>
        <w:tc>
          <w:tcPr>
            <w:tcW w:w="3770" w:type="dxa"/>
          </w:tcPr>
          <w:p w:rsidR="00255CCF" w:rsidRDefault="00255CCF" w:rsidP="000F5736">
            <w:pPr>
              <w:spacing w:before="60" w:after="60"/>
              <w:ind w:right="-57"/>
              <w:jc w:val="center"/>
            </w:pPr>
            <w:r>
              <w:t>Martes 21/02/12</w:t>
            </w:r>
          </w:p>
        </w:tc>
      </w:tr>
    </w:tbl>
    <w:p w:rsidR="00255CCF" w:rsidRPr="00F13802" w:rsidRDefault="000F5736" w:rsidP="00DA5436">
      <w:pPr>
        <w:tabs>
          <w:tab w:val="clear" w:pos="794"/>
          <w:tab w:val="left" w:pos="284"/>
        </w:tabs>
      </w:pPr>
      <w:r w:rsidRPr="000F5736">
        <w:rPr>
          <w:sz w:val="26"/>
          <w:szCs w:val="22"/>
          <w:vertAlign w:val="superscript"/>
        </w:rPr>
        <w:sym w:font="Symbol" w:char="F02A"/>
      </w:r>
      <w:r>
        <w:rPr>
          <w:sz w:val="26"/>
          <w:szCs w:val="22"/>
          <w:vertAlign w:val="superscript"/>
        </w:rPr>
        <w:tab/>
      </w:r>
      <w:r w:rsidR="00255CCF" w:rsidRPr="00F13802">
        <w:rPr>
          <w:u w:val="single"/>
        </w:rPr>
        <w:t>La RPC-1 tomó decisiones sobre</w:t>
      </w:r>
      <w:r w:rsidR="00255CCF" w:rsidRPr="00F13802">
        <w:t xml:space="preserve">: </w:t>
      </w:r>
      <w:r>
        <w:t>E</w:t>
      </w:r>
      <w:r w:rsidR="00255CCF" w:rsidRPr="00F13802">
        <w:t xml:space="preserve">l proyecto de estructura del proyecto de Informe de la RPC; el nombramiento de los Relatores de Capítulos; la identificación de las Comisiones del UIT-R responsables y concernidas y la atribución de los trabajos; otros asuntos </w:t>
      </w:r>
      <w:r w:rsidR="00255CCF">
        <w:t>(por ejemplo, mandato de los GMTE</w:t>
      </w:r>
      <w:r w:rsidR="00255CCF" w:rsidRPr="00F13802">
        <w:t>).</w:t>
      </w:r>
    </w:p>
    <w:p w:rsidR="00255CCF" w:rsidRPr="00CA6B49" w:rsidRDefault="00255CCF" w:rsidP="00726828">
      <w:r w:rsidRPr="00CA6B49">
        <w:t>Además de las indicadas anteriormente, la RPC-1 también adoptó decisiones sobre la estructura de los proyectos de texto de la RPC para los puntos del orden del día y los temas identificados, así como sobre las obligaciones de los Relatores de Cap</w:t>
      </w:r>
      <w:r>
        <w:t>ítulos y otros procedimientos de trabajo de la RPC, distintos de los indicados en la Resolución UIT</w:t>
      </w:r>
      <w:r w:rsidRPr="00CA6B49">
        <w:t>-R 2-6 (</w:t>
      </w:r>
      <w:r>
        <w:t>véase por ejemplo el Anexo 5 a la Circular Administrativa de la BR</w:t>
      </w:r>
      <w:r w:rsidRPr="00CA6B49">
        <w:t xml:space="preserve"> </w:t>
      </w:r>
      <w:hyperlink r:id="rId13" w:history="1">
        <w:r w:rsidRPr="00CA6B49">
          <w:rPr>
            <w:rStyle w:val="Hyperlink"/>
          </w:rPr>
          <w:t>CA</w:t>
        </w:r>
        <w:r w:rsidRPr="00CA6B49">
          <w:rPr>
            <w:rStyle w:val="Hyperlink"/>
          </w:rPr>
          <w:t>/</w:t>
        </w:r>
        <w:r w:rsidRPr="00CA6B49">
          <w:rPr>
            <w:rStyle w:val="Hyperlink"/>
          </w:rPr>
          <w:t>201</w:t>
        </w:r>
      </w:hyperlink>
      <w:r w:rsidRPr="00CA6B49">
        <w:t xml:space="preserve"> </w:t>
      </w:r>
      <w:r>
        <w:t>en lo que respecta a la RPC</w:t>
      </w:r>
      <w:r w:rsidRPr="00CA6B49">
        <w:t>15-1).</w:t>
      </w:r>
    </w:p>
    <w:p w:rsidR="00255CCF" w:rsidRPr="00A579AF" w:rsidRDefault="00255CCF" w:rsidP="00DA5436">
      <w:r w:rsidRPr="00352C20">
        <w:t xml:space="preserve">En cuanto a la preparación de la RPC15-1 (después de la CMR-12), el </w:t>
      </w:r>
      <w:r w:rsidR="00DA5436">
        <w:t>v</w:t>
      </w:r>
      <w:r w:rsidRPr="00352C20">
        <w:t>iernes 17/02/2012 se celebró una reunión del Comité de Dirección de la RPC-15 (sin los Relatores de Cap</w:t>
      </w:r>
      <w:r>
        <w:t>ítulos, que aún no habían sido nombrados) entre las</w:t>
      </w:r>
      <w:r w:rsidRPr="00352C20">
        <w:t xml:space="preserve"> 11</w:t>
      </w:r>
      <w:r>
        <w:t>.</w:t>
      </w:r>
      <w:r w:rsidRPr="00352C20">
        <w:t xml:space="preserve">00 </w:t>
      </w:r>
      <w:r>
        <w:t>y las</w:t>
      </w:r>
      <w:r w:rsidRPr="00352C20">
        <w:t xml:space="preserve"> 12</w:t>
      </w:r>
      <w:r>
        <w:t>.</w:t>
      </w:r>
      <w:r w:rsidRPr="00352C20">
        <w:t>30 ho</w:t>
      </w:r>
      <w:r>
        <w:t>ras</w:t>
      </w:r>
      <w:r w:rsidRPr="00352C20">
        <w:t xml:space="preserve">, </w:t>
      </w:r>
      <w:r>
        <w:t>es decir, entre las dos últimas Sesiones Plenarias de la CMR</w:t>
      </w:r>
      <w:r w:rsidRPr="00352C20">
        <w:t xml:space="preserve">-12 </w:t>
      </w:r>
      <w:r>
        <w:t xml:space="preserve">indicadas en el cuadro anterior. </w:t>
      </w:r>
      <w:r w:rsidRPr="00A579AF">
        <w:t>A esta reunión del Comité de Dirección de la RPC-15 tambi</w:t>
      </w:r>
      <w:r>
        <w:t>én asistieron los Presidentes de las Comisiones de Estudio del UIT-R y en ella se prepararon documentos sobre los siguientes asuntos para la RPC1</w:t>
      </w:r>
      <w:r w:rsidRPr="00A579AF">
        <w:t>5-1:</w:t>
      </w:r>
    </w:p>
    <w:p w:rsidR="00255CCF" w:rsidRPr="00A579AF" w:rsidRDefault="00255CCF" w:rsidP="00255CCF">
      <w:pPr>
        <w:pStyle w:val="enumlev1"/>
      </w:pPr>
      <w:r w:rsidRPr="00A579AF">
        <w:t>–</w:t>
      </w:r>
      <w:r w:rsidRPr="00A579AF">
        <w:tab/>
        <w:t>Proyecto de orden del día para la RPC</w:t>
      </w:r>
      <w:r w:rsidR="00DA5436">
        <w:t>15-1.</w:t>
      </w:r>
    </w:p>
    <w:p w:rsidR="00255CCF" w:rsidRPr="00A579AF" w:rsidRDefault="00255CCF" w:rsidP="00255CCF">
      <w:pPr>
        <w:pStyle w:val="enumlev1"/>
      </w:pPr>
      <w:bookmarkStart w:id="5" w:name="OLE_LINK1"/>
      <w:r w:rsidRPr="00A579AF">
        <w:t>–</w:t>
      </w:r>
      <w:r w:rsidRPr="00A579AF">
        <w:tab/>
        <w:t>Proyecto de índice y esbozo del proyecto de Informe de la RPC a la CMR</w:t>
      </w:r>
      <w:bookmarkEnd w:id="5"/>
      <w:r w:rsidRPr="00A579AF">
        <w:noBreakHyphen/>
        <w:t>15, así como el proyecto de lista de candidatos a Relatores de Cap</w:t>
      </w:r>
      <w:r>
        <w:t>ítulo</w:t>
      </w:r>
      <w:r w:rsidR="00DA5436">
        <w:t>.</w:t>
      </w:r>
    </w:p>
    <w:p w:rsidR="00255CCF" w:rsidRPr="00A579AF" w:rsidRDefault="00255CCF" w:rsidP="00255CCF">
      <w:pPr>
        <w:pStyle w:val="enumlev1"/>
      </w:pPr>
      <w:r w:rsidRPr="00A579AF">
        <w:lastRenderedPageBreak/>
        <w:t>–</w:t>
      </w:r>
      <w:r w:rsidRPr="00A579AF">
        <w:tab/>
        <w:t>Proyecto de atribución del trabajo preparatorio para la CMR</w:t>
      </w:r>
      <w:r w:rsidRPr="00A579AF">
        <w:noBreakHyphen/>
        <w:t>15 y la CMR-18.</w:t>
      </w:r>
    </w:p>
    <w:p w:rsidR="00255CCF" w:rsidRPr="00A579AF" w:rsidRDefault="00255CCF" w:rsidP="00255CCF">
      <w:pPr>
        <w:pStyle w:val="enumlev1"/>
      </w:pPr>
      <w:r w:rsidRPr="00A579AF">
        <w:t>–</w:t>
      </w:r>
      <w:r w:rsidRPr="00A579AF">
        <w:tab/>
        <w:t>Proyecto de calendario provisional para la preparación de la CMR-15.</w:t>
      </w:r>
    </w:p>
    <w:p w:rsidR="00255CCF" w:rsidRPr="00A579AF" w:rsidRDefault="00255CCF" w:rsidP="00255CCF">
      <w:r w:rsidRPr="00A579AF">
        <w:t xml:space="preserve">Cabe señalar también que anteriormente se había determinado una fecha límite para la recepción de contribuciones a la RPC15-1, incluida en la </w:t>
      </w:r>
      <w:hyperlink r:id="rId14" w:history="1">
        <w:r w:rsidRPr="00A579AF">
          <w:rPr>
            <w:rStyle w:val="Hyperlink"/>
          </w:rPr>
          <w:t>BR CA/200</w:t>
        </w:r>
      </w:hyperlink>
      <w:r w:rsidRPr="00A579AF">
        <w:t>, a</w:t>
      </w:r>
      <w:r>
        <w:t xml:space="preserve"> saber, el viernes</w:t>
      </w:r>
      <w:r w:rsidRPr="00A579AF">
        <w:t xml:space="preserve"> 17 </w:t>
      </w:r>
      <w:r>
        <w:t>de febrero de</w:t>
      </w:r>
      <w:r w:rsidRPr="00A579AF">
        <w:t xml:space="preserve"> 2012 a</w:t>
      </w:r>
      <w:r>
        <w:t xml:space="preserve"> las</w:t>
      </w:r>
      <w:r w:rsidRPr="00A579AF">
        <w:t xml:space="preserve"> 16</w:t>
      </w:r>
      <w:r>
        <w:t>.</w:t>
      </w:r>
      <w:r w:rsidRPr="00A579AF">
        <w:t>00 ho</w:t>
      </w:r>
      <w:r>
        <w:t>ras</w:t>
      </w:r>
      <w:r w:rsidRPr="00A579AF">
        <w:t xml:space="preserve"> UTC.</w:t>
      </w:r>
    </w:p>
    <w:p w:rsidR="00255CCF" w:rsidRPr="00A579AF" w:rsidRDefault="00255CCF" w:rsidP="00255CCF">
      <w:r w:rsidRPr="00A579AF">
        <w:t xml:space="preserve">En el Anexo al presente documento se resume el calendario de Sesiones Plenarias celebradas durante los dos últimos días de las cuatro </w:t>
      </w:r>
      <w:r>
        <w:t>últimas CMR</w:t>
      </w:r>
      <w:r w:rsidRPr="00A579AF">
        <w:t>.</w:t>
      </w:r>
    </w:p>
    <w:p w:rsidR="00255CCF" w:rsidRPr="00115F05" w:rsidRDefault="00255CCF" w:rsidP="00255CCF">
      <w:pPr>
        <w:pStyle w:val="Heading1"/>
      </w:pPr>
      <w:r w:rsidRPr="00115F05">
        <w:t>3</w:t>
      </w:r>
      <w:r w:rsidRPr="00115F05">
        <w:tab/>
      </w:r>
      <w:r>
        <w:t>Resumen y posibles conclusiones</w:t>
      </w:r>
    </w:p>
    <w:p w:rsidR="00255CCF" w:rsidRPr="00A579AF" w:rsidRDefault="00255CCF" w:rsidP="00255CCF">
      <w:r w:rsidRPr="00A579AF">
        <w:t>3.1</w:t>
      </w:r>
      <w:r w:rsidRPr="00A579AF">
        <w:tab/>
        <w:t>Habida cuenta de la información presentada en la cláusula 2 anterior, parece necesario esperar hasta el último jueves de la CMR para que se aprueben las Resoluciones de la CMR finales relativas a los puntos del orden del día de la siguiente CMR y, por tanto, relacionadas con las actividades de la RPC-1.</w:t>
      </w:r>
    </w:p>
    <w:p w:rsidR="00255CCF" w:rsidRPr="00A579AF" w:rsidRDefault="00255CCF" w:rsidP="00255CCF">
      <w:r w:rsidRPr="00A579AF">
        <w:t>3.2</w:t>
      </w:r>
      <w:r w:rsidRPr="00A579AF">
        <w:tab/>
        <w:t>Considerando las observaciones resumidas en la Introducción, se presentan dos opciones:</w:t>
      </w:r>
    </w:p>
    <w:p w:rsidR="00255CCF" w:rsidRPr="00A579AF" w:rsidRDefault="00726828" w:rsidP="00255CCF">
      <w:pPr>
        <w:pStyle w:val="enumlev1"/>
      </w:pPr>
      <w:r>
        <w:t>–</w:t>
      </w:r>
      <w:r w:rsidR="00255CCF" w:rsidRPr="00A579AF">
        <w:tab/>
        <w:t>Opción 1: seguir celebrando la RPC-1 el lunes y el martes de la semana inmediatamente siguiente a la CMR;</w:t>
      </w:r>
    </w:p>
    <w:p w:rsidR="00255CCF" w:rsidRPr="00A579AF" w:rsidRDefault="00726828" w:rsidP="00DA5436">
      <w:pPr>
        <w:pStyle w:val="enumlev1"/>
      </w:pPr>
      <w:r>
        <w:t>–</w:t>
      </w:r>
      <w:r w:rsidR="00255CCF" w:rsidRPr="00A579AF">
        <w:tab/>
        <w:t xml:space="preserve">Opción 2: celebrar la RPC-1 el </w:t>
      </w:r>
      <w:r w:rsidR="00DA5436">
        <w:t>v</w:t>
      </w:r>
      <w:r w:rsidR="00255CCF" w:rsidRPr="00A579AF">
        <w:t>iernes y el sábado de la última semana de la CMR.</w:t>
      </w:r>
    </w:p>
    <w:p w:rsidR="00255CCF" w:rsidRPr="008A7101" w:rsidRDefault="00255CCF" w:rsidP="00255CCF">
      <w:r w:rsidRPr="008A7101">
        <w:t>3.3</w:t>
      </w:r>
      <w:r w:rsidRPr="008A7101">
        <w:tab/>
      </w:r>
      <w:r w:rsidRPr="008A7101">
        <w:rPr>
          <w:u w:val="single"/>
          <w:shd w:val="clear" w:color="auto" w:fill="BFBFBF" w:themeFill="background1" w:themeFillShade="BF"/>
        </w:rPr>
        <w:t>(Posible conclusión #1) PC#1 –</w:t>
      </w:r>
      <w:r w:rsidRPr="008A7101">
        <w:t xml:space="preserve"> Independientemente de la opción escogida, y a partir de las medidas adoptadas para la preparación de la RPC15-1, podría proponerse la celebración de una reunión del Comité de Dirección de la RPC (C.sc) </w:t>
      </w:r>
      <w:r>
        <w:t xml:space="preserve">al final de la Sesión Plenaria de la CMR que apruebe las Resoluciones finales relativas a los puntos del orden del día de la siguiente CMR y antes de la Sesión Plenaria de la CMR donde se toma nota de las </w:t>
      </w:r>
      <w:r w:rsidR="00A31D34">
        <w:t>«</w:t>
      </w:r>
      <w:r>
        <w:t>Declaraciones y reservas</w:t>
      </w:r>
      <w:r w:rsidR="00A31D34">
        <w:t>»</w:t>
      </w:r>
      <w:r>
        <w:t xml:space="preserve">. </w:t>
      </w:r>
      <w:r w:rsidRPr="008A7101">
        <w:t xml:space="preserve">Esta posible conclusión también liberaría a la CMR de tener que considerar y abordar las obligaciones de las Comisiones de Estudio/RPC que no estén directamente relacionadas con los trabajos de la Conferencia. </w:t>
      </w:r>
    </w:p>
    <w:p w:rsidR="00255CCF" w:rsidRDefault="00255CCF" w:rsidP="00255CCF">
      <w:pPr>
        <w:keepNext/>
        <w:keepLines/>
      </w:pPr>
      <w:r w:rsidRPr="007B3414">
        <w:t>3.4</w:t>
      </w:r>
      <w:r w:rsidRPr="007B3414">
        <w:tab/>
        <w:t>En el siguiente cuadro se enumeran algunos de los aspectos que podrían considerarse ventajas o inconvenientes, en función de la opci</w:t>
      </w:r>
      <w:r>
        <w:t>ón escogida, sin tener en cuenta las implicaciones financieras directas o indirectas</w:t>
      </w:r>
      <w:r w:rsidRPr="007B3414">
        <w:t>:</w:t>
      </w:r>
    </w:p>
    <w:p w:rsidR="00726828" w:rsidRPr="007B3414" w:rsidRDefault="00726828" w:rsidP="00255CCF">
      <w:pPr>
        <w:keepNext/>
        <w:keepLines/>
      </w:pPr>
    </w:p>
    <w:tbl>
      <w:tblPr>
        <w:tblStyle w:val="TableGrid"/>
        <w:tblW w:w="9639" w:type="dxa"/>
        <w:jc w:val="center"/>
        <w:tblLook w:val="04A0" w:firstRow="1" w:lastRow="0" w:firstColumn="1" w:lastColumn="0" w:noHBand="0" w:noVBand="1"/>
      </w:tblPr>
      <w:tblGrid>
        <w:gridCol w:w="3567"/>
        <w:gridCol w:w="3033"/>
        <w:gridCol w:w="3039"/>
      </w:tblGrid>
      <w:tr w:rsidR="00255CCF" w:rsidRPr="007B3414" w:rsidTr="00726828">
        <w:trPr>
          <w:tblHeader/>
          <w:jc w:val="center"/>
        </w:trPr>
        <w:tc>
          <w:tcPr>
            <w:tcW w:w="3686" w:type="dxa"/>
            <w:shd w:val="clear" w:color="auto" w:fill="CCCCCC"/>
          </w:tcPr>
          <w:p w:rsidR="00255CCF" w:rsidRDefault="00255CCF" w:rsidP="00DA2AF4">
            <w:pPr>
              <w:keepNext/>
              <w:keepLines/>
              <w:spacing w:before="60" w:after="60"/>
            </w:pPr>
            <w:r>
              <w:t>Aspectos</w:t>
            </w:r>
          </w:p>
        </w:tc>
        <w:tc>
          <w:tcPr>
            <w:tcW w:w="3118" w:type="dxa"/>
            <w:shd w:val="clear" w:color="auto" w:fill="CCCCCC"/>
            <w:vAlign w:val="center"/>
          </w:tcPr>
          <w:p w:rsidR="00255CCF" w:rsidRPr="007B3414" w:rsidRDefault="00255CCF" w:rsidP="00DA2AF4">
            <w:pPr>
              <w:keepNext/>
              <w:keepLines/>
              <w:spacing w:before="60" w:after="60"/>
              <w:jc w:val="center"/>
            </w:pPr>
            <w:r w:rsidRPr="007B3414">
              <w:t>Opción 1 – RPC-1 después de la CMR</w:t>
            </w:r>
          </w:p>
        </w:tc>
        <w:tc>
          <w:tcPr>
            <w:tcW w:w="3119" w:type="dxa"/>
            <w:shd w:val="clear" w:color="auto" w:fill="CCCCCC"/>
            <w:vAlign w:val="center"/>
          </w:tcPr>
          <w:p w:rsidR="00255CCF" w:rsidRPr="007B3414" w:rsidRDefault="00255CCF" w:rsidP="00DA2AF4">
            <w:pPr>
              <w:keepNext/>
              <w:keepLines/>
              <w:spacing w:before="60" w:after="60"/>
              <w:jc w:val="center"/>
            </w:pPr>
            <w:r w:rsidRPr="007B3414">
              <w:t xml:space="preserve">Opción 2 – RPC-1 al final </w:t>
            </w:r>
            <w:r w:rsidR="00726828">
              <w:br/>
            </w:r>
            <w:r w:rsidRPr="007B3414">
              <w:t>de la CMR</w:t>
            </w:r>
          </w:p>
        </w:tc>
      </w:tr>
      <w:tr w:rsidR="00255CCF" w:rsidTr="00726828">
        <w:trPr>
          <w:jc w:val="center"/>
        </w:trPr>
        <w:tc>
          <w:tcPr>
            <w:tcW w:w="3686" w:type="dxa"/>
          </w:tcPr>
          <w:p w:rsidR="00255CCF" w:rsidRDefault="00255CCF" w:rsidP="00DA2AF4">
            <w:pPr>
              <w:keepNext/>
              <w:keepLines/>
              <w:spacing w:before="60" w:after="60"/>
            </w:pPr>
            <w:r>
              <w:t>3.4.1 – Tiempo pasado en Ginebra</w:t>
            </w:r>
          </w:p>
        </w:tc>
        <w:tc>
          <w:tcPr>
            <w:tcW w:w="3118" w:type="dxa"/>
            <w:vAlign w:val="center"/>
          </w:tcPr>
          <w:p w:rsidR="00255CCF" w:rsidRPr="007B3414" w:rsidRDefault="00255CCF" w:rsidP="00DA2AF4">
            <w:pPr>
              <w:keepNext/>
              <w:keepLines/>
              <w:spacing w:before="60" w:after="60"/>
              <w:jc w:val="center"/>
            </w:pPr>
            <w:r w:rsidRPr="007B3414">
              <w:t>Inconveniente (más tiempo)</w:t>
            </w:r>
          </w:p>
        </w:tc>
        <w:tc>
          <w:tcPr>
            <w:tcW w:w="3119" w:type="dxa"/>
            <w:vAlign w:val="center"/>
          </w:tcPr>
          <w:p w:rsidR="00255CCF" w:rsidRPr="00E45738" w:rsidRDefault="00255CCF" w:rsidP="00DA2AF4">
            <w:pPr>
              <w:keepNext/>
              <w:keepLines/>
              <w:spacing w:before="60" w:after="60"/>
              <w:jc w:val="center"/>
            </w:pPr>
            <w:r>
              <w:t>Ventaja (menos tiempo</w:t>
            </w:r>
            <w:r w:rsidRPr="00E45738">
              <w:t>)</w:t>
            </w:r>
          </w:p>
        </w:tc>
      </w:tr>
      <w:tr w:rsidR="00255CCF" w:rsidTr="00726828">
        <w:trPr>
          <w:jc w:val="center"/>
        </w:trPr>
        <w:tc>
          <w:tcPr>
            <w:tcW w:w="3686" w:type="dxa"/>
          </w:tcPr>
          <w:p w:rsidR="00255CCF" w:rsidRPr="007B3414" w:rsidRDefault="00255CCF" w:rsidP="00DA2AF4">
            <w:pPr>
              <w:spacing w:before="60" w:after="60"/>
            </w:pPr>
            <w:r w:rsidRPr="007B3414">
              <w:t>3.4.2 – Periodo de descanso tras los intensos últimos d</w:t>
            </w:r>
            <w:r>
              <w:t>ías de la CMR</w:t>
            </w:r>
          </w:p>
        </w:tc>
        <w:tc>
          <w:tcPr>
            <w:tcW w:w="3118" w:type="dxa"/>
            <w:vAlign w:val="center"/>
          </w:tcPr>
          <w:p w:rsidR="00255CCF" w:rsidRPr="00E45738" w:rsidRDefault="00255CCF" w:rsidP="00DA2AF4">
            <w:pPr>
              <w:spacing w:before="60" w:after="60"/>
              <w:jc w:val="center"/>
            </w:pPr>
            <w:r>
              <w:t>Ventaja (más descanso</w:t>
            </w:r>
            <w:r w:rsidRPr="00E45738">
              <w:t>)</w:t>
            </w:r>
          </w:p>
        </w:tc>
        <w:tc>
          <w:tcPr>
            <w:tcW w:w="3119" w:type="dxa"/>
            <w:vAlign w:val="center"/>
          </w:tcPr>
          <w:p w:rsidR="00255CCF" w:rsidRPr="00E45738" w:rsidRDefault="00255CCF" w:rsidP="00DA2AF4">
            <w:pPr>
              <w:spacing w:before="60" w:after="60"/>
              <w:jc w:val="center"/>
            </w:pPr>
            <w:r>
              <w:t>Inconveniente (menos descanso</w:t>
            </w:r>
            <w:r w:rsidRPr="00E45738">
              <w:t>)</w:t>
            </w:r>
          </w:p>
        </w:tc>
      </w:tr>
      <w:tr w:rsidR="00255CCF" w:rsidTr="00726828">
        <w:trPr>
          <w:jc w:val="center"/>
        </w:trPr>
        <w:tc>
          <w:tcPr>
            <w:tcW w:w="3686" w:type="dxa"/>
          </w:tcPr>
          <w:p w:rsidR="00255CCF" w:rsidRPr="007B3414" w:rsidRDefault="00255CCF" w:rsidP="00DA2AF4">
            <w:pPr>
              <w:spacing w:before="60" w:after="60"/>
            </w:pPr>
            <w:r w:rsidRPr="007B3414">
              <w:t xml:space="preserve">3.4.3 – Tiempo entre la adopción de las últimas decisiones de la CMR pertinentes y la RPC-1 para realizar consultas y </w:t>
            </w:r>
            <w:r>
              <w:t>preparar las contribuciones</w:t>
            </w:r>
          </w:p>
        </w:tc>
        <w:tc>
          <w:tcPr>
            <w:tcW w:w="3118" w:type="dxa"/>
            <w:vAlign w:val="center"/>
          </w:tcPr>
          <w:p w:rsidR="00255CCF" w:rsidRPr="00E45738" w:rsidRDefault="00255CCF" w:rsidP="00DA2AF4">
            <w:pPr>
              <w:spacing w:before="60" w:after="60"/>
              <w:jc w:val="center"/>
            </w:pPr>
            <w:r>
              <w:t>Ventaja (más tiempo</w:t>
            </w:r>
            <w:r w:rsidRPr="00E45738">
              <w:t>)</w:t>
            </w:r>
          </w:p>
        </w:tc>
        <w:tc>
          <w:tcPr>
            <w:tcW w:w="3119" w:type="dxa"/>
            <w:vAlign w:val="center"/>
          </w:tcPr>
          <w:p w:rsidR="00255CCF" w:rsidRPr="00E45738" w:rsidRDefault="00255CCF" w:rsidP="00DA2AF4">
            <w:pPr>
              <w:spacing w:before="60" w:after="60"/>
              <w:jc w:val="center"/>
            </w:pPr>
            <w:r>
              <w:t>Inconveniente (menos tiempo</w:t>
            </w:r>
            <w:r w:rsidRPr="00E45738">
              <w:t>)</w:t>
            </w:r>
          </w:p>
        </w:tc>
      </w:tr>
      <w:tr w:rsidR="00255CCF" w:rsidTr="00726828">
        <w:trPr>
          <w:jc w:val="center"/>
        </w:trPr>
        <w:tc>
          <w:tcPr>
            <w:tcW w:w="3686" w:type="dxa"/>
          </w:tcPr>
          <w:p w:rsidR="00255CCF" w:rsidRPr="007B3414" w:rsidRDefault="00255CCF" w:rsidP="00DA2AF4">
            <w:pPr>
              <w:spacing w:before="60" w:after="60"/>
            </w:pPr>
            <w:r w:rsidRPr="007B3414">
              <w:t>3.4.4 – Incer</w:t>
            </w:r>
            <w:r>
              <w:t>t</w:t>
            </w:r>
            <w:r w:rsidRPr="007B3414">
              <w:t>idumbre acerca del calen</w:t>
            </w:r>
            <w:r>
              <w:t>d</w:t>
            </w:r>
            <w:r w:rsidRPr="007B3414">
              <w:t>ario de la RPC-1 (es decir, vinculación con el calen</w:t>
            </w:r>
            <w:r>
              <w:t>d</w:t>
            </w:r>
            <w:r w:rsidRPr="007B3414">
              <w:t xml:space="preserve">ario de los </w:t>
            </w:r>
            <w:r>
              <w:t>últimos días de la CMR</w:t>
            </w:r>
            <w:r w:rsidRPr="007B3414">
              <w:t>)</w:t>
            </w:r>
          </w:p>
        </w:tc>
        <w:tc>
          <w:tcPr>
            <w:tcW w:w="3118" w:type="dxa"/>
            <w:vAlign w:val="center"/>
          </w:tcPr>
          <w:p w:rsidR="00255CCF" w:rsidRPr="007B3414" w:rsidRDefault="00255CCF" w:rsidP="00DA2AF4">
            <w:pPr>
              <w:spacing w:before="60" w:after="60"/>
              <w:jc w:val="center"/>
            </w:pPr>
            <w:r w:rsidRPr="007B3414">
              <w:t>Ventaja (ninguna incertidumbre)</w:t>
            </w:r>
          </w:p>
        </w:tc>
        <w:tc>
          <w:tcPr>
            <w:tcW w:w="3119" w:type="dxa"/>
            <w:vAlign w:val="center"/>
          </w:tcPr>
          <w:p w:rsidR="00255CCF" w:rsidRDefault="00255CCF" w:rsidP="00DA2AF4">
            <w:pPr>
              <w:spacing w:before="60" w:after="60"/>
              <w:jc w:val="center"/>
            </w:pPr>
            <w:r>
              <w:t>Inconveniente (incertidumbre)</w:t>
            </w:r>
          </w:p>
        </w:tc>
      </w:tr>
    </w:tbl>
    <w:p w:rsidR="00255CCF" w:rsidRPr="007B3414" w:rsidRDefault="00255CCF" w:rsidP="00DA5436">
      <w:r w:rsidRPr="007B3414">
        <w:lastRenderedPageBreak/>
        <w:t>3.5</w:t>
      </w:r>
      <w:r w:rsidRPr="007B3414">
        <w:tab/>
      </w:r>
      <w:r w:rsidRPr="007B3414">
        <w:rPr>
          <w:u w:val="single"/>
          <w:shd w:val="clear" w:color="auto" w:fill="BFBFBF" w:themeFill="background1" w:themeFillShade="BF"/>
        </w:rPr>
        <w:t>PC#2 –</w:t>
      </w:r>
      <w:r w:rsidRPr="007B3414">
        <w:t xml:space="preserve"> También podría pedirse a los </w:t>
      </w:r>
      <w:r w:rsidR="00DA5436">
        <w:t>m</w:t>
      </w:r>
      <w:r w:rsidRPr="007B3414">
        <w:t>iembros del UIT-R que presentasen sus contribuciones para los trabajos de la RPC-1 lo antes posible después de la Sesión Plenaria de la CMR en que se aprueben las últimas Resoluciones relacionadas con los puntos del orden del día de la siguiente CMR, a fin de que la Secretaría reciba todas las contribuciones a más tardar cuatro (4) horas despu</w:t>
      </w:r>
      <w:r>
        <w:t>és del final de esa Sesión Plenaria para que todos los documentos estén disponibles para la apertura de la RPC</w:t>
      </w:r>
      <w:r w:rsidRPr="007B3414">
        <w:t>-1.</w:t>
      </w:r>
    </w:p>
    <w:p w:rsidR="00255CCF" w:rsidRPr="007B3414" w:rsidRDefault="00255CCF" w:rsidP="00DA5436">
      <w:r w:rsidRPr="007B3414">
        <w:t>3.6</w:t>
      </w:r>
      <w:r w:rsidRPr="007B3414">
        <w:tab/>
      </w:r>
      <w:r w:rsidRPr="007B3414">
        <w:rPr>
          <w:u w:val="single"/>
          <w:shd w:val="clear" w:color="auto" w:fill="BFBFBF" w:themeFill="background1" w:themeFillShade="BF"/>
        </w:rPr>
        <w:t>PC#3 –</w:t>
      </w:r>
      <w:r w:rsidRPr="007B3414">
        <w:t xml:space="preserve"> De acuerdo con lo anterior, la RPC-1 podría celebrarse después de la Sesión Plenaria de la CMR dedicada a las </w:t>
      </w:r>
      <w:r w:rsidR="00A31D34">
        <w:t>«</w:t>
      </w:r>
      <w:r w:rsidRPr="007B3414">
        <w:t>Declaraciones y reservas</w:t>
      </w:r>
      <w:r w:rsidR="00A31D34">
        <w:t>»</w:t>
      </w:r>
      <w:r w:rsidRPr="007B3414">
        <w:t xml:space="preserve"> y antes de la última Sesión Plenaria de la CMR y la cl</w:t>
      </w:r>
      <w:r>
        <w:t xml:space="preserve">ausura de la CMR, es decir, que podría dedicarse un periodo máximo de 3 horas a la reunión de la RPC-1 el último viernes de la CMR. </w:t>
      </w:r>
      <w:r w:rsidRPr="007B3414">
        <w:t>Se prevé que sean necesarias una o dos reuniones adicionales el sábado siguiente para finalizar los traba</w:t>
      </w:r>
      <w:r w:rsidR="00DA5436">
        <w:t>j</w:t>
      </w:r>
      <w:r w:rsidRPr="007B3414">
        <w:t>os de la RPC-1.</w:t>
      </w:r>
    </w:p>
    <w:p w:rsidR="00255CCF" w:rsidRPr="00D84E12" w:rsidRDefault="00255CCF" w:rsidP="00255CCF">
      <w:r w:rsidRPr="00D84E12">
        <w:t>3.7</w:t>
      </w:r>
      <w:r w:rsidRPr="00D84E12">
        <w:tab/>
        <w:t>Si procede y resulta conveniente, las posibles conclusiones indicadas, resaltadas en el Anexo al presente documento donde se recogen los calendarios de las últimas cuatro CMR, pueden proponerse para su adición en un proyecto de revisión de la Resolución UIT-R 2-6 para su consideraci</w:t>
      </w:r>
      <w:r>
        <w:t>ón en la próxima reunión del GAR y, posteriormente, en la AR</w:t>
      </w:r>
      <w:r w:rsidRPr="00D84E12">
        <w:t>-15.</w:t>
      </w:r>
    </w:p>
    <w:p w:rsidR="00255CCF" w:rsidRPr="00CA308F" w:rsidRDefault="00255CCF" w:rsidP="00255CCF">
      <w:r w:rsidRPr="00CA308F">
        <w:t>3.8</w:t>
      </w:r>
      <w:r w:rsidRPr="00CA308F">
        <w:tab/>
      </w:r>
      <w:r w:rsidRPr="00CA308F">
        <w:rPr>
          <w:u w:val="single"/>
          <w:shd w:val="clear" w:color="auto" w:fill="BFBFBF" w:themeFill="background1" w:themeFillShade="BF"/>
        </w:rPr>
        <w:t>PC#4 –</w:t>
      </w:r>
      <w:r w:rsidRPr="00CA308F">
        <w:t xml:space="preserve"> Además, y a fin de acelerar los trabajos de la RPC-1, actividades como las relacionadas con:</w:t>
      </w:r>
    </w:p>
    <w:p w:rsidR="00255CCF" w:rsidRPr="00CA308F" w:rsidRDefault="00726828" w:rsidP="00726828">
      <w:pPr>
        <w:pStyle w:val="enumlev1"/>
      </w:pPr>
      <w:r>
        <w:t>–</w:t>
      </w:r>
      <w:r>
        <w:tab/>
        <w:t>l</w:t>
      </w:r>
      <w:r w:rsidR="00255CCF" w:rsidRPr="00CA308F">
        <w:t>a estructura general de los proyectos de textos de la RPC para los puntos del orden del d</w:t>
      </w:r>
      <w:r w:rsidR="00255CCF">
        <w:t>ía y los temas identificados</w:t>
      </w:r>
      <w:r w:rsidR="00255CCF" w:rsidRPr="00CA308F">
        <w:t>;</w:t>
      </w:r>
    </w:p>
    <w:p w:rsidR="00255CCF" w:rsidRPr="00CA308F" w:rsidRDefault="00726828" w:rsidP="00726828">
      <w:pPr>
        <w:pStyle w:val="enumlev1"/>
      </w:pPr>
      <w:r>
        <w:t>–</w:t>
      </w:r>
      <w:r>
        <w:tab/>
        <w:t>l</w:t>
      </w:r>
      <w:r w:rsidR="00255CCF" w:rsidRPr="00CA308F">
        <w:t>as obligaciones de los Relatores de Capítulos;</w:t>
      </w:r>
    </w:p>
    <w:p w:rsidR="00255CCF" w:rsidRPr="00CA308F" w:rsidRDefault="00726828" w:rsidP="00726828">
      <w:pPr>
        <w:pStyle w:val="enumlev1"/>
      </w:pPr>
      <w:r>
        <w:t>–</w:t>
      </w:r>
      <w:r>
        <w:tab/>
        <w:t>a</w:t>
      </w:r>
      <w:r w:rsidR="00255CCF" w:rsidRPr="00CA308F">
        <w:t>lgunos procedimientos de trabajo de la RPC adicionales,</w:t>
      </w:r>
    </w:p>
    <w:p w:rsidR="00255CCF" w:rsidRPr="00CA308F" w:rsidRDefault="00255CCF" w:rsidP="00255CCF">
      <w:r w:rsidRPr="00CA308F">
        <w:t>Pueden prepararse con antelación y, si procede, puede proponerse también su adición en un proyecto de revisión de la Resolución UIT-R 2-6 para su consideraci</w:t>
      </w:r>
      <w:r>
        <w:t>ón en la próxima reunión del GAR y/o en la AR</w:t>
      </w:r>
      <w:r w:rsidRPr="00CA308F">
        <w:t>-15.</w:t>
      </w:r>
    </w:p>
    <w:p w:rsidR="00255CCF" w:rsidRPr="00CA308F" w:rsidRDefault="00255CCF" w:rsidP="00255CCF"/>
    <w:p w:rsidR="00255CCF" w:rsidRDefault="00255CCF" w:rsidP="00E72EA7">
      <w:pPr>
        <w:pStyle w:val="Normalaftertitle"/>
        <w:sectPr w:rsidR="00255CCF" w:rsidSect="004D6C09">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rsidR="00255CCF" w:rsidRPr="00726828" w:rsidRDefault="00255CCF" w:rsidP="009310C8">
      <w:pPr>
        <w:spacing w:before="100"/>
        <w:jc w:val="center"/>
        <w:rPr>
          <w:szCs w:val="24"/>
        </w:rPr>
      </w:pPr>
      <w:r w:rsidRPr="00726828">
        <w:rPr>
          <w:szCs w:val="24"/>
        </w:rPr>
        <w:lastRenderedPageBreak/>
        <w:t>ANEXO</w:t>
      </w:r>
    </w:p>
    <w:p w:rsidR="00255CCF" w:rsidRPr="00726828" w:rsidRDefault="00255CCF" w:rsidP="00726828">
      <w:pPr>
        <w:jc w:val="center"/>
        <w:rPr>
          <w:szCs w:val="24"/>
        </w:rPr>
      </w:pPr>
      <w:r w:rsidRPr="00726828">
        <w:rPr>
          <w:szCs w:val="24"/>
        </w:rPr>
        <w:t xml:space="preserve">Ilustración de las posibles conclusiones con celebración de la RPC-1 durante los dos últimos días de la CMR </w:t>
      </w:r>
      <w:r w:rsidR="006C01EB">
        <w:rPr>
          <w:szCs w:val="24"/>
        </w:rPr>
        <w:br/>
      </w:r>
      <w:r w:rsidRPr="00726828">
        <w:rPr>
          <w:szCs w:val="24"/>
        </w:rPr>
        <w:t>(considerándose la CMR-2000, la CMR-03, la CMR-07 y la CMR-12)</w:t>
      </w:r>
    </w:p>
    <w:tbl>
      <w:tblPr>
        <w:tblStyle w:val="TableGrid"/>
        <w:tblW w:w="14782" w:type="dxa"/>
        <w:jc w:val="center"/>
        <w:tblLook w:val="04A0" w:firstRow="1" w:lastRow="0" w:firstColumn="1" w:lastColumn="0" w:noHBand="0" w:noVBand="1"/>
      </w:tblPr>
      <w:tblGrid>
        <w:gridCol w:w="257"/>
        <w:gridCol w:w="257"/>
        <w:gridCol w:w="257"/>
        <w:gridCol w:w="257"/>
        <w:gridCol w:w="258"/>
        <w:gridCol w:w="258"/>
        <w:gridCol w:w="258"/>
        <w:gridCol w:w="258"/>
        <w:gridCol w:w="258"/>
        <w:gridCol w:w="317"/>
        <w:gridCol w:w="303"/>
        <w:gridCol w:w="346"/>
        <w:gridCol w:w="304"/>
        <w:gridCol w:w="319"/>
        <w:gridCol w:w="317"/>
        <w:gridCol w:w="337"/>
        <w:gridCol w:w="346"/>
        <w:gridCol w:w="346"/>
        <w:gridCol w:w="309"/>
        <w:gridCol w:w="337"/>
        <w:gridCol w:w="337"/>
        <w:gridCol w:w="346"/>
        <w:gridCol w:w="318"/>
        <w:gridCol w:w="304"/>
        <w:gridCol w:w="346"/>
        <w:gridCol w:w="346"/>
        <w:gridCol w:w="259"/>
        <w:gridCol w:w="259"/>
        <w:gridCol w:w="259"/>
        <w:gridCol w:w="259"/>
        <w:gridCol w:w="259"/>
        <w:gridCol w:w="323"/>
        <w:gridCol w:w="332"/>
        <w:gridCol w:w="310"/>
        <w:gridCol w:w="346"/>
        <w:gridCol w:w="304"/>
        <w:gridCol w:w="304"/>
        <w:gridCol w:w="318"/>
        <w:gridCol w:w="375"/>
        <w:gridCol w:w="433"/>
        <w:gridCol w:w="389"/>
        <w:gridCol w:w="308"/>
        <w:gridCol w:w="307"/>
        <w:gridCol w:w="311"/>
        <w:gridCol w:w="310"/>
        <w:gridCol w:w="309"/>
        <w:gridCol w:w="308"/>
        <w:gridCol w:w="304"/>
      </w:tblGrid>
      <w:tr w:rsidR="00255CCF" w:rsidRPr="00CA308F" w:rsidTr="00726828">
        <w:trPr>
          <w:jc w:val="center"/>
        </w:trPr>
        <w:tc>
          <w:tcPr>
            <w:tcW w:w="7213" w:type="dxa"/>
            <w:gridSpan w:val="24"/>
            <w:tcBorders>
              <w:bottom w:val="single" w:sz="4" w:space="0" w:color="auto"/>
            </w:tcBorders>
          </w:tcPr>
          <w:p w:rsidR="00255CCF" w:rsidRPr="00C45A45" w:rsidRDefault="00255CCF" w:rsidP="00DA2AF4">
            <w:pPr>
              <w:spacing w:beforeLines="20" w:before="48" w:afterLines="20" w:after="48"/>
              <w:jc w:val="center"/>
              <w:rPr>
                <w:szCs w:val="24"/>
              </w:rPr>
            </w:pPr>
            <w:r>
              <w:rPr>
                <w:szCs w:val="24"/>
              </w:rPr>
              <w:t>ÚLTIMO JUEVES DE LA CMR</w:t>
            </w:r>
          </w:p>
        </w:tc>
        <w:tc>
          <w:tcPr>
            <w:tcW w:w="7569" w:type="dxa"/>
            <w:gridSpan w:val="24"/>
            <w:tcBorders>
              <w:bottom w:val="single" w:sz="4" w:space="0" w:color="auto"/>
            </w:tcBorders>
          </w:tcPr>
          <w:p w:rsidR="00255CCF" w:rsidRPr="00CA308F" w:rsidRDefault="00255CCF" w:rsidP="00DA2AF4">
            <w:pPr>
              <w:spacing w:beforeLines="20" w:before="48" w:afterLines="20" w:after="48"/>
              <w:jc w:val="center"/>
              <w:rPr>
                <w:szCs w:val="24"/>
              </w:rPr>
            </w:pPr>
            <w:r w:rsidRPr="00CA308F">
              <w:rPr>
                <w:szCs w:val="24"/>
              </w:rPr>
              <w:t>ÚLTIMO VIERNES DE LA CMR</w:t>
            </w:r>
          </w:p>
        </w:tc>
      </w:tr>
      <w:tr w:rsidR="00726828" w:rsidRPr="00C45A45" w:rsidTr="00726828">
        <w:trPr>
          <w:jc w:val="center"/>
        </w:trPr>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3</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4</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5</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6</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7</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8</w:t>
            </w:r>
          </w:p>
        </w:tc>
        <w:tc>
          <w:tcPr>
            <w:tcW w:w="26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9</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10</w:t>
            </w:r>
          </w:p>
        </w:tc>
        <w:tc>
          <w:tcPr>
            <w:tcW w:w="31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11</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12</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13</w:t>
            </w:r>
          </w:p>
        </w:tc>
        <w:tc>
          <w:tcPr>
            <w:tcW w:w="31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14</w:t>
            </w:r>
          </w:p>
        </w:tc>
        <w:tc>
          <w:tcPr>
            <w:tcW w:w="312"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15</w:t>
            </w:r>
          </w:p>
        </w:tc>
        <w:tc>
          <w:tcPr>
            <w:tcW w:w="33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16</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17</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18</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19</w:t>
            </w:r>
          </w:p>
        </w:tc>
        <w:tc>
          <w:tcPr>
            <w:tcW w:w="33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20</w:t>
            </w:r>
          </w:p>
        </w:tc>
        <w:tc>
          <w:tcPr>
            <w:tcW w:w="33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21</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22</w:t>
            </w:r>
          </w:p>
        </w:tc>
        <w:tc>
          <w:tcPr>
            <w:tcW w:w="31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23</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24</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w:t>
            </w:r>
          </w:p>
        </w:tc>
        <w:tc>
          <w:tcPr>
            <w:tcW w:w="26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3</w:t>
            </w:r>
          </w:p>
        </w:tc>
        <w:tc>
          <w:tcPr>
            <w:tcW w:w="26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4</w:t>
            </w:r>
          </w:p>
        </w:tc>
        <w:tc>
          <w:tcPr>
            <w:tcW w:w="26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5</w:t>
            </w:r>
          </w:p>
        </w:tc>
        <w:tc>
          <w:tcPr>
            <w:tcW w:w="26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6</w:t>
            </w:r>
          </w:p>
        </w:tc>
        <w:tc>
          <w:tcPr>
            <w:tcW w:w="264"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7</w:t>
            </w:r>
          </w:p>
        </w:tc>
        <w:tc>
          <w:tcPr>
            <w:tcW w:w="318"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8</w:t>
            </w:r>
          </w:p>
        </w:tc>
        <w:tc>
          <w:tcPr>
            <w:tcW w:w="326"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9</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10</w:t>
            </w:r>
          </w:p>
        </w:tc>
        <w:tc>
          <w:tcPr>
            <w:tcW w:w="34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11</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12</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13</w:t>
            </w:r>
          </w:p>
        </w:tc>
        <w:tc>
          <w:tcPr>
            <w:tcW w:w="313"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14</w:t>
            </w:r>
          </w:p>
        </w:tc>
        <w:tc>
          <w:tcPr>
            <w:tcW w:w="376"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15</w:t>
            </w:r>
          </w:p>
        </w:tc>
        <w:tc>
          <w:tcPr>
            <w:tcW w:w="410"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16</w:t>
            </w:r>
          </w:p>
        </w:tc>
        <w:tc>
          <w:tcPr>
            <w:tcW w:w="376"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17</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18</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19</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20</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21</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22</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23</w:t>
            </w:r>
          </w:p>
        </w:tc>
        <w:tc>
          <w:tcPr>
            <w:tcW w:w="311" w:type="dxa"/>
            <w:tcBorders>
              <w:bottom w:val="single" w:sz="4" w:space="0" w:color="auto"/>
            </w:tcBorders>
          </w:tcPr>
          <w:p w:rsidR="00255CCF" w:rsidRPr="00C45A45" w:rsidRDefault="00255CCF" w:rsidP="00726828">
            <w:pPr>
              <w:spacing w:beforeLines="20" w:before="48" w:afterLines="20" w:after="48"/>
              <w:ind w:right="-57"/>
              <w:jc w:val="center"/>
              <w:rPr>
                <w:sz w:val="10"/>
                <w:szCs w:val="6"/>
              </w:rPr>
            </w:pPr>
            <w:r w:rsidRPr="00C45A45">
              <w:rPr>
                <w:sz w:val="10"/>
                <w:szCs w:val="6"/>
              </w:rPr>
              <w:t>24</w:t>
            </w:r>
          </w:p>
        </w:tc>
      </w:tr>
      <w:tr w:rsidR="00255CCF" w:rsidTr="00726828">
        <w:trPr>
          <w:jc w:val="center"/>
        </w:trPr>
        <w:tc>
          <w:tcPr>
            <w:tcW w:w="7213" w:type="dxa"/>
            <w:gridSpan w:val="24"/>
            <w:shd w:val="clear" w:color="auto" w:fill="auto"/>
          </w:tcPr>
          <w:p w:rsidR="00255CCF" w:rsidRPr="003C5FFF" w:rsidRDefault="00255CCF" w:rsidP="00DA2AF4">
            <w:pPr>
              <w:spacing w:beforeLines="20" w:before="48" w:afterLines="20" w:after="48"/>
              <w:rPr>
                <w:b/>
                <w:bCs/>
                <w:u w:val="single"/>
                <w:lang w:val="en-US"/>
              </w:rPr>
            </w:pPr>
            <w:r>
              <w:rPr>
                <w:b/>
                <w:bCs/>
                <w:u w:val="single"/>
              </w:rPr>
              <w:t>CMR-2000</w:t>
            </w:r>
            <w:r w:rsidR="00726828">
              <w:rPr>
                <w:b/>
                <w:bCs/>
                <w:u w:val="single"/>
              </w:rPr>
              <w:t>:</w:t>
            </w:r>
          </w:p>
        </w:tc>
        <w:tc>
          <w:tcPr>
            <w:tcW w:w="7569" w:type="dxa"/>
            <w:gridSpan w:val="24"/>
            <w:shd w:val="clear" w:color="auto" w:fill="auto"/>
          </w:tcPr>
          <w:p w:rsidR="00255CCF" w:rsidRPr="003C5FFF" w:rsidRDefault="00255CCF" w:rsidP="00DA2AF4">
            <w:pPr>
              <w:spacing w:beforeLines="20" w:before="48" w:afterLines="20" w:after="48"/>
              <w:rPr>
                <w:b/>
                <w:bCs/>
                <w:u w:val="single"/>
                <w:lang w:val="en-US"/>
              </w:rPr>
            </w:pPr>
            <w:r>
              <w:rPr>
                <w:b/>
                <w:bCs/>
                <w:u w:val="single"/>
              </w:rPr>
              <w:t>CMR-2000</w:t>
            </w:r>
            <w:r w:rsidR="006C01EB">
              <w:rPr>
                <w:b/>
                <w:bCs/>
                <w:u w:val="single"/>
              </w:rPr>
              <w:t>:</w:t>
            </w:r>
          </w:p>
        </w:tc>
      </w:tr>
      <w:tr w:rsidR="00255CCF" w:rsidTr="00726828">
        <w:trPr>
          <w:jc w:val="center"/>
        </w:trPr>
        <w:tc>
          <w:tcPr>
            <w:tcW w:w="789" w:type="dxa"/>
            <w:gridSpan w:val="3"/>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263"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5109" w:type="dxa"/>
            <w:gridSpan w:val="16"/>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340" w:type="dxa"/>
            <w:shd w:val="clear" w:color="auto" w:fill="808080" w:themeFill="background1" w:themeFillShade="80"/>
          </w:tcPr>
          <w:p w:rsidR="00255CCF" w:rsidRDefault="00255CCF" w:rsidP="00DA2AF4">
            <w:pPr>
              <w:spacing w:beforeLines="20" w:before="48" w:afterLines="20" w:after="48"/>
              <w:jc w:val="center"/>
            </w:pPr>
          </w:p>
        </w:tc>
        <w:tc>
          <w:tcPr>
            <w:tcW w:w="340" w:type="dxa"/>
            <w:shd w:val="clear" w:color="auto" w:fill="FF0000"/>
            <w:vAlign w:val="center"/>
          </w:tcPr>
          <w:p w:rsidR="00255CCF" w:rsidRPr="00C54BB9" w:rsidRDefault="00255CCF" w:rsidP="00DA2AF4">
            <w:pPr>
              <w:spacing w:beforeLines="20" w:before="48" w:afterLines="20" w:after="48"/>
              <w:jc w:val="center"/>
              <w:rPr>
                <w:sz w:val="20"/>
                <w:szCs w:val="16"/>
              </w:rPr>
            </w:pPr>
            <w:r>
              <w:rPr>
                <w:sz w:val="18"/>
                <w:szCs w:val="14"/>
              </w:rPr>
              <w:t>D</w:t>
            </w:r>
          </w:p>
        </w:tc>
        <w:tc>
          <w:tcPr>
            <w:tcW w:w="264"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18" w:type="dxa"/>
            <w:shd w:val="clear" w:color="auto" w:fill="FF66FF"/>
            <w:vAlign w:val="center"/>
          </w:tcPr>
          <w:p w:rsidR="00255CCF" w:rsidRPr="00C43B83" w:rsidRDefault="00255CCF" w:rsidP="00DA2AF4">
            <w:pPr>
              <w:spacing w:beforeLines="20" w:before="48" w:afterLines="20" w:after="48"/>
              <w:jc w:val="center"/>
              <w:rPr>
                <w:sz w:val="16"/>
                <w:szCs w:val="12"/>
              </w:rPr>
            </w:pPr>
            <w:r w:rsidRPr="00C43B83">
              <w:rPr>
                <w:sz w:val="16"/>
                <w:szCs w:val="12"/>
              </w:rPr>
              <w:t>C</w:t>
            </w:r>
          </w:p>
        </w:tc>
        <w:tc>
          <w:tcPr>
            <w:tcW w:w="637" w:type="dxa"/>
            <w:gridSpan w:val="2"/>
            <w:shd w:val="clear" w:color="auto" w:fill="0000FF"/>
          </w:tcPr>
          <w:p w:rsidR="00255CCF" w:rsidRDefault="00255CCF" w:rsidP="00DA2AF4">
            <w:pPr>
              <w:spacing w:beforeLines="20" w:before="48" w:afterLines="20" w:after="48"/>
              <w:jc w:val="center"/>
            </w:pPr>
            <w:r>
              <w:t>C.sc</w:t>
            </w:r>
          </w:p>
        </w:tc>
        <w:tc>
          <w:tcPr>
            <w:tcW w:w="340" w:type="dxa"/>
            <w:tcBorders>
              <w:right w:val="single" w:sz="4" w:space="0" w:color="auto"/>
            </w:tcBorders>
          </w:tcPr>
          <w:p w:rsidR="00255CCF" w:rsidRDefault="00255CCF" w:rsidP="00DA2AF4">
            <w:pPr>
              <w:spacing w:beforeLines="20" w:before="48" w:afterLines="20" w:after="48"/>
              <w:jc w:val="center"/>
            </w:pPr>
          </w:p>
        </w:tc>
        <w:tc>
          <w:tcPr>
            <w:tcW w:w="311" w:type="dxa"/>
            <w:tcBorders>
              <w:left w:val="single" w:sz="4" w:space="0" w:color="auto"/>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13" w:type="dxa"/>
            <w:shd w:val="clear" w:color="auto" w:fill="996600"/>
            <w:vAlign w:val="center"/>
          </w:tcPr>
          <w:p w:rsidR="00255CCF" w:rsidRPr="004F0E6F" w:rsidRDefault="00255CCF" w:rsidP="00DA2AF4">
            <w:pPr>
              <w:spacing w:beforeLines="20" w:before="48" w:afterLines="20" w:after="48"/>
              <w:jc w:val="center"/>
              <w:rPr>
                <w:sz w:val="14"/>
                <w:szCs w:val="10"/>
              </w:rPr>
            </w:pPr>
            <w:r w:rsidRPr="004F0E6F">
              <w:rPr>
                <w:sz w:val="14"/>
                <w:szCs w:val="10"/>
              </w:rPr>
              <w:t>N</w:t>
            </w:r>
          </w:p>
        </w:tc>
        <w:tc>
          <w:tcPr>
            <w:tcW w:w="376" w:type="dxa"/>
          </w:tcPr>
          <w:p w:rsidR="00255CCF" w:rsidRDefault="00255CCF" w:rsidP="00DA2AF4">
            <w:pPr>
              <w:spacing w:beforeLines="20" w:before="48" w:afterLines="20" w:after="48"/>
              <w:jc w:val="center"/>
            </w:pPr>
          </w:p>
        </w:tc>
        <w:tc>
          <w:tcPr>
            <w:tcW w:w="410" w:type="dxa"/>
            <w:shd w:val="clear" w:color="auto" w:fill="CC0000"/>
            <w:vAlign w:val="center"/>
          </w:tcPr>
          <w:p w:rsidR="00255CCF" w:rsidRPr="00C54BB9" w:rsidRDefault="00255CCF" w:rsidP="00DA2AF4">
            <w:pPr>
              <w:spacing w:beforeLines="20" w:before="48" w:afterLines="20" w:after="48"/>
              <w:jc w:val="center"/>
              <w:rPr>
                <w:sz w:val="20"/>
                <w:szCs w:val="16"/>
              </w:rPr>
            </w:pPr>
            <w:r>
              <w:rPr>
                <w:sz w:val="18"/>
                <w:szCs w:val="14"/>
              </w:rPr>
              <w:t>A</w:t>
            </w:r>
          </w:p>
        </w:tc>
        <w:tc>
          <w:tcPr>
            <w:tcW w:w="998" w:type="dxa"/>
            <w:gridSpan w:val="3"/>
            <w:shd w:val="clear" w:color="auto" w:fill="00FFFF"/>
            <w:vAlign w:val="center"/>
          </w:tcPr>
          <w:p w:rsidR="00255CCF" w:rsidRPr="00C54BB9" w:rsidRDefault="00255CCF" w:rsidP="00DA2AF4">
            <w:pPr>
              <w:spacing w:beforeLines="20" w:before="48" w:afterLines="20" w:after="48"/>
              <w:jc w:val="center"/>
              <w:rPr>
                <w:sz w:val="20"/>
                <w:szCs w:val="16"/>
              </w:rPr>
            </w:pPr>
            <w:r w:rsidRPr="00C54BB9">
              <w:rPr>
                <w:sz w:val="18"/>
                <w:szCs w:val="14"/>
              </w:rPr>
              <w:t>[</w:t>
            </w:r>
            <w:r>
              <w:rPr>
                <w:sz w:val="18"/>
                <w:szCs w:val="14"/>
              </w:rPr>
              <w:t>RPC</w:t>
            </w:r>
            <w:r w:rsidRPr="00C54BB9">
              <w:rPr>
                <w:sz w:val="18"/>
                <w:szCs w:val="14"/>
              </w:rPr>
              <w:t>-1]</w:t>
            </w:r>
          </w:p>
        </w:tc>
        <w:tc>
          <w:tcPr>
            <w:tcW w:w="1244" w:type="dxa"/>
            <w:gridSpan w:val="4"/>
            <w:shd w:val="clear" w:color="auto" w:fill="000000"/>
            <w:vAlign w:val="center"/>
          </w:tcPr>
          <w:p w:rsidR="00255CCF" w:rsidRPr="00C54BB9" w:rsidRDefault="00255CCF" w:rsidP="00DA2AF4">
            <w:pPr>
              <w:spacing w:beforeLines="20" w:before="48" w:afterLines="20" w:after="48"/>
              <w:jc w:val="center"/>
              <w:rPr>
                <w:sz w:val="20"/>
                <w:szCs w:val="16"/>
              </w:rPr>
            </w:pPr>
            <w:r>
              <w:rPr>
                <w:sz w:val="18"/>
                <w:szCs w:val="14"/>
              </w:rPr>
              <w:t>CLAUSURA</w:t>
            </w:r>
          </w:p>
        </w:tc>
        <w:tc>
          <w:tcPr>
            <w:tcW w:w="311" w:type="dxa"/>
            <w:shd w:val="clear" w:color="auto" w:fill="808080" w:themeFill="background1" w:themeFillShade="80"/>
          </w:tcPr>
          <w:p w:rsidR="00255CCF" w:rsidRDefault="00255CCF" w:rsidP="00DA2AF4">
            <w:pPr>
              <w:spacing w:beforeLines="20" w:before="48" w:afterLines="20" w:after="48"/>
              <w:jc w:val="center"/>
            </w:pPr>
          </w:p>
        </w:tc>
      </w:tr>
      <w:tr w:rsidR="00255CCF" w:rsidTr="00726828">
        <w:trPr>
          <w:jc w:val="center"/>
        </w:trPr>
        <w:tc>
          <w:tcPr>
            <w:tcW w:w="7213" w:type="dxa"/>
            <w:gridSpan w:val="24"/>
            <w:tcBorders>
              <w:bottom w:val="single" w:sz="4" w:space="0" w:color="auto"/>
            </w:tcBorders>
            <w:shd w:val="clear" w:color="auto" w:fill="auto"/>
          </w:tcPr>
          <w:p w:rsidR="00255CCF" w:rsidRPr="003C5FFF" w:rsidRDefault="00255CCF" w:rsidP="00DA2AF4">
            <w:pPr>
              <w:spacing w:beforeLines="20" w:before="48" w:afterLines="20" w:after="48"/>
              <w:rPr>
                <w:b/>
                <w:bCs/>
                <w:u w:val="single"/>
              </w:rPr>
            </w:pPr>
            <w:r>
              <w:rPr>
                <w:b/>
                <w:bCs/>
                <w:u w:val="single"/>
              </w:rPr>
              <w:t>CMR-03</w:t>
            </w:r>
            <w:r w:rsidRPr="003C5FFF">
              <w:rPr>
                <w:b/>
                <w:bCs/>
                <w:u w:val="single"/>
              </w:rPr>
              <w:t>:</w:t>
            </w:r>
          </w:p>
        </w:tc>
        <w:tc>
          <w:tcPr>
            <w:tcW w:w="7569" w:type="dxa"/>
            <w:gridSpan w:val="24"/>
            <w:tcBorders>
              <w:bottom w:val="single" w:sz="4" w:space="0" w:color="auto"/>
            </w:tcBorders>
            <w:shd w:val="clear" w:color="auto" w:fill="auto"/>
          </w:tcPr>
          <w:p w:rsidR="00255CCF" w:rsidRPr="003C5FFF" w:rsidRDefault="00255CCF" w:rsidP="00DA2AF4">
            <w:pPr>
              <w:spacing w:beforeLines="20" w:before="48" w:afterLines="20" w:after="48"/>
              <w:rPr>
                <w:b/>
                <w:bCs/>
                <w:u w:val="single"/>
              </w:rPr>
            </w:pPr>
            <w:r>
              <w:rPr>
                <w:b/>
                <w:bCs/>
                <w:u w:val="single"/>
              </w:rPr>
              <w:t>CMR-03</w:t>
            </w:r>
            <w:r w:rsidR="006C01EB">
              <w:rPr>
                <w:b/>
                <w:bCs/>
                <w:u w:val="single"/>
              </w:rPr>
              <w:t>:</w:t>
            </w:r>
          </w:p>
        </w:tc>
      </w:tr>
      <w:tr w:rsidR="00255CCF" w:rsidTr="00726828">
        <w:trPr>
          <w:jc w:val="center"/>
        </w:trPr>
        <w:tc>
          <w:tcPr>
            <w:tcW w:w="1052" w:type="dxa"/>
            <w:gridSpan w:val="4"/>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263"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2161" w:type="dxa"/>
            <w:gridSpan w:val="7"/>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331" w:type="dxa"/>
            <w:shd w:val="clear" w:color="auto" w:fill="auto"/>
          </w:tcPr>
          <w:p w:rsidR="00255CCF" w:rsidRDefault="00255CCF" w:rsidP="00DA2AF4">
            <w:pPr>
              <w:spacing w:beforeLines="20" w:before="48" w:afterLines="20" w:after="48"/>
              <w:jc w:val="center"/>
            </w:pPr>
          </w:p>
        </w:tc>
        <w:tc>
          <w:tcPr>
            <w:tcW w:w="340" w:type="dxa"/>
            <w:shd w:val="clear" w:color="auto" w:fill="FF0000"/>
            <w:vAlign w:val="center"/>
          </w:tcPr>
          <w:p w:rsidR="00255CCF" w:rsidRPr="00C54BB9" w:rsidRDefault="00255CCF" w:rsidP="00DA2AF4">
            <w:pPr>
              <w:spacing w:beforeLines="20" w:before="48" w:afterLines="20" w:after="48"/>
              <w:jc w:val="center"/>
              <w:rPr>
                <w:sz w:val="20"/>
                <w:szCs w:val="16"/>
              </w:rPr>
            </w:pPr>
            <w:r>
              <w:rPr>
                <w:sz w:val="18"/>
                <w:szCs w:val="14"/>
              </w:rPr>
              <w:t>D</w:t>
            </w:r>
          </w:p>
        </w:tc>
        <w:tc>
          <w:tcPr>
            <w:tcW w:w="651" w:type="dxa"/>
            <w:gridSpan w:val="2"/>
            <w:shd w:val="clear" w:color="auto" w:fill="0000FF"/>
          </w:tcPr>
          <w:p w:rsidR="00255CCF" w:rsidRDefault="00255CCF" w:rsidP="00DA2AF4">
            <w:pPr>
              <w:spacing w:beforeLines="20" w:before="48" w:afterLines="20" w:after="48"/>
              <w:jc w:val="center"/>
            </w:pPr>
            <w:r>
              <w:t>C.sc</w:t>
            </w:r>
          </w:p>
        </w:tc>
        <w:tc>
          <w:tcPr>
            <w:tcW w:w="331" w:type="dxa"/>
            <w:shd w:val="clear" w:color="auto" w:fill="FF66FF"/>
            <w:vAlign w:val="center"/>
          </w:tcPr>
          <w:p w:rsidR="00255CCF" w:rsidRPr="00C54BB9" w:rsidRDefault="00255CCF" w:rsidP="00DA2AF4">
            <w:pPr>
              <w:spacing w:beforeLines="20" w:before="48" w:afterLines="20" w:after="48"/>
              <w:jc w:val="center"/>
              <w:rPr>
                <w:sz w:val="20"/>
                <w:szCs w:val="16"/>
              </w:rPr>
            </w:pPr>
            <w:r>
              <w:rPr>
                <w:sz w:val="18"/>
                <w:szCs w:val="14"/>
              </w:rPr>
              <w:t>C</w:t>
            </w:r>
          </w:p>
        </w:tc>
        <w:tc>
          <w:tcPr>
            <w:tcW w:w="33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40"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13" w:type="dxa"/>
            <w:shd w:val="clear" w:color="auto" w:fill="996600"/>
            <w:vAlign w:val="center"/>
          </w:tcPr>
          <w:p w:rsidR="00255CCF" w:rsidRPr="004F0E6F" w:rsidRDefault="00255CCF" w:rsidP="00DA2AF4">
            <w:pPr>
              <w:spacing w:beforeLines="20" w:before="48" w:afterLines="20" w:after="48"/>
              <w:jc w:val="center"/>
              <w:rPr>
                <w:sz w:val="14"/>
                <w:szCs w:val="10"/>
              </w:rPr>
            </w:pPr>
            <w:r w:rsidRPr="004F0E6F">
              <w:rPr>
                <w:sz w:val="14"/>
                <w:szCs w:val="10"/>
              </w:rPr>
              <w:t>N</w:t>
            </w:r>
          </w:p>
        </w:tc>
        <w:tc>
          <w:tcPr>
            <w:tcW w:w="311" w:type="dxa"/>
            <w:shd w:val="clear" w:color="auto" w:fill="808080" w:themeFill="background1" w:themeFillShade="80"/>
          </w:tcPr>
          <w:p w:rsidR="00255CCF" w:rsidRDefault="00255CCF" w:rsidP="00DA2AF4">
            <w:pPr>
              <w:spacing w:beforeLines="20" w:before="48" w:afterLines="20" w:after="48"/>
              <w:jc w:val="center"/>
            </w:pPr>
          </w:p>
        </w:tc>
        <w:tc>
          <w:tcPr>
            <w:tcW w:w="340" w:type="dxa"/>
            <w:shd w:val="clear" w:color="auto" w:fill="CC0000"/>
            <w:vAlign w:val="center"/>
          </w:tcPr>
          <w:p w:rsidR="00255CCF" w:rsidRPr="00C54BB9" w:rsidRDefault="00255CCF" w:rsidP="00DA2AF4">
            <w:pPr>
              <w:spacing w:beforeLines="20" w:before="48" w:afterLines="20" w:after="48"/>
              <w:jc w:val="center"/>
              <w:rPr>
                <w:sz w:val="20"/>
                <w:szCs w:val="16"/>
              </w:rPr>
            </w:pPr>
            <w:r>
              <w:rPr>
                <w:sz w:val="18"/>
                <w:szCs w:val="14"/>
              </w:rPr>
              <w:t>A</w:t>
            </w:r>
          </w:p>
        </w:tc>
        <w:tc>
          <w:tcPr>
            <w:tcW w:w="340"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8"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977" w:type="dxa"/>
            <w:gridSpan w:val="3"/>
            <w:shd w:val="clear" w:color="auto" w:fill="00FFFF"/>
            <w:vAlign w:val="center"/>
          </w:tcPr>
          <w:p w:rsidR="00255CCF" w:rsidRPr="00C54BB9" w:rsidRDefault="00255CCF" w:rsidP="00DA2AF4">
            <w:pPr>
              <w:spacing w:beforeLines="20" w:before="48" w:afterLines="20" w:after="48"/>
              <w:jc w:val="center"/>
              <w:rPr>
                <w:sz w:val="18"/>
                <w:szCs w:val="14"/>
              </w:rPr>
            </w:pPr>
            <w:r w:rsidRPr="00C54BB9">
              <w:rPr>
                <w:sz w:val="18"/>
                <w:szCs w:val="14"/>
              </w:rPr>
              <w:t>[</w:t>
            </w:r>
            <w:r>
              <w:rPr>
                <w:sz w:val="18"/>
                <w:szCs w:val="14"/>
              </w:rPr>
              <w:t>RPC</w:t>
            </w:r>
            <w:r w:rsidRPr="00C54BB9">
              <w:rPr>
                <w:sz w:val="18"/>
                <w:szCs w:val="14"/>
              </w:rPr>
              <w:t>-1]</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1475" w:type="dxa"/>
            <w:gridSpan w:val="4"/>
            <w:shd w:val="clear" w:color="auto" w:fill="000000"/>
            <w:vAlign w:val="center"/>
          </w:tcPr>
          <w:p w:rsidR="00255CCF" w:rsidRPr="00C54BB9" w:rsidRDefault="00255CCF" w:rsidP="00DA2AF4">
            <w:pPr>
              <w:spacing w:beforeLines="20" w:before="48" w:afterLines="20" w:after="48"/>
              <w:jc w:val="center"/>
              <w:rPr>
                <w:sz w:val="20"/>
                <w:szCs w:val="16"/>
              </w:rPr>
            </w:pPr>
            <w:r>
              <w:rPr>
                <w:sz w:val="18"/>
                <w:szCs w:val="14"/>
              </w:rPr>
              <w:t>CLAUSURA</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r>
      <w:tr w:rsidR="00255CCF" w:rsidTr="00726828">
        <w:trPr>
          <w:jc w:val="center"/>
        </w:trPr>
        <w:tc>
          <w:tcPr>
            <w:tcW w:w="7213" w:type="dxa"/>
            <w:gridSpan w:val="24"/>
            <w:shd w:val="clear" w:color="auto" w:fill="auto"/>
          </w:tcPr>
          <w:p w:rsidR="00255CCF" w:rsidRPr="003C5FFF" w:rsidRDefault="00255CCF" w:rsidP="00DA2AF4">
            <w:pPr>
              <w:spacing w:beforeLines="20" w:before="48" w:afterLines="20" w:after="48"/>
              <w:rPr>
                <w:b/>
                <w:bCs/>
                <w:u w:val="single"/>
              </w:rPr>
            </w:pPr>
            <w:r>
              <w:rPr>
                <w:b/>
                <w:bCs/>
                <w:u w:val="single"/>
              </w:rPr>
              <w:t>CMR-07</w:t>
            </w:r>
            <w:r w:rsidR="00726828">
              <w:rPr>
                <w:b/>
                <w:bCs/>
                <w:u w:val="single"/>
              </w:rPr>
              <w:t>:</w:t>
            </w:r>
          </w:p>
        </w:tc>
        <w:tc>
          <w:tcPr>
            <w:tcW w:w="7569" w:type="dxa"/>
            <w:gridSpan w:val="24"/>
            <w:shd w:val="clear" w:color="auto" w:fill="auto"/>
          </w:tcPr>
          <w:p w:rsidR="00255CCF" w:rsidRPr="003C5FFF" w:rsidRDefault="00255CCF" w:rsidP="00DA2AF4">
            <w:pPr>
              <w:spacing w:beforeLines="20" w:before="48" w:afterLines="20" w:after="48"/>
              <w:rPr>
                <w:b/>
                <w:bCs/>
                <w:u w:val="single"/>
              </w:rPr>
            </w:pPr>
            <w:r>
              <w:rPr>
                <w:b/>
                <w:bCs/>
                <w:u w:val="single"/>
              </w:rPr>
              <w:t>CMR-07</w:t>
            </w:r>
            <w:r w:rsidR="006C01EB">
              <w:rPr>
                <w:b/>
                <w:bCs/>
                <w:u w:val="single"/>
              </w:rPr>
              <w:t>:</w:t>
            </w:r>
          </w:p>
        </w:tc>
      </w:tr>
      <w:tr w:rsidR="00255CCF" w:rsidTr="00726828">
        <w:trPr>
          <w:jc w:val="center"/>
        </w:trPr>
        <w:tc>
          <w:tcPr>
            <w:tcW w:w="1578" w:type="dxa"/>
            <w:gridSpan w:val="6"/>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263"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263"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2492" w:type="dxa"/>
            <w:gridSpan w:val="8"/>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340" w:type="dxa"/>
            <w:shd w:val="clear" w:color="auto" w:fill="auto"/>
          </w:tcPr>
          <w:p w:rsidR="00255CCF" w:rsidRDefault="00255CCF" w:rsidP="00DA2AF4">
            <w:pPr>
              <w:spacing w:beforeLines="20" w:before="48" w:afterLines="20" w:after="48"/>
              <w:jc w:val="center"/>
            </w:pPr>
          </w:p>
        </w:tc>
        <w:tc>
          <w:tcPr>
            <w:tcW w:w="340" w:type="dxa"/>
            <w:shd w:val="clear" w:color="auto" w:fill="FF0000"/>
            <w:vAlign w:val="center"/>
          </w:tcPr>
          <w:p w:rsidR="00255CCF" w:rsidRPr="00C54BB9" w:rsidRDefault="00255CCF" w:rsidP="00DA2AF4">
            <w:pPr>
              <w:spacing w:beforeLines="20" w:before="48" w:afterLines="20" w:after="48"/>
              <w:jc w:val="center"/>
              <w:rPr>
                <w:sz w:val="20"/>
                <w:szCs w:val="16"/>
              </w:rPr>
            </w:pPr>
            <w:r>
              <w:rPr>
                <w:sz w:val="18"/>
                <w:szCs w:val="14"/>
              </w:rPr>
              <w:t>D</w:t>
            </w:r>
          </w:p>
        </w:tc>
        <w:tc>
          <w:tcPr>
            <w:tcW w:w="642" w:type="dxa"/>
            <w:gridSpan w:val="2"/>
            <w:shd w:val="clear" w:color="auto" w:fill="0000FF"/>
          </w:tcPr>
          <w:p w:rsidR="00255CCF" w:rsidRDefault="00255CCF" w:rsidP="00DA2AF4">
            <w:pPr>
              <w:spacing w:beforeLines="20" w:before="48" w:afterLines="20" w:after="48"/>
              <w:jc w:val="center"/>
            </w:pPr>
            <w:r>
              <w:t>C.sc</w:t>
            </w:r>
          </w:p>
        </w:tc>
        <w:tc>
          <w:tcPr>
            <w:tcW w:w="331" w:type="dxa"/>
            <w:shd w:val="clear" w:color="auto" w:fill="FF66FF"/>
            <w:vAlign w:val="center"/>
          </w:tcPr>
          <w:p w:rsidR="00255CCF" w:rsidRPr="00C54BB9" w:rsidRDefault="00255CCF" w:rsidP="00DA2AF4">
            <w:pPr>
              <w:spacing w:beforeLines="20" w:before="48" w:afterLines="20" w:after="48"/>
              <w:jc w:val="center"/>
              <w:rPr>
                <w:sz w:val="20"/>
                <w:szCs w:val="16"/>
              </w:rPr>
            </w:pPr>
            <w:r>
              <w:rPr>
                <w:sz w:val="18"/>
                <w:szCs w:val="14"/>
              </w:rPr>
              <w:t>C</w:t>
            </w:r>
          </w:p>
        </w:tc>
        <w:tc>
          <w:tcPr>
            <w:tcW w:w="340"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3"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single" w:sz="4" w:space="0" w:color="auto"/>
            </w:tcBorders>
            <w:shd w:val="clear" w:color="auto" w:fill="808080" w:themeFill="background1" w:themeFillShade="80"/>
          </w:tcPr>
          <w:p w:rsidR="00255CCF" w:rsidRDefault="00255CCF" w:rsidP="00DA2AF4">
            <w:pPr>
              <w:spacing w:beforeLines="20" w:before="48" w:afterLines="20" w:after="48"/>
              <w:jc w:val="center"/>
            </w:pPr>
          </w:p>
        </w:tc>
        <w:tc>
          <w:tcPr>
            <w:tcW w:w="340" w:type="dxa"/>
            <w:tcBorders>
              <w:left w:val="single" w:sz="4" w:space="0" w:color="auto"/>
              <w:right w:val="nil"/>
            </w:tcBorders>
            <w:shd w:val="clear" w:color="auto" w:fill="808080" w:themeFill="background1" w:themeFillShade="80"/>
          </w:tcPr>
          <w:p w:rsidR="00255CCF" w:rsidRDefault="00255CCF" w:rsidP="00DA2AF4">
            <w:pPr>
              <w:spacing w:beforeLines="20" w:before="48" w:afterLines="20" w:after="48"/>
              <w:jc w:val="center"/>
            </w:pPr>
          </w:p>
        </w:tc>
        <w:tc>
          <w:tcPr>
            <w:tcW w:w="340"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8"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26" w:type="dxa"/>
            <w:shd w:val="clear" w:color="auto" w:fill="996600"/>
            <w:vAlign w:val="center"/>
          </w:tcPr>
          <w:p w:rsidR="00255CCF" w:rsidRPr="004F0E6F" w:rsidRDefault="00255CCF" w:rsidP="00DA2AF4">
            <w:pPr>
              <w:spacing w:beforeLines="20" w:before="48" w:afterLines="20" w:after="48"/>
              <w:jc w:val="center"/>
              <w:rPr>
                <w:sz w:val="16"/>
                <w:szCs w:val="12"/>
              </w:rPr>
            </w:pPr>
            <w:r w:rsidRPr="004F0E6F">
              <w:rPr>
                <w:sz w:val="16"/>
                <w:szCs w:val="12"/>
              </w:rPr>
              <w:t>N</w:t>
            </w:r>
          </w:p>
        </w:tc>
        <w:tc>
          <w:tcPr>
            <w:tcW w:w="311" w:type="dxa"/>
            <w:shd w:val="clear" w:color="auto" w:fill="auto"/>
          </w:tcPr>
          <w:p w:rsidR="00255CCF" w:rsidRDefault="00255CCF" w:rsidP="00DA2AF4">
            <w:pPr>
              <w:spacing w:beforeLines="20" w:before="48" w:afterLines="20" w:after="48"/>
              <w:jc w:val="center"/>
            </w:pPr>
          </w:p>
        </w:tc>
        <w:tc>
          <w:tcPr>
            <w:tcW w:w="340" w:type="dxa"/>
            <w:shd w:val="clear" w:color="auto" w:fill="CC0000"/>
            <w:vAlign w:val="center"/>
          </w:tcPr>
          <w:p w:rsidR="00255CCF" w:rsidRPr="00C54BB9" w:rsidRDefault="00255CCF" w:rsidP="00DA2AF4">
            <w:pPr>
              <w:spacing w:beforeLines="20" w:before="48" w:afterLines="20" w:after="48"/>
              <w:jc w:val="center"/>
              <w:rPr>
                <w:sz w:val="20"/>
                <w:szCs w:val="16"/>
              </w:rPr>
            </w:pPr>
            <w:r>
              <w:rPr>
                <w:sz w:val="18"/>
                <w:szCs w:val="14"/>
              </w:rPr>
              <w:t>A</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1099" w:type="dxa"/>
            <w:gridSpan w:val="3"/>
            <w:shd w:val="clear" w:color="auto" w:fill="00FFFF"/>
            <w:vAlign w:val="center"/>
          </w:tcPr>
          <w:p w:rsidR="00255CCF" w:rsidRPr="00C54BB9" w:rsidRDefault="00255CCF" w:rsidP="00DA2AF4">
            <w:pPr>
              <w:spacing w:beforeLines="20" w:before="48" w:afterLines="20" w:after="48"/>
              <w:jc w:val="center"/>
              <w:rPr>
                <w:sz w:val="20"/>
                <w:szCs w:val="16"/>
              </w:rPr>
            </w:pPr>
            <w:r w:rsidRPr="00C54BB9">
              <w:rPr>
                <w:sz w:val="18"/>
                <w:szCs w:val="14"/>
              </w:rPr>
              <w:t>[</w:t>
            </w:r>
            <w:r>
              <w:rPr>
                <w:sz w:val="18"/>
                <w:szCs w:val="14"/>
              </w:rPr>
              <w:t>RPC</w:t>
            </w:r>
            <w:r w:rsidRPr="00C54BB9">
              <w:rPr>
                <w:sz w:val="18"/>
                <w:szCs w:val="14"/>
              </w:rPr>
              <w:t>-1]</w:t>
            </w:r>
          </w:p>
        </w:tc>
        <w:tc>
          <w:tcPr>
            <w:tcW w:w="1309" w:type="dxa"/>
            <w:gridSpan w:val="4"/>
            <w:shd w:val="clear" w:color="auto" w:fill="000000"/>
            <w:vAlign w:val="center"/>
          </w:tcPr>
          <w:p w:rsidR="00255CCF" w:rsidRPr="00C54BB9" w:rsidRDefault="00255CCF" w:rsidP="00DA2AF4">
            <w:pPr>
              <w:spacing w:beforeLines="20" w:before="48" w:afterLines="20" w:after="48"/>
              <w:jc w:val="center"/>
              <w:rPr>
                <w:sz w:val="20"/>
                <w:szCs w:val="16"/>
              </w:rPr>
            </w:pPr>
            <w:r>
              <w:rPr>
                <w:sz w:val="18"/>
                <w:szCs w:val="14"/>
              </w:rPr>
              <w:t>CLAUSURA</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r>
      <w:tr w:rsidR="00255CCF" w:rsidTr="00726828">
        <w:trPr>
          <w:jc w:val="center"/>
        </w:trPr>
        <w:tc>
          <w:tcPr>
            <w:tcW w:w="7213" w:type="dxa"/>
            <w:gridSpan w:val="24"/>
            <w:shd w:val="clear" w:color="auto" w:fill="auto"/>
          </w:tcPr>
          <w:p w:rsidR="00255CCF" w:rsidRPr="003C5FFF" w:rsidRDefault="00255CCF" w:rsidP="00DA2AF4">
            <w:pPr>
              <w:spacing w:beforeLines="20" w:before="48" w:afterLines="20" w:after="48"/>
              <w:rPr>
                <w:b/>
                <w:bCs/>
                <w:u w:val="single"/>
              </w:rPr>
            </w:pPr>
            <w:r>
              <w:rPr>
                <w:b/>
                <w:bCs/>
                <w:u w:val="single"/>
              </w:rPr>
              <w:t>CMR-12</w:t>
            </w:r>
            <w:r w:rsidR="00726828">
              <w:rPr>
                <w:b/>
                <w:bCs/>
                <w:u w:val="single"/>
              </w:rPr>
              <w:t>:</w:t>
            </w:r>
          </w:p>
        </w:tc>
        <w:tc>
          <w:tcPr>
            <w:tcW w:w="7569" w:type="dxa"/>
            <w:gridSpan w:val="24"/>
            <w:shd w:val="clear" w:color="auto" w:fill="auto"/>
          </w:tcPr>
          <w:p w:rsidR="00255CCF" w:rsidRPr="003C5FFF" w:rsidRDefault="00255CCF" w:rsidP="00DA2AF4">
            <w:pPr>
              <w:spacing w:beforeLines="20" w:before="48" w:afterLines="20" w:after="48"/>
              <w:rPr>
                <w:b/>
                <w:bCs/>
                <w:u w:val="single"/>
              </w:rPr>
            </w:pPr>
            <w:r>
              <w:rPr>
                <w:b/>
                <w:bCs/>
                <w:u w:val="single"/>
              </w:rPr>
              <w:t>CMR-12</w:t>
            </w:r>
            <w:r w:rsidR="006C01EB">
              <w:rPr>
                <w:b/>
                <w:bCs/>
                <w:u w:val="single"/>
              </w:rPr>
              <w:t>:</w:t>
            </w:r>
          </w:p>
        </w:tc>
      </w:tr>
      <w:tr w:rsidR="00255CCF" w:rsidTr="00726828">
        <w:trPr>
          <w:jc w:val="center"/>
        </w:trPr>
        <w:tc>
          <w:tcPr>
            <w:tcW w:w="1315" w:type="dxa"/>
            <w:gridSpan w:val="5"/>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PLEN</w:t>
            </w:r>
          </w:p>
        </w:tc>
        <w:tc>
          <w:tcPr>
            <w:tcW w:w="263" w:type="dxa"/>
            <w:tcBorders>
              <w:right w:val="nil"/>
            </w:tcBorders>
            <w:shd w:val="clear" w:color="auto" w:fill="808080" w:themeFill="background1" w:themeFillShade="80"/>
          </w:tcPr>
          <w:p w:rsidR="00255CCF" w:rsidRPr="00EF6EFF" w:rsidRDefault="00255CCF" w:rsidP="00DA2AF4">
            <w:pPr>
              <w:spacing w:beforeLines="20" w:before="48" w:afterLines="20" w:after="48"/>
              <w:jc w:val="center"/>
              <w:rPr>
                <w:color w:val="808080" w:themeColor="background1" w:themeShade="80"/>
              </w:rPr>
            </w:pPr>
          </w:p>
        </w:tc>
        <w:tc>
          <w:tcPr>
            <w:tcW w:w="263" w:type="dxa"/>
            <w:tcBorders>
              <w:left w:val="nil"/>
              <w:right w:val="nil"/>
            </w:tcBorders>
            <w:shd w:val="clear" w:color="auto" w:fill="808080" w:themeFill="background1" w:themeFillShade="80"/>
          </w:tcPr>
          <w:p w:rsidR="00255CCF" w:rsidRPr="00EF6EFF" w:rsidRDefault="00255CCF" w:rsidP="00DA2AF4">
            <w:pPr>
              <w:spacing w:beforeLines="20" w:before="48" w:afterLines="20" w:after="48"/>
              <w:jc w:val="center"/>
              <w:rPr>
                <w:color w:val="808080" w:themeColor="background1" w:themeShade="80"/>
              </w:rPr>
            </w:pPr>
          </w:p>
        </w:tc>
        <w:tc>
          <w:tcPr>
            <w:tcW w:w="263" w:type="dxa"/>
            <w:tcBorders>
              <w:left w:val="nil"/>
              <w:right w:val="nil"/>
            </w:tcBorders>
            <w:shd w:val="clear" w:color="auto" w:fill="808080" w:themeFill="background1" w:themeFillShade="80"/>
          </w:tcPr>
          <w:p w:rsidR="00255CCF" w:rsidRPr="00EF6EFF" w:rsidRDefault="00255CCF" w:rsidP="00DA2AF4">
            <w:pPr>
              <w:spacing w:beforeLines="20" w:before="48" w:afterLines="20" w:after="48"/>
              <w:jc w:val="center"/>
              <w:rPr>
                <w:color w:val="808080" w:themeColor="background1" w:themeShade="80"/>
              </w:rPr>
            </w:pPr>
          </w:p>
        </w:tc>
        <w:tc>
          <w:tcPr>
            <w:tcW w:w="263"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shd w:val="clear" w:color="auto" w:fill="33CC33"/>
            <w:vAlign w:val="center"/>
          </w:tcPr>
          <w:p w:rsidR="00255CCF" w:rsidRPr="00C54BB9" w:rsidRDefault="00255CCF" w:rsidP="00DA2AF4">
            <w:pPr>
              <w:spacing w:beforeLines="20" w:before="48" w:afterLines="20" w:after="48"/>
              <w:jc w:val="center"/>
              <w:rPr>
                <w:sz w:val="20"/>
                <w:szCs w:val="16"/>
              </w:rPr>
            </w:pPr>
            <w:r>
              <w:rPr>
                <w:sz w:val="18"/>
                <w:szCs w:val="14"/>
              </w:rPr>
              <w:t>P</w:t>
            </w:r>
          </w:p>
        </w:tc>
        <w:tc>
          <w:tcPr>
            <w:tcW w:w="310" w:type="dxa"/>
            <w:shd w:val="clear" w:color="auto" w:fill="auto"/>
          </w:tcPr>
          <w:p w:rsidR="00255CCF" w:rsidRDefault="00255CCF" w:rsidP="00DA2AF4">
            <w:pPr>
              <w:spacing w:beforeLines="20" w:before="48" w:afterLines="20" w:after="48"/>
              <w:jc w:val="center"/>
            </w:pPr>
          </w:p>
        </w:tc>
        <w:tc>
          <w:tcPr>
            <w:tcW w:w="340" w:type="dxa"/>
            <w:shd w:val="clear" w:color="auto" w:fill="FF0000"/>
            <w:vAlign w:val="center"/>
          </w:tcPr>
          <w:p w:rsidR="00255CCF" w:rsidRPr="00C54BB9" w:rsidRDefault="00255CCF" w:rsidP="00DA2AF4">
            <w:pPr>
              <w:spacing w:beforeLines="20" w:before="48" w:afterLines="20" w:after="48"/>
              <w:jc w:val="center"/>
              <w:rPr>
                <w:sz w:val="20"/>
                <w:szCs w:val="16"/>
              </w:rPr>
            </w:pPr>
            <w:r>
              <w:rPr>
                <w:sz w:val="18"/>
                <w:szCs w:val="14"/>
              </w:rPr>
              <w:t>D</w:t>
            </w:r>
          </w:p>
        </w:tc>
        <w:tc>
          <w:tcPr>
            <w:tcW w:w="311" w:type="dxa"/>
            <w:shd w:val="clear" w:color="auto" w:fill="808080" w:themeFill="background1" w:themeFillShade="80"/>
          </w:tcPr>
          <w:p w:rsidR="00255CCF" w:rsidRDefault="00255CCF" w:rsidP="00DA2AF4">
            <w:pPr>
              <w:spacing w:beforeLines="20" w:before="48" w:afterLines="20" w:after="48"/>
              <w:jc w:val="center"/>
            </w:pPr>
          </w:p>
        </w:tc>
        <w:tc>
          <w:tcPr>
            <w:tcW w:w="626" w:type="dxa"/>
            <w:gridSpan w:val="2"/>
            <w:tcBorders>
              <w:right w:val="single" w:sz="4" w:space="0" w:color="auto"/>
            </w:tcBorders>
            <w:shd w:val="clear" w:color="auto" w:fill="0000FF"/>
            <w:vAlign w:val="center"/>
          </w:tcPr>
          <w:p w:rsidR="00255CCF" w:rsidRDefault="00255CCF" w:rsidP="00DA2AF4">
            <w:pPr>
              <w:spacing w:beforeLines="20" w:before="48" w:afterLines="20" w:after="48"/>
              <w:jc w:val="center"/>
            </w:pPr>
            <w:r>
              <w:t>C.sc</w:t>
            </w:r>
          </w:p>
        </w:tc>
        <w:tc>
          <w:tcPr>
            <w:tcW w:w="331" w:type="dxa"/>
            <w:tcBorders>
              <w:left w:val="single" w:sz="4" w:space="0" w:color="auto"/>
            </w:tcBorders>
            <w:shd w:val="clear" w:color="auto" w:fill="FF00FF"/>
            <w:vAlign w:val="center"/>
          </w:tcPr>
          <w:p w:rsidR="00255CCF" w:rsidRPr="00C54BB9" w:rsidRDefault="00255CCF" w:rsidP="00DA2AF4">
            <w:pPr>
              <w:spacing w:beforeLines="20" w:before="48" w:afterLines="20" w:after="48"/>
              <w:jc w:val="center"/>
              <w:rPr>
                <w:sz w:val="20"/>
                <w:szCs w:val="16"/>
              </w:rPr>
            </w:pPr>
            <w:r>
              <w:rPr>
                <w:sz w:val="18"/>
                <w:szCs w:val="14"/>
              </w:rPr>
              <w:t>C</w:t>
            </w:r>
          </w:p>
        </w:tc>
        <w:tc>
          <w:tcPr>
            <w:tcW w:w="340" w:type="dxa"/>
            <w:shd w:val="clear" w:color="auto" w:fill="auto"/>
          </w:tcPr>
          <w:p w:rsidR="00255CCF" w:rsidRDefault="00255CCF" w:rsidP="00DA2AF4">
            <w:pPr>
              <w:spacing w:beforeLines="20" w:before="48" w:afterLines="20" w:after="48"/>
              <w:jc w:val="center"/>
            </w:pPr>
          </w:p>
        </w:tc>
        <w:tc>
          <w:tcPr>
            <w:tcW w:w="340"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31" w:type="dxa"/>
            <w:shd w:val="clear" w:color="auto" w:fill="996600"/>
            <w:vAlign w:val="center"/>
          </w:tcPr>
          <w:p w:rsidR="00255CCF" w:rsidRPr="004F0E6F" w:rsidRDefault="00255CCF" w:rsidP="00DA2AF4">
            <w:pPr>
              <w:spacing w:beforeLines="20" w:before="48" w:afterLines="20" w:after="48"/>
              <w:jc w:val="center"/>
              <w:rPr>
                <w:sz w:val="16"/>
                <w:szCs w:val="12"/>
              </w:rPr>
            </w:pPr>
            <w:r w:rsidRPr="004F0E6F">
              <w:rPr>
                <w:sz w:val="16"/>
                <w:szCs w:val="12"/>
              </w:rPr>
              <w:t>N</w:t>
            </w:r>
          </w:p>
        </w:tc>
        <w:tc>
          <w:tcPr>
            <w:tcW w:w="331" w:type="dxa"/>
            <w:shd w:val="clear" w:color="auto" w:fill="808080" w:themeFill="background1" w:themeFillShade="80"/>
          </w:tcPr>
          <w:p w:rsidR="00255CCF" w:rsidRDefault="00255CCF" w:rsidP="00DA2AF4">
            <w:pPr>
              <w:spacing w:beforeLines="20" w:before="48" w:afterLines="20" w:after="48"/>
              <w:jc w:val="center"/>
            </w:pPr>
          </w:p>
        </w:tc>
        <w:tc>
          <w:tcPr>
            <w:tcW w:w="340" w:type="dxa"/>
            <w:shd w:val="clear" w:color="auto" w:fill="CC0000"/>
            <w:vAlign w:val="center"/>
          </w:tcPr>
          <w:p w:rsidR="00255CCF" w:rsidRPr="00C54BB9" w:rsidRDefault="00255CCF" w:rsidP="00DA2AF4">
            <w:pPr>
              <w:spacing w:beforeLines="20" w:before="48" w:afterLines="20" w:after="48"/>
              <w:jc w:val="center"/>
              <w:rPr>
                <w:sz w:val="20"/>
                <w:szCs w:val="16"/>
              </w:rPr>
            </w:pPr>
            <w:r>
              <w:rPr>
                <w:sz w:val="18"/>
                <w:szCs w:val="14"/>
              </w:rPr>
              <w:t>A</w:t>
            </w:r>
          </w:p>
        </w:tc>
        <w:tc>
          <w:tcPr>
            <w:tcW w:w="313"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single" w:sz="4" w:space="0" w:color="auto"/>
            </w:tcBorders>
            <w:shd w:val="clear" w:color="auto" w:fill="808080" w:themeFill="background1" w:themeFillShade="80"/>
          </w:tcPr>
          <w:p w:rsidR="00255CCF" w:rsidRDefault="00255CCF" w:rsidP="00DA2AF4">
            <w:pPr>
              <w:spacing w:beforeLines="20" w:before="48" w:afterLines="20" w:after="48"/>
              <w:jc w:val="center"/>
            </w:pPr>
          </w:p>
        </w:tc>
        <w:tc>
          <w:tcPr>
            <w:tcW w:w="340" w:type="dxa"/>
            <w:tcBorders>
              <w:left w:val="single" w:sz="4" w:space="0" w:color="auto"/>
              <w:right w:val="nil"/>
            </w:tcBorders>
            <w:shd w:val="clear" w:color="auto" w:fill="808080" w:themeFill="background1" w:themeFillShade="80"/>
          </w:tcPr>
          <w:p w:rsidR="00255CCF" w:rsidRDefault="00255CCF" w:rsidP="00DA2AF4">
            <w:pPr>
              <w:spacing w:beforeLines="20" w:before="48" w:afterLines="20" w:after="48"/>
              <w:jc w:val="center"/>
            </w:pPr>
          </w:p>
        </w:tc>
        <w:tc>
          <w:tcPr>
            <w:tcW w:w="340"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264"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8"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977" w:type="dxa"/>
            <w:gridSpan w:val="3"/>
            <w:shd w:val="clear" w:color="auto" w:fill="00FFFF"/>
            <w:vAlign w:val="center"/>
          </w:tcPr>
          <w:p w:rsidR="00255CCF" w:rsidRPr="00C54BB9" w:rsidRDefault="00255CCF" w:rsidP="00DA2AF4">
            <w:pPr>
              <w:spacing w:beforeLines="20" w:before="48" w:afterLines="20" w:after="48"/>
              <w:jc w:val="center"/>
              <w:rPr>
                <w:sz w:val="18"/>
                <w:szCs w:val="14"/>
              </w:rPr>
            </w:pPr>
            <w:r w:rsidRPr="00C54BB9">
              <w:rPr>
                <w:sz w:val="18"/>
                <w:szCs w:val="14"/>
              </w:rPr>
              <w:t>[</w:t>
            </w:r>
            <w:r>
              <w:rPr>
                <w:sz w:val="18"/>
                <w:szCs w:val="14"/>
              </w:rPr>
              <w:t>RPC</w:t>
            </w:r>
            <w:r w:rsidRPr="00C54BB9">
              <w:rPr>
                <w:sz w:val="18"/>
                <w:szCs w:val="14"/>
              </w:rPr>
              <w:t>-1]</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c>
          <w:tcPr>
            <w:tcW w:w="313" w:type="dxa"/>
            <w:shd w:val="clear" w:color="auto" w:fill="auto"/>
          </w:tcPr>
          <w:p w:rsidR="00255CCF" w:rsidRDefault="00255CCF" w:rsidP="00DA2AF4">
            <w:pPr>
              <w:spacing w:beforeLines="20" w:before="48" w:afterLines="20" w:after="48"/>
              <w:jc w:val="center"/>
            </w:pPr>
          </w:p>
        </w:tc>
        <w:tc>
          <w:tcPr>
            <w:tcW w:w="1162" w:type="dxa"/>
            <w:gridSpan w:val="3"/>
            <w:shd w:val="clear" w:color="auto" w:fill="000000"/>
            <w:vAlign w:val="center"/>
          </w:tcPr>
          <w:p w:rsidR="00255CCF" w:rsidRPr="00C54BB9" w:rsidRDefault="00255CCF" w:rsidP="00DA2AF4">
            <w:pPr>
              <w:spacing w:beforeLines="20" w:before="48" w:afterLines="20" w:after="48"/>
              <w:jc w:val="center"/>
              <w:rPr>
                <w:sz w:val="20"/>
                <w:szCs w:val="16"/>
              </w:rPr>
            </w:pPr>
            <w:r>
              <w:rPr>
                <w:sz w:val="18"/>
                <w:szCs w:val="14"/>
              </w:rPr>
              <w:t>CLAUSURA</w:t>
            </w:r>
          </w:p>
        </w:tc>
        <w:tc>
          <w:tcPr>
            <w:tcW w:w="311" w:type="dxa"/>
            <w:tcBorders>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right w:val="nil"/>
            </w:tcBorders>
            <w:shd w:val="clear" w:color="auto" w:fill="808080" w:themeFill="background1" w:themeFillShade="80"/>
          </w:tcPr>
          <w:p w:rsidR="00255CCF" w:rsidRDefault="00255CCF" w:rsidP="00DA2AF4">
            <w:pPr>
              <w:spacing w:beforeLines="20" w:before="48" w:afterLines="20" w:after="48"/>
              <w:jc w:val="center"/>
            </w:pPr>
          </w:p>
        </w:tc>
        <w:tc>
          <w:tcPr>
            <w:tcW w:w="311" w:type="dxa"/>
            <w:tcBorders>
              <w:left w:val="nil"/>
            </w:tcBorders>
            <w:shd w:val="clear" w:color="auto" w:fill="808080" w:themeFill="background1" w:themeFillShade="80"/>
          </w:tcPr>
          <w:p w:rsidR="00255CCF" w:rsidRDefault="00255CCF" w:rsidP="00DA2AF4">
            <w:pPr>
              <w:spacing w:beforeLines="20" w:before="48" w:afterLines="20" w:after="48"/>
              <w:jc w:val="center"/>
            </w:pPr>
          </w:p>
        </w:tc>
      </w:tr>
    </w:tbl>
    <w:p w:rsidR="00255CCF" w:rsidRPr="000D7AFD" w:rsidRDefault="00255CCF" w:rsidP="00255CCF">
      <w:r w:rsidRPr="000D7AFD">
        <w:rPr>
          <w:u w:val="single"/>
        </w:rPr>
        <w:t>Le</w:t>
      </w:r>
      <w:r>
        <w:rPr>
          <w:u w:val="single"/>
        </w:rPr>
        <w:t>y</w:t>
      </w:r>
      <w:r w:rsidRPr="000D7AFD">
        <w:rPr>
          <w:u w:val="single"/>
        </w:rPr>
        <w:t>end</w:t>
      </w:r>
      <w:r>
        <w:rPr>
          <w:u w:val="single"/>
        </w:rPr>
        <w:t>a</w:t>
      </w:r>
      <w:r w:rsidRPr="000D7AFD">
        <w:t>:</w:t>
      </w:r>
    </w:p>
    <w:tbl>
      <w:tblPr>
        <w:tblStyle w:val="TableGrid"/>
        <w:tblW w:w="0" w:type="auto"/>
        <w:tblLook w:val="04A0" w:firstRow="1" w:lastRow="0" w:firstColumn="1" w:lastColumn="0" w:noHBand="0" w:noVBand="1"/>
      </w:tblPr>
      <w:tblGrid>
        <w:gridCol w:w="959"/>
        <w:gridCol w:w="13466"/>
      </w:tblGrid>
      <w:tr w:rsidR="00255CCF" w:rsidRPr="000D3FA8" w:rsidTr="000B69E6">
        <w:tc>
          <w:tcPr>
            <w:tcW w:w="959" w:type="dxa"/>
            <w:tcBorders>
              <w:bottom w:val="single" w:sz="4" w:space="0" w:color="auto"/>
            </w:tcBorders>
            <w:shd w:val="clear" w:color="auto" w:fill="33CC33"/>
          </w:tcPr>
          <w:p w:rsidR="00255CCF" w:rsidRDefault="00255CCF" w:rsidP="00DA2AF4">
            <w:pPr>
              <w:spacing w:before="60" w:after="60"/>
              <w:jc w:val="center"/>
            </w:pPr>
          </w:p>
        </w:tc>
        <w:tc>
          <w:tcPr>
            <w:tcW w:w="13466" w:type="dxa"/>
          </w:tcPr>
          <w:p w:rsidR="00255CCF" w:rsidRPr="006C01EB" w:rsidRDefault="00255CCF" w:rsidP="00DA2AF4">
            <w:pPr>
              <w:spacing w:before="60" w:after="60"/>
              <w:rPr>
                <w:sz w:val="22"/>
                <w:szCs w:val="22"/>
              </w:rPr>
            </w:pPr>
            <w:r w:rsidRPr="006C01EB">
              <w:rPr>
                <w:color w:val="00B050"/>
                <w:sz w:val="22"/>
                <w:szCs w:val="22"/>
              </w:rPr>
              <w:t xml:space="preserve">PLENARIA(S) incluida la adopción definitiva de textos en segunda lectura (PLEN o P) </w:t>
            </w:r>
            <w:r w:rsidRPr="006C01EB">
              <w:rPr>
                <w:sz w:val="22"/>
                <w:szCs w:val="22"/>
              </w:rPr>
              <w:t>(excluidas las pausas, por ejemplo, almuerzo, etc.)</w:t>
            </w:r>
          </w:p>
        </w:tc>
      </w:tr>
      <w:tr w:rsidR="00255CCF" w:rsidRPr="000D3FA8" w:rsidTr="000B69E6">
        <w:tc>
          <w:tcPr>
            <w:tcW w:w="959" w:type="dxa"/>
            <w:tcBorders>
              <w:bottom w:val="single" w:sz="4" w:space="0" w:color="auto"/>
            </w:tcBorders>
            <w:shd w:val="clear" w:color="auto" w:fill="FF0000"/>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color w:val="3366FF"/>
                <w:sz w:val="22"/>
                <w:szCs w:val="22"/>
              </w:rPr>
            </w:pPr>
            <w:r w:rsidRPr="006C01EB">
              <w:rPr>
                <w:color w:val="FF0000"/>
                <w:sz w:val="22"/>
                <w:szCs w:val="22"/>
              </w:rPr>
              <w:t>Plazo límite para la presentación de Declaraciones/reservas (D)</w:t>
            </w:r>
            <w:r w:rsidRPr="006C01EB">
              <w:rPr>
                <w:sz w:val="22"/>
                <w:szCs w:val="22"/>
              </w:rPr>
              <w:t xml:space="preserve"> (normalmente 2 horas después de finalizadas las Plenarias o la adopción definitiva de textos en segunda lectura)</w:t>
            </w:r>
          </w:p>
        </w:tc>
      </w:tr>
      <w:tr w:rsidR="00255CCF" w:rsidRPr="000D3FA8" w:rsidTr="000B69E6">
        <w:tc>
          <w:tcPr>
            <w:tcW w:w="959" w:type="dxa"/>
            <w:tcBorders>
              <w:bottom w:val="single" w:sz="4" w:space="0" w:color="auto"/>
            </w:tcBorders>
            <w:shd w:val="clear" w:color="auto" w:fill="996600"/>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color w:val="FF0000"/>
                <w:sz w:val="22"/>
                <w:szCs w:val="22"/>
              </w:rPr>
            </w:pPr>
            <w:r w:rsidRPr="006C01EB">
              <w:rPr>
                <w:color w:val="996600"/>
                <w:sz w:val="22"/>
                <w:szCs w:val="22"/>
              </w:rPr>
              <w:t>PLENARIA BREVE para tomar nota de las Declaraciones/reservas (N)</w:t>
            </w:r>
          </w:p>
        </w:tc>
      </w:tr>
      <w:tr w:rsidR="00255CCF" w:rsidRPr="000D3FA8" w:rsidTr="000B69E6">
        <w:tc>
          <w:tcPr>
            <w:tcW w:w="959" w:type="dxa"/>
            <w:tcBorders>
              <w:bottom w:val="single" w:sz="4" w:space="0" w:color="auto"/>
            </w:tcBorders>
            <w:shd w:val="clear" w:color="auto" w:fill="CC0000"/>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color w:val="3366FF"/>
                <w:sz w:val="22"/>
                <w:szCs w:val="22"/>
              </w:rPr>
            </w:pPr>
            <w:r w:rsidRPr="006C01EB">
              <w:rPr>
                <w:color w:val="C00000"/>
                <w:sz w:val="22"/>
                <w:szCs w:val="22"/>
              </w:rPr>
              <w:t xml:space="preserve">Plazo límite para la presentación de Declaraciones/reservas adicionales (A) </w:t>
            </w:r>
            <w:r w:rsidRPr="006C01EB">
              <w:rPr>
                <w:sz w:val="22"/>
                <w:szCs w:val="22"/>
              </w:rPr>
              <w:t>(normalmente entre 1 y 2 horas después de finalizada la Plenaria para tomar nota de las Decl./reserv.)</w:t>
            </w:r>
          </w:p>
        </w:tc>
      </w:tr>
      <w:tr w:rsidR="00255CCF" w:rsidRPr="000D3FA8" w:rsidTr="000B69E6">
        <w:tc>
          <w:tcPr>
            <w:tcW w:w="959" w:type="dxa"/>
            <w:tcBorders>
              <w:bottom w:val="single" w:sz="4" w:space="0" w:color="auto"/>
            </w:tcBorders>
            <w:shd w:val="clear" w:color="auto" w:fill="000000"/>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color w:val="FF0000"/>
                <w:sz w:val="22"/>
                <w:szCs w:val="22"/>
              </w:rPr>
            </w:pPr>
            <w:r w:rsidRPr="006C01EB">
              <w:rPr>
                <w:sz w:val="22"/>
                <w:szCs w:val="22"/>
              </w:rPr>
              <w:t>PLENARIA para tomar nota de las Declaraciones/reservas adicionales, seguida de la FIRMA y la CEREMONIA DE CLAUSURA (CLAUSURA)</w:t>
            </w:r>
          </w:p>
        </w:tc>
      </w:tr>
      <w:tr w:rsidR="00255CCF" w:rsidRPr="000D3FA8" w:rsidTr="000B69E6">
        <w:tc>
          <w:tcPr>
            <w:tcW w:w="959" w:type="dxa"/>
            <w:tcBorders>
              <w:bottom w:val="single" w:sz="4" w:space="0" w:color="auto"/>
            </w:tcBorders>
            <w:shd w:val="clear" w:color="auto" w:fill="0000FF"/>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i/>
                <w:iCs/>
                <w:color w:val="0000FF"/>
                <w:sz w:val="22"/>
                <w:szCs w:val="22"/>
              </w:rPr>
            </w:pPr>
            <w:r w:rsidRPr="006C01EB">
              <w:rPr>
                <w:rFonts w:eastAsia="SimSun"/>
                <w:i/>
                <w:iCs/>
                <w:color w:val="0000FF"/>
                <w:sz w:val="22"/>
                <w:szCs w:val="22"/>
              </w:rPr>
              <w:t>[Posible reunión del Comité de Dirección de la RPC (C.sc) con los Presidentes de las CE del UIT-R (véase PC#1 en el § 3.3)]</w:t>
            </w:r>
          </w:p>
        </w:tc>
      </w:tr>
      <w:tr w:rsidR="00255CCF" w:rsidRPr="000D3FA8" w:rsidTr="000B69E6">
        <w:tc>
          <w:tcPr>
            <w:tcW w:w="959" w:type="dxa"/>
            <w:shd w:val="clear" w:color="auto" w:fill="FF66FF"/>
          </w:tcPr>
          <w:p w:rsidR="00255CCF" w:rsidRPr="000D3FA8" w:rsidRDefault="00255CCF" w:rsidP="00DA2AF4">
            <w:pPr>
              <w:spacing w:before="60" w:after="60"/>
              <w:jc w:val="center"/>
            </w:pPr>
          </w:p>
        </w:tc>
        <w:tc>
          <w:tcPr>
            <w:tcW w:w="13466" w:type="dxa"/>
          </w:tcPr>
          <w:p w:rsidR="00255CCF" w:rsidRPr="006C01EB" w:rsidRDefault="00255CCF" w:rsidP="00DA2AF4">
            <w:pPr>
              <w:spacing w:before="60" w:after="60"/>
              <w:rPr>
                <w:color w:val="FF00FF"/>
                <w:sz w:val="22"/>
                <w:szCs w:val="22"/>
              </w:rPr>
            </w:pPr>
            <w:r w:rsidRPr="006C01EB">
              <w:rPr>
                <w:i/>
                <w:iCs/>
                <w:color w:val="FF00FF"/>
                <w:sz w:val="22"/>
                <w:szCs w:val="22"/>
              </w:rPr>
              <w:t>[</w:t>
            </w:r>
            <w:r w:rsidRPr="006C01EB">
              <w:rPr>
                <w:rFonts w:eastAsia="SimSun"/>
                <w:i/>
                <w:iCs/>
                <w:color w:val="FF00FF"/>
                <w:sz w:val="22"/>
                <w:szCs w:val="22"/>
              </w:rPr>
              <w:t>Posible plazo límite para la recepción de contribuciones a la RPC-1 (C) (véase PC#2 en el § 3.5)]</w:t>
            </w:r>
          </w:p>
        </w:tc>
      </w:tr>
      <w:tr w:rsidR="00255CCF" w:rsidRPr="000D3FA8" w:rsidTr="000B69E6">
        <w:tc>
          <w:tcPr>
            <w:tcW w:w="959" w:type="dxa"/>
            <w:tcBorders>
              <w:bottom w:val="single" w:sz="4" w:space="0" w:color="auto"/>
            </w:tcBorders>
            <w:shd w:val="clear" w:color="auto" w:fill="00FFFF"/>
          </w:tcPr>
          <w:p w:rsidR="00255CCF" w:rsidRPr="000D3FA8" w:rsidRDefault="00255CCF" w:rsidP="00DA2AF4">
            <w:pPr>
              <w:jc w:val="center"/>
            </w:pPr>
          </w:p>
        </w:tc>
        <w:tc>
          <w:tcPr>
            <w:tcW w:w="13466" w:type="dxa"/>
          </w:tcPr>
          <w:p w:rsidR="00255CCF" w:rsidRPr="006C01EB" w:rsidRDefault="00255CCF" w:rsidP="00DA2AF4">
            <w:pPr>
              <w:spacing w:before="60" w:after="60"/>
              <w:rPr>
                <w:i/>
                <w:iCs/>
                <w:color w:val="00CCFF"/>
                <w:sz w:val="22"/>
                <w:szCs w:val="22"/>
              </w:rPr>
            </w:pPr>
            <w:r w:rsidRPr="006C01EB">
              <w:rPr>
                <w:rFonts w:eastAsia="SimSun"/>
                <w:i/>
                <w:iCs/>
                <w:color w:val="00CCFF"/>
                <w:sz w:val="22"/>
                <w:szCs w:val="22"/>
              </w:rPr>
              <w:t>[Posible primera parte de la RPC-1 (celebrándose la segunda parte el sábado siguiente; véase PC#3 en el § 3.6)]</w:t>
            </w:r>
          </w:p>
        </w:tc>
      </w:tr>
      <w:tr w:rsidR="00255CCF" w:rsidRPr="000D3FA8" w:rsidTr="000B69E6">
        <w:tc>
          <w:tcPr>
            <w:tcW w:w="959" w:type="dxa"/>
            <w:shd w:val="clear" w:color="auto" w:fill="808080" w:themeFill="background1" w:themeFillShade="80"/>
          </w:tcPr>
          <w:p w:rsidR="00255CCF" w:rsidRPr="000D3FA8" w:rsidRDefault="00255CCF" w:rsidP="00DA2AF4">
            <w:pPr>
              <w:jc w:val="center"/>
            </w:pPr>
          </w:p>
        </w:tc>
        <w:tc>
          <w:tcPr>
            <w:tcW w:w="13466" w:type="dxa"/>
          </w:tcPr>
          <w:p w:rsidR="00255CCF" w:rsidRPr="006C01EB" w:rsidRDefault="00255CCF" w:rsidP="00DA2AF4">
            <w:pPr>
              <w:spacing w:before="60" w:after="60"/>
              <w:rPr>
                <w:rFonts w:eastAsia="SimSun"/>
                <w:color w:val="3366FF"/>
                <w:sz w:val="22"/>
                <w:szCs w:val="22"/>
              </w:rPr>
            </w:pPr>
            <w:r w:rsidRPr="006C01EB">
              <w:rPr>
                <w:rFonts w:eastAsia="SimSun"/>
                <w:color w:val="808080" w:themeColor="background1" w:themeShade="80"/>
                <w:sz w:val="22"/>
                <w:szCs w:val="22"/>
              </w:rPr>
              <w:t>Fuera del horario laboral normal</w:t>
            </w:r>
          </w:p>
        </w:tc>
      </w:tr>
    </w:tbl>
    <w:p w:rsidR="00E72EA7" w:rsidRDefault="00255CCF" w:rsidP="00AF7BE1">
      <w:pPr>
        <w:jc w:val="center"/>
      </w:pPr>
      <w:r>
        <w:t>______________</w:t>
      </w:r>
      <w:bookmarkStart w:id="6" w:name="_GoBack"/>
      <w:bookmarkEnd w:id="6"/>
    </w:p>
    <w:sectPr w:rsidR="00E72EA7" w:rsidSect="00765738">
      <w:headerReference w:type="first" r:id="rId18"/>
      <w:pgSz w:w="16834" w:h="11907" w:orient="landscape"/>
      <w:pgMar w:top="1134"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CF" w:rsidRDefault="00255CCF">
      <w:r>
        <w:separator/>
      </w:r>
    </w:p>
  </w:endnote>
  <w:endnote w:type="continuationSeparator" w:id="0">
    <w:p w:rsidR="00255CCF" w:rsidRDefault="0025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36" w:rsidRDefault="000F5736">
    <w:pPr>
      <w:pStyle w:val="Footer"/>
    </w:pPr>
    <w:fldSimple w:instr=" FILENAME \p  \* MERGEFORMAT ">
      <w:r w:rsidR="00CB7C27">
        <w:t>P:\ESP\ITU-R\AG\RAG\RAG14\000\008S.docx</w:t>
      </w:r>
    </w:fldSimple>
    <w:r w:rsidR="00726828">
      <w:t xml:space="preserve"> (363816)</w:t>
    </w:r>
    <w:r>
      <w:tab/>
    </w:r>
    <w:r>
      <w:fldChar w:fldCharType="begin"/>
    </w:r>
    <w:r>
      <w:instrText xml:space="preserve"> SAVEDATE \@ DD.MM.YY </w:instrText>
    </w:r>
    <w:r>
      <w:fldChar w:fldCharType="separate"/>
    </w:r>
    <w:r w:rsidR="00CB7C27">
      <w:t>04.06.14</w:t>
    </w:r>
    <w:r>
      <w:fldChar w:fldCharType="end"/>
    </w:r>
    <w:r>
      <w:tab/>
    </w:r>
    <w:r>
      <w:fldChar w:fldCharType="begin"/>
    </w:r>
    <w:r>
      <w:instrText xml:space="preserve"> PRINTDATE \@ DD.MM.YY </w:instrText>
    </w:r>
    <w:r>
      <w:fldChar w:fldCharType="separate"/>
    </w:r>
    <w:r w:rsidR="00CB7C27">
      <w:t>04.06.14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28" w:rsidRDefault="00726828" w:rsidP="00726828">
    <w:pPr>
      <w:pStyle w:val="Footer"/>
    </w:pPr>
    <w:r>
      <w:fldChar w:fldCharType="begin"/>
    </w:r>
    <w:r>
      <w:instrText xml:space="preserve"> FILENAME \p  \* MERGEFORMAT </w:instrText>
    </w:r>
    <w:r>
      <w:fldChar w:fldCharType="separate"/>
    </w:r>
    <w:r w:rsidR="00CB7C27">
      <w:t>P:\ESP\ITU-R\AG\RAG\RAG14\000\008S.docx</w:t>
    </w:r>
    <w:r>
      <w:fldChar w:fldCharType="end"/>
    </w:r>
    <w:r>
      <w:t xml:space="preserve"> (363816)</w:t>
    </w:r>
    <w:r>
      <w:tab/>
    </w:r>
    <w:r>
      <w:fldChar w:fldCharType="begin"/>
    </w:r>
    <w:r>
      <w:instrText xml:space="preserve"> SAVEDATE \@ DD.MM.YY </w:instrText>
    </w:r>
    <w:r>
      <w:fldChar w:fldCharType="separate"/>
    </w:r>
    <w:r w:rsidR="00CB7C27">
      <w:t>04.06.14</w:t>
    </w:r>
    <w:r>
      <w:fldChar w:fldCharType="end"/>
    </w:r>
    <w:r>
      <w:tab/>
    </w:r>
    <w:r>
      <w:fldChar w:fldCharType="begin"/>
    </w:r>
    <w:r>
      <w:instrText xml:space="preserve"> PRINTDATE \@ DD.MM.YY </w:instrText>
    </w:r>
    <w:r>
      <w:fldChar w:fldCharType="separate"/>
    </w:r>
    <w:r w:rsidR="00CB7C27">
      <w:t>04.06.14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CF" w:rsidRDefault="00255CCF">
      <w:r>
        <w:t>____________________</w:t>
      </w:r>
    </w:p>
  </w:footnote>
  <w:footnote w:type="continuationSeparator" w:id="0">
    <w:p w:rsidR="00255CCF" w:rsidRDefault="0025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B7C27">
      <w:rPr>
        <w:rStyle w:val="PageNumber"/>
        <w:noProof/>
      </w:rPr>
      <w:t>5</w:t>
    </w:r>
    <w:r>
      <w:rPr>
        <w:rStyle w:val="PageNumber"/>
      </w:rPr>
      <w:fldChar w:fldCharType="end"/>
    </w:r>
  </w:p>
  <w:p w:rsidR="00616601" w:rsidRDefault="0034043B" w:rsidP="00726828">
    <w:pPr>
      <w:pStyle w:val="Header"/>
      <w:rPr>
        <w:lang w:val="es-ES"/>
      </w:rPr>
    </w:pPr>
    <w:r>
      <w:rPr>
        <w:lang w:val="es-ES"/>
      </w:rPr>
      <w:t>RAG</w:t>
    </w:r>
    <w:r w:rsidR="005D3E02">
      <w:rPr>
        <w:lang w:val="es-ES"/>
      </w:rPr>
      <w:t>1</w:t>
    </w:r>
    <w:r w:rsidR="000C62BA">
      <w:rPr>
        <w:lang w:val="es-ES"/>
      </w:rPr>
      <w:t>4</w:t>
    </w:r>
    <w:r w:rsidR="00616601">
      <w:rPr>
        <w:lang w:val="es-ES"/>
      </w:rPr>
      <w:t>-1/</w:t>
    </w:r>
    <w:r w:rsidR="00726828">
      <w:rPr>
        <w:lang w:val="es-ES"/>
      </w:rPr>
      <w:t>8</w:t>
    </w:r>
    <w:r w:rsidR="00616601">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2" w:rsidRPr="009C4264" w:rsidRDefault="00CB7C27" w:rsidP="00CE0C87">
    <w:pPr>
      <w:pStyle w:val="Header"/>
      <w:rPr>
        <w:lang w:val="en-US"/>
      </w:rPr>
    </w:pPr>
    <w:r>
      <w:fldChar w:fldCharType="begin"/>
    </w:r>
    <w:r>
      <w:instrText xml:space="preserve"> PAGE </w:instrText>
    </w:r>
    <w:r>
      <w:fldChar w:fldCharType="separate"/>
    </w:r>
    <w:r>
      <w:rPr>
        <w:noProof/>
      </w:rPr>
      <w:t>6</w:t>
    </w:r>
    <w:r>
      <w:rPr>
        <w:noProof/>
      </w:rPr>
      <w:fldChar w:fldCharType="end"/>
    </w:r>
  </w:p>
  <w:p w:rsidR="00D84E12" w:rsidRDefault="00CB7C27" w:rsidP="00726828">
    <w:pPr>
      <w:pStyle w:val="Header"/>
    </w:pPr>
    <w:r w:rsidRPr="009C4264">
      <w:rPr>
        <w:lang w:val="en-US"/>
      </w:rPr>
      <w:t>RAG1</w:t>
    </w:r>
    <w:r>
      <w:rPr>
        <w:lang w:val="en-US"/>
      </w:rPr>
      <w:t>4</w:t>
    </w:r>
    <w:r w:rsidR="00726828">
      <w:rPr>
        <w:lang w:val="en-US"/>
      </w:rPr>
      <w:t>-1/8</w:t>
    </w:r>
    <w:r w:rsidRPr="009C4264">
      <w:rPr>
        <w:lang w:val="en-US"/>
      </w:rPr>
      <w:t>-</w:t>
    </w:r>
    <w:r w:rsidR="00726828">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3DC1"/>
    <w:multiLevelType w:val="hybridMultilevel"/>
    <w:tmpl w:val="EBBAD4C6"/>
    <w:lvl w:ilvl="0" w:tplc="624460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CF"/>
    <w:rsid w:val="000B69E6"/>
    <w:rsid w:val="000C62BA"/>
    <w:rsid w:val="000F5736"/>
    <w:rsid w:val="0012592F"/>
    <w:rsid w:val="00255CCF"/>
    <w:rsid w:val="0031432E"/>
    <w:rsid w:val="0034043B"/>
    <w:rsid w:val="00414D8B"/>
    <w:rsid w:val="00482905"/>
    <w:rsid w:val="004D6C09"/>
    <w:rsid w:val="005D3E02"/>
    <w:rsid w:val="00610642"/>
    <w:rsid w:val="00616601"/>
    <w:rsid w:val="00627066"/>
    <w:rsid w:val="006A42AB"/>
    <w:rsid w:val="006C01EB"/>
    <w:rsid w:val="006E291F"/>
    <w:rsid w:val="00726828"/>
    <w:rsid w:val="009310C8"/>
    <w:rsid w:val="00A31D34"/>
    <w:rsid w:val="00AF7BE1"/>
    <w:rsid w:val="00B32E51"/>
    <w:rsid w:val="00CB7A43"/>
    <w:rsid w:val="00CB7C27"/>
    <w:rsid w:val="00DA5436"/>
    <w:rsid w:val="00E72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55CCF"/>
    <w:rPr>
      <w:rFonts w:ascii="Times New Roman" w:hAnsi="Times New Roman"/>
      <w:sz w:val="24"/>
      <w:lang w:val="es-ES_tradnl" w:eastAsia="en-US"/>
    </w:rPr>
  </w:style>
  <w:style w:type="character" w:styleId="Hyperlink">
    <w:name w:val="Hyperlink"/>
    <w:basedOn w:val="DefaultParagraphFont"/>
    <w:uiPriority w:val="99"/>
    <w:rsid w:val="00255CCF"/>
    <w:rPr>
      <w:color w:val="0000FF"/>
      <w:u w:val="single"/>
    </w:rPr>
  </w:style>
  <w:style w:type="paragraph" w:styleId="ListParagraph">
    <w:name w:val="List Paragraph"/>
    <w:basedOn w:val="Normal"/>
    <w:uiPriority w:val="34"/>
    <w:qFormat/>
    <w:rsid w:val="00255CCF"/>
    <w:pPr>
      <w:ind w:left="720"/>
      <w:contextualSpacing/>
      <w:jc w:val="both"/>
      <w:textAlignment w:val="auto"/>
    </w:pPr>
    <w:rPr>
      <w:lang w:val="en-GB"/>
    </w:rPr>
  </w:style>
  <w:style w:type="table" w:styleId="TableGrid">
    <w:name w:val="Table Grid"/>
    <w:basedOn w:val="TableNormal"/>
    <w:rsid w:val="00255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55CCF"/>
    <w:rPr>
      <w:rFonts w:ascii="Times New Roman" w:hAnsi="Times New Roman"/>
      <w:sz w:val="18"/>
      <w:lang w:val="es-ES_tradnl" w:eastAsia="en-US"/>
    </w:rPr>
  </w:style>
  <w:style w:type="character" w:styleId="FollowedHyperlink">
    <w:name w:val="FollowedHyperlink"/>
    <w:basedOn w:val="DefaultParagraphFont"/>
    <w:rsid w:val="007268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55CCF"/>
    <w:rPr>
      <w:rFonts w:ascii="Times New Roman" w:hAnsi="Times New Roman"/>
      <w:sz w:val="24"/>
      <w:lang w:val="es-ES_tradnl" w:eastAsia="en-US"/>
    </w:rPr>
  </w:style>
  <w:style w:type="character" w:styleId="Hyperlink">
    <w:name w:val="Hyperlink"/>
    <w:basedOn w:val="DefaultParagraphFont"/>
    <w:uiPriority w:val="99"/>
    <w:rsid w:val="00255CCF"/>
    <w:rPr>
      <w:color w:val="0000FF"/>
      <w:u w:val="single"/>
    </w:rPr>
  </w:style>
  <w:style w:type="paragraph" w:styleId="ListParagraph">
    <w:name w:val="List Paragraph"/>
    <w:basedOn w:val="Normal"/>
    <w:uiPriority w:val="34"/>
    <w:qFormat/>
    <w:rsid w:val="00255CCF"/>
    <w:pPr>
      <w:ind w:left="720"/>
      <w:contextualSpacing/>
      <w:jc w:val="both"/>
      <w:textAlignment w:val="auto"/>
    </w:pPr>
    <w:rPr>
      <w:lang w:val="en-GB"/>
    </w:rPr>
  </w:style>
  <w:style w:type="table" w:styleId="TableGrid">
    <w:name w:val="Table Grid"/>
    <w:basedOn w:val="TableNormal"/>
    <w:rsid w:val="00255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55CCF"/>
    <w:rPr>
      <w:rFonts w:ascii="Times New Roman" w:hAnsi="Times New Roman"/>
      <w:sz w:val="18"/>
      <w:lang w:val="es-ES_tradnl" w:eastAsia="en-US"/>
    </w:rPr>
  </w:style>
  <w:style w:type="character" w:styleId="FollowedHyperlink">
    <w:name w:val="FollowedHyperlink"/>
    <w:basedOn w:val="DefaultParagraphFont"/>
    <w:rsid w:val="00726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00-CA-CIR-0201/en"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pub/R-RES-R.2-6-20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R-RES-R.2-6-20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00-CA-CIR-021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3-RAG13-C-0001/en" TargetMode="External"/><Relationship Id="rId14" Type="http://schemas.openxmlformats.org/officeDocument/2006/relationships/hyperlink" Target="http://www.itu.int/md/R00-CA-CIR-021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PS_RAG14.dotm</Template>
  <TotalTime>221</TotalTime>
  <Pages>6</Pages>
  <Words>2366</Words>
  <Characters>11684</Characters>
  <Application>Microsoft Office Word</Application>
  <DocSecurity>0</DocSecurity>
  <Lines>446</Lines>
  <Paragraphs>192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DE LA PRIMERA SESIÓN DE LA REUNIÓN PREPARATORIA DE LA CONFERENCIA (RPC) PARA LA CONFERENCIA MUNDIAL DE RADIOCOMUNICACIONES (CMR)</dc:title>
  <dc:subject>GRUPO ASESOR DE RADIOCOMUNICACIONES</dc:subject>
  <dc:creator>Director de la Oficina de Radiocomunicaciones</dc:creator>
  <cp:keywords>RAG03-1</cp:keywords>
  <dc:description>Documento RAG14-1/8-S  For: _x000d_Document date: 29 de mayo de 2014_x000d_Saved by ITU51007797 at 15:11:07 on 04/06/2014</dc:description>
  <cp:lastModifiedBy>Christe-Baldan, Susana</cp:lastModifiedBy>
  <cp:revision>6</cp:revision>
  <cp:lastPrinted>2014-06-04T13:08:00Z</cp:lastPrinted>
  <dcterms:created xsi:type="dcterms:W3CDTF">2014-06-04T09:29:00Z</dcterms:created>
  <dcterms:modified xsi:type="dcterms:W3CDTF">2014-06-04T13:11:00Z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RAG14-1/8-S</vt:lpwstr>
  </property>
  <property fmtid="{D5CDD505-2E9C-101B-9397-08002B2CF9AE}" pid="3" name="Docdate">
    <vt:lpwstr>29 de mayo de 2014</vt:lpwstr>
  </property>
  <property fmtid="{D5CDD505-2E9C-101B-9397-08002B2CF9AE}" pid="4" name="Docorlang">
    <vt:lpwstr>Original: inglés</vt:lpwstr>
  </property>
  <property fmtid="{D5CDD505-2E9C-101B-9397-08002B2CF9AE}" pid="5" name="Docauthor">
    <vt:lpwstr>Director de la Oficina de Radiocomunicaciones</vt:lpwstr>
  </property>
</Properties>
</file>