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58"/>
        <w:tblW w:w="9889" w:type="dxa"/>
        <w:tblLayout w:type="fixed"/>
        <w:tblLook w:val="0000" w:firstRow="0" w:lastRow="0" w:firstColumn="0" w:lastColumn="0" w:noHBand="0" w:noVBand="0"/>
      </w:tblPr>
      <w:tblGrid>
        <w:gridCol w:w="6771"/>
        <w:gridCol w:w="3118"/>
      </w:tblGrid>
      <w:tr w:rsidR="006E291F">
        <w:trPr>
          <w:cantSplit/>
        </w:trPr>
        <w:tc>
          <w:tcPr>
            <w:tcW w:w="6771" w:type="dxa"/>
          </w:tcPr>
          <w:p w:rsidR="006E291F" w:rsidRPr="006E291F" w:rsidRDefault="006E291F" w:rsidP="000C62BA">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482905">
              <w:rPr>
                <w:rFonts w:ascii="Verdana" w:hAnsi="Verdana" w:cs="Times New Roman Bold"/>
                <w:b/>
                <w:bCs/>
                <w:sz w:val="20"/>
              </w:rPr>
              <w:t>2</w:t>
            </w:r>
            <w:r w:rsidR="000C62BA">
              <w:rPr>
                <w:rFonts w:ascii="Verdana" w:hAnsi="Verdana" w:cs="Times New Roman Bold"/>
                <w:b/>
                <w:bCs/>
                <w:sz w:val="20"/>
              </w:rPr>
              <w:t>4</w:t>
            </w:r>
            <w:r>
              <w:rPr>
                <w:rFonts w:ascii="Verdana" w:hAnsi="Verdana" w:cs="Times New Roman Bold"/>
                <w:b/>
                <w:bCs/>
                <w:sz w:val="20"/>
              </w:rPr>
              <w:t>-</w:t>
            </w:r>
            <w:r w:rsidR="00482905">
              <w:rPr>
                <w:rFonts w:ascii="Verdana" w:hAnsi="Verdana" w:cs="Times New Roman Bold"/>
                <w:b/>
                <w:bCs/>
                <w:sz w:val="20"/>
              </w:rPr>
              <w:t>2</w:t>
            </w:r>
            <w:r w:rsidR="000C62BA">
              <w:rPr>
                <w:rFonts w:ascii="Verdana" w:hAnsi="Verdana" w:cs="Times New Roman Bold"/>
                <w:b/>
                <w:bCs/>
                <w:sz w:val="20"/>
              </w:rPr>
              <w:t>7</w:t>
            </w:r>
            <w:r>
              <w:rPr>
                <w:rFonts w:ascii="Verdana" w:hAnsi="Verdana" w:cs="Times New Roman Bold"/>
                <w:b/>
                <w:bCs/>
                <w:sz w:val="20"/>
              </w:rPr>
              <w:t xml:space="preserve"> de </w:t>
            </w:r>
            <w:r w:rsidR="000C62BA">
              <w:rPr>
                <w:rFonts w:ascii="Verdana" w:hAnsi="Verdana" w:cs="Times New Roman Bold"/>
                <w:b/>
                <w:bCs/>
                <w:sz w:val="20"/>
              </w:rPr>
              <w:t>junio</w:t>
            </w:r>
            <w:r>
              <w:rPr>
                <w:rFonts w:ascii="Verdana" w:hAnsi="Verdana" w:cs="Times New Roman Bold"/>
                <w:b/>
                <w:bCs/>
                <w:sz w:val="20"/>
              </w:rPr>
              <w:t xml:space="preserve"> de 20</w:t>
            </w:r>
            <w:r w:rsidR="005D3E02">
              <w:rPr>
                <w:rFonts w:ascii="Verdana" w:hAnsi="Verdana" w:cs="Times New Roman Bold"/>
                <w:b/>
                <w:bCs/>
                <w:sz w:val="20"/>
              </w:rPr>
              <w:t>1</w:t>
            </w:r>
            <w:r w:rsidR="000C62BA">
              <w:rPr>
                <w:rFonts w:ascii="Verdana" w:hAnsi="Verdana" w:cs="Times New Roman Bold"/>
                <w:b/>
                <w:bCs/>
                <w:sz w:val="20"/>
              </w:rPr>
              <w:t>4</w:t>
            </w:r>
          </w:p>
        </w:tc>
        <w:tc>
          <w:tcPr>
            <w:tcW w:w="3118" w:type="dxa"/>
          </w:tcPr>
          <w:p w:rsidR="006E291F" w:rsidRDefault="006A42AB" w:rsidP="00CB7A43">
            <w:pPr>
              <w:shd w:val="solid" w:color="FFFFFF" w:fill="FFFFFF"/>
              <w:spacing w:before="0" w:line="240" w:lineRule="atLeast"/>
            </w:pPr>
            <w:r>
              <w:rPr>
                <w:rFonts w:ascii="Verdana" w:hAnsi="Verdana"/>
                <w:b/>
                <w:bCs/>
                <w:noProof/>
                <w:szCs w:val="24"/>
                <w:lang w:val="en-US" w:eastAsia="zh-CN"/>
              </w:rPr>
              <w:drawing>
                <wp:inline distT="0" distB="0" distL="0" distR="0" wp14:anchorId="21F07AC4" wp14:editId="21A28114">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6E291F" w:rsidRPr="0051782D">
        <w:trPr>
          <w:cantSplit/>
        </w:trPr>
        <w:tc>
          <w:tcPr>
            <w:tcW w:w="6771" w:type="dxa"/>
            <w:tcBorders>
              <w:bottom w:val="single" w:sz="12" w:space="0" w:color="auto"/>
            </w:tcBorders>
          </w:tcPr>
          <w:p w:rsidR="006E291F" w:rsidRPr="0051782D"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trPr>
          <w:cantSplit/>
        </w:trPr>
        <w:tc>
          <w:tcPr>
            <w:tcW w:w="6771"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trPr>
          <w:cantSplit/>
        </w:trPr>
        <w:tc>
          <w:tcPr>
            <w:tcW w:w="6771" w:type="dxa"/>
            <w:vMerge w:val="restart"/>
          </w:tcPr>
          <w:p w:rsidR="006E291F" w:rsidRDefault="006E291F" w:rsidP="00CB7A43">
            <w:pPr>
              <w:shd w:val="solid" w:color="FFFFFF" w:fill="FFFFFF"/>
              <w:spacing w:after="240"/>
              <w:rPr>
                <w:sz w:val="20"/>
              </w:rPr>
            </w:pPr>
            <w:bookmarkStart w:id="0" w:name="dnum" w:colFirst="1" w:colLast="1"/>
          </w:p>
        </w:tc>
        <w:tc>
          <w:tcPr>
            <w:tcW w:w="3118" w:type="dxa"/>
          </w:tcPr>
          <w:p w:rsidR="006E291F" w:rsidRPr="00A41069" w:rsidRDefault="00A41069" w:rsidP="00D26916">
            <w:pPr>
              <w:shd w:val="solid" w:color="FFFFFF" w:fill="FFFFFF"/>
              <w:spacing w:before="0" w:line="240" w:lineRule="atLeast"/>
              <w:rPr>
                <w:rFonts w:ascii="Verdana" w:hAnsi="Verdana"/>
                <w:sz w:val="20"/>
              </w:rPr>
            </w:pPr>
            <w:r>
              <w:rPr>
                <w:rFonts w:ascii="Verdana" w:hAnsi="Verdana"/>
                <w:b/>
                <w:sz w:val="20"/>
              </w:rPr>
              <w:t>Documento RAG14-1/</w:t>
            </w:r>
            <w:r w:rsidR="00D26916">
              <w:rPr>
                <w:rFonts w:ascii="Verdana" w:hAnsi="Verdana"/>
                <w:b/>
                <w:sz w:val="20"/>
              </w:rPr>
              <w:t>7</w:t>
            </w:r>
            <w:r>
              <w:rPr>
                <w:rFonts w:ascii="Verdana" w:hAnsi="Verdana"/>
                <w:b/>
                <w:sz w:val="20"/>
              </w:rPr>
              <w:t>-S</w:t>
            </w:r>
          </w:p>
        </w:tc>
      </w:tr>
      <w:tr w:rsidR="006E291F" w:rsidRPr="002A127E">
        <w:trPr>
          <w:cantSplit/>
        </w:trPr>
        <w:tc>
          <w:tcPr>
            <w:tcW w:w="6771" w:type="dxa"/>
            <w:vMerge/>
          </w:tcPr>
          <w:p w:rsidR="006E291F" w:rsidRDefault="006E291F" w:rsidP="00CB7A43">
            <w:pPr>
              <w:spacing w:before="60"/>
              <w:jc w:val="center"/>
              <w:rPr>
                <w:b/>
                <w:smallCaps/>
                <w:sz w:val="32"/>
              </w:rPr>
            </w:pPr>
            <w:bookmarkStart w:id="1" w:name="ddate" w:colFirst="1" w:colLast="1"/>
            <w:bookmarkEnd w:id="0"/>
          </w:p>
        </w:tc>
        <w:tc>
          <w:tcPr>
            <w:tcW w:w="3118" w:type="dxa"/>
          </w:tcPr>
          <w:p w:rsidR="006E291F" w:rsidRPr="00A41069" w:rsidRDefault="009D7D0B" w:rsidP="00A41069">
            <w:pPr>
              <w:shd w:val="solid" w:color="FFFFFF" w:fill="FFFFFF"/>
              <w:spacing w:before="0" w:line="240" w:lineRule="atLeast"/>
              <w:rPr>
                <w:rFonts w:ascii="Verdana" w:hAnsi="Verdana"/>
                <w:sz w:val="20"/>
              </w:rPr>
            </w:pPr>
            <w:r>
              <w:rPr>
                <w:rFonts w:ascii="Verdana" w:hAnsi="Verdana"/>
                <w:b/>
                <w:sz w:val="20"/>
              </w:rPr>
              <w:t>23</w:t>
            </w:r>
            <w:r w:rsidR="00A41069">
              <w:rPr>
                <w:rFonts w:ascii="Verdana" w:hAnsi="Verdana"/>
                <w:b/>
                <w:sz w:val="20"/>
              </w:rPr>
              <w:t xml:space="preserve"> de mayo de 2014</w:t>
            </w:r>
          </w:p>
        </w:tc>
      </w:tr>
      <w:tr w:rsidR="006E291F" w:rsidRPr="002A127E">
        <w:trPr>
          <w:cantSplit/>
        </w:trPr>
        <w:tc>
          <w:tcPr>
            <w:tcW w:w="6771" w:type="dxa"/>
            <w:vMerge/>
          </w:tcPr>
          <w:p w:rsidR="006E291F" w:rsidRDefault="006E291F" w:rsidP="00CB7A43">
            <w:pPr>
              <w:spacing w:before="60"/>
              <w:jc w:val="center"/>
              <w:rPr>
                <w:b/>
                <w:smallCaps/>
                <w:sz w:val="32"/>
              </w:rPr>
            </w:pPr>
            <w:bookmarkStart w:id="2" w:name="dorlang" w:colFirst="1" w:colLast="1"/>
            <w:bookmarkEnd w:id="1"/>
          </w:p>
        </w:tc>
        <w:tc>
          <w:tcPr>
            <w:tcW w:w="3118" w:type="dxa"/>
          </w:tcPr>
          <w:p w:rsidR="006E291F" w:rsidRPr="00A41069" w:rsidRDefault="00A41069" w:rsidP="009D7D0B">
            <w:pPr>
              <w:shd w:val="solid" w:color="FFFFFF" w:fill="FFFFFF"/>
              <w:spacing w:before="0" w:after="120" w:line="240" w:lineRule="atLeast"/>
              <w:rPr>
                <w:rFonts w:ascii="Verdana" w:hAnsi="Verdana"/>
                <w:sz w:val="20"/>
              </w:rPr>
            </w:pPr>
            <w:r>
              <w:rPr>
                <w:rFonts w:ascii="Verdana" w:hAnsi="Verdana"/>
                <w:b/>
                <w:sz w:val="20"/>
              </w:rPr>
              <w:t xml:space="preserve">Original: </w:t>
            </w:r>
            <w:r w:rsidR="009D7D0B">
              <w:rPr>
                <w:rFonts w:ascii="Verdana" w:hAnsi="Verdana"/>
                <w:b/>
                <w:sz w:val="20"/>
              </w:rPr>
              <w:t>inglés</w:t>
            </w:r>
          </w:p>
        </w:tc>
      </w:tr>
      <w:tr w:rsidR="006E291F">
        <w:trPr>
          <w:cantSplit/>
        </w:trPr>
        <w:tc>
          <w:tcPr>
            <w:tcW w:w="9889" w:type="dxa"/>
            <w:gridSpan w:val="2"/>
          </w:tcPr>
          <w:p w:rsidR="006E291F" w:rsidRDefault="009D7D0B" w:rsidP="00CB7A43">
            <w:pPr>
              <w:pStyle w:val="Source"/>
            </w:pPr>
            <w:bookmarkStart w:id="3" w:name="dsource" w:colFirst="0" w:colLast="0"/>
            <w:bookmarkEnd w:id="2"/>
            <w:r>
              <w:t>Director de la Oficina de Radiocomunicaciones</w:t>
            </w:r>
          </w:p>
        </w:tc>
      </w:tr>
      <w:tr w:rsidR="006E291F">
        <w:trPr>
          <w:cantSplit/>
        </w:trPr>
        <w:tc>
          <w:tcPr>
            <w:tcW w:w="9889" w:type="dxa"/>
            <w:gridSpan w:val="2"/>
          </w:tcPr>
          <w:p w:rsidR="006E291F" w:rsidRDefault="009D7D0B" w:rsidP="00CB7A43">
            <w:pPr>
              <w:pStyle w:val="Title1"/>
            </w:pPr>
            <w:bookmarkStart w:id="4" w:name="dtitle1" w:colFirst="0" w:colLast="0"/>
            <w:bookmarkEnd w:id="3"/>
            <w:r>
              <w:t>la oficina de radiocomunicaciones y la computación en nube</w:t>
            </w:r>
          </w:p>
        </w:tc>
      </w:tr>
    </w:tbl>
    <w:bookmarkEnd w:id="4"/>
    <w:p w:rsidR="00A41069" w:rsidRDefault="004C1D5A" w:rsidP="00443EA3">
      <w:pPr>
        <w:pStyle w:val="Heading1"/>
      </w:pPr>
      <w:r>
        <w:t>1</w:t>
      </w:r>
      <w:r w:rsidR="00A41069">
        <w:tab/>
      </w:r>
      <w:r w:rsidR="00443EA3">
        <w:t>Antecedentes</w:t>
      </w:r>
    </w:p>
    <w:p w:rsidR="009D7D0B" w:rsidRDefault="009D7D0B" w:rsidP="00D04F77">
      <w:r>
        <w:t>La computación en nube es el actual paradigma de nueva computación, basada en Internet, en el que se proporcionan por demanda recurso</w:t>
      </w:r>
      <w:r w:rsidR="00D04F77">
        <w:t>s</w:t>
      </w:r>
      <w:r>
        <w:t>, software e información compartidos. La co</w:t>
      </w:r>
      <w:r w:rsidR="00443EA3">
        <w:t>mputación</w:t>
      </w:r>
      <w:r>
        <w:t xml:space="preserve"> en nube </w:t>
      </w:r>
      <w:r w:rsidR="00443EA3">
        <w:t>impulsa</w:t>
      </w:r>
      <w:r>
        <w:t xml:space="preserve"> y </w:t>
      </w:r>
      <w:r w:rsidR="00443EA3">
        <w:t>perfecciona el desarrollo</w:t>
      </w:r>
      <w:r>
        <w:t xml:space="preserve"> de aplicaciones sin </w:t>
      </w:r>
      <w:r w:rsidR="00443EA3">
        <w:t>desembolso</w:t>
      </w:r>
      <w:r>
        <w:t xml:space="preserve"> inicial de capital para </w:t>
      </w:r>
      <w:r w:rsidR="00443EA3">
        <w:t>sufragar la adquisi</w:t>
      </w:r>
      <w:r w:rsidR="00FF3889">
        <w:t>ci</w:t>
      </w:r>
      <w:r w:rsidR="00443EA3">
        <w:t xml:space="preserve">ón de </w:t>
      </w:r>
      <w:r>
        <w:t xml:space="preserve">servidores y almacenamiento. Por este motivo, muchas empresas, gobiernos y proveedores de </w:t>
      </w:r>
      <w:r w:rsidR="00443EA3">
        <w:t>servicios/redes</w:t>
      </w:r>
      <w:r>
        <w:t xml:space="preserve"> están considerando actualmente adop</w:t>
      </w:r>
      <w:r w:rsidR="00443EA3">
        <w:t>tar</w:t>
      </w:r>
      <w:r>
        <w:t xml:space="preserve"> la computación en nube para ofrecer unos servicios de red más eficientes y </w:t>
      </w:r>
      <w:r w:rsidR="00443EA3">
        <w:t>rentables</w:t>
      </w:r>
      <w:r>
        <w:t>.</w:t>
      </w:r>
    </w:p>
    <w:p w:rsidR="00A41069" w:rsidRDefault="009D7D0B" w:rsidP="00D04F77">
      <w:r>
        <w:t xml:space="preserve">El marco estratégico del sistema de las Naciones Unidas para unas TIC más armonizadas, eficaces, ecológicas y económicas, aprobado en Nueva York en agosto de 2013, menciona que la computación en nube puede ayudar a </w:t>
      </w:r>
      <w:r w:rsidR="00443EA3">
        <w:t>l</w:t>
      </w:r>
      <w:r>
        <w:t>os organismo</w:t>
      </w:r>
      <w:r w:rsidR="00443EA3">
        <w:t>s</w:t>
      </w:r>
      <w:r>
        <w:t xml:space="preserve"> de las </w:t>
      </w:r>
      <w:r w:rsidR="00443EA3">
        <w:t xml:space="preserve">Naciones Unidas </w:t>
      </w:r>
      <w:r>
        <w:t xml:space="preserve">a lograr una continua innovación, </w:t>
      </w:r>
      <w:r w:rsidR="00443EA3">
        <w:t xml:space="preserve">a </w:t>
      </w:r>
      <w:r>
        <w:t>mejorar la integración y la interoperabilidad,</w:t>
      </w:r>
      <w:r w:rsidR="00443EA3">
        <w:t xml:space="preserve"> a</w:t>
      </w:r>
      <w:r>
        <w:t xml:space="preserve"> impulsar la eficacia y la eficiencia y </w:t>
      </w:r>
      <w:r w:rsidR="00443EA3">
        <w:t xml:space="preserve">a </w:t>
      </w:r>
      <w:r>
        <w:t xml:space="preserve">aplicar las practicas idóneas a las TIC. En particular, se menciona que la </w:t>
      </w:r>
      <w:r w:rsidR="008B2C6B">
        <w:t>"</w:t>
      </w:r>
      <w:r w:rsidRPr="00443EA3">
        <w:rPr>
          <w:i/>
          <w:iCs/>
        </w:rPr>
        <w:t xml:space="preserve">nube </w:t>
      </w:r>
      <w:r w:rsidR="00443EA3" w:rsidRPr="00443EA3">
        <w:rPr>
          <w:i/>
          <w:iCs/>
        </w:rPr>
        <w:t xml:space="preserve">del Software </w:t>
      </w:r>
      <w:r w:rsidRPr="00443EA3">
        <w:rPr>
          <w:i/>
          <w:iCs/>
        </w:rPr>
        <w:t>como un servicio</w:t>
      </w:r>
      <w:r w:rsidRPr="00D04F77">
        <w:rPr>
          <w:i/>
          <w:iCs/>
        </w:rPr>
        <w:t>,</w:t>
      </w:r>
      <w:r>
        <w:t xml:space="preserve"> </w:t>
      </w:r>
      <w:r w:rsidR="00443EA3" w:rsidRPr="00443EA3">
        <w:rPr>
          <w:i/>
          <w:iCs/>
        </w:rPr>
        <w:t xml:space="preserve">Infraestructura </w:t>
      </w:r>
      <w:r w:rsidRPr="00443EA3">
        <w:rPr>
          <w:i/>
          <w:iCs/>
        </w:rPr>
        <w:t xml:space="preserve">como un servicio y </w:t>
      </w:r>
      <w:r w:rsidR="00D04F77" w:rsidRPr="00443EA3">
        <w:rPr>
          <w:i/>
          <w:iCs/>
        </w:rPr>
        <w:t xml:space="preserve">Plataforma </w:t>
      </w:r>
      <w:r w:rsidR="00443EA3">
        <w:rPr>
          <w:i/>
          <w:iCs/>
        </w:rPr>
        <w:t>de entrega</w:t>
      </w:r>
      <w:r w:rsidRPr="00443EA3">
        <w:rPr>
          <w:i/>
          <w:iCs/>
        </w:rPr>
        <w:t xml:space="preserve"> de servicio</w:t>
      </w:r>
      <w:r w:rsidR="00443EA3">
        <w:rPr>
          <w:i/>
          <w:iCs/>
        </w:rPr>
        <w:t>s</w:t>
      </w:r>
      <w:r w:rsidRPr="00443EA3">
        <w:rPr>
          <w:i/>
          <w:iCs/>
        </w:rPr>
        <w:t xml:space="preserve"> puede proporcionar beneficios inmediatos para la armonización</w:t>
      </w:r>
      <w:r w:rsidR="00D04F77">
        <w:rPr>
          <w:i/>
          <w:iCs/>
        </w:rPr>
        <w:t>,</w:t>
      </w:r>
      <w:r w:rsidRPr="00443EA3">
        <w:rPr>
          <w:i/>
          <w:iCs/>
        </w:rPr>
        <w:t xml:space="preserve"> así como </w:t>
      </w:r>
      <w:r w:rsidR="00443EA3">
        <w:rPr>
          <w:i/>
          <w:iCs/>
        </w:rPr>
        <w:t xml:space="preserve">para la contención </w:t>
      </w:r>
      <w:r w:rsidRPr="00443EA3">
        <w:rPr>
          <w:i/>
          <w:iCs/>
        </w:rPr>
        <w:t xml:space="preserve">de </w:t>
      </w:r>
      <w:r w:rsidR="00443EA3">
        <w:rPr>
          <w:i/>
          <w:iCs/>
        </w:rPr>
        <w:t xml:space="preserve">los </w:t>
      </w:r>
      <w:r w:rsidRPr="00443EA3">
        <w:rPr>
          <w:i/>
          <w:iCs/>
        </w:rPr>
        <w:t>costes</w:t>
      </w:r>
      <w:r w:rsidR="008B2C6B">
        <w:t>"</w:t>
      </w:r>
      <w:r>
        <w:t>.</w:t>
      </w:r>
    </w:p>
    <w:p w:rsidR="00A41069" w:rsidRDefault="004C1D5A" w:rsidP="009D7D0B">
      <w:pPr>
        <w:pStyle w:val="Heading1"/>
      </w:pPr>
      <w:r>
        <w:t>2</w:t>
      </w:r>
      <w:r>
        <w:tab/>
      </w:r>
      <w:r w:rsidR="009D7D0B">
        <w:t>Necesidades de cálculo de la BR</w:t>
      </w:r>
    </w:p>
    <w:p w:rsidR="00A41069" w:rsidRDefault="009D7D0B" w:rsidP="006C1514">
      <w:r>
        <w:t>La BR se ha centrado en los últimos años en adquirir experiencia en el desarrollo y utilización de técnicas de cálculo distribuido por las siguiente razones:</w:t>
      </w:r>
    </w:p>
    <w:p w:rsidR="009D7D0B" w:rsidRDefault="009D7D0B" w:rsidP="00443EA3">
      <w:pPr>
        <w:pStyle w:val="enumlev1"/>
      </w:pPr>
      <w:r>
        <w:t>•</w:t>
      </w:r>
      <w:r>
        <w:tab/>
        <w:t xml:space="preserve">La necesidad de preparar futuros eventos (por ejemplo, </w:t>
      </w:r>
      <w:r w:rsidR="00443EA3">
        <w:t xml:space="preserve">Conferencias Mundiales/Regionales </w:t>
      </w:r>
      <w:r>
        <w:t>de Radiocomunicaciones) que pueden requerir una potencia y capacidad de cálculo muy elevadas</w:t>
      </w:r>
      <w:r w:rsidR="00443EA3">
        <w:rPr>
          <w:rStyle w:val="FootnoteReference"/>
        </w:rPr>
        <w:footnoteReference w:id="1"/>
      </w:r>
      <w:r>
        <w:t>.</w:t>
      </w:r>
    </w:p>
    <w:p w:rsidR="009D7D0B" w:rsidRDefault="009D7D0B" w:rsidP="009D7D0B">
      <w:pPr>
        <w:pStyle w:val="enumlev1"/>
      </w:pPr>
      <w:r>
        <w:t>•</w:t>
      </w:r>
      <w:r>
        <w:tab/>
        <w:t>La necesidad de agilizar los cálculos durante las actividades regulares de la BR a fin de satisfacer su obligaciones estatutarias relativas al procesamiento diario de las notificaciones de servicios de radiocomunicaciones espaciales y terrenales.</w:t>
      </w:r>
    </w:p>
    <w:p w:rsidR="009D7D0B" w:rsidRDefault="009D7D0B" w:rsidP="009D7D0B">
      <w:pPr>
        <w:pStyle w:val="enumlev1"/>
      </w:pPr>
      <w:r>
        <w:t>•</w:t>
      </w:r>
      <w:r>
        <w:tab/>
        <w:t>El deseo de ofrecer a los</w:t>
      </w:r>
      <w:bookmarkStart w:id="5" w:name="_GoBack"/>
      <w:bookmarkEnd w:id="5"/>
      <w:r>
        <w:t xml:space="preserve"> miembros cada vez más servicios en línea</w:t>
      </w:r>
      <w:r w:rsidR="001F331E">
        <w:rPr>
          <w:rStyle w:val="FootnoteReference"/>
        </w:rPr>
        <w:footnoteReference w:id="2"/>
      </w:r>
      <w:r>
        <w:t>.</w:t>
      </w:r>
    </w:p>
    <w:p w:rsidR="009D7D0B" w:rsidRDefault="009D7D0B" w:rsidP="001F331E">
      <w:r>
        <w:lastRenderedPageBreak/>
        <w:t>Teniendo eso en cu</w:t>
      </w:r>
      <w:r w:rsidR="001F331E">
        <w:t>e</w:t>
      </w:r>
      <w:r>
        <w:t xml:space="preserve">nta, la BR propuso al </w:t>
      </w:r>
      <w:r w:rsidR="001F331E">
        <w:t>Comité para las</w:t>
      </w:r>
      <w:r>
        <w:t xml:space="preserve"> Tecnologías de la Información y la </w:t>
      </w:r>
      <w:r w:rsidR="001F331E">
        <w:t xml:space="preserve">Comunicación </w:t>
      </w:r>
      <w:r>
        <w:t xml:space="preserve">de la UIT (ICTC) un proyecto piloto para investigar las posibilidades de la computación en nube. El ICTC aprobó en noviembre de 2011 el proyecto de la BR, que se </w:t>
      </w:r>
      <w:r w:rsidR="001F331E">
        <w:t>desarrolló</w:t>
      </w:r>
      <w:r>
        <w:t xml:space="preserve"> desde</w:t>
      </w:r>
      <w:r w:rsidR="001F331E">
        <w:t xml:space="preserve"> septiembre de </w:t>
      </w:r>
      <w:r>
        <w:t>2012 hasta diciembre de 2013.</w:t>
      </w:r>
    </w:p>
    <w:p w:rsidR="00A41069" w:rsidRDefault="00A62CF2" w:rsidP="009D7D0B">
      <w:pPr>
        <w:pStyle w:val="Heading1"/>
      </w:pPr>
      <w:r>
        <w:t>3</w:t>
      </w:r>
      <w:r w:rsidR="00A41069">
        <w:tab/>
      </w:r>
      <w:r w:rsidR="009D7D0B">
        <w:t>Proyecto pilo</w:t>
      </w:r>
      <w:r w:rsidR="001F331E">
        <w:t>to</w:t>
      </w:r>
      <w:r w:rsidR="009D7D0B">
        <w:t xml:space="preserve"> de la BR sobre computación en nube</w:t>
      </w:r>
    </w:p>
    <w:p w:rsidR="009D7D0B" w:rsidRDefault="009D7D0B" w:rsidP="009D7D0B">
      <w:r>
        <w:t>El objetivo principal del proyecto piloto era estudia</w:t>
      </w:r>
      <w:r w:rsidR="001F331E">
        <w:t>r los retos que supone integrar</w:t>
      </w:r>
      <w:r w:rsidR="00D04F77">
        <w:t xml:space="preserve"> </w:t>
      </w:r>
      <w:r w:rsidR="001F331E">
        <w:t>l</w:t>
      </w:r>
      <w:r>
        <w:t>os dispositivos de cálculo situados en los locales de la UIT con los recursos de la nube, prestando especial atención a la escalabilidad, la confidencialidad de los datos y los temas de seguridad, en cooperación con el Departamento de Servicios Informáticos de la UIT.</w:t>
      </w:r>
    </w:p>
    <w:p w:rsidR="009D7D0B" w:rsidRDefault="009D7D0B" w:rsidP="001F331E">
      <w:r>
        <w:t>El equipo de la BR investig</w:t>
      </w:r>
      <w:r w:rsidR="001F331E">
        <w:t>ó</w:t>
      </w:r>
      <w:r>
        <w:t xml:space="preserve"> en particular en qué medida puede</w:t>
      </w:r>
      <w:r w:rsidR="001F331E">
        <w:t>n</w:t>
      </w:r>
      <w:r>
        <w:t xml:space="preserve"> verse afectada</w:t>
      </w:r>
      <w:r w:rsidR="001F331E">
        <w:t>s</w:t>
      </w:r>
      <w:r>
        <w:t xml:space="preserve"> la seguridad y la confidencialidad de </w:t>
      </w:r>
      <w:r w:rsidR="001F331E">
        <w:t>l</w:t>
      </w:r>
      <w:r>
        <w:t>os datos manejados por la Oficina por la computación en nube, si se utiliza, y qu</w:t>
      </w:r>
      <w:r w:rsidR="001F331E">
        <w:t>é</w:t>
      </w:r>
      <w:r>
        <w:t xml:space="preserve"> tipo de datos tratados por la BR pueden ser adecuados para dicha computación</w:t>
      </w:r>
      <w:r w:rsidR="001F331E">
        <w:t xml:space="preserve"> en nube</w:t>
      </w:r>
      <w:r>
        <w:t>, teniendo en cuenta el alto grado de sensibilidad de algunos de estos datos asociados a los derechos al espectro de los miembros.</w:t>
      </w:r>
    </w:p>
    <w:p w:rsidR="009D7D0B" w:rsidRDefault="009D7D0B" w:rsidP="001F331E">
      <w:r>
        <w:t xml:space="preserve">Para difundir los conocimientos a través de la organización se creó un equipo de proyecto compuesto por personal de la BR que hace uso de diferentes herramientas de software. Ser capaz de ejecutar este software diverso en la nube </w:t>
      </w:r>
      <w:r w:rsidR="001F331E">
        <w:t>aprovechó</w:t>
      </w:r>
      <w:r>
        <w:t xml:space="preserve"> esta experiencia a nivel de la organización.</w:t>
      </w:r>
    </w:p>
    <w:p w:rsidR="009D7D0B" w:rsidRDefault="009D7D0B" w:rsidP="001F331E">
      <w:r>
        <w:t>El proyecto consider</w:t>
      </w:r>
      <w:r w:rsidR="001F331E">
        <w:t>ó</w:t>
      </w:r>
      <w:r>
        <w:t xml:space="preserve"> todos los modelos de servicio de computación en nube: Infraestructura como servicio</w:t>
      </w:r>
      <w:r w:rsidR="001F331E">
        <w:t xml:space="preserve"> (Iaas)</w:t>
      </w:r>
      <w:r>
        <w:t>, Plataforma como servicio</w:t>
      </w:r>
      <w:r w:rsidR="001F331E">
        <w:t xml:space="preserve"> (Paas)</w:t>
      </w:r>
      <w:r>
        <w:t xml:space="preserve"> y </w:t>
      </w:r>
      <w:r w:rsidR="001F331E">
        <w:t xml:space="preserve">Software </w:t>
      </w:r>
      <w:r>
        <w:t>como servicio</w:t>
      </w:r>
      <w:r w:rsidR="001F331E">
        <w:t xml:space="preserve"> (Saas)</w:t>
      </w:r>
      <w:r>
        <w:t>.</w:t>
      </w:r>
    </w:p>
    <w:p w:rsidR="009D7D0B" w:rsidRDefault="009D7D0B" w:rsidP="009D7D0B">
      <w:r>
        <w:t>El diseño de la arquitectura de las soluciones piloto de la BR fue impulsado por el deseo de satisfacer las siguientes necesidades identificadas durante el análisis del sistema:</w:t>
      </w:r>
    </w:p>
    <w:p w:rsidR="009D7D0B" w:rsidRDefault="009D7D0B" w:rsidP="001F331E">
      <w:pPr>
        <w:pStyle w:val="enumlev1"/>
      </w:pPr>
      <w:r>
        <w:t>•</w:t>
      </w:r>
      <w:r>
        <w:tab/>
      </w:r>
      <w:r w:rsidRPr="00443EA3">
        <w:rPr>
          <w:b/>
          <w:bCs/>
          <w:i/>
          <w:iCs/>
        </w:rPr>
        <w:t>Seguridad y confidencialidad</w:t>
      </w:r>
      <w:r>
        <w:t xml:space="preserve">: una protección de los datos al menos tan buena como la actual protección en la infraestructura de la UIT y cumplimiento </w:t>
      </w:r>
      <w:r w:rsidR="001F331E">
        <w:t>de</w:t>
      </w:r>
      <w:r>
        <w:t xml:space="preserve"> las presentes normas de seguridad de los servicios informáticos.</w:t>
      </w:r>
    </w:p>
    <w:p w:rsidR="009D7D0B" w:rsidRDefault="009D7D0B" w:rsidP="001F331E">
      <w:pPr>
        <w:pStyle w:val="enumlev1"/>
      </w:pPr>
      <w:r>
        <w:t>•</w:t>
      </w:r>
      <w:r>
        <w:tab/>
      </w:r>
      <w:r w:rsidRPr="00443EA3">
        <w:rPr>
          <w:b/>
          <w:bCs/>
          <w:i/>
          <w:iCs/>
        </w:rPr>
        <w:t>Disponibilidad</w:t>
      </w:r>
      <w:r>
        <w:t xml:space="preserve">: al menos </w:t>
      </w:r>
      <w:r w:rsidR="001F331E">
        <w:t>tan</w:t>
      </w:r>
      <w:r>
        <w:t xml:space="preserve"> buena como la disponibilidad de la infraestructura de la UIT.</w:t>
      </w:r>
    </w:p>
    <w:p w:rsidR="009D7D0B" w:rsidRDefault="009D7D0B" w:rsidP="00443EA3">
      <w:pPr>
        <w:pStyle w:val="enumlev1"/>
      </w:pPr>
      <w:r>
        <w:t>•</w:t>
      </w:r>
      <w:r>
        <w:tab/>
      </w:r>
      <w:r w:rsidRPr="00443EA3">
        <w:rPr>
          <w:b/>
          <w:bCs/>
          <w:i/>
          <w:iCs/>
        </w:rPr>
        <w:t>Calidad de funcionamiento</w:t>
      </w:r>
      <w:r>
        <w:t xml:space="preserve">: la carga de trabajo máxima debe gestionarse más eficientemente en comparación con los limitados recursos disponibles </w:t>
      </w:r>
      <w:r w:rsidRPr="001F331E">
        <w:rPr>
          <w:i/>
          <w:iCs/>
        </w:rPr>
        <w:t>in situ</w:t>
      </w:r>
      <w:r>
        <w:t>.</w:t>
      </w:r>
    </w:p>
    <w:p w:rsidR="009D7D0B" w:rsidRDefault="009D7D0B" w:rsidP="001F331E">
      <w:pPr>
        <w:pStyle w:val="enumlev1"/>
      </w:pPr>
      <w:r>
        <w:t>•</w:t>
      </w:r>
      <w:r>
        <w:tab/>
      </w:r>
      <w:r w:rsidR="001F331E">
        <w:rPr>
          <w:b/>
          <w:bCs/>
          <w:i/>
          <w:iCs/>
        </w:rPr>
        <w:t>Facilidad de uso</w:t>
      </w:r>
      <w:r>
        <w:t>: el sistema debe poder instalarse y desmontarse de manera sencilla. La escalabilidad del sistema debe poder lograrse introduciendo cambios en la información de la configuración. El sistema debe estar completamente automatizado y ser transparente para el usuario final que no tiene por qué tener un conocimiento específico de la computación en nube para explotar el sistema.</w:t>
      </w:r>
    </w:p>
    <w:p w:rsidR="009D7D0B" w:rsidRDefault="009D7D0B" w:rsidP="001F331E">
      <w:r>
        <w:t>El equipo de la BR experiment</w:t>
      </w:r>
      <w:r w:rsidR="001F331E">
        <w:t>ó</w:t>
      </w:r>
      <w:r>
        <w:t xml:space="preserve"> con el examen de coordinación GE06L (PaaS) y los cálculos de predicción de la propagación haciendo uso de la Recomendación UIT-R P. 1812 (IaaS y PaaS) implementando arquitecturas h</w:t>
      </w:r>
      <w:r w:rsidR="001F331E">
        <w:t>í</w:t>
      </w:r>
      <w:r>
        <w:t xml:space="preserve">bridas, en las que los recursos de la nube se integran con los recursos </w:t>
      </w:r>
      <w:r w:rsidRPr="001F331E">
        <w:rPr>
          <w:i/>
          <w:iCs/>
        </w:rPr>
        <w:t>in situ</w:t>
      </w:r>
      <w:r>
        <w:t xml:space="preserve"> </w:t>
      </w:r>
      <w:r w:rsidR="001F331E">
        <w:t>que alojan</w:t>
      </w:r>
      <w:r>
        <w:t xml:space="preserve"> datos sensibles.</w:t>
      </w:r>
    </w:p>
    <w:p w:rsidR="009D7D0B" w:rsidRDefault="009D7D0B" w:rsidP="001F331E">
      <w:r>
        <w:t>El equipo de la BR también experiment</w:t>
      </w:r>
      <w:r w:rsidR="001F331E">
        <w:t>ó</w:t>
      </w:r>
      <w:r>
        <w:t xml:space="preserve"> con el cálculo de la densidad de flujo de potencia, utilizado en el Departamento de Servicios </w:t>
      </w:r>
      <w:r w:rsidR="001F331E">
        <w:t xml:space="preserve">Espaciales </w:t>
      </w:r>
      <w:r>
        <w:t xml:space="preserve">a fin de evaluar la compatibilidad entre servicios en las bandas planificadas y no planificadas, en una solución IaaS </w:t>
      </w:r>
      <w:r w:rsidR="008B2C6B">
        <w:t>"</w:t>
      </w:r>
      <w:r>
        <w:t>de pura nube</w:t>
      </w:r>
      <w:r w:rsidR="008B2C6B">
        <w:t>"</w:t>
      </w:r>
      <w:r>
        <w:t>.</w:t>
      </w:r>
    </w:p>
    <w:p w:rsidR="009D7D0B" w:rsidRDefault="001F331E" w:rsidP="001F331E">
      <w:r>
        <w:t>Se analizaron l</w:t>
      </w:r>
      <w:r w:rsidR="009D7D0B">
        <w:t>os objetivos de calidad de los</w:t>
      </w:r>
      <w:r>
        <w:t xml:space="preserve"> anteriores</w:t>
      </w:r>
      <w:r w:rsidR="009D7D0B">
        <w:t xml:space="preserve"> sistemas implementados y se consideraron satisfactorios. Los sistemas se han construido sin necesidad de modificar la actual infraestructu</w:t>
      </w:r>
      <w:r>
        <w:t>ra de la UI</w:t>
      </w:r>
      <w:r w:rsidR="009D7D0B">
        <w:t>T y las normas de seguridad.</w:t>
      </w:r>
    </w:p>
    <w:p w:rsidR="009D7D0B" w:rsidRDefault="009D7D0B" w:rsidP="009D7D0B">
      <w:pPr>
        <w:pStyle w:val="Heading1"/>
      </w:pPr>
      <w:r>
        <w:lastRenderedPageBreak/>
        <w:t>4</w:t>
      </w:r>
      <w:r>
        <w:tab/>
        <w:t>Conclusión</w:t>
      </w:r>
    </w:p>
    <w:p w:rsidR="009D7D0B" w:rsidRDefault="009D7D0B" w:rsidP="001F331E">
      <w:r>
        <w:t>Dada la creciente importancia y la capacidad de penetración de la computación en nube</w:t>
      </w:r>
      <w:r w:rsidR="00D04F77">
        <w:t>,</w:t>
      </w:r>
      <w:r w:rsidR="001F331E">
        <w:t xml:space="preserve"> así</w:t>
      </w:r>
      <w:r>
        <w:t xml:space="preserve"> y </w:t>
      </w:r>
      <w:r w:rsidR="001F331E">
        <w:t xml:space="preserve">como </w:t>
      </w:r>
      <w:r>
        <w:t xml:space="preserve">las necesidades de cálculo cada vez más complejas de la BR, es necesario contar con </w:t>
      </w:r>
      <w:r w:rsidR="001F331E">
        <w:t>los</w:t>
      </w:r>
      <w:r>
        <w:t xml:space="preserve"> suficiente</w:t>
      </w:r>
      <w:r w:rsidR="001F331E">
        <w:t>s</w:t>
      </w:r>
      <w:r>
        <w:t xml:space="preserve"> conoci</w:t>
      </w:r>
      <w:r w:rsidR="001F331E">
        <w:t>mientos</w:t>
      </w:r>
      <w:r>
        <w:t xml:space="preserve"> y experiencia</w:t>
      </w:r>
      <w:r w:rsidR="001F331E">
        <w:t>s</w:t>
      </w:r>
      <w:r>
        <w:t xml:space="preserve"> sobre la utilización de esta técnica.</w:t>
      </w:r>
    </w:p>
    <w:p w:rsidR="009D7D0B" w:rsidRDefault="009D7D0B" w:rsidP="009D7D0B">
      <w:r>
        <w:t>Se invita al GAR a que dé su opinión sobre el método adoptado por la BR sobre este tema.</w:t>
      </w:r>
    </w:p>
    <w:p w:rsidR="001F331E" w:rsidRPr="009D7D0B" w:rsidRDefault="001F331E" w:rsidP="009D7D0B"/>
    <w:p w:rsidR="00E85011" w:rsidRDefault="00E85011" w:rsidP="00E85011">
      <w:pPr>
        <w:jc w:val="center"/>
      </w:pPr>
      <w:r>
        <w:t>______________</w:t>
      </w:r>
    </w:p>
    <w:sectPr w:rsidR="00E85011" w:rsidSect="004D6C09">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069" w:rsidRDefault="00A41069">
      <w:r>
        <w:separator/>
      </w:r>
    </w:p>
  </w:endnote>
  <w:endnote w:type="continuationSeparator" w:id="0">
    <w:p w:rsidR="00A41069" w:rsidRDefault="00A4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Pr="00E85011" w:rsidRDefault="008B2C6B" w:rsidP="008B2C6B">
    <w:pPr>
      <w:pStyle w:val="Footer"/>
    </w:pPr>
    <w:fldSimple w:instr=" FILENAME \p  \* MERGEFORMAT ">
      <w:r>
        <w:t>P:\ESP\ITU-R\AG\RAG\RAG14\000\007S.docx</w:t>
      </w:r>
    </w:fldSimple>
    <w:r w:rsidR="00E85011">
      <w:t xml:space="preserve"> (36</w:t>
    </w:r>
    <w:r>
      <w:t>3254</w:t>
    </w:r>
    <w:r w:rsidR="00E85011">
      <w:t>)</w:t>
    </w:r>
    <w:r w:rsidR="00E85011">
      <w:tab/>
    </w:r>
    <w:r w:rsidR="00E85011">
      <w:fldChar w:fldCharType="begin"/>
    </w:r>
    <w:r w:rsidR="00E85011">
      <w:instrText xml:space="preserve"> SAVEDATE \@ DD.MM.YY </w:instrText>
    </w:r>
    <w:r w:rsidR="00E85011">
      <w:fldChar w:fldCharType="separate"/>
    </w:r>
    <w:r w:rsidR="00D04F77">
      <w:t>28.05.14</w:t>
    </w:r>
    <w:r w:rsidR="00E85011">
      <w:fldChar w:fldCharType="end"/>
    </w:r>
    <w:r w:rsidR="00E85011">
      <w:tab/>
    </w:r>
    <w:r w:rsidR="00E85011">
      <w:fldChar w:fldCharType="begin"/>
    </w:r>
    <w:r w:rsidR="00E85011">
      <w:instrText xml:space="preserve"> PRINTDATE \@ DD.MM.YY </w:instrText>
    </w:r>
    <w:r w:rsidR="00E85011">
      <w:fldChar w:fldCharType="separate"/>
    </w:r>
    <w:r>
      <w:t>12.05.14</w:t>
    </w:r>
    <w:r w:rsidR="00E8501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Pr="00E85011" w:rsidRDefault="00595050" w:rsidP="00E85011">
    <w:pPr>
      <w:pStyle w:val="Footer"/>
    </w:pPr>
    <w:r>
      <w:fldChar w:fldCharType="begin"/>
    </w:r>
    <w:r>
      <w:instrText xml:space="preserve"> FILENAME \p  \* MERGEFORMAT </w:instrText>
    </w:r>
    <w:r>
      <w:fldChar w:fldCharType="separate"/>
    </w:r>
    <w:r w:rsidR="009D2807">
      <w:t>P:\ESP\ITU-R\AG\RAG\RAG14\000\004S.docx</w:t>
    </w:r>
    <w:r>
      <w:fldChar w:fldCharType="end"/>
    </w:r>
    <w:r w:rsidR="00E85011">
      <w:t xml:space="preserve"> (362333)</w:t>
    </w:r>
    <w:r w:rsidR="00E85011">
      <w:tab/>
    </w:r>
    <w:r w:rsidR="00E85011">
      <w:fldChar w:fldCharType="begin"/>
    </w:r>
    <w:r w:rsidR="00E85011">
      <w:instrText xml:space="preserve"> SAVEDATE \@ DD.MM.YY </w:instrText>
    </w:r>
    <w:r w:rsidR="00E85011">
      <w:fldChar w:fldCharType="separate"/>
    </w:r>
    <w:r w:rsidR="00D04F77">
      <w:t>28.05.14</w:t>
    </w:r>
    <w:r w:rsidR="00E85011">
      <w:fldChar w:fldCharType="end"/>
    </w:r>
    <w:r w:rsidR="00E85011">
      <w:tab/>
    </w:r>
    <w:r w:rsidR="00E85011">
      <w:fldChar w:fldCharType="begin"/>
    </w:r>
    <w:r w:rsidR="00E85011">
      <w:instrText xml:space="preserve"> PRINTDATE \@ DD.MM.YY </w:instrText>
    </w:r>
    <w:r w:rsidR="00E85011">
      <w:fldChar w:fldCharType="separate"/>
    </w:r>
    <w:r w:rsidR="009D2807">
      <w:t>12.05.14</w:t>
    </w:r>
    <w:r w:rsidR="00E8501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069" w:rsidRDefault="00A41069">
      <w:r>
        <w:t>____________________</w:t>
      </w:r>
    </w:p>
  </w:footnote>
  <w:footnote w:type="continuationSeparator" w:id="0">
    <w:p w:rsidR="00A41069" w:rsidRDefault="00A41069">
      <w:r>
        <w:continuationSeparator/>
      </w:r>
    </w:p>
  </w:footnote>
  <w:footnote w:id="1">
    <w:p w:rsidR="00443EA3" w:rsidRPr="00443EA3" w:rsidRDefault="00443EA3" w:rsidP="00443EA3">
      <w:pPr>
        <w:pStyle w:val="FootnoteText"/>
      </w:pPr>
      <w:r>
        <w:rPr>
          <w:rStyle w:val="FootnoteReference"/>
        </w:rPr>
        <w:footnoteRef/>
      </w:r>
      <w:r>
        <w:tab/>
        <w:t xml:space="preserve">Por ejemplo, durante la CRR-06, la BR tuvo que instalar un grupo de 100 PC y utilizar la red EGEE como </w:t>
      </w:r>
      <w:hyperlink r:id="rId1" w:history="1">
        <w:r w:rsidRPr="00D04F77">
          <w:rPr>
            <w:rStyle w:val="Hyperlink"/>
          </w:rPr>
          <w:t>empresa mixta</w:t>
        </w:r>
      </w:hyperlink>
      <w:r>
        <w:rPr>
          <w:b/>
          <w:bCs/>
        </w:rPr>
        <w:t xml:space="preserve"> </w:t>
      </w:r>
      <w:r>
        <w:t>con el CER</w:t>
      </w:r>
      <w:r w:rsidR="00D04F77">
        <w:t>N</w:t>
      </w:r>
      <w:r w:rsidR="001F331E">
        <w:t>.</w:t>
      </w:r>
    </w:p>
  </w:footnote>
  <w:footnote w:id="2">
    <w:p w:rsidR="001F331E" w:rsidRDefault="001F331E" w:rsidP="001F331E">
      <w:pPr>
        <w:pStyle w:val="FootnoteText"/>
      </w:pPr>
      <w:r>
        <w:rPr>
          <w:rStyle w:val="FootnoteReference"/>
        </w:rPr>
        <w:footnoteRef/>
      </w:r>
      <w:r>
        <w:tab/>
        <w:t>La BR ya ofrece herramientas en línea para los servicios de radiodifusión (</w:t>
      </w:r>
      <w:hyperlink r:id="rId2" w:history="1">
        <w:r w:rsidRPr="00D04F77">
          <w:rPr>
            <w:rStyle w:val="Hyperlink"/>
          </w:rPr>
          <w:t>eBCD</w:t>
        </w:r>
        <w:r w:rsidR="00D04F77" w:rsidRPr="00D04F77">
          <w:rPr>
            <w:rStyle w:val="Hyperlink"/>
          </w:rPr>
          <w:t xml:space="preserve"> </w:t>
        </w:r>
        <w:r w:rsidRPr="00D04F77">
          <w:rPr>
            <w:rStyle w:val="Hyperlink"/>
          </w:rPr>
          <w:t>2.0</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595050">
      <w:rPr>
        <w:rStyle w:val="PageNumber"/>
        <w:noProof/>
      </w:rPr>
      <w:t>2</w:t>
    </w:r>
    <w:r>
      <w:rPr>
        <w:rStyle w:val="PageNumber"/>
      </w:rPr>
      <w:fldChar w:fldCharType="end"/>
    </w:r>
  </w:p>
  <w:p w:rsidR="00616601" w:rsidRDefault="0034043B" w:rsidP="008B2C6B">
    <w:pPr>
      <w:pStyle w:val="Header"/>
      <w:rPr>
        <w:lang w:val="es-ES"/>
      </w:rPr>
    </w:pPr>
    <w:r>
      <w:rPr>
        <w:lang w:val="es-ES"/>
      </w:rPr>
      <w:t>RAG</w:t>
    </w:r>
    <w:r w:rsidR="005D3E02">
      <w:rPr>
        <w:lang w:val="es-ES"/>
      </w:rPr>
      <w:t>1</w:t>
    </w:r>
    <w:r w:rsidR="000C62BA">
      <w:rPr>
        <w:lang w:val="es-ES"/>
      </w:rPr>
      <w:t>4</w:t>
    </w:r>
    <w:r w:rsidR="00616601">
      <w:rPr>
        <w:lang w:val="es-ES"/>
      </w:rPr>
      <w:t>-1/</w:t>
    </w:r>
    <w:r w:rsidR="008B2C6B">
      <w:rPr>
        <w:lang w:val="es-ES"/>
      </w:rPr>
      <w:t>7</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69"/>
    <w:rsid w:val="00015507"/>
    <w:rsid w:val="000C62BA"/>
    <w:rsid w:val="0012592F"/>
    <w:rsid w:val="001F331E"/>
    <w:rsid w:val="0031432E"/>
    <w:rsid w:val="0034043B"/>
    <w:rsid w:val="00414D8B"/>
    <w:rsid w:val="00443EA3"/>
    <w:rsid w:val="00482905"/>
    <w:rsid w:val="004C1D5A"/>
    <w:rsid w:val="004D6C09"/>
    <w:rsid w:val="00595050"/>
    <w:rsid w:val="005D3E02"/>
    <w:rsid w:val="00610642"/>
    <w:rsid w:val="00616601"/>
    <w:rsid w:val="006A42AB"/>
    <w:rsid w:val="006C1514"/>
    <w:rsid w:val="006E291F"/>
    <w:rsid w:val="008B2C6B"/>
    <w:rsid w:val="009D2807"/>
    <w:rsid w:val="009D7D0B"/>
    <w:rsid w:val="00A41069"/>
    <w:rsid w:val="00A62CF2"/>
    <w:rsid w:val="00A71485"/>
    <w:rsid w:val="00B32E51"/>
    <w:rsid w:val="00C73562"/>
    <w:rsid w:val="00CB7A43"/>
    <w:rsid w:val="00D04F77"/>
    <w:rsid w:val="00D26916"/>
    <w:rsid w:val="00E72EA7"/>
    <w:rsid w:val="00E85011"/>
    <w:rsid w:val="00FF38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styleId="Hyperlink">
    <w:name w:val="Hyperlink"/>
    <w:basedOn w:val="DefaultParagraphFont"/>
    <w:rsid w:val="004C1D5A"/>
    <w:rPr>
      <w:color w:val="0000FF"/>
      <w:u w:val="single"/>
    </w:rPr>
  </w:style>
  <w:style w:type="paragraph" w:customStyle="1" w:styleId="Reasons">
    <w:name w:val="Reasons"/>
    <w:basedOn w:val="Normal"/>
    <w:qFormat/>
    <w:rsid w:val="00E85011"/>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styleId="Hyperlink">
    <w:name w:val="Hyperlink"/>
    <w:basedOn w:val="DefaultParagraphFont"/>
    <w:rsid w:val="004C1D5A"/>
    <w:rPr>
      <w:color w:val="0000FF"/>
      <w:u w:val="single"/>
    </w:rPr>
  </w:style>
  <w:style w:type="paragraph" w:customStyle="1" w:styleId="Reasons">
    <w:name w:val="Reasons"/>
    <w:basedOn w:val="Normal"/>
    <w:qFormat/>
    <w:rsid w:val="00E85011"/>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R/terrestrial/broadcast/software/eBCD/PortalBroadcastingServices.pdf" TargetMode="External"/><Relationship Id="rId1" Type="http://schemas.openxmlformats.org/officeDocument/2006/relationships/hyperlink" Target="http://arxiv.org/abs/0906.21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76607-C3D8-49A6-99C0-D4402A65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PS_RAG14.dotm</Template>
  <TotalTime>29</TotalTime>
  <Pages>3</Pages>
  <Words>950</Words>
  <Characters>5095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PROPUESTAS DE REVISIÓN DE LA RESOLUCIÓN UIT-R 1-6</vt:lpstr>
    </vt:vector>
  </TitlesOfParts>
  <Manager>General Secretariat - Pool</Manager>
  <Company>International Telecommunication Union (ITU)</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PROPUESTAS DE REVISIÓN DE LA RESOLUCIÓN UIT-R 1-6</dc:title>
  <dc:subject>GRUPO ASESOR DE RADIOCOMUNICACIONES</dc:subject>
  <dc:creator>República Popular de China</dc:creator>
  <cp:keywords>RAG03-1</cp:keywords>
  <dc:description>Documento RAG14-1/4-S  For: _x000d_Document date: 5 de mayo de 2014_x000d_Saved by ITU51007802 at 19:07:22 on 12/05/2014</dc:description>
  <cp:lastModifiedBy>Soriano, Manuel</cp:lastModifiedBy>
  <cp:revision>7</cp:revision>
  <cp:lastPrinted>2014-05-12T17:05:00Z</cp:lastPrinted>
  <dcterms:created xsi:type="dcterms:W3CDTF">2014-05-28T09:39:00Z</dcterms:created>
  <dcterms:modified xsi:type="dcterms:W3CDTF">2014-05-28T10:29:00Z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RAG14-1/4-S</vt:lpwstr>
  </property>
  <property fmtid="{D5CDD505-2E9C-101B-9397-08002B2CF9AE}" pid="3" name="Docdate">
    <vt:lpwstr>5 de mayo de 2014</vt:lpwstr>
  </property>
  <property fmtid="{D5CDD505-2E9C-101B-9397-08002B2CF9AE}" pid="4" name="Docorlang">
    <vt:lpwstr>Original: chino</vt:lpwstr>
  </property>
  <property fmtid="{D5CDD505-2E9C-101B-9397-08002B2CF9AE}" pid="5" name="Docauthor">
    <vt:lpwstr>República Popular de China</vt:lpwstr>
  </property>
</Properties>
</file>