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33380FD5" wp14:editId="08C421D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662CBE" w:rsidRDefault="00662CBE" w:rsidP="00662CBE">
            <w:pPr>
              <w:shd w:val="solid" w:color="FFFFFF" w:fill="FFFFFF"/>
              <w:spacing w:before="0" w:line="240" w:lineRule="atLeast"/>
              <w:rPr>
                <w:rFonts w:ascii="Verdana" w:hAnsi="Verdana"/>
                <w:b/>
                <w:sz w:val="20"/>
              </w:rPr>
            </w:pPr>
            <w:r>
              <w:rPr>
                <w:rFonts w:ascii="Verdana" w:hAnsi="Verdana"/>
                <w:b/>
                <w:sz w:val="20"/>
              </w:rPr>
              <w:t>Addendum 1 to</w:t>
            </w:r>
          </w:p>
          <w:p w:rsidR="0051782D" w:rsidRPr="00662CBE" w:rsidRDefault="00662CBE" w:rsidP="00662CBE">
            <w:pPr>
              <w:shd w:val="solid" w:color="FFFFFF" w:fill="FFFFFF"/>
              <w:spacing w:before="0" w:line="240" w:lineRule="atLeast"/>
              <w:rPr>
                <w:rFonts w:ascii="Verdana" w:hAnsi="Verdana"/>
                <w:sz w:val="20"/>
              </w:rPr>
            </w:pPr>
            <w:r>
              <w:rPr>
                <w:rFonts w:ascii="Verdana" w:hAnsi="Verdana"/>
                <w:b/>
                <w:sz w:val="20"/>
              </w:rPr>
              <w:t>Document RAG14-1/1-E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62CBE" w:rsidRDefault="00662CBE" w:rsidP="00662CBE">
            <w:pPr>
              <w:shd w:val="solid" w:color="FFFFFF" w:fill="FFFFFF"/>
              <w:spacing w:before="0" w:line="240" w:lineRule="atLeast"/>
              <w:rPr>
                <w:rFonts w:ascii="Verdana" w:hAnsi="Verdana"/>
                <w:sz w:val="20"/>
              </w:rPr>
            </w:pPr>
            <w:r>
              <w:rPr>
                <w:rFonts w:ascii="Verdana" w:hAnsi="Verdana"/>
                <w:b/>
                <w:sz w:val="20"/>
              </w:rPr>
              <w:t>30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62CBE" w:rsidRDefault="00C82CA9" w:rsidP="00C82CA9">
            <w:pPr>
              <w:shd w:val="solid" w:color="FFFFFF" w:fill="FFFFFF"/>
              <w:spacing w:before="0" w:after="120" w:line="240" w:lineRule="atLeast"/>
              <w:rPr>
                <w:rFonts w:ascii="Verdana" w:hAnsi="Verdana"/>
                <w:sz w:val="20"/>
              </w:rPr>
            </w:pPr>
            <w:r>
              <w:rPr>
                <w:rFonts w:ascii="Verdana" w:hAnsi="Verdana"/>
                <w:b/>
                <w:sz w:val="20"/>
              </w:rPr>
              <w:t xml:space="preserve">Original: </w:t>
            </w:r>
            <w:r w:rsidR="00662CBE">
              <w:rPr>
                <w:rFonts w:ascii="Verdana" w:hAnsi="Verdana"/>
                <w:b/>
                <w:sz w:val="20"/>
              </w:rPr>
              <w:t>English</w:t>
            </w:r>
          </w:p>
        </w:tc>
      </w:tr>
      <w:tr w:rsidR="00662CBE" w:rsidTr="00B35BE4">
        <w:trPr>
          <w:cantSplit/>
        </w:trPr>
        <w:tc>
          <w:tcPr>
            <w:tcW w:w="9889" w:type="dxa"/>
            <w:gridSpan w:val="2"/>
          </w:tcPr>
          <w:p w:rsidR="00662CBE" w:rsidRPr="004F1C4B" w:rsidRDefault="00662CBE" w:rsidP="00662CBE">
            <w:pPr>
              <w:pStyle w:val="Source"/>
            </w:pPr>
            <w:bookmarkStart w:id="3" w:name="dsource" w:colFirst="0" w:colLast="0"/>
            <w:bookmarkEnd w:id="2"/>
            <w:r w:rsidRPr="004F1C4B">
              <w:t>Director, Radiocommunication Bureau</w:t>
            </w:r>
          </w:p>
        </w:tc>
      </w:tr>
      <w:tr w:rsidR="00662CBE" w:rsidTr="00B35BE4">
        <w:trPr>
          <w:cantSplit/>
        </w:trPr>
        <w:tc>
          <w:tcPr>
            <w:tcW w:w="9889" w:type="dxa"/>
            <w:gridSpan w:val="2"/>
          </w:tcPr>
          <w:p w:rsidR="00662CBE" w:rsidRPr="004F1C4B" w:rsidRDefault="00662CBE" w:rsidP="00662CBE">
            <w:pPr>
              <w:pStyle w:val="Title1"/>
            </w:pPr>
            <w:bookmarkStart w:id="4" w:name="dtitle1" w:colFirst="0" w:colLast="0"/>
            <w:bookmarkEnd w:id="3"/>
            <w:r w:rsidRPr="004F1C4B">
              <w:t xml:space="preserve">report </w:t>
            </w:r>
            <w:r w:rsidRPr="004F1C4B">
              <w:rPr>
                <w:rFonts w:asciiTheme="majorBidi" w:hAnsiTheme="majorBidi" w:cstheme="majorBidi"/>
                <w:szCs w:val="28"/>
              </w:rPr>
              <w:t>to the Twent</w:t>
            </w:r>
            <w:r>
              <w:rPr>
                <w:rFonts w:asciiTheme="majorBidi" w:hAnsiTheme="majorBidi" w:cstheme="majorBidi"/>
                <w:szCs w:val="28"/>
              </w:rPr>
              <w:t>Y FIRST</w:t>
            </w:r>
            <w:r w:rsidRPr="004F1C4B">
              <w:rPr>
                <w:rFonts w:asciiTheme="majorBidi" w:hAnsiTheme="majorBidi" w:cstheme="majorBidi"/>
                <w:szCs w:val="28"/>
              </w:rPr>
              <w:t xml:space="preserve"> meeting of the</w:t>
            </w:r>
            <w:r w:rsidRPr="004F1C4B">
              <w:rPr>
                <w:rFonts w:asciiTheme="majorBidi" w:hAnsiTheme="majorBidi" w:cstheme="majorBidi"/>
                <w:szCs w:val="28"/>
              </w:rPr>
              <w:br/>
              <w:t>radiocommunication advisory</w:t>
            </w:r>
            <w:r w:rsidRPr="004F1C4B">
              <w:t xml:space="preserve"> group</w:t>
            </w:r>
          </w:p>
        </w:tc>
      </w:tr>
      <w:tr w:rsidR="00662CBE" w:rsidTr="00B35BE4">
        <w:trPr>
          <w:cantSplit/>
        </w:trPr>
        <w:tc>
          <w:tcPr>
            <w:tcW w:w="9889" w:type="dxa"/>
            <w:gridSpan w:val="2"/>
          </w:tcPr>
          <w:p w:rsidR="00662CBE" w:rsidRPr="004F1C4B" w:rsidRDefault="00662CBE" w:rsidP="00662CBE">
            <w:pPr>
              <w:pStyle w:val="Title2"/>
            </w:pPr>
            <w:r>
              <w:t xml:space="preserve">Draft Strategic and financial Plans </w:t>
            </w:r>
            <w:r>
              <w:br/>
              <w:t>of the UNION for 2016-2019</w:t>
            </w:r>
          </w:p>
        </w:tc>
      </w:tr>
      <w:bookmarkEnd w:id="4"/>
    </w:tbl>
    <w:p w:rsidR="004F0848" w:rsidRDefault="004F0848" w:rsidP="004F0848">
      <w:pPr>
        <w:tabs>
          <w:tab w:val="clear" w:pos="794"/>
          <w:tab w:val="clear" w:pos="1191"/>
          <w:tab w:val="clear" w:pos="1588"/>
          <w:tab w:val="clear" w:pos="1985"/>
        </w:tabs>
        <w:overflowPunct/>
        <w:autoSpaceDE/>
        <w:autoSpaceDN/>
        <w:adjustRightInd/>
        <w:spacing w:before="0"/>
        <w:textAlignment w:val="auto"/>
      </w:pPr>
    </w:p>
    <w:p w:rsidR="00662CBE" w:rsidRDefault="00662CBE" w:rsidP="004F0848">
      <w:pPr>
        <w:tabs>
          <w:tab w:val="clear" w:pos="794"/>
          <w:tab w:val="clear" w:pos="1191"/>
          <w:tab w:val="clear" w:pos="1588"/>
          <w:tab w:val="clear" w:pos="1985"/>
        </w:tabs>
        <w:overflowPunct/>
        <w:autoSpaceDE/>
        <w:autoSpaceDN/>
        <w:adjustRightInd/>
        <w:spacing w:before="0"/>
        <w:textAlignment w:val="auto"/>
      </w:pPr>
    </w:p>
    <w:p w:rsidR="00662CBE" w:rsidRDefault="00662CBE" w:rsidP="00662CBE">
      <w:r>
        <w:t xml:space="preserve">Council 2014 decided that the ITU-R part of the draft strategic plan prepared by the Council Working Group for the elaboration of the draft strategic plan and draft financial plan of the Union for 2016-2019 (CWG SP-FP) (see Council 2014 </w:t>
      </w:r>
      <w:hyperlink r:id="rId10" w:history="1">
        <w:r w:rsidRPr="008E140C">
          <w:rPr>
            <w:rStyle w:val="Hyperlink"/>
          </w:rPr>
          <w:t>Doc. 43</w:t>
        </w:r>
      </w:hyperlink>
      <w:r>
        <w:t xml:space="preserve">), should be further elaborated by the Radiocommunication Advisory Group (RAG), based on the sectoral strategic objectives agreed. </w:t>
      </w:r>
    </w:p>
    <w:p w:rsidR="00662CBE" w:rsidRDefault="00662CBE" w:rsidP="00662CBE">
      <w:r>
        <w:t>Attached are extracts of the draft strategic and financial plans prepared by the CWG SP-FP as follows:</w:t>
      </w:r>
    </w:p>
    <w:p w:rsidR="00662CBE" w:rsidRPr="00037F81" w:rsidRDefault="00662CBE" w:rsidP="00662CBE">
      <w:pPr>
        <w:pStyle w:val="enumlev1"/>
        <w:rPr>
          <w:color w:val="000000"/>
          <w:sz w:val="21"/>
          <w:szCs w:val="21"/>
          <w:lang w:val="en-US"/>
        </w:rPr>
      </w:pPr>
      <w:r w:rsidRPr="00662CBE">
        <w:rPr>
          <w:lang w:val="en-US"/>
        </w:rPr>
        <w:t>•</w:t>
      </w:r>
      <w:r>
        <w:rPr>
          <w:lang w:val="en-US"/>
        </w:rPr>
        <w:tab/>
      </w:r>
      <w:r w:rsidRPr="00037F81">
        <w:rPr>
          <w:lang w:val="en-US"/>
        </w:rPr>
        <w:t>Annex 1</w:t>
      </w:r>
      <w:r>
        <w:rPr>
          <w:lang w:val="en-US"/>
        </w:rPr>
        <w:t xml:space="preserve"> to Resolution 71</w:t>
      </w:r>
      <w:r w:rsidRPr="00037F81">
        <w:rPr>
          <w:lang w:val="en-US"/>
        </w:rPr>
        <w:t>:</w:t>
      </w:r>
      <w:r>
        <w:rPr>
          <w:lang w:val="en-US"/>
        </w:rPr>
        <w:t xml:space="preserve"> B</w:t>
      </w:r>
      <w:r w:rsidRPr="00037F81">
        <w:rPr>
          <w:lang w:val="en-US"/>
        </w:rPr>
        <w:t>ackground on the Strategic Plan</w:t>
      </w:r>
    </w:p>
    <w:p w:rsidR="00662CBE" w:rsidRDefault="00662CBE" w:rsidP="00662CBE">
      <w:pPr>
        <w:pStyle w:val="enumlev1"/>
        <w:rPr>
          <w:color w:val="000000"/>
          <w:sz w:val="21"/>
          <w:szCs w:val="21"/>
        </w:rPr>
      </w:pPr>
      <w:r w:rsidRPr="00662CBE">
        <w:rPr>
          <w:lang w:val="en-US"/>
        </w:rPr>
        <w:t>•</w:t>
      </w:r>
      <w:r>
        <w:rPr>
          <w:lang w:val="en-US"/>
        </w:rPr>
        <w:tab/>
      </w:r>
      <w:r w:rsidRPr="00037F81">
        <w:rPr>
          <w:lang w:val="en-US"/>
        </w:rPr>
        <w:t xml:space="preserve">Annex 2 to Resolution 71: </w:t>
      </w:r>
      <w:r>
        <w:rPr>
          <w:lang w:val="en-US"/>
        </w:rPr>
        <w:t>T</w:t>
      </w:r>
      <w:r w:rsidRPr="00037F81">
        <w:rPr>
          <w:lang w:val="en-US"/>
        </w:rPr>
        <w:t>he Strategic Plan</w:t>
      </w:r>
      <w:r w:rsidRPr="00037F81">
        <w:rPr>
          <w:color w:val="000000"/>
          <w:sz w:val="21"/>
          <w:szCs w:val="21"/>
        </w:rPr>
        <w:t xml:space="preserve"> </w:t>
      </w:r>
    </w:p>
    <w:p w:rsidR="00662CBE" w:rsidRPr="00F470C3" w:rsidRDefault="00662CBE" w:rsidP="00662CBE">
      <w:pPr>
        <w:pStyle w:val="enumlev1"/>
        <w:rPr>
          <w:color w:val="000000"/>
          <w:sz w:val="21"/>
          <w:szCs w:val="21"/>
        </w:rPr>
      </w:pPr>
      <w:r w:rsidRPr="00662CBE">
        <w:rPr>
          <w:lang w:val="en-US"/>
        </w:rPr>
        <w:t>•</w:t>
      </w:r>
      <w:r>
        <w:rPr>
          <w:lang w:val="en-US"/>
        </w:rPr>
        <w:tab/>
      </w:r>
      <w:r w:rsidRPr="00037F81">
        <w:rPr>
          <w:lang w:val="en-US"/>
        </w:rPr>
        <w:t xml:space="preserve">Annex </w:t>
      </w:r>
      <w:r>
        <w:rPr>
          <w:lang w:val="en-US"/>
        </w:rPr>
        <w:t>3</w:t>
      </w:r>
      <w:r w:rsidRPr="00037F81">
        <w:rPr>
          <w:lang w:val="en-US"/>
        </w:rPr>
        <w:t xml:space="preserve"> to Resolution 71: </w:t>
      </w:r>
      <w:r w:rsidRPr="00BD6E55">
        <w:t xml:space="preserve">Allocation </w:t>
      </w:r>
      <w:r>
        <w:t>o</w:t>
      </w:r>
      <w:r w:rsidRPr="00BD6E55">
        <w:t xml:space="preserve">f Resources </w:t>
      </w:r>
      <w:r>
        <w:t>t</w:t>
      </w:r>
      <w:r w:rsidRPr="00BD6E55">
        <w:t xml:space="preserve">o Objectives </w:t>
      </w:r>
      <w:r>
        <w:t>a</w:t>
      </w:r>
      <w:r w:rsidRPr="00BD6E55">
        <w:t>nd Strategic Goals</w:t>
      </w:r>
    </w:p>
    <w:p w:rsidR="00662CBE" w:rsidRPr="00F470C3" w:rsidRDefault="00662CBE" w:rsidP="00662CBE">
      <w:pPr>
        <w:pStyle w:val="enumlev1"/>
        <w:rPr>
          <w:color w:val="000000"/>
          <w:sz w:val="21"/>
          <w:szCs w:val="21"/>
        </w:rPr>
      </w:pPr>
      <w:r w:rsidRPr="00662CBE">
        <w:rPr>
          <w:lang w:val="en-US"/>
        </w:rPr>
        <w:t>•</w:t>
      </w:r>
      <w:r>
        <w:rPr>
          <w:lang w:val="en-US"/>
        </w:rPr>
        <w:tab/>
      </w:r>
      <w:r w:rsidRPr="00037F81">
        <w:rPr>
          <w:lang w:val="en-US"/>
        </w:rPr>
        <w:t xml:space="preserve">Annex </w:t>
      </w:r>
      <w:r>
        <w:rPr>
          <w:lang w:val="en-US"/>
        </w:rPr>
        <w:t>4</w:t>
      </w:r>
      <w:r w:rsidRPr="00037F81">
        <w:rPr>
          <w:lang w:val="en-US"/>
        </w:rPr>
        <w:t xml:space="preserve"> to Resolution 71: </w:t>
      </w:r>
      <w:r>
        <w:t>Glossary of the Strategic Plan</w:t>
      </w: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662CBE">
      <w:pPr>
        <w:rPr>
          <w:bCs/>
          <w:u w:val="single"/>
          <w:lang w:eastAsia="zh-CN"/>
        </w:rPr>
      </w:pPr>
    </w:p>
    <w:p w:rsidR="00662CBE" w:rsidRPr="00662CBE" w:rsidRDefault="00662CBE" w:rsidP="007855D0">
      <w:pPr>
        <w:tabs>
          <w:tab w:val="clear" w:pos="794"/>
          <w:tab w:val="left" w:pos="567"/>
        </w:tabs>
        <w:rPr>
          <w:bCs/>
          <w:lang w:eastAsia="zh-CN"/>
        </w:rPr>
      </w:pPr>
      <w:r w:rsidRPr="00E50D79">
        <w:rPr>
          <w:b/>
          <w:lang w:eastAsia="zh-CN"/>
        </w:rPr>
        <w:t>Annexes</w:t>
      </w:r>
      <w:r w:rsidRPr="00E50D79">
        <w:rPr>
          <w:bCs/>
          <w:lang w:eastAsia="zh-CN"/>
        </w:rPr>
        <w:t>:</w:t>
      </w:r>
      <w:r w:rsidRPr="00662CBE">
        <w:rPr>
          <w:bCs/>
          <w:lang w:eastAsia="zh-CN"/>
        </w:rPr>
        <w:tab/>
        <w:t>4</w:t>
      </w:r>
    </w:p>
    <w:p w:rsidR="00662CBE" w:rsidRDefault="00662CBE" w:rsidP="004F0848">
      <w:pPr>
        <w:tabs>
          <w:tab w:val="clear" w:pos="794"/>
          <w:tab w:val="clear" w:pos="1191"/>
          <w:tab w:val="clear" w:pos="1588"/>
          <w:tab w:val="clear" w:pos="1985"/>
        </w:tabs>
        <w:overflowPunct/>
        <w:autoSpaceDE/>
        <w:autoSpaceDN/>
        <w:adjustRightInd/>
        <w:spacing w:before="0"/>
        <w:textAlignment w:val="auto"/>
      </w:pPr>
    </w:p>
    <w:p w:rsidR="00662CBE" w:rsidRDefault="00662CBE" w:rsidP="004F0848">
      <w:pPr>
        <w:tabs>
          <w:tab w:val="clear" w:pos="794"/>
          <w:tab w:val="clear" w:pos="1191"/>
          <w:tab w:val="clear" w:pos="1588"/>
          <w:tab w:val="clear" w:pos="1985"/>
        </w:tabs>
        <w:overflowPunct/>
        <w:autoSpaceDE/>
        <w:autoSpaceDN/>
        <w:adjustRightInd/>
        <w:spacing w:before="0"/>
        <w:textAlignment w:val="auto"/>
      </w:pPr>
      <w:r>
        <w:br w:type="page"/>
      </w:r>
    </w:p>
    <w:p w:rsidR="00662CBE" w:rsidRDefault="00F14C38" w:rsidP="00F14C38">
      <w:pPr>
        <w:pStyle w:val="AnnexNotitle"/>
      </w:pPr>
      <w:r>
        <w:lastRenderedPageBreak/>
        <w:t>Annex 1 to Resolution 71</w:t>
      </w:r>
      <w:r>
        <w:br/>
      </w:r>
      <w:r>
        <w:br/>
        <w:t xml:space="preserve">Background on the </w:t>
      </w:r>
      <w:r w:rsidRPr="0063206D">
        <w:t xml:space="preserve">Strategic </w:t>
      </w:r>
      <w:r w:rsidR="007855D0">
        <w:t>Plan</w:t>
      </w:r>
    </w:p>
    <w:p w:rsidR="00F14C38" w:rsidRDefault="00F14C38" w:rsidP="00F14C38">
      <w:pPr>
        <w:pStyle w:val="Normalaftertitle"/>
      </w:pPr>
      <w:r w:rsidRPr="000930B9">
        <w:t>This background information document includes an introduction to the International Telecommunications Union (ITU), its role as a Specialized United Nations (UN) Agency, and the role and mission of the ITU Sectors and governing bodies, as presented in Section 1.</w:t>
      </w:r>
    </w:p>
    <w:p w:rsidR="00F14C38" w:rsidRDefault="00F14C38" w:rsidP="00F14C38">
      <w:r>
        <w:t>The general assessment</w:t>
      </w:r>
      <w:r w:rsidRPr="001703FF">
        <w:t xml:space="preserve"> </w:t>
      </w:r>
      <w:r>
        <w:t xml:space="preserve">presented in Section 2, provides lessons learnt from the implementation of the Strategic Plan for 2012-2015, and </w:t>
      </w:r>
      <w:r w:rsidRPr="001703FF">
        <w:t xml:space="preserve">sets out </w:t>
      </w:r>
      <w:r>
        <w:t>main</w:t>
      </w:r>
      <w:r w:rsidRPr="001703FF">
        <w:t xml:space="preserve"> broad trends shaping the </w:t>
      </w:r>
      <w:r>
        <w:t>telecommunication / Information and Communication Technology</w:t>
      </w:r>
      <w:r w:rsidRPr="00C55480">
        <w:t xml:space="preserve"> </w:t>
      </w:r>
      <w:r>
        <w:t>(</w:t>
      </w:r>
      <w:r w:rsidRPr="001703FF">
        <w:t>ICT</w:t>
      </w:r>
      <w:r>
        <w:t>)</w:t>
      </w:r>
      <w:r w:rsidRPr="001703FF">
        <w:t xml:space="preserve"> environment</w:t>
      </w:r>
      <w:r>
        <w:t>/sector as relevant for the Strategic Plan 2016-2019.</w:t>
      </w:r>
    </w:p>
    <w:p w:rsidR="00F14C38" w:rsidRDefault="00F14C38" w:rsidP="00F14C38">
      <w:r>
        <w:t>Section 3 introduces Sector-specific situational analyses presenting the role and future of each of the ITU Sectors.</w:t>
      </w:r>
    </w:p>
    <w:p w:rsidR="00F14C38" w:rsidRPr="00C55480" w:rsidRDefault="00F14C38" w:rsidP="00F14C38">
      <w:pPr>
        <w:pStyle w:val="Heading1"/>
      </w:pPr>
      <w:bookmarkStart w:id="5" w:name="_Toc377564986"/>
      <w:bookmarkStart w:id="6" w:name="_Toc379396989"/>
      <w:bookmarkStart w:id="7" w:name="_Toc379546795"/>
      <w:r>
        <w:t>1</w:t>
      </w:r>
      <w:r>
        <w:tab/>
        <w:t>Introduction</w:t>
      </w:r>
      <w:bookmarkEnd w:id="5"/>
      <w:bookmarkEnd w:id="6"/>
      <w:bookmarkEnd w:id="7"/>
    </w:p>
    <w:p w:rsidR="00F14C38" w:rsidRDefault="00F14C38" w:rsidP="00F14C38">
      <w:r>
        <w:t xml:space="preserve">In accordance with the purposes of ITU, as defined in the Convention and Constitution (Article 1, </w:t>
      </w:r>
      <w:r w:rsidRPr="00C55480">
        <w:t>§</w:t>
      </w:r>
      <w:r>
        <w:t>1-2), ITU</w:t>
      </w:r>
      <w:r w:rsidRPr="00C55480">
        <w:t xml:space="preserve"> is </w:t>
      </w:r>
      <w:r>
        <w:t>committed</w:t>
      </w:r>
      <w:r w:rsidRPr="00C55480">
        <w:t xml:space="preserve"> to</w:t>
      </w:r>
      <w:r>
        <w:t xml:space="preserve"> connecting the world.</w:t>
      </w:r>
      <w:r w:rsidRPr="00C55480">
        <w:t xml:space="preserve"> </w:t>
      </w:r>
      <w:r>
        <w:t>In order to achieve this, ITU works to</w:t>
      </w:r>
      <w:r w:rsidRPr="00C55480">
        <w:t xml:space="preserve"> ensure that the global communications infrastructure runs smoothly and efficiently</w:t>
      </w:r>
      <w:r>
        <w:t xml:space="preserve"> to</w:t>
      </w:r>
      <w:r w:rsidRPr="00C55480">
        <w:t xml:space="preserve"> enable everybody to access the benefits of</w:t>
      </w:r>
      <w:r>
        <w:t xml:space="preserve"> telecommunication/</w:t>
      </w:r>
      <w:r w:rsidRPr="00C55480">
        <w:t xml:space="preserve">ICTs and assist in mitigating new risks. </w:t>
      </w:r>
      <w:r>
        <w:t>ITU oversees international</w:t>
      </w:r>
      <w:r w:rsidRPr="00C55480">
        <w:t xml:space="preserve"> spectrum allocation and satellite coordination; </w:t>
      </w:r>
      <w:r>
        <w:t>works to develop and gain consensus on</w:t>
      </w:r>
      <w:r w:rsidRPr="00C55480">
        <w:t xml:space="preserve"> new</w:t>
      </w:r>
      <w:r>
        <w:t xml:space="preserve"> telecommunication/ICT </w:t>
      </w:r>
      <w:r w:rsidRPr="00C55480">
        <w:t xml:space="preserve">standards; </w:t>
      </w:r>
      <w:r>
        <w:t>and carries out</w:t>
      </w:r>
      <w:r w:rsidRPr="00C55480">
        <w:t xml:space="preserve"> policy</w:t>
      </w:r>
      <w:r>
        <w:t xml:space="preserve"> analysis and work on the</w:t>
      </w:r>
      <w:r w:rsidRPr="00C55480">
        <w:t xml:space="preserve"> development</w:t>
      </w:r>
      <w:r>
        <w:t xml:space="preserve"> of an enabling environment</w:t>
      </w:r>
      <w:r w:rsidRPr="00C55480">
        <w:t xml:space="preserve"> </w:t>
      </w:r>
      <w:r>
        <w:t>as well as provides</w:t>
      </w:r>
      <w:r w:rsidRPr="00C55480">
        <w:t xml:space="preserve"> technical assistance to </w:t>
      </w:r>
      <w:r>
        <w:t>its Member States</w:t>
      </w:r>
      <w:r w:rsidRPr="00C55480">
        <w:t xml:space="preserve">. </w:t>
      </w:r>
    </w:p>
    <w:p w:rsidR="00F14C38" w:rsidRDefault="00F14C38" w:rsidP="00F14C38">
      <w:r w:rsidRPr="00C55480">
        <w:t>ITU’s work,</w:t>
      </w:r>
      <w:r>
        <w:t xml:space="preserve"> as</w:t>
      </w:r>
      <w:r w:rsidRPr="00C55480">
        <w:t xml:space="preserve"> determined</w:t>
      </w:r>
      <w:r>
        <w:t xml:space="preserve"> and guided</w:t>
      </w:r>
      <w:r w:rsidRPr="00C55480">
        <w:t xml:space="preserve"> by </w:t>
      </w:r>
      <w:r>
        <w:t>its</w:t>
      </w:r>
      <w:r w:rsidRPr="00C55480">
        <w:t xml:space="preserve"> </w:t>
      </w:r>
      <w:r>
        <w:t>Member States and Sector Members</w:t>
      </w:r>
      <w:r w:rsidRPr="00C55480">
        <w:t xml:space="preserve">, covers a </w:t>
      </w:r>
      <w:r>
        <w:t>broad</w:t>
      </w:r>
      <w:r w:rsidRPr="00C55480">
        <w:t xml:space="preserve"> range of issues:</w:t>
      </w:r>
      <w:r>
        <w:t xml:space="preserve"> from the underlying standards for broadband to spectrum allocation; </w:t>
      </w:r>
      <w:r w:rsidRPr="00C55480">
        <w:t>from basic access technologies to high-speed mobile broadband; from submarine cables to terrestrial optical fibre; from microwave links to satellites</w:t>
      </w:r>
      <w:r>
        <w:t xml:space="preserve">; </w:t>
      </w:r>
      <w:r w:rsidRPr="00C55480">
        <w:t xml:space="preserve">from accessibility to e-health; </w:t>
      </w:r>
      <w:r>
        <w:t xml:space="preserve">and </w:t>
      </w:r>
      <w:r w:rsidRPr="00C55480">
        <w:t xml:space="preserve">from gender empowerment to interoperability. </w:t>
      </w:r>
      <w:r>
        <w:t>T</w:t>
      </w:r>
      <w:r w:rsidRPr="00C55480">
        <w:t>he work accomplished in ITU in collaboration with governments, the private sector</w:t>
      </w:r>
      <w:r>
        <w:t>, academia</w:t>
      </w:r>
      <w:r w:rsidRPr="00C55480">
        <w:t xml:space="preserve"> and civil society</w:t>
      </w:r>
      <w:r>
        <w:t xml:space="preserve"> helps ensure ubiquitous and efficient</w:t>
      </w:r>
      <w:r w:rsidRPr="00C55480">
        <w:t xml:space="preserve"> radio, </w:t>
      </w:r>
      <w:r>
        <w:t>tele</w:t>
      </w:r>
      <w:r w:rsidRPr="00C55480">
        <w:t>phone, television and Internet</w:t>
      </w:r>
      <w:r>
        <w:t xml:space="preserve"> connectivity</w:t>
      </w:r>
      <w:r w:rsidRPr="00C55480">
        <w:t>.</w:t>
      </w:r>
    </w:p>
    <w:p w:rsidR="00F14C38" w:rsidRPr="00C55480" w:rsidRDefault="00F14C38" w:rsidP="00F14C38">
      <w:pPr>
        <w:pStyle w:val="Heading2"/>
      </w:pPr>
      <w:bookmarkStart w:id="8" w:name="_Toc379546796"/>
      <w:r>
        <w:t>1.1</w:t>
      </w:r>
      <w:r>
        <w:tab/>
      </w:r>
      <w:r w:rsidRPr="00C55480">
        <w:t>ITU as a part of the United Nations system: contributing to a transformative post-2015 development agenda</w:t>
      </w:r>
      <w:bookmarkEnd w:id="8"/>
    </w:p>
    <w:p w:rsidR="00F14C38" w:rsidRDefault="00F14C38" w:rsidP="00F14C38">
      <w:r w:rsidRPr="003537B9">
        <w:t xml:space="preserve">As the MDG deadline approaches, and the UN Post-2015 Development Agenda and Sustainable Development Goals (SDGs) processes are well under way, UN Member States are engaged in the formulation of a single development framework embodying one coherent set of goals, which integrates in a balanced manner the three dimensions of sustainable development identified by the Rio+20 process </w:t>
      </w:r>
      <w:r w:rsidRPr="007855D0">
        <w:t>(social development; economic development; and environmental protection).</w:t>
      </w:r>
    </w:p>
    <w:p w:rsidR="00F14C38" w:rsidRDefault="00F14C38" w:rsidP="00F14C38">
      <w:r>
        <w:t>Telecommunications/</w:t>
      </w:r>
      <w:r w:rsidRPr="00C55480">
        <w:t xml:space="preserve">ICTs, including broadband, </w:t>
      </w:r>
      <w:r>
        <w:t xml:space="preserve">are essential </w:t>
      </w:r>
      <w:r w:rsidRPr="00C55480">
        <w:t>in accelerating progress towards sustainable development</w:t>
      </w:r>
      <w:r>
        <w:t>. Such technologies are</w:t>
      </w:r>
      <w:r w:rsidRPr="00C55480">
        <w:t xml:space="preserve"> a key foundation for any development policy and a major enabling tool of any development plan at the national, regional and/or global level</w:t>
      </w:r>
      <w:r>
        <w:t>s</w:t>
      </w:r>
      <w:r w:rsidRPr="00C55480">
        <w:t>.</w:t>
      </w:r>
      <w:r>
        <w:rPr>
          <w:rStyle w:val="FootnoteReference"/>
        </w:rPr>
        <w:footnoteReference w:id="1"/>
      </w:r>
    </w:p>
    <w:p w:rsidR="00F14C38" w:rsidRDefault="00F14C38" w:rsidP="00F14C38">
      <w:r w:rsidRPr="00436E3F">
        <w:t xml:space="preserve">Since 2003, the World Summit on Information Society (WSIS) process has been an important instrument to drive global </w:t>
      </w:r>
      <w:r w:rsidRPr="000E07EF">
        <w:t>telecommunication/</w:t>
      </w:r>
      <w:r w:rsidRPr="00436E3F">
        <w:t>ICT development in support</w:t>
      </w:r>
      <w:r>
        <w:t xml:space="preserve"> of</w:t>
      </w:r>
      <w:r w:rsidRPr="00436E3F">
        <w:t xml:space="preserve"> the global development agenda. As part of its strategy to connect the world, ITU is striving to ensure that </w:t>
      </w:r>
      <w:r w:rsidRPr="000E07EF">
        <w:lastRenderedPageBreak/>
        <w:t>telecommunication/</w:t>
      </w:r>
      <w:r w:rsidRPr="00436E3F">
        <w:t xml:space="preserve">ICTs </w:t>
      </w:r>
      <w:r>
        <w:t xml:space="preserve">continue to </w:t>
      </w:r>
      <w:r w:rsidRPr="00436E3F">
        <w:t>receive the recognition they deserve in the international community and UN’s new approach to ensuring sustainable and equitable development.</w:t>
      </w:r>
    </w:p>
    <w:p w:rsidR="00F14C38" w:rsidRDefault="00F14C38" w:rsidP="00F14C38">
      <w:r w:rsidRPr="00D73D76">
        <w:t xml:space="preserve">As part of the UN efforts, ITU is also committed to mainstreaming UN priorities in its strategic planning and work, in such areas as gender equality, youth, persons with disabilities, rural populations, older persons and disaster risk reduction, among others. The UN system has also been engaged in a reform process which, </w:t>
      </w:r>
      <w:r w:rsidRPr="00D73D76">
        <w:rPr>
          <w:i/>
          <w:iCs/>
        </w:rPr>
        <w:t>inter alia</w:t>
      </w:r>
      <w:r w:rsidRPr="00D73D76">
        <w:t>, requires business practices to be harmonized, in particular applying the results-based management (RBM) methodology. ITU’s strategy takes into account these global priority efforts and reforms.</w:t>
      </w:r>
    </w:p>
    <w:p w:rsidR="00F14C38" w:rsidRDefault="00F14C38" w:rsidP="00F14C38">
      <w:pPr>
        <w:pStyle w:val="Heading2"/>
      </w:pPr>
      <w:bookmarkStart w:id="9" w:name="_Toc379546797"/>
      <w:r>
        <w:t>1.2</w:t>
      </w:r>
      <w:r>
        <w:tab/>
      </w:r>
      <w:r w:rsidRPr="00401EC0">
        <w:t>Governing bodies</w:t>
      </w:r>
      <w:r w:rsidR="007855D0">
        <w:t>/</w:t>
      </w:r>
      <w:r w:rsidRPr="00401EC0">
        <w:t>Role of Sectors</w:t>
      </w:r>
      <w:bookmarkEnd w:id="9"/>
    </w:p>
    <w:p w:rsidR="00F14C38" w:rsidRDefault="00F14C38" w:rsidP="00F14C38">
      <w:r w:rsidRPr="008123AF">
        <w:t>The Union comprises: a) the Plenipotentiary Conference, which is the supreme organ of the Union; b) the Council, which acts on behalf of the Plenipotentiary Conference; c) World Conferences on telecommunications; d) the Radiocommunication Sector (ITU-R), including world and regional radiocommunication conferences, radiocommunication assemblies and the Radio Regulations Board; e) the Telecommunication Standardization Sector (ITU-T), including world telecommunication standardization assemblies; f) the Telecommunication Development Sector (ITU-D), including world and regional telecommunication development conferences; and g) the General Secretariat. The three Bureaus (the Radiocommunication Bureau or BR; the Telecommunication Standardization Bureau or TSB; and the Telecommunication Development Bureau or BDT) serve as the Secretariat to each respective individual Sector.</w:t>
      </w:r>
    </w:p>
    <w:p w:rsidR="00F14C38" w:rsidRPr="00144406" w:rsidRDefault="00F14C38" w:rsidP="00F14C38">
      <w:pPr>
        <w:pStyle w:val="Heading3"/>
      </w:pPr>
      <w:bookmarkStart w:id="10" w:name="_Toc379546798"/>
      <w:r>
        <w:t>1.2.1</w:t>
      </w:r>
      <w:r>
        <w:tab/>
        <w:t>ITU governing bodies</w:t>
      </w:r>
      <w:bookmarkEnd w:id="10"/>
    </w:p>
    <w:p w:rsidR="00F14C38" w:rsidRDefault="00F14C38" w:rsidP="00F14C38">
      <w:pPr>
        <w:pStyle w:val="Heading4"/>
      </w:pPr>
      <w:r>
        <w:t>1.2.1.1</w:t>
      </w:r>
      <w:r>
        <w:tab/>
        <w:t>The Plenipotentiary Conference</w:t>
      </w:r>
    </w:p>
    <w:p w:rsidR="00F14C38" w:rsidRDefault="00F14C38" w:rsidP="00F14C38">
      <w:r w:rsidRPr="002634BF">
        <w:t>The ITU is governed by the Plenipotentiary Conference</w:t>
      </w:r>
      <w:r>
        <w:t xml:space="preserve">. </w:t>
      </w:r>
      <w:r w:rsidRPr="002634BF">
        <w:t>The Plenipotent</w:t>
      </w:r>
      <w:r>
        <w:t>ia</w:t>
      </w:r>
      <w:r w:rsidRPr="002634BF">
        <w:t>ry Conference is the supreme organ of the Union. It is the decision</w:t>
      </w:r>
      <w:r>
        <w:t>-</w:t>
      </w:r>
      <w:r w:rsidRPr="002634BF">
        <w:t>making body which determines the direction of the Union and its activities.</w:t>
      </w:r>
    </w:p>
    <w:p w:rsidR="00F14C38" w:rsidRDefault="00F14C38" w:rsidP="00F14C38">
      <w:pPr>
        <w:pStyle w:val="Heading4"/>
      </w:pPr>
      <w:r>
        <w:t>1.2.1.2</w:t>
      </w:r>
      <w:r>
        <w:tab/>
        <w:t>The Council</w:t>
      </w:r>
    </w:p>
    <w:p w:rsidR="00F14C38" w:rsidRDefault="00F14C38" w:rsidP="00F14C38">
      <w:r w:rsidRPr="00F67CFB">
        <w:t>The Council acts as the Union’s governing body in the interval between Plenipotentiary Conferences. The Council takes all steps to facilitate the implementation of the provisions of the ITU Constitution, the ITU Convention, the Administrative Regulations (International Telecommunications Regulations and Radio Regulations), and the decisions of Plenipotentiary Conferences and; where appropriate, the decisions of other conferences and meetings of the Union. ITU Council also acts on the policy and strategic planning of the ITU and is responsible for ensuring the smooth day-to-day running of the Union, coordinating work programmes, approving budgets and controlling finances and expenditure. Its role is to consider broad telecommunication policy issues to ensure that the Union’s activities, policies and strategies fully respond to today's dynamic, rapidly changing telecommunication/ICT environment</w:t>
      </w:r>
      <w:r>
        <w:t>/sector</w:t>
      </w:r>
      <w:r w:rsidRPr="00F67CFB">
        <w:t>.</w:t>
      </w:r>
    </w:p>
    <w:p w:rsidR="00F14C38" w:rsidRDefault="00F14C38" w:rsidP="00F14C38">
      <w:pPr>
        <w:pStyle w:val="Heading3"/>
      </w:pPr>
      <w:bookmarkStart w:id="11" w:name="_Toc379546799"/>
      <w:r>
        <w:t>1.2.2</w:t>
      </w:r>
      <w:r>
        <w:tab/>
        <w:t>The role and missions of the ITU Sectors</w:t>
      </w:r>
      <w:bookmarkEnd w:id="11"/>
    </w:p>
    <w:p w:rsidR="00F14C38" w:rsidRDefault="00F14C38" w:rsidP="00F14C38">
      <w:pPr>
        <w:pStyle w:val="Heading4"/>
      </w:pPr>
      <w:r>
        <w:t>1.2.2.1</w:t>
      </w:r>
      <w:r>
        <w:tab/>
      </w:r>
      <w:r w:rsidRPr="005335C8">
        <w:t>The ITU Radiocommunication Sector (ITU-R)</w:t>
      </w:r>
    </w:p>
    <w:p w:rsidR="00F14C38" w:rsidRPr="005335C8" w:rsidRDefault="00F14C38" w:rsidP="00F14C38">
      <w:r w:rsidRPr="005335C8">
        <w:t>The ITU Radiocommunication Sector (ITU-R) plays a vital role in the global management of the radio-frequency spectrum and satellite orbits - limited natural resources which are increasingly in demand from a large and growin</w:t>
      </w:r>
      <w:r>
        <w:t>g number of services such as fi</w:t>
      </w:r>
      <w:r w:rsidRPr="005335C8">
        <w:t>xed, mobile, broadcasting, amateur, space research, emergency telecommunications, meteorology, global positioning systems, environmental monitoring and communication services that ensure safety of life on land, at sea and in the skies.</w:t>
      </w:r>
    </w:p>
    <w:p w:rsidR="00F14C38" w:rsidRDefault="00F14C38" w:rsidP="00F14C38">
      <w:r>
        <w:lastRenderedPageBreak/>
        <w:t>The</w:t>
      </w:r>
      <w:r w:rsidRPr="005335C8">
        <w:t xml:space="preserve"> mission</w:t>
      </w:r>
      <w:r>
        <w:t xml:space="preserve"> of ITU-R</w:t>
      </w:r>
      <w:r w:rsidRPr="005335C8">
        <w:t xml:space="preserve"> is to ensure the rational, equitable, efficient and economical use of the radio-frequency spectrum by all radiocommunication services, including those using satellite orbits, and to carry out studies and approve Recommendations on radiocommunication matters.</w:t>
      </w:r>
    </w:p>
    <w:p w:rsidR="00F14C38" w:rsidRPr="007855D0" w:rsidRDefault="00F14C38" w:rsidP="00F14C38">
      <w:pPr>
        <w:rPr>
          <w:b/>
          <w:bCs/>
          <w:i/>
          <w:iCs/>
        </w:rPr>
      </w:pPr>
      <w:r w:rsidRPr="007855D0">
        <w:rPr>
          <w:b/>
          <w:bCs/>
          <w:i/>
          <w:iCs/>
        </w:rPr>
        <w:t>World Radiocommunication Conferences (WRC)</w:t>
      </w:r>
    </w:p>
    <w:p w:rsidR="00F14C38" w:rsidRPr="005869EB" w:rsidRDefault="00F14C38" w:rsidP="00F14C38">
      <w:r w:rsidRPr="00CD2A22">
        <w:t xml:space="preserve">World </w:t>
      </w:r>
      <w:r>
        <w:t>R</w:t>
      </w:r>
      <w:r w:rsidRPr="00CD2A22">
        <w:t xml:space="preserve">adiocommunication </w:t>
      </w:r>
      <w:r>
        <w:t>C</w:t>
      </w:r>
      <w:r w:rsidRPr="00CD2A22">
        <w:t xml:space="preserve">onferences (WRC) are held every three to four years. It is the </w:t>
      </w:r>
      <w:r>
        <w:t xml:space="preserve">mandate </w:t>
      </w:r>
      <w:r w:rsidRPr="00CD2A22">
        <w:t>of WRC to review</w:t>
      </w:r>
      <w:r w:rsidRPr="005869EB">
        <w:t xml:space="preserve"> and, if necessary, revise the Radio Regulations, the international treaty governing the use of the radio-frequency spectrum and geostationary-satellite and non-geostationary-satellite orbits. Revisions are made on the basis of an agenda determined by the ITU Council, which takes into account recommendations made by previous world radiocommunication conferences.</w:t>
      </w:r>
    </w:p>
    <w:p w:rsidR="00F14C38" w:rsidRPr="007855D0" w:rsidRDefault="00F14C38" w:rsidP="00F14C38">
      <w:pPr>
        <w:rPr>
          <w:b/>
          <w:bCs/>
          <w:i/>
          <w:iCs/>
        </w:rPr>
      </w:pPr>
      <w:r w:rsidRPr="007855D0">
        <w:rPr>
          <w:b/>
          <w:bCs/>
          <w:i/>
          <w:iCs/>
        </w:rPr>
        <w:t>Radiocommunication Assemblies (RA)</w:t>
      </w:r>
    </w:p>
    <w:p w:rsidR="00F14C38" w:rsidRPr="00A532ED" w:rsidRDefault="00F14C38" w:rsidP="00A420F6">
      <w:r w:rsidRPr="00A532ED">
        <w:t>Radiocommunication Assemblies (RA) are responsible for the structure, programme and approval</w:t>
      </w:r>
      <w:r>
        <w:t xml:space="preserve"> of radiocommunication studies. The Assemblies:</w:t>
      </w:r>
    </w:p>
    <w:p w:rsidR="00F14C38" w:rsidRDefault="00A420F6" w:rsidP="00A420F6">
      <w:pPr>
        <w:pStyle w:val="enumlev1"/>
      </w:pPr>
      <w:r>
        <w:t>–</w:t>
      </w:r>
      <w:r>
        <w:tab/>
      </w:r>
      <w:r w:rsidR="00F14C38" w:rsidRPr="00A532ED">
        <w:t>assign conference preparatory work and other questions to the Study Groups;</w:t>
      </w:r>
    </w:p>
    <w:p w:rsidR="00F14C38" w:rsidRDefault="00A420F6" w:rsidP="00A420F6">
      <w:pPr>
        <w:pStyle w:val="enumlev1"/>
      </w:pPr>
      <w:r>
        <w:t>–</w:t>
      </w:r>
      <w:r>
        <w:tab/>
      </w:r>
      <w:r w:rsidR="00F14C38" w:rsidRPr="00A532ED">
        <w:t>respond to other requests from ITU conferences;</w:t>
      </w:r>
    </w:p>
    <w:p w:rsidR="00F14C38" w:rsidRDefault="00A420F6" w:rsidP="00A420F6">
      <w:pPr>
        <w:pStyle w:val="enumlev1"/>
      </w:pPr>
      <w:r>
        <w:t>–</w:t>
      </w:r>
      <w:r>
        <w:tab/>
      </w:r>
      <w:r w:rsidR="00F14C38" w:rsidRPr="00A532ED">
        <w:t>suggest suitable topics for the agenda of future WRCs;</w:t>
      </w:r>
    </w:p>
    <w:p w:rsidR="00F14C38" w:rsidRDefault="00A420F6" w:rsidP="00A420F6">
      <w:pPr>
        <w:pStyle w:val="enumlev1"/>
      </w:pPr>
      <w:r>
        <w:t>–</w:t>
      </w:r>
      <w:r>
        <w:tab/>
      </w:r>
      <w:r w:rsidR="00F14C38" w:rsidRPr="00A532ED">
        <w:t>approve and issue ITU-R Recommendations and ITU-R Questions developed by the Study Groups;</w:t>
      </w:r>
    </w:p>
    <w:p w:rsidR="00F14C38" w:rsidRPr="00A532ED" w:rsidRDefault="00A420F6" w:rsidP="00A420F6">
      <w:pPr>
        <w:pStyle w:val="enumlev1"/>
      </w:pPr>
      <w:r>
        <w:t>–</w:t>
      </w:r>
      <w:r>
        <w:tab/>
      </w:r>
      <w:r w:rsidR="00F14C38" w:rsidRPr="00A532ED">
        <w:t>set the programme for Study Groups, and disband or establish Study Groups according to need.</w:t>
      </w:r>
    </w:p>
    <w:p w:rsidR="00F14C38" w:rsidRPr="007855D0" w:rsidRDefault="00F14C38" w:rsidP="00F14C38">
      <w:pPr>
        <w:rPr>
          <w:b/>
          <w:bCs/>
          <w:i/>
          <w:iCs/>
        </w:rPr>
      </w:pPr>
      <w:r w:rsidRPr="007855D0">
        <w:rPr>
          <w:b/>
          <w:bCs/>
          <w:i/>
          <w:iCs/>
        </w:rPr>
        <w:t>Radio Regulations Board (RRB)</w:t>
      </w:r>
    </w:p>
    <w:p w:rsidR="00F14C38" w:rsidRPr="00A532ED" w:rsidRDefault="00F14C38" w:rsidP="00A420F6">
      <w:r>
        <w:t>The t</w:t>
      </w:r>
      <w:r w:rsidRPr="00A532ED">
        <w:t>welve members of the Radio Regulations Board (RRB) are elected at the Plenipotentiary Conference. They perform their duties indepen</w:t>
      </w:r>
      <w:r>
        <w:t>dently and on a part-time basis. The Board</w:t>
      </w:r>
      <w:r w:rsidRPr="00A532ED">
        <w:t xml:space="preserve">: </w:t>
      </w:r>
    </w:p>
    <w:p w:rsidR="00F14C38" w:rsidRDefault="00A420F6" w:rsidP="00A420F6">
      <w:pPr>
        <w:pStyle w:val="enumlev1"/>
      </w:pPr>
      <w:r>
        <w:t>–</w:t>
      </w:r>
      <w:r>
        <w:tab/>
      </w:r>
      <w:r w:rsidR="00F14C38" w:rsidRPr="00A532ED">
        <w:t>approves Rules of Procedure, used by the Radiocommunication Bureau in applying the provisions of the Radio Regulations and registering frequency assignments made by the Member States;</w:t>
      </w:r>
    </w:p>
    <w:p w:rsidR="00F14C38" w:rsidRDefault="00A420F6" w:rsidP="00A420F6">
      <w:pPr>
        <w:pStyle w:val="enumlev1"/>
      </w:pPr>
      <w:r>
        <w:t>–</w:t>
      </w:r>
      <w:r>
        <w:tab/>
      </w:r>
      <w:r w:rsidR="00F14C38" w:rsidRPr="00A532ED">
        <w:t>addresses matters referred by the Bureau which cannot be resolved through application of the Radio Regulations and Rules of Procedure;</w:t>
      </w:r>
    </w:p>
    <w:p w:rsidR="00F14C38" w:rsidRDefault="00A420F6" w:rsidP="00A420F6">
      <w:pPr>
        <w:pStyle w:val="enumlev1"/>
      </w:pPr>
      <w:r>
        <w:t>–</w:t>
      </w:r>
      <w:r>
        <w:tab/>
      </w:r>
      <w:r w:rsidR="00F14C38" w:rsidRPr="00A532ED">
        <w:t>considers reports of unresolved interference investigations carried out by the Bureau at the request of one or more administrations and formulates Recommendations;</w:t>
      </w:r>
    </w:p>
    <w:p w:rsidR="00F14C38" w:rsidRDefault="00A420F6" w:rsidP="00A420F6">
      <w:pPr>
        <w:pStyle w:val="enumlev1"/>
      </w:pPr>
      <w:r>
        <w:t>–</w:t>
      </w:r>
      <w:r>
        <w:tab/>
      </w:r>
      <w:r w:rsidR="00F14C38" w:rsidRPr="00A532ED">
        <w:t>provides advice to Radiocommunication Conferences and Radiocommunication Assemblies;</w:t>
      </w:r>
    </w:p>
    <w:p w:rsidR="00F14C38" w:rsidRDefault="00A420F6" w:rsidP="00A420F6">
      <w:pPr>
        <w:pStyle w:val="enumlev1"/>
      </w:pPr>
      <w:r>
        <w:t>–</w:t>
      </w:r>
      <w:r>
        <w:tab/>
      </w:r>
      <w:r w:rsidR="00F14C38" w:rsidRPr="00A532ED">
        <w:t>considers appeals against decisions made by the Radiocommunication Bureau regarding frequency assignments;</w:t>
      </w:r>
    </w:p>
    <w:p w:rsidR="00F14C38" w:rsidRPr="00A532ED" w:rsidRDefault="00A420F6" w:rsidP="00A420F6">
      <w:pPr>
        <w:pStyle w:val="enumlev1"/>
      </w:pPr>
      <w:r>
        <w:t>–</w:t>
      </w:r>
      <w:r>
        <w:tab/>
      </w:r>
      <w:r w:rsidR="00F14C38" w:rsidRPr="00A532ED">
        <w:t>performs any additional duties prescribed by a competen</w:t>
      </w:r>
      <w:r w:rsidR="00F14C38">
        <w:t>t conference or by the Council.</w:t>
      </w:r>
    </w:p>
    <w:p w:rsidR="00F14C38" w:rsidRPr="007855D0" w:rsidRDefault="00F14C38" w:rsidP="00F14C38">
      <w:pPr>
        <w:rPr>
          <w:b/>
          <w:bCs/>
          <w:i/>
          <w:iCs/>
        </w:rPr>
      </w:pPr>
      <w:r w:rsidRPr="007855D0">
        <w:rPr>
          <w:b/>
          <w:bCs/>
          <w:i/>
          <w:iCs/>
        </w:rPr>
        <w:t>ITU-R Study Groups</w:t>
      </w:r>
    </w:p>
    <w:p w:rsidR="00F14C38" w:rsidRDefault="00F14C38" w:rsidP="00A420F6">
      <w:r w:rsidRPr="00A532ED">
        <w:t>The ITU-R Study Groups</w:t>
      </w:r>
      <w:r>
        <w:t>, including the Special Committee,</w:t>
      </w:r>
      <w:r w:rsidRPr="00A532ED">
        <w:t xml:space="preserve"> develop the technical</w:t>
      </w:r>
      <w:r>
        <w:t>, operational, regulatory and procedural</w:t>
      </w:r>
      <w:r w:rsidRPr="00A532ED">
        <w:t xml:space="preserve"> bases for decisions taken </w:t>
      </w:r>
      <w:r>
        <w:t>by</w:t>
      </w:r>
      <w:r w:rsidRPr="00A532ED">
        <w:t xml:space="preserve"> World Radiocommunication Conferences</w:t>
      </w:r>
      <w:r>
        <w:t>. These bases are consolidated by the Conference Preparatory Meeting (CPM). The ITU-R Study Groups also</w:t>
      </w:r>
      <w:r w:rsidRPr="00A532ED">
        <w:t xml:space="preserve"> develop </w:t>
      </w:r>
      <w:r>
        <w:t>international</w:t>
      </w:r>
      <w:r w:rsidRPr="00A532ED">
        <w:t xml:space="preserve"> standards (Recommendations), Reports</w:t>
      </w:r>
      <w:r>
        <w:t>, Opinions</w:t>
      </w:r>
      <w:r w:rsidRPr="00A532ED">
        <w:t xml:space="preserve"> and Handbooks on radiocommunication matters.</w:t>
      </w:r>
    </w:p>
    <w:p w:rsidR="00F14C38" w:rsidRPr="007855D0" w:rsidRDefault="00F14C38" w:rsidP="00297A9E">
      <w:pPr>
        <w:keepNext/>
        <w:rPr>
          <w:b/>
          <w:bCs/>
          <w:i/>
          <w:iCs/>
        </w:rPr>
      </w:pPr>
      <w:r w:rsidRPr="007855D0">
        <w:rPr>
          <w:b/>
          <w:bCs/>
          <w:i/>
          <w:iCs/>
        </w:rPr>
        <w:t>Radiocommunication Advisory Group (RAG)</w:t>
      </w:r>
    </w:p>
    <w:p w:rsidR="00F14C38" w:rsidRPr="00A532ED" w:rsidRDefault="00F14C38" w:rsidP="00A420F6">
      <w:r w:rsidRPr="0091776B">
        <w:t xml:space="preserve">According to Art 11A of the Convention, the RAG “shall: 1) review priorities, programmes, operations, financial matters and strategies related to radiocommunication assemblies, study groups and other groups and the preparation of radiocommunication conferences, and any specific matters as </w:t>
      </w:r>
      <w:r w:rsidRPr="0091776B">
        <w:lastRenderedPageBreak/>
        <w:t xml:space="preserve">directed by a conference of the Union, a radiocommunication assembly or the Council; 1bis) review the implementation of the operational plan of the preceding period in order to identify areas in which the Bureau has not achieved or was not able to achieve the objectives laid down in that plan, and advise the Director on the necessary corrective measures; 2) review progress in the implementation of the programme of work </w:t>
      </w:r>
      <w:r>
        <w:t>[…]</w:t>
      </w:r>
      <w:r w:rsidRPr="0091776B">
        <w:t>; 3) provide guidelines for the work of study groups; 4) recommend measures, inter alia, to foster cooperation and coordination with other standards bodies, with the Telecommunication Standardization Sector, the Telecommunication Development Sector and the General Secretariat; […] 6) prepare a report for the Director of the Radiocommunication Bureau indicating action in respect of the above items; 7) prepare a report for the Radiocommunication Assembly on the matters assigned to it in accordance with No.137A of this Convention and transmit it to the Director for submission to the assembly […]”.</w:t>
      </w:r>
    </w:p>
    <w:p w:rsidR="00F14C38" w:rsidRDefault="00A420F6" w:rsidP="00A420F6">
      <w:pPr>
        <w:pStyle w:val="Heading4"/>
      </w:pPr>
      <w:r>
        <w:t>1.2.2.2</w:t>
      </w:r>
      <w:r>
        <w:tab/>
      </w:r>
      <w:r w:rsidR="00F14C38" w:rsidRPr="005335C8">
        <w:t xml:space="preserve">The ITU Telecommunication Standardization </w:t>
      </w:r>
      <w:r w:rsidR="00F14C38">
        <w:t>Sector (ITU-T</w:t>
      </w:r>
      <w:r w:rsidR="00F14C38" w:rsidRPr="005335C8">
        <w:t>)</w:t>
      </w:r>
    </w:p>
    <w:p w:rsidR="00F14C38" w:rsidRDefault="00F14C38" w:rsidP="00A420F6">
      <w:r w:rsidRPr="00E01D45">
        <w:t>The mission of the ITU Telecommunication Standardization Sector (ITU-T) 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of underlying technology, particularly in developing countries, while establishing links between the activities of ITU-T and the relevant WSIS outcomes.</w:t>
      </w:r>
    </w:p>
    <w:p w:rsidR="00F14C38" w:rsidRPr="007855D0" w:rsidRDefault="00F14C38" w:rsidP="00F14C38">
      <w:pPr>
        <w:rPr>
          <w:b/>
          <w:bCs/>
          <w:i/>
          <w:iCs/>
        </w:rPr>
      </w:pPr>
      <w:r w:rsidRPr="007855D0">
        <w:rPr>
          <w:b/>
          <w:bCs/>
          <w:i/>
          <w:iCs/>
        </w:rPr>
        <w:t>World Telecommunication Standardization Assembly</w:t>
      </w:r>
    </w:p>
    <w:p w:rsidR="00F14C38" w:rsidRDefault="00F14C38" w:rsidP="00A420F6">
      <w:r w:rsidRPr="00030888">
        <w:t>The World Telecommunication Standardization Assembly (WTSA) sets the overall direction and structure for ITU-T. It meets every four years and defines the general policy for the Sector, establishes study groups, approves their expected work programme for the next four-year period, and appoints their chairmen and vice-chairmen.</w:t>
      </w:r>
    </w:p>
    <w:p w:rsidR="00F14C38" w:rsidRPr="007855D0" w:rsidRDefault="00F14C38" w:rsidP="00F14C38">
      <w:pPr>
        <w:rPr>
          <w:b/>
          <w:bCs/>
          <w:i/>
          <w:iCs/>
        </w:rPr>
      </w:pPr>
      <w:r w:rsidRPr="007855D0">
        <w:rPr>
          <w:b/>
          <w:bCs/>
          <w:i/>
          <w:iCs/>
        </w:rPr>
        <w:t>Telecommunication Standardization Advisory Group (TSAG)</w:t>
      </w:r>
    </w:p>
    <w:p w:rsidR="00F14C38" w:rsidRDefault="00F14C38" w:rsidP="00A420F6">
      <w:r w:rsidRPr="00B00ED3">
        <w:t xml:space="preserve">According to Article 14A of the Convention, TSAG </w:t>
      </w:r>
      <w:r>
        <w:t>“shall</w:t>
      </w:r>
      <w:r w:rsidRPr="00B00ED3">
        <w:t xml:space="preserve"> 1) review ITU-T priorities, programmes, operations, financial matters and strategies for activities in the Telecommunication Standardization Sector; 1bis) review the implementation of the operational plan […]; 2) review progress in the implementation of the programme of work […]; 3) provide guidelines for the work of study groups; 4) recommend measures, inter alia, to foster cooperation and coordination with other relevant bodies, with the Radiocommunication Sector, the Telecommunication Development Sector</w:t>
      </w:r>
      <w:r>
        <w:t xml:space="preserve"> and the General Secretariat;</w:t>
      </w:r>
      <w:r w:rsidRPr="00B00ED3">
        <w:t xml:space="preserve"> […] 6) prepare a report for the Director of the Telecommunication Standardization Bureau indicating action in respect of the above items; 7) prepare a report for the world telecommunication standardization assembly on the matters assigned to it […]”.</w:t>
      </w:r>
    </w:p>
    <w:p w:rsidR="00F14C38" w:rsidRPr="007855D0" w:rsidRDefault="00F14C38" w:rsidP="00F14C38">
      <w:pPr>
        <w:rPr>
          <w:b/>
          <w:bCs/>
          <w:i/>
          <w:iCs/>
        </w:rPr>
      </w:pPr>
      <w:r w:rsidRPr="007855D0">
        <w:rPr>
          <w:b/>
          <w:bCs/>
          <w:i/>
          <w:iCs/>
        </w:rPr>
        <w:t>The ITU-T Study Groups</w:t>
      </w:r>
    </w:p>
    <w:p w:rsidR="00F14C38" w:rsidRDefault="00F14C38" w:rsidP="00A420F6">
      <w:r>
        <w:t>ITU-T’s</w:t>
      </w:r>
      <w:r w:rsidRPr="005335C8">
        <w:t xml:space="preserve"> Study Groups assemble experts from around the world to develop international standards known as ITU-T Recommendations</w:t>
      </w:r>
      <w:r>
        <w:t>,</w:t>
      </w:r>
      <w:r w:rsidRPr="005335C8">
        <w:t xml:space="preserve"> which act as defining elements in the global infrastructure of </w:t>
      </w:r>
      <w:r w:rsidRPr="000E07EF">
        <w:t>telecommunication/</w:t>
      </w:r>
      <w:r w:rsidRPr="005335C8">
        <w:t xml:space="preserve">ICTs. </w:t>
      </w:r>
      <w:r>
        <w:t>They</w:t>
      </w:r>
      <w:r w:rsidRPr="005335C8">
        <w:t xml:space="preserve"> enable global communications by ensuring that countries’ </w:t>
      </w:r>
      <w:r>
        <w:t>telecommunication/</w:t>
      </w:r>
      <w:r w:rsidRPr="005335C8">
        <w:t xml:space="preserve">ICT networks and devices are </w:t>
      </w:r>
      <w:r>
        <w:t>interoperable</w:t>
      </w:r>
      <w:r w:rsidRPr="005335C8">
        <w:t>.</w:t>
      </w:r>
    </w:p>
    <w:p w:rsidR="00F14C38" w:rsidRDefault="00A420F6" w:rsidP="00A420F6">
      <w:pPr>
        <w:pStyle w:val="Heading4"/>
      </w:pPr>
      <w:r>
        <w:t>1.2.2.3</w:t>
      </w:r>
      <w:r>
        <w:tab/>
      </w:r>
      <w:r w:rsidR="00F14C38" w:rsidRPr="005335C8">
        <w:t xml:space="preserve">The ITU Telecommunication Development </w:t>
      </w:r>
      <w:r w:rsidR="00F14C38">
        <w:t>Sector (ITU-D</w:t>
      </w:r>
      <w:r w:rsidR="00F14C38" w:rsidRPr="005335C8">
        <w:t>)</w:t>
      </w:r>
    </w:p>
    <w:p w:rsidR="00F14C38" w:rsidRDefault="00F14C38" w:rsidP="00297A9E">
      <w:r w:rsidRPr="005335C8">
        <w:t xml:space="preserve">The core mission of the Telecommunication Development Sector (ITU-D) </w:t>
      </w:r>
      <w:r>
        <w:t>is</w:t>
      </w:r>
      <w:r w:rsidRPr="005335C8">
        <w:t xml:space="preserve"> to foster international cooperation and solidarity in the delivery of technical assistance and in the creation, development and improvement of telecommunication/ICT equipment and networks in developing countries. ITU</w:t>
      </w:r>
      <w:r w:rsidR="00297A9E">
        <w:noBreakHyphen/>
      </w:r>
      <w:r w:rsidRPr="005335C8">
        <w:t xml:space="preserve">D is </w:t>
      </w:r>
      <w:r>
        <w:t>required to discharge the Union’</w:t>
      </w:r>
      <w:r w:rsidRPr="005335C8">
        <w:t xml:space="preserve">s dual responsibility as a </w:t>
      </w:r>
      <w:r>
        <w:t>UN</w:t>
      </w:r>
      <w:r w:rsidRPr="005335C8">
        <w:t xml:space="preserve"> specialized agency and </w:t>
      </w:r>
      <w:r>
        <w:t xml:space="preserve">also as an </w:t>
      </w:r>
      <w:r w:rsidRPr="005335C8">
        <w:t xml:space="preserve">executing agency for implementing projects under the </w:t>
      </w:r>
      <w:r>
        <w:t>UN</w:t>
      </w:r>
      <w:r w:rsidRPr="005335C8">
        <w:t xml:space="preserve"> development system or other </w:t>
      </w:r>
      <w:r w:rsidRPr="005335C8">
        <w:lastRenderedPageBreak/>
        <w:t>funding arrangements, so as to facilitate and enhance telecommunication/ICT development by offering, organizing and coordinating technical coopera</w:t>
      </w:r>
      <w:r>
        <w:t>tion and assistance activities.</w:t>
      </w:r>
    </w:p>
    <w:p w:rsidR="00F14C38" w:rsidRPr="00C82CA9" w:rsidRDefault="00F14C38" w:rsidP="00F14C38">
      <w:pPr>
        <w:rPr>
          <w:b/>
          <w:bCs/>
          <w:i/>
          <w:iCs/>
        </w:rPr>
      </w:pPr>
      <w:r w:rsidRPr="00C82CA9">
        <w:rPr>
          <w:b/>
          <w:bCs/>
          <w:i/>
          <w:iCs/>
        </w:rPr>
        <w:t>World Telecommunication Development Conferences</w:t>
      </w:r>
    </w:p>
    <w:p w:rsidR="00F14C38" w:rsidRDefault="00F14C38" w:rsidP="00A420F6">
      <w:r w:rsidRPr="007A35D5">
        <w:t>The World Telecommunication Development Conference (WTDC) sets the agenda and guidelines for the ITU-D Sector for the following four-year cycle, while Regional Conferences review “work-in-progress” towards the overall objectives and ensure that goals are met. The Telecommunication Development Conferences serve as forums for the discussion of the digital divide, telecommunications and development by all stakeholders involved in and concerned with ITU-D’s work. In addition, they review the numerous programmes and projects of the Sector and Telecommunication Development Bureau (BDT). Results are reported</w:t>
      </w:r>
      <w:r>
        <w:t xml:space="preserve"> and new projects are launched.</w:t>
      </w:r>
    </w:p>
    <w:p w:rsidR="00F14C38" w:rsidRPr="00CD2A22" w:rsidRDefault="00F14C38" w:rsidP="00A420F6">
      <w:r w:rsidRPr="007A35D5">
        <w:t>Each Regional Preparatory Meeting brings together the countries in its region to explore and discuss their needs and the present and future projects of the Sector.</w:t>
      </w:r>
    </w:p>
    <w:p w:rsidR="00F14C38" w:rsidRPr="007855D0" w:rsidRDefault="00F14C38" w:rsidP="00F14C38">
      <w:pPr>
        <w:rPr>
          <w:b/>
          <w:bCs/>
          <w:i/>
          <w:iCs/>
        </w:rPr>
      </w:pPr>
      <w:r w:rsidRPr="007855D0">
        <w:rPr>
          <w:b/>
          <w:bCs/>
          <w:i/>
          <w:iCs/>
        </w:rPr>
        <w:t>Telecommunication Development Advisory Group (TDAG)</w:t>
      </w:r>
    </w:p>
    <w:p w:rsidR="00F14C38" w:rsidRPr="00CD2A22" w:rsidRDefault="00F14C38" w:rsidP="00A420F6">
      <w:r w:rsidRPr="0091776B">
        <w:t>According to Article 17A of the Convention, the TDAG “shall: 1) review priorities, programmes, operations, financial matters and strategies for activities in the Telecommunication Development Sector; 1bis) review the implementation of the operational plan of the preceding period in order to identify areas in which the Bureau has not achieved or was not able to achieve the objectives laid down in that plan, and advise the Director on the necess</w:t>
      </w:r>
      <w:r>
        <w:t>ary corrective measures;</w:t>
      </w:r>
      <w:r w:rsidRPr="0091776B">
        <w:t xml:space="preserve"> 2) review progress in the implementation of the programme of work </w:t>
      </w:r>
      <w:r>
        <w:t>[…]</w:t>
      </w:r>
      <w:r w:rsidRPr="0091776B">
        <w:t>; 3) provide guidelines for the work of study groups; 4) recommend measures, inter alia, to foster cooperation and coordination with the Radiocommunication Sector, the Telecommunication Standardization Sector and the General Secretariat, as well as with other relevant development and financial institutions; […] 6) prepare a report for the Director of the Telecommunication Development Bureau indicating action in respect of the above items; 6bis) prepare a report for the world telecommunication development conference on the matters assigned to it in accordance with No.213A of this Convention and transmit it to the Director for submission to the conference […]”</w:t>
      </w:r>
    </w:p>
    <w:p w:rsidR="00F14C38" w:rsidRPr="007855D0" w:rsidRDefault="00F14C38" w:rsidP="00F14C38">
      <w:pPr>
        <w:rPr>
          <w:b/>
          <w:bCs/>
          <w:i/>
          <w:iCs/>
        </w:rPr>
      </w:pPr>
      <w:r w:rsidRPr="007855D0">
        <w:rPr>
          <w:b/>
          <w:bCs/>
          <w:i/>
          <w:iCs/>
        </w:rPr>
        <w:t>ITU-D Study Groups</w:t>
      </w:r>
    </w:p>
    <w:p w:rsidR="00F14C38" w:rsidRDefault="00F14C38" w:rsidP="00DB3058">
      <w:r w:rsidRPr="00831FAD">
        <w:t>In support of the knowledge-sharing and capacity-building agenda of the BDT, the ITU-D study groups study and analy</w:t>
      </w:r>
      <w:r w:rsidR="00DB3058">
        <w:t>s</w:t>
      </w:r>
      <w:r w:rsidRPr="00831FAD">
        <w:t xml:space="preserve">e specific task-oriented telecommunication/ICT questions of priority to developing countries. ITU-D has two Study Groups, providing a neutral forum for governments, industry and academia to address priority issues for the </w:t>
      </w:r>
      <w:r>
        <w:t>telecommunication/</w:t>
      </w:r>
      <w:r w:rsidRPr="00831FAD">
        <w:t>ICT Sector: Study Group 1 addresses issues related to the enabling environment, cybersecurity, ICT applications and Internet-related issues; Study Group 2 addresses issues related to information and communication infrastructure and technology development, emergency telecommunications and climate change adaptation.</w:t>
      </w:r>
    </w:p>
    <w:p w:rsidR="00F14C38" w:rsidRPr="006108B5" w:rsidRDefault="00A420F6" w:rsidP="00A420F6">
      <w:pPr>
        <w:pStyle w:val="Heading4"/>
      </w:pPr>
      <w:r>
        <w:t>1.2.2.4</w:t>
      </w:r>
      <w:r>
        <w:tab/>
      </w:r>
      <w:r w:rsidR="00F14C38" w:rsidRPr="006108B5">
        <w:t>Intersectoral activities</w:t>
      </w:r>
    </w:p>
    <w:p w:rsidR="00F14C38" w:rsidRDefault="00F14C38" w:rsidP="00A420F6">
      <w:r w:rsidRPr="006108B5">
        <w:t xml:space="preserve">Plenipotentiary Resolutions and Decisions of the Council foresee other intersectoral events, fora and conferences, in accordance </w:t>
      </w:r>
      <w:r>
        <w:t>with</w:t>
      </w:r>
      <w:r w:rsidRPr="006108B5">
        <w:t xml:space="preserve"> the mandate of the Union.</w:t>
      </w:r>
    </w:p>
    <w:p w:rsidR="00F14C38" w:rsidRPr="007855D0" w:rsidRDefault="00F14C38" w:rsidP="00F14C38">
      <w:pPr>
        <w:rPr>
          <w:b/>
          <w:bCs/>
          <w:i/>
          <w:iCs/>
        </w:rPr>
      </w:pPr>
      <w:r w:rsidRPr="007855D0">
        <w:rPr>
          <w:b/>
          <w:bCs/>
          <w:i/>
          <w:iCs/>
        </w:rPr>
        <w:t>World Conference on International Telecommunications</w:t>
      </w:r>
    </w:p>
    <w:p w:rsidR="00F14C38" w:rsidRDefault="00F14C38" w:rsidP="00A420F6">
      <w:r w:rsidRPr="006108B5">
        <w:t>A world conference on international telecommunications may partially</w:t>
      </w:r>
      <w:r>
        <w:t xml:space="preserve"> </w:t>
      </w:r>
      <w:r w:rsidRPr="006108B5">
        <w:t xml:space="preserve">or in exceptional cases, completely revise the International Telecommunication Regulations and may deal with any question of a worldwide character within its competence and related to its agenda. </w:t>
      </w:r>
    </w:p>
    <w:p w:rsidR="00F14C38" w:rsidRPr="002F2985" w:rsidRDefault="00A420F6" w:rsidP="00A420F6">
      <w:pPr>
        <w:pStyle w:val="Heading1"/>
      </w:pPr>
      <w:bookmarkStart w:id="12" w:name="_Toc377564995"/>
      <w:bookmarkStart w:id="13" w:name="_Toc379396994"/>
      <w:bookmarkStart w:id="14" w:name="_Toc379546800"/>
      <w:r>
        <w:lastRenderedPageBreak/>
        <w:t>2</w:t>
      </w:r>
      <w:r>
        <w:tab/>
      </w:r>
      <w:r w:rsidR="00F14C38">
        <w:t>General</w:t>
      </w:r>
      <w:r w:rsidR="00F14C38" w:rsidRPr="00C55480">
        <w:t xml:space="preserve"> </w:t>
      </w:r>
      <w:bookmarkEnd w:id="12"/>
      <w:bookmarkEnd w:id="13"/>
      <w:bookmarkEnd w:id="14"/>
      <w:r w:rsidR="00F14C38">
        <w:t>assessment</w:t>
      </w:r>
    </w:p>
    <w:p w:rsidR="00F14C38" w:rsidRPr="000E6F0B" w:rsidRDefault="00F14C38" w:rsidP="00A420F6">
      <w:r w:rsidRPr="003537B9">
        <w:t xml:space="preserve">The </w:t>
      </w:r>
      <w:r>
        <w:t>general assessment</w:t>
      </w:r>
      <w:r w:rsidRPr="003537B9">
        <w:t xml:space="preserve"> briefly reviews the implementation of the 2012-2015 Strategic Plan of the Union and identifies main trends and challenges of the telecommunication/ICT environment</w:t>
      </w:r>
      <w:r>
        <w:t>/sector</w:t>
      </w:r>
      <w:r w:rsidRPr="003537B9">
        <w:t xml:space="preserve"> that will influence and shape ITU’s work in future. It specifically recognizes that:</w:t>
      </w:r>
    </w:p>
    <w:p w:rsidR="00F14C38" w:rsidRDefault="00A420F6" w:rsidP="00A420F6">
      <w:pPr>
        <w:pStyle w:val="enumlev1"/>
      </w:pPr>
      <w:r>
        <w:t>1)</w:t>
      </w:r>
      <w:r>
        <w:tab/>
      </w:r>
      <w:r w:rsidR="00F14C38">
        <w:t>Telecommunications/</w:t>
      </w:r>
      <w:r w:rsidR="00F14C38" w:rsidRPr="001D7733">
        <w:t>ICTs are growing strongly, and becoming more widely available and pervasive.</w:t>
      </w:r>
    </w:p>
    <w:p w:rsidR="00F14C38" w:rsidRDefault="00A420F6" w:rsidP="00A420F6">
      <w:pPr>
        <w:pStyle w:val="enumlev1"/>
      </w:pPr>
      <w:r>
        <w:t>2)</w:t>
      </w:r>
      <w:r>
        <w:tab/>
      </w:r>
      <w:r w:rsidR="00F14C38" w:rsidRPr="001D7733">
        <w:t xml:space="preserve">As </w:t>
      </w:r>
      <w:r w:rsidR="00F14C38">
        <w:t>telecommunications/</w:t>
      </w:r>
      <w:r w:rsidR="00F14C38" w:rsidRPr="001D7733">
        <w:t xml:space="preserve">ICTs become more widespread, the </w:t>
      </w:r>
      <w:r w:rsidR="00F14C38">
        <w:t>challenges</w:t>
      </w:r>
      <w:r w:rsidR="00F14C38" w:rsidRPr="001D7733">
        <w:t xml:space="preserve"> of inequalities and exclusion are becoming greater – special attention must be given to bridging the digital divide and ensuring inclusion.</w:t>
      </w:r>
    </w:p>
    <w:p w:rsidR="00F14C38" w:rsidRDefault="00A420F6" w:rsidP="00A420F6">
      <w:pPr>
        <w:pStyle w:val="enumlev1"/>
      </w:pPr>
      <w:r>
        <w:t>3)</w:t>
      </w:r>
      <w:r>
        <w:tab/>
      </w:r>
      <w:r w:rsidR="00F14C38">
        <w:t>New risks and challenges emerge with increasing growt</w:t>
      </w:r>
      <w:r w:rsidR="003D17FB">
        <w:t>h and use of telecommunications</w:t>
      </w:r>
      <w:r w:rsidR="00F14C38">
        <w:t>/ICTs.</w:t>
      </w:r>
    </w:p>
    <w:p w:rsidR="00F14C38" w:rsidRPr="002D3206" w:rsidRDefault="00A420F6" w:rsidP="00A420F6">
      <w:pPr>
        <w:pStyle w:val="enumlev1"/>
      </w:pPr>
      <w:r>
        <w:t>4)</w:t>
      </w:r>
      <w:r>
        <w:tab/>
      </w:r>
      <w:r w:rsidR="00F14C38" w:rsidRPr="002D3206">
        <w:t>Convergence is occurring on different levels, breaking down silo</w:t>
      </w:r>
      <w:r w:rsidR="00F14C38">
        <w:t>s between different technological</w:t>
      </w:r>
      <w:r w:rsidR="00F14C38" w:rsidRPr="002D3206">
        <w:t xml:space="preserve"> sectors. Technologies are evolving rapidly, with accelerating rates of innovation, while becoming more pervasive.</w:t>
      </w:r>
      <w:r w:rsidR="00F14C38">
        <w:t xml:space="preserve"> Telecommunication/ICT environment/sector is becoming increasingly complex.</w:t>
      </w:r>
      <w:r w:rsidR="00F14C38" w:rsidRPr="002D3206">
        <w:t xml:space="preserve"> The evolution and convergence of </w:t>
      </w:r>
      <w:r w:rsidR="00F14C38">
        <w:t>telecommunication/</w:t>
      </w:r>
      <w:r w:rsidR="00F14C38" w:rsidRPr="002D3206">
        <w:t xml:space="preserve">ICTs will </w:t>
      </w:r>
      <w:r w:rsidR="00F14C38">
        <w:t xml:space="preserve">also </w:t>
      </w:r>
      <w:r w:rsidR="00F14C38" w:rsidRPr="002D3206">
        <w:t xml:space="preserve">impact the changing </w:t>
      </w:r>
      <w:r w:rsidR="00F14C38">
        <w:t>telecommunication/</w:t>
      </w:r>
      <w:r w:rsidR="00F14C38" w:rsidRPr="002D3206">
        <w:t>ICT environment</w:t>
      </w:r>
      <w:r w:rsidR="00F14C38">
        <w:t>/sector</w:t>
      </w:r>
      <w:r w:rsidR="00F14C38" w:rsidRPr="002D3206">
        <w:t>.</w:t>
      </w:r>
    </w:p>
    <w:p w:rsidR="00F14C38" w:rsidRPr="00C55480" w:rsidRDefault="00A420F6" w:rsidP="00A420F6">
      <w:pPr>
        <w:pStyle w:val="Heading2"/>
      </w:pPr>
      <w:bookmarkStart w:id="15" w:name="_Toc377564996"/>
      <w:bookmarkStart w:id="16" w:name="_Toc379396995"/>
      <w:bookmarkStart w:id="17" w:name="_Toc379546801"/>
      <w:r>
        <w:t>2.1</w:t>
      </w:r>
      <w:r>
        <w:tab/>
      </w:r>
      <w:r w:rsidR="00F14C38">
        <w:t>Brief review of</w:t>
      </w:r>
      <w:r w:rsidR="00F14C38" w:rsidRPr="00C55480">
        <w:t xml:space="preserve"> </w:t>
      </w:r>
      <w:r w:rsidR="00F14C38">
        <w:t>the implementation of S</w:t>
      </w:r>
      <w:r w:rsidR="00F14C38" w:rsidRPr="00C55480">
        <w:t xml:space="preserve">trategic </w:t>
      </w:r>
      <w:r w:rsidR="00F14C38">
        <w:t>P</w:t>
      </w:r>
      <w:r w:rsidR="00F14C38" w:rsidRPr="00C55480">
        <w:t>lan</w:t>
      </w:r>
      <w:r w:rsidR="00F14C38">
        <w:t xml:space="preserve"> for the Union for 2012-2015</w:t>
      </w:r>
      <w:bookmarkEnd w:id="15"/>
      <w:bookmarkEnd w:id="16"/>
      <w:bookmarkEnd w:id="17"/>
    </w:p>
    <w:p w:rsidR="00F14C38" w:rsidRPr="00C55480" w:rsidRDefault="00F14C38" w:rsidP="003D17FB">
      <w:r w:rsidRPr="00C55480">
        <w:t xml:space="preserve">The ITU </w:t>
      </w:r>
      <w:r>
        <w:t>S</w:t>
      </w:r>
      <w:r w:rsidRPr="00C55480">
        <w:t xml:space="preserve">trategic </w:t>
      </w:r>
      <w:r>
        <w:t>P</w:t>
      </w:r>
      <w:r w:rsidRPr="00C55480">
        <w:t xml:space="preserve">lan for 2012-2015 was adopted in 2010 by the Plenipotentiary Conference in Guadalajara (Mexico). It is structured with a view, </w:t>
      </w:r>
      <w:r w:rsidRPr="00C55480">
        <w:rPr>
          <w:i/>
          <w:iCs/>
        </w:rPr>
        <w:t>inter alia</w:t>
      </w:r>
      <w:r w:rsidRPr="00C55480">
        <w:t xml:space="preserve">, to facilitating implementation of the results-based management (RBM) methodology and linking the strategic goals to </w:t>
      </w:r>
      <w:r>
        <w:t>ITU’s</w:t>
      </w:r>
      <w:r w:rsidRPr="00C55480">
        <w:t xml:space="preserve"> core activities.</w:t>
      </w:r>
    </w:p>
    <w:p w:rsidR="00F14C38" w:rsidRPr="00C55480" w:rsidRDefault="00F14C38" w:rsidP="003D17FB">
      <w:r w:rsidRPr="00C55480">
        <w:t xml:space="preserve">The strategic plan for 2012-2015 has allowed </w:t>
      </w:r>
      <w:r>
        <w:t>ITU</w:t>
      </w:r>
      <w:r w:rsidRPr="00C55480">
        <w:t xml:space="preserve"> to progress towards fulfilling its mission and achieving its goals. A comprehensive overview of its results from 2011</w:t>
      </w:r>
      <w:r w:rsidRPr="00C55480">
        <w:rPr>
          <w:rStyle w:val="FootnoteReference"/>
        </w:rPr>
        <w:footnoteReference w:id="2"/>
      </w:r>
      <w:r w:rsidRPr="00C55480">
        <w:t xml:space="preserve"> to 201</w:t>
      </w:r>
      <w:r>
        <w:t>4</w:t>
      </w:r>
      <w:r w:rsidRPr="00C55480">
        <w:t xml:space="preserve"> can be found in </w:t>
      </w:r>
      <w:r>
        <w:t>the</w:t>
      </w:r>
      <w:r w:rsidRPr="00C55480">
        <w:t xml:space="preserve"> </w:t>
      </w:r>
      <w:r>
        <w:t>“</w:t>
      </w:r>
      <w:r w:rsidRPr="00AF6262">
        <w:t>Report</w:t>
      </w:r>
      <w:r w:rsidRPr="00C55480">
        <w:t xml:space="preserve"> on the </w:t>
      </w:r>
      <w:r w:rsidRPr="00AF6262">
        <w:t>Implementation</w:t>
      </w:r>
      <w:r w:rsidRPr="00C55480">
        <w:t xml:space="preserve"> of </w:t>
      </w:r>
      <w:r w:rsidRPr="00AF6262">
        <w:t>the</w:t>
      </w:r>
      <w:r w:rsidRPr="00C55480">
        <w:t xml:space="preserve"> </w:t>
      </w:r>
      <w:r>
        <w:t>S</w:t>
      </w:r>
      <w:r w:rsidRPr="00C55480">
        <w:t xml:space="preserve">trategic </w:t>
      </w:r>
      <w:r>
        <w:t>P</w:t>
      </w:r>
      <w:r w:rsidRPr="00C55480">
        <w:t xml:space="preserve">lan and </w:t>
      </w:r>
      <w:r>
        <w:t>on</w:t>
      </w:r>
      <w:r w:rsidRPr="00C55480">
        <w:t xml:space="preserve"> the </w:t>
      </w:r>
      <w:r w:rsidRPr="00AF6262">
        <w:t>Activities of</w:t>
      </w:r>
      <w:r w:rsidRPr="00C55480">
        <w:t xml:space="preserve"> the </w:t>
      </w:r>
      <w:r w:rsidRPr="00AF6262">
        <w:t>Union 2011-2014</w:t>
      </w:r>
      <w:r>
        <w:t>” (</w:t>
      </w:r>
      <w:r w:rsidRPr="00AF6262">
        <w:t>Doc</w:t>
      </w:r>
      <w:r w:rsidR="007855D0">
        <w:t>.</w:t>
      </w:r>
      <w:r w:rsidRPr="00AF6262">
        <w:t xml:space="preserve"> PP14/20</w:t>
      </w:r>
      <w:r>
        <w:t>).</w:t>
      </w:r>
    </w:p>
    <w:p w:rsidR="00F14C38" w:rsidRPr="007855D0" w:rsidRDefault="00F14C38" w:rsidP="00F14C38">
      <w:pPr>
        <w:rPr>
          <w:b/>
          <w:bCs/>
          <w:i/>
          <w:iCs/>
        </w:rPr>
      </w:pPr>
      <w:bookmarkStart w:id="18" w:name="_Toc377564997"/>
      <w:bookmarkStart w:id="19" w:name="_Toc379396996"/>
      <w:r w:rsidRPr="007855D0">
        <w:rPr>
          <w:b/>
          <w:bCs/>
          <w:i/>
          <w:iCs/>
        </w:rPr>
        <w:t>Lessons learned</w:t>
      </w:r>
      <w:bookmarkEnd w:id="18"/>
      <w:bookmarkEnd w:id="19"/>
    </w:p>
    <w:p w:rsidR="00F14C38" w:rsidRPr="00C55480" w:rsidRDefault="00F14C38" w:rsidP="003D17FB">
      <w:r w:rsidRPr="00C55480">
        <w:t xml:space="preserve">On the basis of analysis of the implementation of the current strategic plan and a thorough review of the practices of other UN organizations, key </w:t>
      </w:r>
      <w:r>
        <w:t>needed adjustments to</w:t>
      </w:r>
      <w:r w:rsidRPr="00C55480">
        <w:t xml:space="preserve"> the </w:t>
      </w:r>
      <w:r>
        <w:t>S</w:t>
      </w:r>
      <w:r w:rsidRPr="00C55480">
        <w:t xml:space="preserve">trategic </w:t>
      </w:r>
      <w:r>
        <w:t>P</w:t>
      </w:r>
      <w:r w:rsidRPr="00C55480">
        <w:t>lan for 2016-2019</w:t>
      </w:r>
      <w:r>
        <w:t xml:space="preserve"> have been identified</w:t>
      </w:r>
      <w:r w:rsidRPr="00C55480">
        <w:t>, as follows:</w:t>
      </w:r>
    </w:p>
    <w:p w:rsidR="00F14C38" w:rsidRPr="00553E32" w:rsidRDefault="003D17FB" w:rsidP="003D17FB">
      <w:pPr>
        <w:pStyle w:val="enumlev1"/>
      </w:pPr>
      <w:r w:rsidRPr="003D17FB">
        <w:rPr>
          <w:b/>
        </w:rPr>
        <w:t>•</w:t>
      </w:r>
      <w:r>
        <w:rPr>
          <w:b/>
        </w:rPr>
        <w:tab/>
      </w:r>
      <w:r w:rsidR="00F14C38" w:rsidRPr="00553E32">
        <w:rPr>
          <w:b/>
        </w:rPr>
        <w:t>One vision, mission and set of core values</w:t>
      </w:r>
      <w:r w:rsidR="00F14C38" w:rsidRPr="00553E32">
        <w:t>: The common vision and mission of the Union, and the core values that drive priorities and guide decision-making processes, shall be defined and stated up front in the strategic plan.</w:t>
      </w:r>
    </w:p>
    <w:p w:rsidR="00F14C38" w:rsidRPr="00553E32" w:rsidRDefault="003D17FB" w:rsidP="003D17FB">
      <w:pPr>
        <w:pStyle w:val="enumlev1"/>
      </w:pPr>
      <w:r w:rsidRPr="003D17FB">
        <w:rPr>
          <w:b/>
          <w:bCs/>
        </w:rPr>
        <w:t>•</w:t>
      </w:r>
      <w:r>
        <w:rPr>
          <w:b/>
          <w:bCs/>
        </w:rPr>
        <w:tab/>
      </w:r>
      <w:r w:rsidR="00F14C38" w:rsidRPr="00553E32">
        <w:rPr>
          <w:b/>
          <w:bCs/>
        </w:rPr>
        <w:t>Strong results-based framework</w:t>
      </w:r>
      <w:r w:rsidR="00F14C38" w:rsidRPr="00553E32">
        <w:t>: Strategic planning and operational planning shall follow the same results-based framework, but in a different level of detail. To drill down the principles of RBM, the components of the ITU results-based framework shall include:</w:t>
      </w:r>
    </w:p>
    <w:p w:rsidR="00F14C38" w:rsidRPr="00553E32" w:rsidRDefault="003D17FB" w:rsidP="003D17FB">
      <w:pPr>
        <w:pStyle w:val="enumlev2"/>
      </w:pPr>
      <w:r w:rsidRPr="007855D0">
        <w:rPr>
          <w:bCs/>
        </w:rPr>
        <w:t>–</w:t>
      </w:r>
      <w:r>
        <w:rPr>
          <w:b/>
        </w:rPr>
        <w:tab/>
      </w:r>
      <w:r w:rsidR="00F14C38" w:rsidRPr="00553E32">
        <w:rPr>
          <w:b/>
        </w:rPr>
        <w:t xml:space="preserve">ITU strategic goals </w:t>
      </w:r>
      <w:r w:rsidR="00F14C38" w:rsidRPr="00553E32">
        <w:t xml:space="preserve">and </w:t>
      </w:r>
      <w:r w:rsidR="00F14C38" w:rsidRPr="00553E32">
        <w:rPr>
          <w:b/>
        </w:rPr>
        <w:t>targets</w:t>
      </w:r>
      <w:r w:rsidR="00F14C38" w:rsidRPr="00553E32">
        <w:t xml:space="preserve">: there is a need to define Union-wide strategic goals, to which the three Sectors, the corresponding Bureaux and the General Secretariat all contribute. Global </w:t>
      </w:r>
      <w:r w:rsidR="00F14C38">
        <w:t>telecommunication/</w:t>
      </w:r>
      <w:r w:rsidR="00F14C38" w:rsidRPr="00553E32">
        <w:t>ICT targets may serve as the indicators of achievement at the level of strategic goals, providing baselines and targets for the period of the strategic plan.</w:t>
      </w:r>
    </w:p>
    <w:p w:rsidR="00F14C38" w:rsidRPr="00C55480" w:rsidRDefault="003D17FB" w:rsidP="003D17FB">
      <w:pPr>
        <w:pStyle w:val="enumlev2"/>
      </w:pPr>
      <w:r w:rsidRPr="007855D0">
        <w:rPr>
          <w:bCs/>
        </w:rPr>
        <w:lastRenderedPageBreak/>
        <w:t>–</w:t>
      </w:r>
      <w:r>
        <w:rPr>
          <w:b/>
        </w:rPr>
        <w:tab/>
      </w:r>
      <w:r w:rsidR="00F14C38" w:rsidRPr="00C55480">
        <w:rPr>
          <w:b/>
        </w:rPr>
        <w:t>Objectives/outcomes</w:t>
      </w:r>
      <w:r w:rsidR="00F14C38" w:rsidRPr="00C55480">
        <w:t xml:space="preserve">: The Sector and intersectoral objectives/outcomes </w:t>
      </w:r>
      <w:r w:rsidR="00F14C38">
        <w:t xml:space="preserve">shall be </w:t>
      </w:r>
      <w:r w:rsidR="00F14C38" w:rsidRPr="00C55480">
        <w:t>set in order to achieve the strategic goals of the Union.</w:t>
      </w:r>
    </w:p>
    <w:p w:rsidR="00F14C38" w:rsidRDefault="003D17FB" w:rsidP="003D17FB">
      <w:pPr>
        <w:pStyle w:val="enumlev2"/>
      </w:pPr>
      <w:r w:rsidRPr="007855D0">
        <w:rPr>
          <w:bCs/>
        </w:rPr>
        <w:t>–</w:t>
      </w:r>
      <w:r>
        <w:rPr>
          <w:b/>
        </w:rPr>
        <w:tab/>
      </w:r>
      <w:r w:rsidR="00F14C38" w:rsidRPr="00C55480">
        <w:rPr>
          <w:b/>
        </w:rPr>
        <w:t xml:space="preserve">Outputs </w:t>
      </w:r>
      <w:r w:rsidR="00F14C38" w:rsidRPr="007855D0">
        <w:rPr>
          <w:b/>
          <w:bCs/>
        </w:rPr>
        <w:t>and corresponding</w:t>
      </w:r>
      <w:r w:rsidR="00F14C38" w:rsidRPr="00C55480">
        <w:rPr>
          <w:b/>
        </w:rPr>
        <w:t xml:space="preserve"> activities</w:t>
      </w:r>
      <w:r w:rsidR="00F14C38" w:rsidRPr="00C55480">
        <w:t xml:space="preserve">: </w:t>
      </w:r>
      <w:r w:rsidR="00F14C38">
        <w:t>F</w:t>
      </w:r>
      <w:r w:rsidR="00F14C38" w:rsidRPr="00C55480">
        <w:t xml:space="preserve">inal products or services delivered by ITU and the corresponding activities that need to be undertaken to produce them shall be </w:t>
      </w:r>
      <w:r w:rsidR="00F14C38">
        <w:t xml:space="preserve">defined within </w:t>
      </w:r>
      <w:r w:rsidR="00F14C38" w:rsidRPr="00C55480">
        <w:t>the operational planning process</w:t>
      </w:r>
      <w:r w:rsidR="00F14C38">
        <w:t xml:space="preserve">. This will </w:t>
      </w:r>
      <w:r w:rsidR="00F14C38" w:rsidRPr="00C55480">
        <w:t>ensure proper alignment with the ITU strategic goals and objectives/o</w:t>
      </w:r>
      <w:r w:rsidR="00F14C38">
        <w:t xml:space="preserve">utcomes and will </w:t>
      </w:r>
      <w:r w:rsidR="00F14C38" w:rsidRPr="00C55480">
        <w:t>allow for any corrective actions during the four-year period of the strategic plan</w:t>
      </w:r>
      <w:r w:rsidR="00F14C38">
        <w:t>, permitting proper adjustments required by the rapidly changing telecommunication/ICT environment/sector.</w:t>
      </w:r>
    </w:p>
    <w:p w:rsidR="00F14C38" w:rsidRPr="003B2297" w:rsidRDefault="003D17FB" w:rsidP="003D17FB">
      <w:pPr>
        <w:pStyle w:val="enumlev1"/>
      </w:pPr>
      <w:r w:rsidRPr="003D17FB">
        <w:rPr>
          <w:b/>
          <w:bCs/>
        </w:rPr>
        <w:t>•</w:t>
      </w:r>
      <w:r>
        <w:rPr>
          <w:b/>
          <w:bCs/>
        </w:rPr>
        <w:tab/>
      </w:r>
      <w:r w:rsidR="00F14C38" w:rsidRPr="003B2297">
        <w:rPr>
          <w:b/>
          <w:bCs/>
        </w:rPr>
        <w:t>Clear</w:t>
      </w:r>
      <w:r w:rsidR="00F14C38" w:rsidRPr="003B2297">
        <w:t xml:space="preserve"> </w:t>
      </w:r>
      <w:r w:rsidR="00F14C38" w:rsidRPr="003B2297">
        <w:rPr>
          <w:b/>
        </w:rPr>
        <w:t>Implementation criteria:</w:t>
      </w:r>
      <w:r w:rsidR="00F14C38" w:rsidRPr="003B2297">
        <w:t xml:space="preserve"> appropriate criteria shall be defined to strengthen the linkage between strategic and operational planning, and provide the criteria for prioritizing among different activities of the Union</w:t>
      </w:r>
    </w:p>
    <w:p w:rsidR="00F14C38" w:rsidRDefault="003D17FB" w:rsidP="003D17FB">
      <w:pPr>
        <w:pStyle w:val="enumlev1"/>
      </w:pPr>
      <w:r>
        <w:t>•</w:t>
      </w:r>
      <w:r>
        <w:tab/>
      </w:r>
      <w:r w:rsidR="00F14C38" w:rsidRPr="003D17FB">
        <w:rPr>
          <w:b/>
          <w:bCs/>
        </w:rPr>
        <w:t>Strengthening</w:t>
      </w:r>
      <w:r w:rsidR="00F14C38">
        <w:rPr>
          <w:b/>
        </w:rPr>
        <w:t xml:space="preserve"> </w:t>
      </w:r>
      <w:r w:rsidR="00F14C38" w:rsidRPr="00C55480">
        <w:rPr>
          <w:b/>
        </w:rPr>
        <w:t>RBM methodology</w:t>
      </w:r>
      <w:r w:rsidR="00F14C38" w:rsidRPr="00C55480">
        <w:t xml:space="preserve">: In order to further improve monitoring of the implementation of the strategic plan and allow for any corrective actions during the four-year period, </w:t>
      </w:r>
      <w:r w:rsidR="00F14C38">
        <w:t xml:space="preserve">a comprehensive ITU results framework shall be developed, and shall be supported by the enhancement of </w:t>
      </w:r>
      <w:r w:rsidR="00F14C38" w:rsidRPr="00C55480">
        <w:t>the following frameworks:</w:t>
      </w:r>
    </w:p>
    <w:p w:rsidR="00F14C38" w:rsidRPr="00AB5DB1" w:rsidRDefault="003D17FB" w:rsidP="003D17FB">
      <w:pPr>
        <w:pStyle w:val="enumlev2"/>
      </w:pPr>
      <w:r w:rsidRPr="003D17FB">
        <w:rPr>
          <w:b/>
        </w:rPr>
        <w:t>–</w:t>
      </w:r>
      <w:r>
        <w:rPr>
          <w:b/>
        </w:rPr>
        <w:tab/>
      </w:r>
      <w:r w:rsidR="00F14C38" w:rsidRPr="00C55480">
        <w:rPr>
          <w:b/>
        </w:rPr>
        <w:t>Performance-management framework</w:t>
      </w:r>
      <w:r w:rsidR="00F14C38" w:rsidRPr="00C55480">
        <w:t xml:space="preserve">: The performance-management framework shall serve to evaluate not only performance </w:t>
      </w:r>
      <w:r w:rsidR="00F14C38">
        <w:t>with</w:t>
      </w:r>
      <w:r w:rsidR="00F14C38" w:rsidRPr="00C55480">
        <w:t xml:space="preserve"> respect </w:t>
      </w:r>
      <w:r w:rsidR="00F14C38">
        <w:t>to ITU’s</w:t>
      </w:r>
      <w:r w:rsidR="00F14C38" w:rsidRPr="00C55480">
        <w:t xml:space="preserve"> activities, but also progress towards achievement of the strategic goals by meeting the global </w:t>
      </w:r>
      <w:r w:rsidR="00F14C38">
        <w:t>telecommunication/</w:t>
      </w:r>
      <w:r w:rsidR="00F14C38" w:rsidRPr="00C55480">
        <w:t>ICT targets.</w:t>
      </w:r>
    </w:p>
    <w:p w:rsidR="00F14C38" w:rsidRPr="00C475E5" w:rsidRDefault="003D17FB" w:rsidP="003D17FB">
      <w:pPr>
        <w:pStyle w:val="enumlev2"/>
      </w:pPr>
      <w:bookmarkStart w:id="20" w:name="_Toc377564998"/>
      <w:bookmarkStart w:id="21" w:name="_Toc379396997"/>
      <w:bookmarkStart w:id="22" w:name="_Toc379546802"/>
      <w:r w:rsidRPr="003D17FB">
        <w:rPr>
          <w:b/>
          <w:bCs/>
        </w:rPr>
        <w:t>–</w:t>
      </w:r>
      <w:r>
        <w:rPr>
          <w:b/>
          <w:bCs/>
        </w:rPr>
        <w:tab/>
      </w:r>
      <w:r w:rsidR="00F14C38" w:rsidRPr="00C475E5">
        <w:rPr>
          <w:b/>
          <w:bCs/>
        </w:rPr>
        <w:t xml:space="preserve">Risk-management framework: </w:t>
      </w:r>
      <w:r w:rsidR="00F14C38" w:rsidRPr="00C475E5">
        <w:t>The risk-management framework shall serve to identify, analyse, evaluate and address risks that might have an impact on the performance of the Union in pursuit of its goals and objectives. Risk-mitigation measures defined within the framework shall be considered, planned and implemented via the operational planning process.</w:t>
      </w:r>
    </w:p>
    <w:p w:rsidR="00F14C38" w:rsidRPr="00C55480" w:rsidRDefault="003D17FB" w:rsidP="003D17FB">
      <w:pPr>
        <w:pStyle w:val="Heading2"/>
      </w:pPr>
      <w:r>
        <w:t>2.2</w:t>
      </w:r>
      <w:r>
        <w:tab/>
      </w:r>
      <w:r w:rsidR="00F14C38" w:rsidRPr="004E6B45">
        <w:t>The</w:t>
      </w:r>
      <w:r w:rsidR="00F14C38">
        <w:t xml:space="preserve"> </w:t>
      </w:r>
      <w:r w:rsidR="00F14C38" w:rsidRPr="004E6B45">
        <w:t>telecommunication/ICT environment</w:t>
      </w:r>
      <w:bookmarkEnd w:id="20"/>
      <w:bookmarkEnd w:id="21"/>
      <w:bookmarkEnd w:id="22"/>
      <w:r w:rsidR="00F14C38">
        <w:t>/sector</w:t>
      </w:r>
    </w:p>
    <w:p w:rsidR="00F14C38" w:rsidRPr="00B13016" w:rsidRDefault="00F14C38" w:rsidP="003D17FB">
      <w:r>
        <w:t>Telecommunications/ICTs are transforming v</w:t>
      </w:r>
      <w:r w:rsidRPr="00C55480">
        <w:t xml:space="preserve">irtually every facet of modern life – in </w:t>
      </w:r>
      <w:r>
        <w:t xml:space="preserve">work, </w:t>
      </w:r>
      <w:r w:rsidRPr="00C55480">
        <w:t>business,</w:t>
      </w:r>
      <w:r>
        <w:t xml:space="preserve"> social and cultural life, and</w:t>
      </w:r>
      <w:r w:rsidRPr="00C55480">
        <w:t xml:space="preserve"> entertainment.</w:t>
      </w:r>
      <w:r>
        <w:t xml:space="preserve"> According to ITU estimates, there were 6.8 billion mobile-cellular subscriptions by the end of 2013 or almost as many as there were people on the planet, giving a mobile-cellular penetration rate of 96 per cent. There were </w:t>
      </w:r>
      <w:r w:rsidRPr="00911168">
        <w:t xml:space="preserve">close to five billion people with access to television, and </w:t>
      </w:r>
      <w:r>
        <w:t>2.4</w:t>
      </w:r>
      <w:r w:rsidRPr="00911168">
        <w:t xml:space="preserve"> </w:t>
      </w:r>
      <w:r>
        <w:t>b</w:t>
      </w:r>
      <w:r w:rsidRPr="00911168">
        <w:t>illion Internet users</w:t>
      </w:r>
      <w:r>
        <w:t xml:space="preserve"> by the end of 2013</w:t>
      </w:r>
      <w:r w:rsidRPr="00911168">
        <w:t xml:space="preserve">. </w:t>
      </w:r>
      <w:r w:rsidRPr="00C55480">
        <w:t xml:space="preserve">New </w:t>
      </w:r>
      <w:r>
        <w:t>telecommunication/</w:t>
      </w:r>
      <w:r w:rsidRPr="00C55480">
        <w:t>ICTs continue to penetrate countries in all regions of the world, as more and mor</w:t>
      </w:r>
      <w:r>
        <w:t>e people get connected.</w:t>
      </w:r>
    </w:p>
    <w:p w:rsidR="00F14C38" w:rsidRPr="00C55480" w:rsidRDefault="003D17FB" w:rsidP="003D17FB">
      <w:pPr>
        <w:pStyle w:val="Heading3"/>
      </w:pPr>
      <w:bookmarkStart w:id="23" w:name="_Toc377564999"/>
      <w:bookmarkStart w:id="24" w:name="_Toc379546803"/>
      <w:r>
        <w:t>2.2.1</w:t>
      </w:r>
      <w:r>
        <w:tab/>
      </w:r>
      <w:r w:rsidR="00F14C38">
        <w:t xml:space="preserve">Growth in and evolution of </w:t>
      </w:r>
      <w:bookmarkStart w:id="25" w:name="_Toc379396998"/>
      <w:r w:rsidR="00F14C38">
        <w:t>telecommunications/</w:t>
      </w:r>
      <w:r w:rsidR="00F14C38" w:rsidRPr="00C55480">
        <w:t>ICTs</w:t>
      </w:r>
      <w:bookmarkEnd w:id="23"/>
      <w:bookmarkEnd w:id="24"/>
      <w:bookmarkEnd w:id="25"/>
    </w:p>
    <w:p w:rsidR="00F14C38" w:rsidRDefault="00F14C38" w:rsidP="003D17FB">
      <w:r>
        <w:t>Telecommunications/ICTs</w:t>
      </w:r>
      <w:r w:rsidRPr="00C55480">
        <w:t xml:space="preserve"> </w:t>
      </w:r>
      <w:r>
        <w:t>are evolving rapidly, and have become more widespread and pervasive</w:t>
      </w:r>
      <w:r w:rsidRPr="00C55480">
        <w:t xml:space="preserve">. </w:t>
      </w:r>
      <w:r>
        <w:fldChar w:fldCharType="begin"/>
      </w:r>
      <w:r>
        <w:instrText xml:space="preserve"> REF _Ref379497427 \h  \* MERGEFORMAT </w:instrText>
      </w:r>
      <w:r>
        <w:fldChar w:fldCharType="separate"/>
      </w:r>
      <w:r w:rsidR="006A34C6" w:rsidRPr="006A34C6">
        <w:t>Figure</w:t>
      </w:r>
      <w:r w:rsidR="006A34C6" w:rsidRPr="006A34C6">
        <w:rPr>
          <w:rFonts w:asciiTheme="majorBidi" w:hAnsiTheme="majorBidi" w:cstheme="majorBidi"/>
        </w:rPr>
        <w:t xml:space="preserve"> </w:t>
      </w:r>
      <w:r w:rsidR="006A34C6" w:rsidRPr="006A34C6">
        <w:rPr>
          <w:rFonts w:asciiTheme="majorBidi" w:hAnsiTheme="majorBidi" w:cstheme="majorBidi"/>
          <w:noProof/>
        </w:rPr>
        <w:t>1</w:t>
      </w:r>
      <w:r>
        <w:fldChar w:fldCharType="end"/>
      </w:r>
      <w:r>
        <w:t xml:space="preserve"> </w:t>
      </w:r>
      <w:r w:rsidRPr="00C55480">
        <w:t xml:space="preserve">shows global </w:t>
      </w:r>
      <w:r>
        <w:t>telecommunication/</w:t>
      </w:r>
      <w:r w:rsidRPr="00C55480">
        <w:t xml:space="preserve">ICT development, i.e. increase in levels of access for different types of </w:t>
      </w:r>
      <w:r>
        <w:t>telecommunication/</w:t>
      </w:r>
      <w:r w:rsidRPr="00C55480">
        <w:t>ICTs, over the last decade.</w:t>
      </w:r>
      <w:r>
        <w:t xml:space="preserve"> They</w:t>
      </w:r>
      <w:r w:rsidRPr="00C55480">
        <w:t xml:space="preserve"> ha</w:t>
      </w:r>
      <w:r>
        <w:t>ve</w:t>
      </w:r>
      <w:r w:rsidRPr="00C55480">
        <w:t xml:space="preserve"> become critical infrastructure, supporting not only communications for citizens and organizations, but also</w:t>
      </w:r>
      <w:r>
        <w:t xml:space="preserve"> other</w:t>
      </w:r>
      <w:r w:rsidRPr="00C55480">
        <w:t xml:space="preserve"> </w:t>
      </w:r>
      <w:r>
        <w:t>integral services, such as power supply, healthcare and financial services.</w:t>
      </w:r>
    </w:p>
    <w:p w:rsidR="00F14C38" w:rsidRDefault="00F14C38" w:rsidP="003D17FB">
      <w:r w:rsidRPr="00831FAD">
        <w:t xml:space="preserve">The uptake of both fixed (wired)-broadband and, in particular, mobile-broadband services has continued to grow worldwide. Currently, there are three times as many mobile-broadband as fixed-broadband subscriptions (2.1 billion, as against 700 million). Indeed, mobile broadband is the </w:t>
      </w:r>
      <w:r w:rsidRPr="00DA2E7C">
        <w:t>telecommunication/</w:t>
      </w:r>
      <w:r w:rsidRPr="00831FAD">
        <w:t>ICT service displaying the sharpest growth rates globally (</w:t>
      </w:r>
      <w:r w:rsidRPr="00831FAD">
        <w:fldChar w:fldCharType="begin"/>
      </w:r>
      <w:r w:rsidRPr="00831FAD">
        <w:instrText xml:space="preserve"> REF _Ref379497427 \h </w:instrText>
      </w:r>
      <w:r>
        <w:instrText xml:space="preserve"> \* MERGEFORMAT </w:instrText>
      </w:r>
      <w:r w:rsidRPr="00831FAD">
        <w:fldChar w:fldCharType="separate"/>
      </w:r>
      <w:r w:rsidR="006A34C6" w:rsidRPr="006A34C6">
        <w:rPr>
          <w:noProof/>
        </w:rPr>
        <w:t>Figure 1</w:t>
      </w:r>
      <w:r w:rsidRPr="00831FAD">
        <w:fldChar w:fldCharType="end"/>
      </w:r>
      <w:r w:rsidRPr="00831FAD">
        <w:t xml:space="preserve"> below), and is contributing to changes in </w:t>
      </w:r>
      <w:r w:rsidRPr="00DA2E7C">
        <w:t>telecommunication/</w:t>
      </w:r>
      <w:r w:rsidRPr="00831FAD">
        <w:t>ICT use and uptake and in the type of services that the industry is providing.</w:t>
      </w:r>
    </w:p>
    <w:p w:rsidR="00F14C38" w:rsidRDefault="00F14C38" w:rsidP="00F14C38"/>
    <w:p w:rsidR="00F14C38" w:rsidRPr="007855D0" w:rsidRDefault="00F14C38" w:rsidP="00F14C38">
      <w:pPr>
        <w:pStyle w:val="Caption"/>
        <w:rPr>
          <w:rFonts w:asciiTheme="majorBidi" w:hAnsiTheme="majorBidi" w:cstheme="majorBidi"/>
          <w:sz w:val="22"/>
          <w:szCs w:val="22"/>
          <w:lang w:val="en-GB"/>
        </w:rPr>
      </w:pPr>
      <w:bookmarkStart w:id="26" w:name="_Ref379497427"/>
      <w:r w:rsidRPr="007855D0">
        <w:rPr>
          <w:rFonts w:asciiTheme="majorBidi" w:hAnsiTheme="majorBidi" w:cstheme="majorBidi"/>
          <w:sz w:val="22"/>
          <w:szCs w:val="22"/>
        </w:rPr>
        <w:lastRenderedPageBreak/>
        <w:t xml:space="preserve">Figure </w:t>
      </w:r>
      <w:r w:rsidRPr="007855D0">
        <w:rPr>
          <w:rFonts w:asciiTheme="majorBidi" w:hAnsiTheme="majorBidi" w:cstheme="majorBidi"/>
          <w:sz w:val="22"/>
          <w:szCs w:val="22"/>
        </w:rPr>
        <w:fldChar w:fldCharType="begin"/>
      </w:r>
      <w:r w:rsidRPr="007855D0">
        <w:rPr>
          <w:rFonts w:asciiTheme="majorBidi" w:hAnsiTheme="majorBidi" w:cstheme="majorBidi"/>
          <w:sz w:val="22"/>
          <w:szCs w:val="22"/>
        </w:rPr>
        <w:instrText xml:space="preserve"> SEQ Figure \* ARABIC </w:instrText>
      </w:r>
      <w:r w:rsidRPr="007855D0">
        <w:rPr>
          <w:rFonts w:asciiTheme="majorBidi" w:hAnsiTheme="majorBidi" w:cstheme="majorBidi"/>
          <w:sz w:val="22"/>
          <w:szCs w:val="22"/>
        </w:rPr>
        <w:fldChar w:fldCharType="separate"/>
      </w:r>
      <w:r w:rsidR="006A34C6">
        <w:rPr>
          <w:rFonts w:asciiTheme="majorBidi" w:hAnsiTheme="majorBidi" w:cstheme="majorBidi"/>
          <w:noProof/>
          <w:sz w:val="22"/>
          <w:szCs w:val="22"/>
        </w:rPr>
        <w:t>1</w:t>
      </w:r>
      <w:r w:rsidRPr="007855D0">
        <w:rPr>
          <w:rFonts w:asciiTheme="majorBidi" w:hAnsiTheme="majorBidi" w:cstheme="majorBidi"/>
          <w:noProof/>
          <w:sz w:val="22"/>
          <w:szCs w:val="22"/>
        </w:rPr>
        <w:fldChar w:fldCharType="end"/>
      </w:r>
      <w:bookmarkEnd w:id="26"/>
      <w:r w:rsidRPr="007855D0">
        <w:rPr>
          <w:rFonts w:asciiTheme="majorBidi" w:hAnsiTheme="majorBidi" w:cstheme="majorBidi"/>
          <w:sz w:val="22"/>
          <w:szCs w:val="22"/>
        </w:rPr>
        <w:t>. Global telecommunication/ICT development 2003-2013</w:t>
      </w:r>
    </w:p>
    <w:p w:rsidR="00F14C38" w:rsidRPr="00C55480" w:rsidRDefault="00F14C38" w:rsidP="00F14C38">
      <w:r w:rsidRPr="00C55480">
        <w:rPr>
          <w:noProof/>
          <w:lang w:val="en-US" w:eastAsia="zh-CN"/>
        </w:rPr>
        <w:drawing>
          <wp:inline distT="0" distB="0" distL="0" distR="0" wp14:anchorId="10E13840" wp14:editId="2B37B1B7">
            <wp:extent cx="5638800" cy="294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11">
                      <a:extLst>
                        <a:ext uri="{28A0092B-C50C-407E-A947-70E740481C1C}">
                          <a14:useLocalDpi xmlns:a14="http://schemas.microsoft.com/office/drawing/2010/main" val="0"/>
                        </a:ext>
                      </a:extLst>
                    </a:blip>
                    <a:srcRect l="2885" r="2243"/>
                    <a:stretch/>
                  </pic:blipFill>
                  <pic:spPr bwMode="auto">
                    <a:xfrm>
                      <a:off x="0" y="0"/>
                      <a:ext cx="5638800" cy="2940050"/>
                    </a:xfrm>
                    <a:prstGeom prst="rect">
                      <a:avLst/>
                    </a:prstGeom>
                    <a:ln>
                      <a:noFill/>
                    </a:ln>
                    <a:extLst>
                      <a:ext uri="{53640926-AAD7-44D8-BBD7-CCE9431645EC}">
                        <a14:shadowObscured xmlns:a14="http://schemas.microsoft.com/office/drawing/2010/main"/>
                      </a:ext>
                    </a:extLst>
                  </pic:spPr>
                </pic:pic>
              </a:graphicData>
            </a:graphic>
          </wp:inline>
        </w:drawing>
      </w:r>
    </w:p>
    <w:p w:rsidR="00297A9E" w:rsidRDefault="00297A9E" w:rsidP="003D17FB"/>
    <w:p w:rsidR="00F14C38" w:rsidRDefault="00F14C38" w:rsidP="003D17FB">
      <w:r w:rsidRPr="00C55480">
        <w:t>Th</w:t>
      </w:r>
      <w:r>
        <w:t>e</w:t>
      </w:r>
      <w:r w:rsidRPr="00C55480">
        <w:t>s</w:t>
      </w:r>
      <w:r>
        <w:t>e rapid</w:t>
      </w:r>
      <w:r w:rsidRPr="00C55480">
        <w:t xml:space="preserve"> growth </w:t>
      </w:r>
      <w:r>
        <w:t xml:space="preserve">rates </w:t>
      </w:r>
      <w:r w:rsidRPr="00C55480">
        <w:t>will continue and accelerate in the future. For example,</w:t>
      </w:r>
      <w:r>
        <w:t xml:space="preserve"> Ericsson predicts that</w:t>
      </w:r>
      <w:r w:rsidRPr="00C55480">
        <w:t xml:space="preserve"> the number of smartphone subscriptions is expected to exceed 4 billion by 2018</w:t>
      </w:r>
      <w:r>
        <w:t>, while</w:t>
      </w:r>
      <w:r w:rsidRPr="00C55480">
        <w:t xml:space="preserve"> mobile broadband</w:t>
      </w:r>
      <w:r>
        <w:t xml:space="preserve"> subscriptions are</w:t>
      </w:r>
      <w:r w:rsidRPr="00C55480">
        <w:t xml:space="preserve"> projected to reach 7 billion subscriptions in 2018</w:t>
      </w:r>
      <w:r>
        <w:t>.</w:t>
      </w:r>
      <w:r>
        <w:rPr>
          <w:rStyle w:val="FootnoteReference"/>
        </w:rPr>
        <w:footnoteReference w:id="3"/>
      </w:r>
      <w:r w:rsidRPr="00C55480">
        <w:t xml:space="preserve"> </w:t>
      </w:r>
      <w:r>
        <w:t>Other</w:t>
      </w:r>
      <w:r w:rsidRPr="00C55480">
        <w:t xml:space="preserve"> analysts project that, globally, 4G subscriptions will grow tenfold over five years, from 88 million in 2012 to 864 million in 2017.</w:t>
      </w:r>
      <w:r w:rsidRPr="00C55480">
        <w:rPr>
          <w:rStyle w:val="FootnoteReference"/>
        </w:rPr>
        <w:footnoteReference w:id="4"/>
      </w:r>
    </w:p>
    <w:p w:rsidR="00F14C38" w:rsidRDefault="00F14C38" w:rsidP="003D17FB">
      <w:r w:rsidRPr="00C55480">
        <w:t xml:space="preserve">As a result of the growth in users, traffic and applications, overall revenues in the </w:t>
      </w:r>
      <w:r>
        <w:t>telecommunication/</w:t>
      </w:r>
      <w:r w:rsidRPr="00C55480">
        <w:t>ICT sector are expected to continue to rise, but new industry participants seem poised to take an increasing share. Total revenues from traditional telecommunication operators are likely to grow, even though they may lose up to 6.9 per cent in cumulative voice revenues (representing USD 479 billion) to</w:t>
      </w:r>
      <w:r>
        <w:t xml:space="preserve"> Over-the-Top</w:t>
      </w:r>
      <w:r w:rsidRPr="00C55480">
        <w:t xml:space="preserve"> </w:t>
      </w:r>
      <w:r>
        <w:t>(</w:t>
      </w:r>
      <w:r w:rsidRPr="00C55480">
        <w:t>OTT</w:t>
      </w:r>
      <w:r>
        <w:t>)</w:t>
      </w:r>
      <w:r w:rsidRPr="00C55480">
        <w:t xml:space="preserve"> VoIP services by 2020.</w:t>
      </w:r>
      <w:r w:rsidRPr="00C55480">
        <w:rPr>
          <w:rStyle w:val="FootnoteReference"/>
        </w:rPr>
        <w:footnoteReference w:id="5"/>
      </w:r>
      <w:r w:rsidRPr="00C55480">
        <w:t xml:space="preserve"> In another closely related area, the cloud computing market was worth USD 18 billion in 2011, and </w:t>
      </w:r>
      <w:r>
        <w:t xml:space="preserve">was </w:t>
      </w:r>
      <w:r w:rsidRPr="00C55480">
        <w:t>estimated to reach USD 32 billion by 2013,</w:t>
      </w:r>
      <w:r w:rsidRPr="00C55480">
        <w:rPr>
          <w:rStyle w:val="FootnoteReference"/>
        </w:rPr>
        <w:footnoteReference w:id="6"/>
      </w:r>
      <w:r w:rsidRPr="00C55480">
        <w:t xml:space="preserve"> driven by big data stored in the cloud now accounting for two-thirds of data centre traffic worldwide.</w:t>
      </w:r>
      <w:r w:rsidRPr="00C55480">
        <w:rPr>
          <w:rStyle w:val="FootnoteReference"/>
        </w:rPr>
        <w:footnoteReference w:id="7"/>
      </w:r>
    </w:p>
    <w:p w:rsidR="00F14C38" w:rsidRDefault="00F14C38" w:rsidP="003D17FB">
      <w:r w:rsidRPr="00887259">
        <w:t xml:space="preserve">Annual global IP traffic </w:t>
      </w:r>
      <w:r>
        <w:t xml:space="preserve">is expected to </w:t>
      </w:r>
      <w:r w:rsidRPr="00887259">
        <w:t>surpass the zettabyte threshold (1.4 zettabytes) by the end of 2017</w:t>
      </w:r>
      <w:r>
        <w:t xml:space="preserve">, </w:t>
      </w:r>
      <w:r w:rsidRPr="00887259">
        <w:t>driven by the diversification of pay-TV and video streaming services, and other media-rich content.</w:t>
      </w:r>
      <w:r w:rsidRPr="00887259">
        <w:rPr>
          <w:rStyle w:val="FootnoteReference"/>
        </w:rPr>
        <w:footnoteReference w:id="8"/>
      </w:r>
      <w:r w:rsidRPr="00887259">
        <w:t xml:space="preserve"> More than 4 billion hours of video are watched on YouTube each month, 30 billion pieces of content are shared on Facebook every month, and some 400 million tweets are sent per day by about 200 million monthly active users.</w:t>
      </w:r>
      <w:r>
        <w:rPr>
          <w:rStyle w:val="FootnoteReference"/>
        </w:rPr>
        <w:footnoteReference w:id="9"/>
      </w:r>
    </w:p>
    <w:p w:rsidR="00F14C38" w:rsidRPr="00887259" w:rsidRDefault="00F14C38" w:rsidP="003D17FB">
      <w:r w:rsidRPr="00887259">
        <w:lastRenderedPageBreak/>
        <w:t>The Internet of Things (IoT) is rapidly becoming a reality, and machine-to-machine (M2M) communications are expected to grow significantly in the near future. By 2017, televisions, tablets, smartphones and business Internet M2M modules will register growth rates of 42 per cent, 116 per cent, 119 per cent and 86 per cent, respectively. Traffic from wireless devices will already exceed traffic from wired devices by 2014.</w:t>
      </w:r>
      <w:r w:rsidRPr="00887259">
        <w:rPr>
          <w:rStyle w:val="FootnoteReference"/>
        </w:rPr>
        <w:footnoteReference w:id="10"/>
      </w:r>
    </w:p>
    <w:p w:rsidR="00F14C38" w:rsidRDefault="00F14C38" w:rsidP="003D17FB">
      <w:r>
        <w:t xml:space="preserve">The term of </w:t>
      </w:r>
      <w:r w:rsidRPr="00365925">
        <w:t>“</w:t>
      </w:r>
      <w:r>
        <w:t>b</w:t>
      </w:r>
      <w:r w:rsidRPr="00365925">
        <w:t>ig data”</w:t>
      </w:r>
      <w:r>
        <w:t xml:space="preserve"> </w:t>
      </w:r>
      <w:r w:rsidRPr="00365925">
        <w:t>is</w:t>
      </w:r>
      <w:r>
        <w:t xml:space="preserve"> used to define</w:t>
      </w:r>
      <w:r w:rsidRPr="00365925">
        <w:t xml:space="preserve"> high-volume, -velocity and -variety information assets that demand cost-effective, innovative forms of information processing for enhanced insight and decision making</w:t>
      </w:r>
      <w:r>
        <w:rPr>
          <w:rStyle w:val="FootnoteReference"/>
        </w:rPr>
        <w:footnoteReference w:id="11"/>
      </w:r>
      <w:r w:rsidRPr="00365925">
        <w:t>.</w:t>
      </w:r>
      <w:r>
        <w:t xml:space="preserve"> It is estimated that 40 Zettabytes of data will be created by 2020, an increase of 300 times from 2005. It is estimated that currently, 2.5 Quintillion bytes of data are created each day. Most companies in the U.S. have at least 100 Terabytes of data stored. Depending on the industry and the organization, big data encompasses information from multiple internal and external sources such as transactions, social media, enterprise content, sensors and mobile devices. As of 2011, the global size of data in healthcare was estimated to be 150 Exabytes, and in 2014, it’s anticipated that there are 420 million wearable, wireless health monitors.</w:t>
      </w:r>
      <w:r>
        <w:rPr>
          <w:rStyle w:val="FootnoteReference"/>
        </w:rPr>
        <w:footnoteReference w:id="12"/>
      </w:r>
    </w:p>
    <w:p w:rsidR="00F14C38" w:rsidRDefault="00F14C38" w:rsidP="003D17FB">
      <w:r w:rsidRPr="00D6671E">
        <w:t xml:space="preserve">Telecommunications/ICTs increasingly contribute to social and economic development by enabling access to and the exchange of information and services anywhere and anytime, as well as rapid processing and vast storage of such information, making provision of public and private services more effective, efficient, accessible and affordable. </w:t>
      </w:r>
      <w:r>
        <w:t>Telecommunication/</w:t>
      </w:r>
      <w:r w:rsidRPr="00D6671E">
        <w:t xml:space="preserve">ICTs are also expanding access to markets, improving disaster management and facilitating democratic participation in governance processes. </w:t>
      </w:r>
      <w:r>
        <w:t>Telecommunication/</w:t>
      </w:r>
      <w:r w:rsidRPr="00D6671E">
        <w:t>ICTs provide more cost-efficient and effective ways to preserve and promote local culture. They are bringing down the costs of economic and social activities (for example by replacing transport and postal services), and opening up entirely new business opportunities (such as cloud-based services, mobile applications and services, business process outsourcing and content-related businesses).</w:t>
      </w:r>
    </w:p>
    <w:p w:rsidR="00F14C38" w:rsidRDefault="00F14C38" w:rsidP="003D17FB">
      <w:r w:rsidRPr="00C55480">
        <w:t xml:space="preserve">In the modern world, </w:t>
      </w:r>
      <w:r>
        <w:t>telecommunications/</w:t>
      </w:r>
      <w:r w:rsidRPr="00C55480">
        <w:t xml:space="preserve">ICTs, and broadband networks and services in particular, are </w:t>
      </w:r>
      <w:r>
        <w:t>vital</w:t>
      </w:r>
      <w:r w:rsidRPr="00C55480">
        <w:t xml:space="preserve"> to countries’ economic growth</w:t>
      </w:r>
      <w:r>
        <w:t xml:space="preserve"> (Box 1) and national competitiveness in the global digital economy</w:t>
      </w:r>
      <w:r w:rsidRPr="00C55480">
        <w:t xml:space="preserve">. </w:t>
      </w:r>
      <w:r>
        <w:t>Telecommunication/ICT and broadband networks</w:t>
      </w:r>
      <w:r w:rsidRPr="00C55480">
        <w:t xml:space="preserve"> support rapid and efficient communications across different countries and continents. Not only that, but </w:t>
      </w:r>
      <w:r>
        <w:t>telecommunication/</w:t>
      </w:r>
      <w:r w:rsidRPr="00C55480">
        <w:t>ICT products and services are part of the higher-value high-tech sector in their own right – the sector which is growing fastest in terms of international trade</w:t>
      </w:r>
      <w:r>
        <w:rPr>
          <w:rStyle w:val="FootnoteReference"/>
        </w:rPr>
        <w:footnoteReference w:id="13"/>
      </w:r>
      <w:r w:rsidRPr="00C55480">
        <w:t xml:space="preserve">, and which can sustain even faster growth in incomes. </w:t>
      </w:r>
      <w:r>
        <w:t>Telecommunication/ICTs are today</w:t>
      </w:r>
      <w:r w:rsidRPr="00C55480">
        <w:t xml:space="preserve"> an economic sector in their own right, </w:t>
      </w:r>
      <w:r>
        <w:t>as well as</w:t>
      </w:r>
      <w:r w:rsidRPr="00C55480">
        <w:t xml:space="preserve"> enablers leveraging technological competitiveness across other sectors. Broadband is essential for generating new skills and fuelling economic growth and technological change throughout the economy – from agriculture to finance, education, healthcare and modern services.</w:t>
      </w:r>
    </w:p>
    <w:p w:rsidR="007855D0" w:rsidRDefault="007855D0" w:rsidP="003D17FB">
      <w:r>
        <w:br w:type="page"/>
      </w:r>
    </w:p>
    <w:tbl>
      <w:tblPr>
        <w:tblStyle w:val="TableGrid"/>
        <w:tblW w:w="0" w:type="auto"/>
        <w:tblLook w:val="04A0" w:firstRow="1" w:lastRow="0" w:firstColumn="1" w:lastColumn="0" w:noHBand="0" w:noVBand="1"/>
      </w:tblPr>
      <w:tblGrid>
        <w:gridCol w:w="9243"/>
      </w:tblGrid>
      <w:tr w:rsidR="00F14C38" w:rsidTr="00DB3058">
        <w:tc>
          <w:tcPr>
            <w:tcW w:w="9243" w:type="dxa"/>
            <w:shd w:val="clear" w:color="auto" w:fill="auto"/>
          </w:tcPr>
          <w:p w:rsidR="00F14C38" w:rsidRDefault="00F14C38" w:rsidP="00DB3058">
            <w:pPr>
              <w:rPr>
                <w:b/>
                <w:bCs/>
              </w:rPr>
            </w:pPr>
            <w:r w:rsidRPr="008F7893">
              <w:rPr>
                <w:b/>
                <w:bCs/>
              </w:rPr>
              <w:lastRenderedPageBreak/>
              <w:t>Box 1: The contribution</w:t>
            </w:r>
            <w:r>
              <w:rPr>
                <w:b/>
                <w:bCs/>
              </w:rPr>
              <w:t xml:space="preserve"> of</w:t>
            </w:r>
            <w:r w:rsidRPr="008F7893">
              <w:rPr>
                <w:b/>
                <w:bCs/>
              </w:rPr>
              <w:t xml:space="preserve"> </w:t>
            </w:r>
            <w:r w:rsidRPr="000E07EF">
              <w:rPr>
                <w:b/>
                <w:bCs/>
              </w:rPr>
              <w:t>telecommunication/</w:t>
            </w:r>
            <w:r w:rsidRPr="008F7893">
              <w:rPr>
                <w:b/>
                <w:bCs/>
              </w:rPr>
              <w:t xml:space="preserve">ICTs to national development </w:t>
            </w:r>
          </w:p>
          <w:p w:rsidR="00F14C38" w:rsidRPr="001D6237" w:rsidRDefault="00F14C38" w:rsidP="003D17FB">
            <w:pPr>
              <w:pStyle w:val="Tabletext"/>
            </w:pPr>
            <w:r w:rsidRPr="001D6237">
              <w:t>Widely cited research from the World Bank</w:t>
            </w:r>
            <w:r w:rsidRPr="003D17FB">
              <w:rPr>
                <w:rStyle w:val="FootnoteReference"/>
                <w:rFonts w:eastAsia="Times New Roman" w:cs="Times New Roman"/>
                <w:bCs/>
                <w:szCs w:val="20"/>
              </w:rPr>
              <w:footnoteReference w:id="14"/>
            </w:r>
            <w:r w:rsidRPr="001D6237">
              <w:t xml:space="preserve"> shows that ICTs, and in particular fast access to the Internet, accelerate economic growth, especially in less developed countries. Examples of the impact of utilization of </w:t>
            </w:r>
            <w:r w:rsidRPr="000E07EF">
              <w:t>telecommunication/</w:t>
            </w:r>
            <w:r w:rsidRPr="001D6237">
              <w:t xml:space="preserve">ICTs include: </w:t>
            </w:r>
          </w:p>
          <w:p w:rsidR="00F14C38" w:rsidRPr="001D4F1D" w:rsidRDefault="003D17FB" w:rsidP="003D17FB">
            <w:pPr>
              <w:pStyle w:val="Tabletext"/>
              <w:ind w:left="284" w:hanging="284"/>
            </w:pPr>
            <w:r w:rsidRPr="003D17FB">
              <w:t>•</w:t>
            </w:r>
            <w:r>
              <w:tab/>
            </w:r>
            <w:r w:rsidR="00F14C38" w:rsidRPr="001D6237">
              <w:t>It is estimated that</w:t>
            </w:r>
            <w:r w:rsidR="00F14C38">
              <w:t xml:space="preserve"> b</w:t>
            </w:r>
            <w:r w:rsidR="00F14C38" w:rsidRPr="001D6237">
              <w:t>y 2025, ICTs could have a global economic impact of the order of trillions of USD</w:t>
            </w:r>
            <w:r w:rsidR="00F14C38" w:rsidRPr="003D17FB">
              <w:rPr>
                <w:rStyle w:val="FootnoteReference"/>
                <w:rFonts w:eastAsia="Times New Roman" w:cs="Times New Roman"/>
                <w:bCs/>
                <w:szCs w:val="20"/>
              </w:rPr>
              <w:footnoteReference w:id="15"/>
            </w:r>
            <w:r w:rsidR="00F14C38" w:rsidRPr="001D6237">
              <w:t>.</w:t>
            </w:r>
            <w:r w:rsidR="00F14C38">
              <w:t xml:space="preserve"> T</w:t>
            </w:r>
            <w:r w:rsidR="00F14C38" w:rsidRPr="001D4F1D">
              <w:t xml:space="preserve">he annual economic benefit of the mobile Internet will be between USD 3.7 trillion and USD 10.8 trillion globally by 2025. Bringing broadband penetration levels in emerging markets up to today‘s Western European levels </w:t>
            </w:r>
            <w:r w:rsidR="007855D0">
              <w:t>could potentially add USD 300-</w:t>
            </w:r>
            <w:r w:rsidR="00F14C38" w:rsidRPr="001D4F1D">
              <w:t>420 b</w:t>
            </w:r>
            <w:r w:rsidR="007855D0">
              <w:t>illion in GDP and generate 10-</w:t>
            </w:r>
            <w:r w:rsidR="00F14C38" w:rsidRPr="001D4F1D">
              <w:t>14 million jobs.</w:t>
            </w:r>
            <w:r w:rsidR="00F14C38" w:rsidRPr="003D17FB">
              <w:rPr>
                <w:rStyle w:val="FootnoteReference"/>
                <w:rFonts w:eastAsia="Times New Roman" w:cs="Times New Roman"/>
                <w:bCs/>
                <w:szCs w:val="20"/>
              </w:rPr>
              <w:footnoteReference w:id="16"/>
            </w:r>
          </w:p>
          <w:p w:rsidR="00F14C38" w:rsidRPr="001D6237" w:rsidRDefault="003D17FB" w:rsidP="003D17FB">
            <w:pPr>
              <w:pStyle w:val="Tabletext"/>
              <w:ind w:left="284" w:hanging="284"/>
            </w:pPr>
            <w:r w:rsidRPr="003D17FB">
              <w:t>•</w:t>
            </w:r>
            <w:r>
              <w:tab/>
            </w:r>
            <w:r w:rsidR="00F14C38" w:rsidRPr="001D6237">
              <w:t>A report by the Broadband Commission</w:t>
            </w:r>
            <w:r w:rsidR="00F14C38" w:rsidRPr="003D17FB">
              <w:rPr>
                <w:rStyle w:val="FootnoteReference"/>
                <w:rFonts w:eastAsia="Times New Roman" w:cs="Times New Roman"/>
                <w:bCs/>
                <w:szCs w:val="20"/>
              </w:rPr>
              <w:footnoteReference w:id="17"/>
            </w:r>
            <w:r w:rsidR="00F14C38" w:rsidRPr="001D6237">
              <w:t xml:space="preserve"> forecasts that health applications available via mobile broadband will reduce costs, e.g. by allowing physicians to provide care remotely via remote monitoring and diagnosis, or by supporting preventive care. It is estimated that mobile health could save developed countries USD 400 billion in 2017 and save a million lives over five years in Sub-Saharan Africa.</w:t>
            </w:r>
            <w:r w:rsidR="00F14C38" w:rsidRPr="003D17FB">
              <w:rPr>
                <w:rStyle w:val="FootnoteReference"/>
                <w:rFonts w:eastAsia="Times New Roman" w:cs="Times New Roman"/>
                <w:bCs/>
                <w:szCs w:val="20"/>
              </w:rPr>
              <w:footnoteReference w:id="18"/>
            </w:r>
          </w:p>
          <w:p w:rsidR="00F14C38" w:rsidRPr="001D6237" w:rsidRDefault="003D17FB" w:rsidP="003D17FB">
            <w:pPr>
              <w:pStyle w:val="Tabletext"/>
              <w:ind w:left="284" w:hanging="284"/>
            </w:pPr>
            <w:r w:rsidRPr="003D17FB">
              <w:t>•</w:t>
            </w:r>
            <w:r>
              <w:tab/>
            </w:r>
            <w:r w:rsidR="00F14C38" w:rsidRPr="001D6237">
              <w:t>It is estimated that 2.5 billion individuals are unbanked worldwide. ICT financial services represent an opportunity for many nations to achieve financial inclusion of the poor.</w:t>
            </w:r>
          </w:p>
          <w:p w:rsidR="00F14C38" w:rsidRDefault="00297A9E" w:rsidP="003D17FB">
            <w:pPr>
              <w:pStyle w:val="Tabletext"/>
              <w:ind w:left="284" w:hanging="284"/>
            </w:pPr>
            <w:r w:rsidRPr="003D17FB">
              <w:t>•</w:t>
            </w:r>
            <w:r>
              <w:tab/>
            </w:r>
            <w:r w:rsidR="00F14C38" w:rsidRPr="001D6237">
              <w:t>Small</w:t>
            </w:r>
            <w:r w:rsidR="00F14C38">
              <w:t>-</w:t>
            </w:r>
            <w:r w:rsidR="00F14C38" w:rsidRPr="001D6237">
              <w:t xml:space="preserve"> and medium-sized enterprises (SMEs) which spend more than 30</w:t>
            </w:r>
            <w:r w:rsidR="00F14C38">
              <w:t xml:space="preserve"> per cent</w:t>
            </w:r>
            <w:r w:rsidR="00F14C38" w:rsidRPr="001D6237">
              <w:t xml:space="preserve"> of their budget on web technologies grow their revenue nine times as fast as SMEs spending less than 10</w:t>
            </w:r>
            <w:r w:rsidR="00F14C38">
              <w:t xml:space="preserve"> per cent</w:t>
            </w:r>
            <w:r w:rsidR="00F14C38" w:rsidRPr="001D6237">
              <w:t>.</w:t>
            </w:r>
            <w:r w:rsidR="00F14C38" w:rsidRPr="003D17FB">
              <w:rPr>
                <w:rStyle w:val="FootnoteReference"/>
                <w:rFonts w:eastAsia="Times New Roman" w:cs="Times New Roman"/>
                <w:bCs/>
                <w:szCs w:val="20"/>
              </w:rPr>
              <w:footnoteReference w:id="19"/>
            </w:r>
          </w:p>
          <w:p w:rsidR="00F14C38" w:rsidRPr="000B7236" w:rsidRDefault="003D17FB" w:rsidP="003D17FB">
            <w:pPr>
              <w:pStyle w:val="Tabletext"/>
              <w:ind w:left="284" w:hanging="284"/>
            </w:pPr>
            <w:r w:rsidRPr="003D17FB">
              <w:t>•</w:t>
            </w:r>
            <w:r>
              <w:tab/>
            </w:r>
            <w:r w:rsidR="00F14C38" w:rsidRPr="000B7236">
              <w:t>ICT solutions represent one of the most innovative and high-potential means of tackling environmental challenges. The ICT sector has been estimated to contribute 2-2.5</w:t>
            </w:r>
            <w:r w:rsidR="00F14C38">
              <w:t xml:space="preserve"> per cent</w:t>
            </w:r>
            <w:r w:rsidR="00F14C38" w:rsidRPr="000B7236">
              <w:t xml:space="preserve"> of GHG emissions</w:t>
            </w:r>
            <w:r w:rsidR="00F14C38">
              <w:t>. However,</w:t>
            </w:r>
            <w:r w:rsidR="00F14C38" w:rsidRPr="000B7236">
              <w:t xml:space="preserve"> </w:t>
            </w:r>
            <w:r w:rsidR="00F14C38">
              <w:t>at the same time t</w:t>
            </w:r>
            <w:r w:rsidR="00F14C38" w:rsidRPr="000B7236">
              <w:t>he smart use of ICTs can reduce greenhouse gas (GHG) emissions by up to 25</w:t>
            </w:r>
            <w:r w:rsidR="00F14C38">
              <w:t xml:space="preserve"> per cent</w:t>
            </w:r>
            <w:r w:rsidR="00F14C38" w:rsidRPr="000B7236">
              <w:t>.</w:t>
            </w:r>
            <w:r w:rsidR="00F14C38" w:rsidRPr="003D17FB">
              <w:rPr>
                <w:rStyle w:val="FootnoteReference"/>
                <w:rFonts w:eastAsia="Times New Roman" w:cs="Times New Roman"/>
                <w:bCs/>
                <w:szCs w:val="20"/>
              </w:rPr>
              <w:footnoteReference w:id="20"/>
            </w:r>
          </w:p>
          <w:p w:rsidR="00F14C38" w:rsidRPr="001D4F1D" w:rsidRDefault="00F14C38" w:rsidP="003D17FB">
            <w:pPr>
              <w:pStyle w:val="Tabletext"/>
              <w:rPr>
                <w:sz w:val="16"/>
                <w:szCs w:val="16"/>
              </w:rPr>
            </w:pPr>
          </w:p>
          <w:p w:rsidR="00F14C38" w:rsidRPr="001D4F1D" w:rsidRDefault="00F14C38" w:rsidP="00297A9E">
            <w:pPr>
              <w:pStyle w:val="Tabletext"/>
            </w:pPr>
            <w:r>
              <w:t>Source: Various</w:t>
            </w:r>
          </w:p>
        </w:tc>
      </w:tr>
    </w:tbl>
    <w:p w:rsidR="00F14C38" w:rsidRPr="00C55480" w:rsidRDefault="00297A9E" w:rsidP="00297A9E">
      <w:pPr>
        <w:pStyle w:val="Heading3"/>
      </w:pPr>
      <w:bookmarkStart w:id="27" w:name="_Toc379546804"/>
      <w:bookmarkStart w:id="28" w:name="_Toc377565001"/>
      <w:r>
        <w:t>2.2.2</w:t>
      </w:r>
      <w:r>
        <w:tab/>
      </w:r>
      <w:r w:rsidR="00F14C38">
        <w:t>Inequality and Digital Exclusion</w:t>
      </w:r>
      <w:bookmarkEnd w:id="27"/>
    </w:p>
    <w:bookmarkEnd w:id="28"/>
    <w:p w:rsidR="00F14C38" w:rsidRDefault="00297A9E" w:rsidP="00297A9E">
      <w:pPr>
        <w:pStyle w:val="Heading4"/>
      </w:pPr>
      <w:r>
        <w:t>2.2.2.1</w:t>
      </w:r>
      <w:r>
        <w:tab/>
      </w:r>
      <w:r w:rsidR="00F14C38" w:rsidRPr="00C55480">
        <w:t>The digital divide</w:t>
      </w:r>
    </w:p>
    <w:p w:rsidR="00F14C38" w:rsidRDefault="00F14C38" w:rsidP="00297A9E">
      <w:r w:rsidRPr="005860F6">
        <w:t xml:space="preserve">Despite this rapid growth in access to and use of </w:t>
      </w:r>
      <w:r w:rsidRPr="000E07EF">
        <w:t>telecommunication/</w:t>
      </w:r>
      <w:r w:rsidRPr="005860F6">
        <w:t xml:space="preserve">ICTs, around 4.4 billion people still do not have regular access to the Internet - nearly two-thirds of the world population. Furthermore, 92 per cent of the population of the 49 UN-designated least developed countries (LDCs) (which are home to some 890 million people) are still unable to access the world’s biggest and most valuable library and marketplace on a regular basis. </w:t>
      </w:r>
      <w:r w:rsidRPr="007247A2">
        <w:t>With 53 per cent of the population in developing</w:t>
      </w:r>
      <w:r>
        <w:t xml:space="preserve"> </w:t>
      </w:r>
      <w:r w:rsidRPr="007247A2">
        <w:t>countries living in rural areas, the infrastructure challenge</w:t>
      </w:r>
      <w:r>
        <w:t xml:space="preserve"> </w:t>
      </w:r>
      <w:r w:rsidRPr="007247A2">
        <w:t>to connect all of these people to high-speed Internet</w:t>
      </w:r>
      <w:r>
        <w:t xml:space="preserve"> </w:t>
      </w:r>
      <w:r w:rsidRPr="007247A2">
        <w:t>is enormous.</w:t>
      </w:r>
    </w:p>
    <w:p w:rsidR="00F14C38" w:rsidRDefault="00F14C38" w:rsidP="007855D0">
      <w:pPr>
        <w:spacing w:after="120"/>
      </w:pPr>
      <w:r w:rsidRPr="005860F6">
        <w:lastRenderedPageBreak/>
        <w:t xml:space="preserve">Even more importantly, </w:t>
      </w:r>
      <w:r w:rsidRPr="000E07EF">
        <w:t>telecommunication/</w:t>
      </w:r>
      <w:r w:rsidRPr="005860F6">
        <w:t>ICT networks and ICT skills are the foundations on which tomorrow’s digital economy will be built. Two-thirds of the global population are therefore currently unable to access or develop the digital skills, which shall determine future national competitiveness. Box 2 shows the significance of the gap between the developed and developing world.</w:t>
      </w:r>
    </w:p>
    <w:tbl>
      <w:tblPr>
        <w:tblStyle w:val="TableGrid"/>
        <w:tblW w:w="0" w:type="auto"/>
        <w:tblLook w:val="04A0" w:firstRow="1" w:lastRow="0" w:firstColumn="1" w:lastColumn="0" w:noHBand="0" w:noVBand="1"/>
      </w:tblPr>
      <w:tblGrid>
        <w:gridCol w:w="9243"/>
      </w:tblGrid>
      <w:tr w:rsidR="00F14C38" w:rsidTr="00DB3058">
        <w:tc>
          <w:tcPr>
            <w:tcW w:w="9243" w:type="dxa"/>
            <w:shd w:val="clear" w:color="auto" w:fill="auto"/>
          </w:tcPr>
          <w:p w:rsidR="00F14C38" w:rsidRPr="00297A9E" w:rsidRDefault="00F14C38" w:rsidP="00DB3058">
            <w:pPr>
              <w:pStyle w:val="Caption"/>
              <w:spacing w:before="120"/>
              <w:jc w:val="left"/>
              <w:rPr>
                <w:rFonts w:asciiTheme="majorBidi" w:hAnsiTheme="majorBidi" w:cstheme="majorBidi"/>
                <w:b/>
                <w:bCs/>
                <w:i w:val="0"/>
                <w:iCs w:val="0"/>
                <w:sz w:val="22"/>
                <w:szCs w:val="22"/>
                <w:lang w:val="en-GB"/>
              </w:rPr>
            </w:pPr>
            <w:r w:rsidRPr="00297A9E">
              <w:rPr>
                <w:rFonts w:asciiTheme="majorBidi" w:hAnsiTheme="majorBidi" w:cstheme="majorBidi"/>
                <w:b/>
                <w:bCs/>
                <w:i w:val="0"/>
                <w:iCs w:val="0"/>
                <w:sz w:val="22"/>
                <w:szCs w:val="22"/>
                <w:lang w:val="en-GB"/>
              </w:rPr>
              <w:t>Box 2: Tracking the Digital Divide with the ICT Development Index</w:t>
            </w:r>
          </w:p>
          <w:p w:rsidR="00F14C38" w:rsidRPr="00297A9E" w:rsidRDefault="00F14C38" w:rsidP="00DB3058">
            <w:pPr>
              <w:pStyle w:val="Caption"/>
              <w:rPr>
                <w:rFonts w:asciiTheme="majorBidi" w:hAnsiTheme="majorBidi" w:cstheme="majorBidi"/>
                <w:lang w:val="en-GB"/>
              </w:rPr>
            </w:pPr>
            <w:r w:rsidRPr="00297A9E">
              <w:rPr>
                <w:rFonts w:asciiTheme="majorBidi" w:hAnsiTheme="majorBidi" w:cstheme="majorBidi"/>
                <w:lang w:val="en-GB"/>
              </w:rPr>
              <w:t>Box Figure 1</w:t>
            </w:r>
            <w:r w:rsidRPr="00297A9E">
              <w:rPr>
                <w:rFonts w:asciiTheme="majorBidi" w:hAnsiTheme="majorBidi" w:cstheme="majorBidi"/>
                <w:noProof/>
                <w:lang w:val="en-GB"/>
              </w:rPr>
              <w:t>:</w:t>
            </w:r>
            <w:r w:rsidRPr="00297A9E">
              <w:rPr>
                <w:rFonts w:asciiTheme="majorBidi" w:hAnsiTheme="majorBidi" w:cstheme="majorBidi"/>
                <w:lang w:val="en-GB"/>
              </w:rPr>
              <w:t xml:space="preserve"> The digital divide: Active mobile-broadband (left graph) and</w:t>
            </w:r>
            <w:r w:rsidRPr="00297A9E">
              <w:rPr>
                <w:rFonts w:asciiTheme="majorBidi" w:hAnsiTheme="majorBidi" w:cstheme="majorBidi"/>
                <w:lang w:val="en-GB"/>
              </w:rPr>
              <w:br/>
              <w:t>fixed (wired)-broadband subscriptions (right graph)</w:t>
            </w:r>
          </w:p>
          <w:p w:rsidR="00F14C38" w:rsidRDefault="00F14C38" w:rsidP="00DB3058">
            <w:pPr>
              <w:jc w:val="center"/>
            </w:pPr>
            <w:r w:rsidRPr="00C55480">
              <w:rPr>
                <w:noProof/>
                <w:lang w:val="en-US" w:eastAsia="zh-CN"/>
              </w:rPr>
              <w:drawing>
                <wp:inline distT="0" distB="0" distL="0" distR="0" wp14:anchorId="68BAD124" wp14:editId="61F6502E">
                  <wp:extent cx="5208105" cy="23280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12">
                            <a:extLst>
                              <a:ext uri="{28A0092B-C50C-407E-A947-70E740481C1C}">
                                <a14:useLocalDpi xmlns:a14="http://schemas.microsoft.com/office/drawing/2010/main" val="0"/>
                              </a:ext>
                            </a:extLst>
                          </a:blip>
                          <a:stretch>
                            <a:fillRect/>
                          </a:stretch>
                        </pic:blipFill>
                        <pic:spPr>
                          <a:xfrm>
                            <a:off x="0" y="0"/>
                            <a:ext cx="5215182" cy="2331231"/>
                          </a:xfrm>
                          <a:prstGeom prst="rect">
                            <a:avLst/>
                          </a:prstGeom>
                        </pic:spPr>
                      </pic:pic>
                    </a:graphicData>
                  </a:graphic>
                </wp:inline>
              </w:drawing>
            </w:r>
          </w:p>
          <w:p w:rsidR="00F14C38" w:rsidRDefault="00F14C38" w:rsidP="00DB3058">
            <w:pPr>
              <w:jc w:val="center"/>
            </w:pPr>
          </w:p>
          <w:p w:rsidR="00F14C38" w:rsidRPr="00297A9E" w:rsidRDefault="00F14C38" w:rsidP="00DB3058">
            <w:pPr>
              <w:pStyle w:val="Caption"/>
              <w:rPr>
                <w:rFonts w:asciiTheme="majorBidi" w:hAnsiTheme="majorBidi" w:cstheme="majorBidi"/>
                <w:lang w:val="en-GB"/>
              </w:rPr>
            </w:pPr>
            <w:r w:rsidRPr="00297A9E">
              <w:rPr>
                <w:rFonts w:asciiTheme="majorBidi" w:hAnsiTheme="majorBidi" w:cstheme="majorBidi"/>
                <w:lang w:val="en-GB"/>
              </w:rPr>
              <w:t>Box Figure 2</w:t>
            </w:r>
            <w:r w:rsidRPr="00297A9E">
              <w:rPr>
                <w:rFonts w:asciiTheme="majorBidi" w:hAnsiTheme="majorBidi" w:cstheme="majorBidi"/>
                <w:noProof/>
                <w:lang w:val="en-GB"/>
              </w:rPr>
              <w:t>:</w:t>
            </w:r>
            <w:r w:rsidRPr="00297A9E">
              <w:rPr>
                <w:rFonts w:asciiTheme="majorBidi" w:hAnsiTheme="majorBidi" w:cstheme="majorBidi"/>
                <w:lang w:val="en-GB"/>
              </w:rPr>
              <w:t xml:space="preserve"> IDI, world and by level of development</w:t>
            </w:r>
          </w:p>
          <w:p w:rsidR="00F14C38" w:rsidRPr="00C55480" w:rsidRDefault="00F14C38" w:rsidP="00DB3058">
            <w:pPr>
              <w:jc w:val="center"/>
            </w:pPr>
            <w:r w:rsidRPr="00C55480">
              <w:rPr>
                <w:noProof/>
                <w:lang w:val="en-US" w:eastAsia="zh-CN"/>
              </w:rPr>
              <w:drawing>
                <wp:inline distT="0" distB="0" distL="0" distR="0" wp14:anchorId="28F0E526" wp14:editId="3C93B048">
                  <wp:extent cx="314325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3250" cy="2428875"/>
                          </a:xfrm>
                          <a:prstGeom prst="rect">
                            <a:avLst/>
                          </a:prstGeom>
                        </pic:spPr>
                      </pic:pic>
                    </a:graphicData>
                  </a:graphic>
                </wp:inline>
              </w:drawing>
            </w:r>
          </w:p>
          <w:p w:rsidR="00F14C38" w:rsidRPr="008F7893" w:rsidRDefault="00F14C38" w:rsidP="007855D0">
            <w:pPr>
              <w:pStyle w:val="Tabletext"/>
              <w:spacing w:after="120"/>
            </w:pPr>
            <w:r w:rsidRPr="008F7893">
              <w:t xml:space="preserve">The ITU ICT Development Index (IDI) is a useful tool for comparing differences in </w:t>
            </w:r>
            <w:r>
              <w:t xml:space="preserve">the </w:t>
            </w:r>
            <w:r w:rsidRPr="000E07EF">
              <w:t>telecommunication/</w:t>
            </w:r>
            <w:r w:rsidRPr="008F7893">
              <w:t xml:space="preserve">ICT development since, as a composite index, it consolidates several </w:t>
            </w:r>
            <w:r w:rsidRPr="000E07EF">
              <w:t>telecommunication/</w:t>
            </w:r>
            <w:r w:rsidRPr="008F7893">
              <w:t>ICT indicators into one single value. An analysis of the IDI points to a significant divide between the developed and developing world. In 2012, the average developed-country IDI value was exactly twice as high as the developing-country average. At the same time, the developing-country average IDI value is growing faster, at a rate of 5.8</w:t>
            </w:r>
            <w:r>
              <w:t xml:space="preserve"> per cent</w:t>
            </w:r>
            <w:r w:rsidRPr="008F7893">
              <w:t>, as against 3.5</w:t>
            </w:r>
            <w:r>
              <w:t xml:space="preserve"> per cent</w:t>
            </w:r>
            <w:r w:rsidRPr="008F7893">
              <w:t xml:space="preserve"> for developed countries. While developed countries are starting to reach saturation levels, in particular in terms of mobile-cellular subscriptions and household </w:t>
            </w:r>
            <w:r w:rsidRPr="000E07EF">
              <w:t>telecommunication/</w:t>
            </w:r>
            <w:r w:rsidRPr="008F7893">
              <w:t>ICT access, developing countries, where penetration levels remain much lower, have ample potential for growth.</w:t>
            </w:r>
          </w:p>
          <w:p w:rsidR="00F14C38" w:rsidRPr="001D4F1D" w:rsidRDefault="00F14C38" w:rsidP="00297A9E">
            <w:pPr>
              <w:pStyle w:val="Tabletext"/>
            </w:pPr>
            <w:r w:rsidRPr="001D4F1D">
              <w:t xml:space="preserve">Source: ITU Measuring the </w:t>
            </w:r>
            <w:r>
              <w:t>Information Society Report 2013</w:t>
            </w:r>
            <w:r w:rsidR="007855D0">
              <w:t>.</w:t>
            </w:r>
          </w:p>
        </w:tc>
      </w:tr>
    </w:tbl>
    <w:p w:rsidR="007855D0" w:rsidRDefault="007855D0" w:rsidP="00297A9E">
      <w:pPr>
        <w:pStyle w:val="Heading4"/>
      </w:pPr>
      <w:r>
        <w:br w:type="page"/>
      </w:r>
    </w:p>
    <w:p w:rsidR="00F14C38" w:rsidRPr="00C55480" w:rsidRDefault="00297A9E" w:rsidP="00297A9E">
      <w:pPr>
        <w:pStyle w:val="Heading4"/>
      </w:pPr>
      <w:r>
        <w:lastRenderedPageBreak/>
        <w:t>2.2.2.2</w:t>
      </w:r>
      <w:r>
        <w:tab/>
      </w:r>
      <w:r w:rsidR="00F14C38" w:rsidRPr="00C55480">
        <w:t xml:space="preserve">The gender </w:t>
      </w:r>
      <w:r w:rsidR="00F14C38">
        <w:t>digital divide</w:t>
      </w:r>
    </w:p>
    <w:p w:rsidR="00F14C38" w:rsidRDefault="00F14C38" w:rsidP="00297A9E">
      <w:r w:rsidRPr="008123AF">
        <w:t xml:space="preserve">Women in many countries suffer from a “gender gap” in regard to </w:t>
      </w:r>
      <w:r w:rsidRPr="00DA2E7C">
        <w:t>telecommunication/</w:t>
      </w:r>
      <w:r w:rsidRPr="008123AF">
        <w:t>ICTs – lacking access to related skills, education, technology, networks and capital. A woman in the developing world is 21 per cent less likely to own a mobile phone than her male counterpart.</w:t>
      </w:r>
      <w:r w:rsidRPr="008123AF">
        <w:rPr>
          <w:rStyle w:val="FootnoteReference"/>
        </w:rPr>
        <w:footnoteReference w:id="21"/>
      </w:r>
      <w:r w:rsidRPr="008123AF">
        <w:t xml:space="preserve"> In the developing world, 16 per cent fewer women than men use the Internet (as against only 2 per cent in the developed world), suggesting that, in many countries, women are coming online more slowly and later than men. This has serious implications for the ability of women to use the Internet to access information and develop the vital </w:t>
      </w:r>
      <w:r w:rsidRPr="00DA2E7C">
        <w:t>telecommunication/</w:t>
      </w:r>
      <w:r w:rsidRPr="008123AF">
        <w:t>ICT skills needed to participate and work in today’s digital economy.</w:t>
      </w:r>
    </w:p>
    <w:p w:rsidR="00F14C38" w:rsidRDefault="00F14C38" w:rsidP="00297A9E">
      <w:pPr>
        <w:rPr>
          <w:b/>
        </w:rPr>
      </w:pPr>
      <w:r w:rsidRPr="0007663D">
        <w:t>Closing the gender gap would bring the benefits of wireless to an additional 300 million women,</w:t>
      </w:r>
      <w:r w:rsidRPr="0007663D">
        <w:rPr>
          <w:rStyle w:val="FootnoteReference"/>
          <w:bCs/>
        </w:rPr>
        <w:footnoteReference w:id="22"/>
      </w:r>
      <w:r w:rsidRPr="0007663D">
        <w:t xml:space="preserve"> enabling them to fully participate in the economy and unlock their potential. 1.3 billion Internet users are women (37 per cent of all women worldwide) and 1.5 billion are men (41 per cent of all men), i.e. the current global Internet gender gap is about 200 million fewer women online.</w:t>
      </w:r>
      <w:r w:rsidRPr="0007663D">
        <w:rPr>
          <w:rStyle w:val="FootnoteReference"/>
          <w:bCs/>
        </w:rPr>
        <w:footnoteReference w:id="23"/>
      </w:r>
      <w:r w:rsidRPr="0007663D">
        <w:t xml:space="preserve"> Without action, the global Internet gender gap would be about 350 million in three years’ time. Bringing women online is beneficial to the society overall – e.g., bringing 600 million additional women and girls online could raise GDP by up to USD 13-18 billion.</w:t>
      </w:r>
      <w:r w:rsidRPr="0007663D">
        <w:rPr>
          <w:rStyle w:val="FootnoteReference"/>
          <w:bCs/>
        </w:rPr>
        <w:footnoteReference w:id="24"/>
      </w:r>
    </w:p>
    <w:p w:rsidR="00F14C38" w:rsidRPr="00F5010D" w:rsidRDefault="00297A9E" w:rsidP="00297A9E">
      <w:pPr>
        <w:pStyle w:val="Heading4"/>
      </w:pPr>
      <w:r>
        <w:t>2.2.2.3</w:t>
      </w:r>
      <w:r>
        <w:tab/>
      </w:r>
      <w:r w:rsidR="00F14C38">
        <w:t>Telecommunications/</w:t>
      </w:r>
      <w:r w:rsidR="00F14C38" w:rsidRPr="00C55480">
        <w:t>ICTs and persons with disabilities</w:t>
      </w:r>
    </w:p>
    <w:p w:rsidR="00F14C38" w:rsidRPr="00F5010D" w:rsidRDefault="00F14C38" w:rsidP="00297A9E">
      <w:r w:rsidRPr="00056F73">
        <w:t xml:space="preserve">There are around 1 billion persons with disabilities in the world (or some 15 per cent of the global population), 80 per cent of whom live in developing countries. This important group of people still faces significant barriers that limit their social and economic inclusion. While </w:t>
      </w:r>
      <w:r w:rsidRPr="00DA2E7C">
        <w:t>telecommunication/</w:t>
      </w:r>
      <w:r w:rsidRPr="00056F73">
        <w:t xml:space="preserve">ICTs have become a fundamental technology to support the independent living of persons with disabilities, important challenges still need to be addressed, namely: (a) bringing down the high cost of assistive technologies (including the cost of the technology, as well as the cost of assessment, training and support services); (b) lack of access to </w:t>
      </w:r>
      <w:r w:rsidRPr="00286A31">
        <w:t>telecommunication/</w:t>
      </w:r>
      <w:r w:rsidRPr="00056F73">
        <w:t xml:space="preserve">ICTs for persons with disabilities, as well as the lack of policies which would foster widespread availability of such technologies; and (c) limited availability and use of </w:t>
      </w:r>
      <w:r w:rsidRPr="00DA2E7C">
        <w:t>telecommunication/</w:t>
      </w:r>
      <w:r w:rsidRPr="00056F73">
        <w:t>ICTs in general.</w:t>
      </w:r>
      <w:r w:rsidRPr="00056F73">
        <w:rPr>
          <w:rStyle w:val="FootnoteReference"/>
        </w:rPr>
        <w:footnoteReference w:id="25"/>
      </w:r>
    </w:p>
    <w:p w:rsidR="00F14C38" w:rsidRPr="00C55480" w:rsidRDefault="00297A9E" w:rsidP="00297A9E">
      <w:pPr>
        <w:pStyle w:val="Heading3"/>
      </w:pPr>
      <w:bookmarkStart w:id="29" w:name="_Toc379546805"/>
      <w:r>
        <w:t>2.2.3</w:t>
      </w:r>
      <w:r>
        <w:tab/>
      </w:r>
      <w:r w:rsidR="00F14C38">
        <w:t>Risks and challenges accompanying the growth of telecommunications/ICTs</w:t>
      </w:r>
      <w:bookmarkEnd w:id="29"/>
    </w:p>
    <w:p w:rsidR="00F14C38" w:rsidRDefault="00F14C38" w:rsidP="00297A9E">
      <w:r w:rsidRPr="00C55480">
        <w:t xml:space="preserve">The growing role of </w:t>
      </w:r>
      <w:r w:rsidRPr="00DA2E7C">
        <w:t>telecommunication/</w:t>
      </w:r>
      <w:r w:rsidRPr="00C55480">
        <w:t xml:space="preserve">ICTs holds great promise, but the development of the </w:t>
      </w:r>
      <w:r>
        <w:t>environment</w:t>
      </w:r>
      <w:r w:rsidRPr="00C55480">
        <w:t xml:space="preserve"> has spawned some “collateral” issues. Breakthroughs in communications bring tremendous benefits, but also create new risks.</w:t>
      </w:r>
    </w:p>
    <w:p w:rsidR="00F14C38" w:rsidRPr="002F4F1E" w:rsidRDefault="00297A9E" w:rsidP="00297A9E">
      <w:pPr>
        <w:pStyle w:val="Heading4"/>
      </w:pPr>
      <w:r>
        <w:t>2.2.3.1</w:t>
      </w:r>
      <w:r>
        <w:tab/>
      </w:r>
      <w:r w:rsidR="00F14C38" w:rsidRPr="002F4F1E">
        <w:t>Building confidence</w:t>
      </w:r>
      <w:r w:rsidR="00F14C38">
        <w:t xml:space="preserve"> and security</w:t>
      </w:r>
      <w:r w:rsidR="00F14C38" w:rsidRPr="002F4F1E">
        <w:t xml:space="preserve"> in the use of telecommunications/ICTs</w:t>
      </w:r>
    </w:p>
    <w:p w:rsidR="00F14C38" w:rsidRDefault="00F14C38" w:rsidP="00297A9E">
      <w:r w:rsidRPr="002F4F1E">
        <w:t>With the increasing volume of e-commerce and online financial transactions, the availability of government services,</w:t>
      </w:r>
      <w:r>
        <w:t xml:space="preserve"> and</w:t>
      </w:r>
      <w:r w:rsidRPr="002F4F1E">
        <w:t xml:space="preserve"> the popularity of collaborative and social networks, building confidence and maintaining trust in the use of telecommunications/ICTs will continue to be a major </w:t>
      </w:r>
      <w:r>
        <w:t>challenge</w:t>
      </w:r>
      <w:r w:rsidRPr="002F4F1E">
        <w:t xml:space="preserve">. As telecommunications/ICTs continue to be further integrated into the economy and our societies, their continuous availability, reliability and security will be increasingly vital to governments, </w:t>
      </w:r>
      <w:r w:rsidRPr="002F4F1E">
        <w:lastRenderedPageBreak/>
        <w:t>businesses and individuals. Promoting cybersecurity and international cooperation and coordination in this domain remains a key priority.</w:t>
      </w:r>
    </w:p>
    <w:p w:rsidR="00F14C38" w:rsidRPr="003843CA" w:rsidRDefault="00F14C38" w:rsidP="00297A9E">
      <w:r w:rsidRPr="003843CA">
        <w:t>The cost of global cyber-criminal activity is estimated at up to $1 trillion,</w:t>
      </w:r>
      <w:r>
        <w:rPr>
          <w:rStyle w:val="FootnoteReference"/>
        </w:rPr>
        <w:footnoteReference w:id="26"/>
      </w:r>
      <w:r w:rsidRPr="003843CA">
        <w:t xml:space="preserve"> a figure that could triple by 2020 unless companies step up their defences.</w:t>
      </w:r>
      <w:r>
        <w:rPr>
          <w:rStyle w:val="FootnoteReference"/>
        </w:rPr>
        <w:footnoteReference w:id="27"/>
      </w:r>
      <w:r w:rsidRPr="003843CA">
        <w:t xml:space="preserve"> </w:t>
      </w:r>
      <w:r>
        <w:t>Proliferation of threats continue to rise – for example, n</w:t>
      </w:r>
      <w:r w:rsidRPr="003843CA">
        <w:t>ew malware is being discovered every day, hundreds of times more frequently than in the past decade. No fewer than 6.5 million new malwares have been discovered in 2013.</w:t>
      </w:r>
      <w:r w:rsidRPr="00C55480">
        <w:rPr>
          <w:rStyle w:val="FootnoteReference"/>
        </w:rPr>
        <w:footnoteReference w:id="28"/>
      </w:r>
    </w:p>
    <w:p w:rsidR="00F14C38" w:rsidRDefault="00F14C38" w:rsidP="00297A9E">
      <w:r w:rsidRPr="005A159C">
        <w:t>Some 69</w:t>
      </w:r>
      <w:r>
        <w:t xml:space="preserve"> per cent</w:t>
      </w:r>
      <w:r w:rsidRPr="005A159C">
        <w:t xml:space="preserve"> of the executives interviewed by </w:t>
      </w:r>
      <w:r>
        <w:t>the World Economic Forum</w:t>
      </w:r>
      <w:r>
        <w:rPr>
          <w:rStyle w:val="FootnoteReference"/>
        </w:rPr>
        <w:footnoteReference w:id="29"/>
      </w:r>
      <w:r w:rsidRPr="005A159C">
        <w:t xml:space="preserve"> feared that cyber attackers would remain more sophisticated and efficient than their companies’ defence mechanisms. With a large multinational</w:t>
      </w:r>
      <w:r w:rsidR="007855D0">
        <w:t xml:space="preserve"> company expecting up to 10 </w:t>
      </w:r>
      <w:r w:rsidRPr="005A159C">
        <w:t>000 cyber-attacks per day, nearly 40</w:t>
      </w:r>
      <w:r>
        <w:t xml:space="preserve"> per cent</w:t>
      </w:r>
      <w:r w:rsidRPr="005A159C">
        <w:t xml:space="preserve"> of firms surveyed thought their spending on defences </w:t>
      </w:r>
      <w:r>
        <w:t>was “significantly too little”.</w:t>
      </w:r>
    </w:p>
    <w:p w:rsidR="00F14C38" w:rsidRPr="00C55480" w:rsidRDefault="00F14C38" w:rsidP="00297A9E">
      <w:r w:rsidRPr="00C55480">
        <w:t>Currently, there is a shift from standard forms of cyber</w:t>
      </w:r>
      <w:r>
        <w:t>-</w:t>
      </w:r>
      <w:r w:rsidRPr="00C55480">
        <w:t>attacks and related crimes to more sophisticated ones, exploiting new technological paradigms (e.g. cloud, bi</w:t>
      </w:r>
      <w:r>
        <w:t>g</w:t>
      </w:r>
      <w:r w:rsidRPr="00C55480">
        <w:t xml:space="preserve"> and open data, web 2.0, social networks, etc.). Yet countries are still trying to curb the current threats, and </w:t>
      </w:r>
      <w:r>
        <w:t xml:space="preserve">therefore will have difficulties in trying </w:t>
      </w:r>
      <w:r w:rsidRPr="00C55480">
        <w:t xml:space="preserve">to catch up with the rapid evolution of the </w:t>
      </w:r>
      <w:r w:rsidRPr="00DA2E7C">
        <w:t>telecommunication/</w:t>
      </w:r>
      <w:r w:rsidRPr="00C55480">
        <w:t>ICT environment</w:t>
      </w:r>
      <w:r>
        <w:t>/sector</w:t>
      </w:r>
      <w:r w:rsidRPr="00C55480">
        <w:t>.</w:t>
      </w:r>
    </w:p>
    <w:p w:rsidR="00F14C38" w:rsidRDefault="00F14C38" w:rsidP="00297A9E">
      <w:r w:rsidRPr="00C55480">
        <w:t xml:space="preserve">Future projections are difficult to acquire on account of the dynamic and fluid nature of cyberspace. However, </w:t>
      </w:r>
      <w:r>
        <w:t xml:space="preserve">it is clear </w:t>
      </w:r>
      <w:r w:rsidRPr="00C55480">
        <w:t xml:space="preserve">that the growth and evolution of the </w:t>
      </w:r>
      <w:r w:rsidRPr="00DA2E7C">
        <w:t>telecommunication/</w:t>
      </w:r>
      <w:r w:rsidRPr="00C55480">
        <w:t>ICT environment</w:t>
      </w:r>
      <w:r>
        <w:t>/sector</w:t>
      </w:r>
      <w:r w:rsidRPr="00C55480">
        <w:t xml:space="preserve"> is directly proportional to the growth and evolution of the risks and challenges related to its use.</w:t>
      </w:r>
      <w:r>
        <w:t xml:space="preserve"> </w:t>
      </w:r>
      <w:r w:rsidRPr="00C55480">
        <w:t xml:space="preserve">Therefore, cybersecurity </w:t>
      </w:r>
      <w:r w:rsidR="007855D0">
        <w:t xml:space="preserve">– </w:t>
      </w:r>
      <w:r w:rsidRPr="00C55480">
        <w:t xml:space="preserve">or rather building confidence and security in the use of </w:t>
      </w:r>
      <w:r>
        <w:t>telecommunication/</w:t>
      </w:r>
      <w:r w:rsidRPr="00C55480">
        <w:t xml:space="preserve">ICTs </w:t>
      </w:r>
      <w:r w:rsidR="007855D0">
        <w:t xml:space="preserve">– </w:t>
      </w:r>
      <w:r w:rsidRPr="00C55480">
        <w:t>will remain at the top of the national, regional and international agendas.</w:t>
      </w:r>
    </w:p>
    <w:p w:rsidR="00F14C38" w:rsidRPr="00C55480" w:rsidRDefault="00297A9E" w:rsidP="00297A9E">
      <w:pPr>
        <w:pStyle w:val="Heading4"/>
      </w:pPr>
      <w:r>
        <w:t>2.2.3.2</w:t>
      </w:r>
      <w:r>
        <w:tab/>
      </w:r>
      <w:r w:rsidR="00F14C38">
        <w:t>Protection of most vulnerable</w:t>
      </w:r>
    </w:p>
    <w:p w:rsidR="00F14C38" w:rsidRDefault="00F14C38" w:rsidP="00297A9E">
      <w:pPr>
        <w:rPr>
          <w:color w:val="000000"/>
          <w:shd w:val="clear" w:color="auto" w:fill="FFFFFF"/>
        </w:rPr>
      </w:pPr>
      <w:r w:rsidRPr="00831FAD">
        <w:t xml:space="preserve">Young people all over the world are the most active users of </w:t>
      </w:r>
      <w:r w:rsidRPr="00DA2E7C">
        <w:t>telecommunication/</w:t>
      </w:r>
      <w:r w:rsidRPr="00831FAD">
        <w:t xml:space="preserve">ICTs. 30 per cent of the youth population are “digital natives” today (a term broadly used to characterise the young people with solid </w:t>
      </w:r>
      <w:r w:rsidRPr="00286A31">
        <w:t>telecommunication/</w:t>
      </w:r>
      <w:r w:rsidRPr="00831FAD">
        <w:t>ICT experience who are drivers of the information society). ITU’s “Measuring the Information Society 2013” report</w:t>
      </w:r>
      <w:r w:rsidRPr="00831FAD">
        <w:rPr>
          <w:rStyle w:val="FootnoteReference"/>
        </w:rPr>
        <w:footnoteReference w:id="30"/>
      </w:r>
      <w:r w:rsidRPr="00831FAD">
        <w:t xml:space="preserve"> shows that within the next five years, the digital native population in the developing world is expected to double. However, young people and children are also vulnerable to novel forms of risks presented by </w:t>
      </w:r>
      <w:r w:rsidRPr="00DA2E7C">
        <w:t>telecommunication/</w:t>
      </w:r>
      <w:r w:rsidRPr="00831FAD">
        <w:t>ICTs, especially when they are ill-prepared to meet these challenges and inadequately protected by legislation. Young people and especially children encounter a range of risks online, including child pornography, grooming, cyberbullying, exposure to harmful content and privacy violations.</w:t>
      </w:r>
    </w:p>
    <w:p w:rsidR="00F14C38" w:rsidRDefault="00F14C38" w:rsidP="00297A9E">
      <w:pPr>
        <w:rPr>
          <w:color w:val="000000"/>
          <w:bdr w:val="none" w:sz="0" w:space="0" w:color="auto" w:frame="1"/>
        </w:rPr>
      </w:pPr>
      <w:r>
        <w:rPr>
          <w:color w:val="000000"/>
          <w:shd w:val="clear" w:color="auto" w:fill="FFFFFF"/>
        </w:rPr>
        <w:t xml:space="preserve">A Consumer Reports magazine survey found </w:t>
      </w:r>
      <w:r w:rsidRPr="00362446">
        <w:rPr>
          <w:color w:val="000000"/>
          <w:shd w:val="clear" w:color="auto" w:fill="FFFFFF"/>
        </w:rPr>
        <w:t>that one million children were harassed,</w:t>
      </w:r>
      <w:r w:rsidRPr="007D5DAD">
        <w:rPr>
          <w:color w:val="000000"/>
          <w:shd w:val="clear" w:color="auto" w:fill="FFFFFF"/>
        </w:rPr>
        <w:t xml:space="preserve"> threatened or subjected to other forms of cyberbullying</w:t>
      </w:r>
      <w:r w:rsidRPr="00C267DB">
        <w:rPr>
          <w:color w:val="000000"/>
          <w:shd w:val="clear" w:color="auto" w:fill="FFFFFF"/>
        </w:rPr>
        <w:t xml:space="preserve"> </w:t>
      </w:r>
      <w:r>
        <w:rPr>
          <w:color w:val="000000"/>
          <w:shd w:val="clear" w:color="auto" w:fill="FFFFFF"/>
        </w:rPr>
        <w:t xml:space="preserve">on </w:t>
      </w:r>
      <w:r w:rsidRPr="00362446">
        <w:rPr>
          <w:color w:val="000000"/>
          <w:shd w:val="clear" w:color="auto" w:fill="FFFFFF"/>
        </w:rPr>
        <w:t>Facebook</w:t>
      </w:r>
      <w:r>
        <w:rPr>
          <w:color w:val="000000"/>
          <w:shd w:val="clear" w:color="auto" w:fill="FFFFFF"/>
        </w:rPr>
        <w:t xml:space="preserve"> in 2011.</w:t>
      </w:r>
      <w:r>
        <w:rPr>
          <w:rStyle w:val="FootnoteReference"/>
          <w:color w:val="000000"/>
          <w:shd w:val="clear" w:color="auto" w:fill="FFFFFF"/>
        </w:rPr>
        <w:footnoteReference w:id="31"/>
      </w:r>
      <w:r>
        <w:rPr>
          <w:color w:val="000000"/>
          <w:shd w:val="clear" w:color="auto" w:fill="FFFFFF"/>
        </w:rPr>
        <w:t xml:space="preserve"> Other statistics and studies are </w:t>
      </w:r>
      <w:r>
        <w:rPr>
          <w:color w:val="000000"/>
          <w:shd w:val="clear" w:color="auto" w:fill="FFFFFF"/>
        </w:rPr>
        <w:lastRenderedPageBreak/>
        <w:t xml:space="preserve">showing that </w:t>
      </w:r>
      <w:r w:rsidRPr="00D502C0">
        <w:rPr>
          <w:color w:val="000000"/>
          <w:bdr w:val="none" w:sz="0" w:space="0" w:color="auto" w:frame="1"/>
        </w:rPr>
        <w:t>72</w:t>
      </w:r>
      <w:r>
        <w:rPr>
          <w:color w:val="000000"/>
          <w:bdr w:val="none" w:sz="0" w:space="0" w:color="auto" w:frame="1"/>
        </w:rPr>
        <w:t xml:space="preserve"> per cent</w:t>
      </w:r>
      <w:r w:rsidRPr="00D502C0">
        <w:rPr>
          <w:color w:val="000000"/>
          <w:bdr w:val="none" w:sz="0" w:space="0" w:color="auto" w:frame="1"/>
        </w:rPr>
        <w:t xml:space="preserve"> of teens</w:t>
      </w:r>
      <w:r>
        <w:rPr>
          <w:color w:val="000000"/>
          <w:bdr w:val="none" w:sz="0" w:space="0" w:color="auto" w:frame="1"/>
        </w:rPr>
        <w:t xml:space="preserve"> </w:t>
      </w:r>
      <w:r w:rsidRPr="00D502C0">
        <w:rPr>
          <w:color w:val="000000"/>
          <w:bdr w:val="none" w:sz="0" w:space="0" w:color="auto" w:frame="1"/>
        </w:rPr>
        <w:t>have a social networking profile</w:t>
      </w:r>
      <w:r>
        <w:rPr>
          <w:color w:val="000000"/>
          <w:bdr w:val="none" w:sz="0" w:space="0" w:color="auto" w:frame="1"/>
        </w:rPr>
        <w:t>. N</w:t>
      </w:r>
      <w:r w:rsidRPr="00D502C0">
        <w:rPr>
          <w:color w:val="000000"/>
          <w:bdr w:val="none" w:sz="0" w:space="0" w:color="auto" w:frame="1"/>
        </w:rPr>
        <w:t>early half (47</w:t>
      </w:r>
      <w:r>
        <w:rPr>
          <w:color w:val="000000"/>
          <w:bdr w:val="none" w:sz="0" w:space="0" w:color="auto" w:frame="1"/>
        </w:rPr>
        <w:t xml:space="preserve"> per cent</w:t>
      </w:r>
      <w:r w:rsidRPr="00D502C0">
        <w:rPr>
          <w:color w:val="000000"/>
          <w:bdr w:val="none" w:sz="0" w:space="0" w:color="auto" w:frame="1"/>
        </w:rPr>
        <w:t>)</w:t>
      </w:r>
      <w:r>
        <w:rPr>
          <w:rStyle w:val="FootnoteReference"/>
          <w:color w:val="000000"/>
          <w:bdr w:val="none" w:sz="0" w:space="0" w:color="auto" w:frame="1"/>
        </w:rPr>
        <w:footnoteReference w:id="32"/>
      </w:r>
      <w:r w:rsidRPr="00D502C0">
        <w:rPr>
          <w:color w:val="000000"/>
          <w:bdr w:val="none" w:sz="0" w:space="0" w:color="auto" w:frame="1"/>
        </w:rPr>
        <w:t xml:space="preserve"> have a public profile viewable by anyone</w:t>
      </w:r>
      <w:r>
        <w:rPr>
          <w:color w:val="000000"/>
          <w:bdr w:val="none" w:sz="0" w:space="0" w:color="auto" w:frame="1"/>
        </w:rPr>
        <w:t>, and only the 15 per cent</w:t>
      </w:r>
      <w:r>
        <w:rPr>
          <w:rStyle w:val="FootnoteReference"/>
          <w:color w:val="000000"/>
          <w:bdr w:val="none" w:sz="0" w:space="0" w:color="auto" w:frame="1"/>
        </w:rPr>
        <w:footnoteReference w:id="33"/>
      </w:r>
      <w:r>
        <w:rPr>
          <w:color w:val="000000"/>
          <w:bdr w:val="none" w:sz="0" w:space="0" w:color="auto" w:frame="1"/>
        </w:rPr>
        <w:t xml:space="preserve"> have checked the security and privacy settings on their social media account.</w:t>
      </w:r>
    </w:p>
    <w:p w:rsidR="00F14C38" w:rsidRDefault="00F14C38" w:rsidP="00297A9E">
      <w:r w:rsidRPr="003537B9">
        <w:t>Recent initiatives on child online protection focus not only on combating and reducing risks, but also on empowering young people to participate actively in civic and social life online responsibly and ethically as digital citizens. A comprehensive protection and empowerment response requires a multi</w:t>
      </w:r>
      <w:r>
        <w:t>-</w:t>
      </w:r>
      <w:r w:rsidRPr="003537B9">
        <w:t>stakeholder approach involving a diverse range of governmental and non-governmental actors.</w:t>
      </w:r>
    </w:p>
    <w:p w:rsidR="00F14C38" w:rsidRDefault="00F14C38" w:rsidP="00297A9E">
      <w:r>
        <w:t>While significant investments have been made in North America, Europe and parts of Asia to understand children’s online behaviour and implement strategies to protect children online, there are still many gaps in our knowledge of the vulnerabilities and needs of young online users in other parts of the world, especially in countries where Internet penetration remains low.</w:t>
      </w:r>
    </w:p>
    <w:p w:rsidR="00F14C38" w:rsidRPr="00C55480" w:rsidRDefault="00297A9E" w:rsidP="00297A9E">
      <w:pPr>
        <w:pStyle w:val="Heading4"/>
      </w:pPr>
      <w:r>
        <w:t>2.2.3.3</w:t>
      </w:r>
      <w:r>
        <w:tab/>
      </w:r>
      <w:r w:rsidR="00F14C38">
        <w:t>Telecommunications/</w:t>
      </w:r>
      <w:r w:rsidR="00F14C38" w:rsidRPr="00C55480">
        <w:t xml:space="preserve">ICTs and </w:t>
      </w:r>
      <w:r w:rsidR="00F14C38">
        <w:t>climate change</w:t>
      </w:r>
    </w:p>
    <w:p w:rsidR="00F14C38" w:rsidRDefault="00F14C38" w:rsidP="00297A9E">
      <w:r w:rsidRPr="00C55480">
        <w:t xml:space="preserve">Central to the climate-change issue is the continuing production of greenhouse gas (GHG) emissions as a by-product of </w:t>
      </w:r>
      <w:r>
        <w:t xml:space="preserve">industrial and commercial life. </w:t>
      </w:r>
      <w:r w:rsidRPr="00C55480">
        <w:t xml:space="preserve">While the </w:t>
      </w:r>
      <w:r w:rsidRPr="00DA2E7C">
        <w:t>telecommunication/</w:t>
      </w:r>
      <w:r w:rsidRPr="00C55480">
        <w:t xml:space="preserve">ICT industry </w:t>
      </w:r>
      <w:r>
        <w:t>is</w:t>
      </w:r>
      <w:r w:rsidRPr="00C55480">
        <w:t xml:space="preserve"> </w:t>
      </w:r>
      <w:r>
        <w:t>a</w:t>
      </w:r>
      <w:r w:rsidRPr="00C55480">
        <w:t xml:space="preserve"> key in addressing climate change, </w:t>
      </w:r>
      <w:r>
        <w:t>it</w:t>
      </w:r>
      <w:r w:rsidRPr="00C55480">
        <w:t xml:space="preserve"> also accounts for 2 to 2.5 per cent of global GHG emissions or 1 Gigatonne of carbon dioxide (CO</w:t>
      </w:r>
      <w:r w:rsidRPr="00C55480">
        <w:rPr>
          <w:vertAlign w:val="subscript"/>
        </w:rPr>
        <w:t>2</w:t>
      </w:r>
      <w:r w:rsidRPr="00C55480">
        <w:t>)</w:t>
      </w:r>
      <w:r>
        <w:t xml:space="preserve"> annually</w:t>
      </w:r>
      <w:r w:rsidRPr="00C55480">
        <w:t>. Experts estimate that personal computers and other end-user devices are responsible for around 40 per cent of the GHG emissions from ICT, while telecom</w:t>
      </w:r>
      <w:r>
        <w:t>munication</w:t>
      </w:r>
      <w:r w:rsidRPr="00C55480">
        <w:t xml:space="preserve"> networks and data centres generate 24 per cent and 23 per cent, respectively. This is supported by the SMART 2020 report</w:t>
      </w:r>
      <w:r w:rsidRPr="00C55480">
        <w:rPr>
          <w:rStyle w:val="FootnoteReference"/>
        </w:rPr>
        <w:footnoteReference w:id="34"/>
      </w:r>
      <w:r>
        <w:t>,</w:t>
      </w:r>
      <w:r w:rsidRPr="00C55480">
        <w:t xml:space="preserve"> which further suggests that the growth rate of GHG emissions from the </w:t>
      </w:r>
      <w:r w:rsidRPr="00DA2E7C">
        <w:t>telecommunication/</w:t>
      </w:r>
      <w:r w:rsidRPr="00C55480">
        <w:t xml:space="preserve">ICT industry was 6.1 per cent from 2002 to 2011, </w:t>
      </w:r>
      <w:r>
        <w:t>although it</w:t>
      </w:r>
      <w:r w:rsidRPr="00C55480">
        <w:t xml:space="preserve"> is expected to slow to 3.8 per cent from 2011 to 2020. The International Energy Agency (IEA) indicates that </w:t>
      </w:r>
      <w:r>
        <w:t>c</w:t>
      </w:r>
      <w:r w:rsidRPr="00D12614">
        <w:t xml:space="preserve">onsumption related to </w:t>
      </w:r>
      <w:r>
        <w:t>ICT</w:t>
      </w:r>
      <w:r w:rsidRPr="00D12614">
        <w:t xml:space="preserve"> is already more than 5 percent of total final global electricity consumption </w:t>
      </w:r>
      <w:r>
        <w:t>and t</w:t>
      </w:r>
      <w:r w:rsidRPr="00D12614">
        <w:t>otal ICT consumption could double by 2022 and be three times the 2010 rate by 2030</w:t>
      </w:r>
      <w:r w:rsidRPr="00C55480">
        <w:t>.</w:t>
      </w:r>
      <w:r>
        <w:rPr>
          <w:rStyle w:val="FootnoteReference"/>
        </w:rPr>
        <w:footnoteReference w:id="35"/>
      </w:r>
      <w:r>
        <w:t xml:space="preserve"> In addition</w:t>
      </w:r>
      <w:r w:rsidRPr="00550862">
        <w:t xml:space="preserve">, United Nation University indicates that in 2013 alone, 67 million metric tons of electrical and electronic equipment have been put on the market and 53 million metric tons of e-waste </w:t>
      </w:r>
      <w:r>
        <w:t>has been disposed of worldwide.</w:t>
      </w:r>
    </w:p>
    <w:p w:rsidR="00F14C38" w:rsidRDefault="00297A9E" w:rsidP="00297A9E">
      <w:pPr>
        <w:pStyle w:val="Heading3"/>
      </w:pPr>
      <w:bookmarkStart w:id="30" w:name="_Toc379546806"/>
      <w:bookmarkStart w:id="31" w:name="_Toc377565003"/>
      <w:r>
        <w:t>2.2.4</w:t>
      </w:r>
      <w:r>
        <w:tab/>
      </w:r>
      <w:r w:rsidR="00F14C38">
        <w:t>Changing telecommunication/ICT environment</w:t>
      </w:r>
      <w:bookmarkEnd w:id="30"/>
      <w:r w:rsidR="00F14C38">
        <w:t>/sector</w:t>
      </w:r>
    </w:p>
    <w:p w:rsidR="00F14C38" w:rsidRDefault="00F14C38" w:rsidP="00EE4A78">
      <w:r>
        <w:t xml:space="preserve">Fuelled by </w:t>
      </w:r>
      <w:r w:rsidRPr="0069475F">
        <w:t xml:space="preserve">the evolution to all IP-based wired and wireless </w:t>
      </w:r>
      <w:r>
        <w:t>Next Generation Networks (</w:t>
      </w:r>
      <w:r w:rsidRPr="0069475F">
        <w:t>NGNs</w:t>
      </w:r>
      <w:r>
        <w:t>)</w:t>
      </w:r>
      <w:r w:rsidRPr="0069475F">
        <w:t>,</w:t>
      </w:r>
      <w:r>
        <w:t xml:space="preserve"> convergence</w:t>
      </w:r>
      <w:r w:rsidRPr="0069475F">
        <w:t xml:space="preserve"> </w:t>
      </w:r>
      <w:r>
        <w:t>is transforming the telecommunication/ICT sector and providing</w:t>
      </w:r>
      <w:r w:rsidRPr="0069475F">
        <w:t xml:space="preserve"> </w:t>
      </w:r>
      <w:r>
        <w:t>major</w:t>
      </w:r>
      <w:r w:rsidRPr="0069475F">
        <w:t xml:space="preserve"> opportunities, </w:t>
      </w:r>
      <w:r>
        <w:t>as well as</w:t>
      </w:r>
      <w:r w:rsidRPr="0069475F">
        <w:t xml:space="preserve"> challenges to </w:t>
      </w:r>
      <w:r>
        <w:t>industry operators, regulators and policy-makers alike, on both the national and international scale</w:t>
      </w:r>
      <w:r w:rsidRPr="0069475F">
        <w:t xml:space="preserve">. </w:t>
      </w:r>
      <w:r>
        <w:t xml:space="preserve">Convergence </w:t>
      </w:r>
      <w:r w:rsidRPr="0069475F">
        <w:t xml:space="preserve">is </w:t>
      </w:r>
      <w:r>
        <w:t>reshaping</w:t>
      </w:r>
      <w:r w:rsidRPr="0069475F">
        <w:t xml:space="preserve"> relations between previou</w:t>
      </w:r>
      <w:r>
        <w:t>sly disparate telecommunication</w:t>
      </w:r>
      <w:r w:rsidRPr="0069475F">
        <w:t xml:space="preserve"> and media platforms</w:t>
      </w:r>
      <w:r>
        <w:t>, enabling separate vertical services to be provided over unified horizontal platforms</w:t>
      </w:r>
      <w:r w:rsidRPr="0069475F">
        <w:t xml:space="preserve">. As a result, previously siloed (service-specific) technology platforms </w:t>
      </w:r>
      <w:r>
        <w:t>are</w:t>
      </w:r>
      <w:r w:rsidRPr="0069475F">
        <w:t xml:space="preserve"> now </w:t>
      </w:r>
      <w:r>
        <w:t>supporting</w:t>
      </w:r>
      <w:r w:rsidRPr="0069475F">
        <w:t xml:space="preserve"> multiple voice, data and video services and applications. </w:t>
      </w:r>
      <w:r>
        <w:t>Convergence is blurring boundaries between</w:t>
      </w:r>
      <w:r w:rsidRPr="0069475F">
        <w:t xml:space="preserve"> previously </w:t>
      </w:r>
      <w:r>
        <w:t>separate service markets and giving</w:t>
      </w:r>
      <w:r w:rsidRPr="0069475F">
        <w:t xml:space="preserve"> rise to a need to review traditional policy and regulatory regimes, including reinforcing public safety issues. </w:t>
      </w:r>
      <w:r>
        <w:t xml:space="preserve">The boundaries between fixed and mobile, wireline and wireless are blurring, as telecommunication moves towards </w:t>
      </w:r>
      <w:r>
        <w:lastRenderedPageBreak/>
        <w:t>hybrid networks, where devices will be able to transfer seamlessly and smoothly from network to another, without any interruption in service.</w:t>
      </w:r>
    </w:p>
    <w:p w:rsidR="00F14C38" w:rsidRDefault="00F14C38" w:rsidP="00EE4A78">
      <w:r>
        <w:t xml:space="preserve">New </w:t>
      </w:r>
      <w:r w:rsidRPr="00DA2E7C">
        <w:t>telecommunication/</w:t>
      </w:r>
      <w:r>
        <w:t>ICT developments such as t</w:t>
      </w:r>
      <w:r w:rsidRPr="00C55480">
        <w:t xml:space="preserve">he combination of mobile Internet and </w:t>
      </w:r>
      <w:r>
        <w:t>the Internet of Things (</w:t>
      </w:r>
      <w:r w:rsidRPr="00C55480">
        <w:t>IoT</w:t>
      </w:r>
      <w:r>
        <w:t>) are</w:t>
      </w:r>
      <w:r w:rsidRPr="00C55480">
        <w:t xml:space="preserve"> heralded as </w:t>
      </w:r>
      <w:r>
        <w:t>some</w:t>
      </w:r>
      <w:r w:rsidRPr="00C55480">
        <w:t xml:space="preserve"> of the most disruptive technologies of the coming decade.</w:t>
      </w:r>
      <w:r w:rsidRPr="00C55480">
        <w:rPr>
          <w:rStyle w:val="FootnoteReference"/>
          <w:rFonts w:cstheme="minorHAnsi"/>
        </w:rPr>
        <w:footnoteReference w:id="36"/>
      </w:r>
      <w:r w:rsidRPr="00C55480">
        <w:t xml:space="preserve"> In fact, the advent of new digital devices</w:t>
      </w:r>
      <w:r>
        <w:t>, networks, services and applications</w:t>
      </w:r>
      <w:r w:rsidRPr="00C55480">
        <w:t xml:space="preserve"> </w:t>
      </w:r>
      <w:r>
        <w:t>represent</w:t>
      </w:r>
      <w:r w:rsidRPr="00C55480">
        <w:t xml:space="preserve"> a profound change that</w:t>
      </w:r>
      <w:r>
        <w:t xml:space="preserve"> is reshaping major industries.</w:t>
      </w:r>
    </w:p>
    <w:bookmarkEnd w:id="31"/>
    <w:p w:rsidR="00F14C38" w:rsidRDefault="00F14C38" w:rsidP="007855D0">
      <w:pPr>
        <w:spacing w:after="120"/>
      </w:pPr>
      <w:r>
        <w:t>Countries are updating and adapting their policies to accommodate and reflect the changes in technologies and markets. As a consequence</w:t>
      </w:r>
      <w:r w:rsidRPr="00371FBD">
        <w:t xml:space="preserve">, </w:t>
      </w:r>
      <w:r>
        <w:t>national telecommunication/ICT policies</w:t>
      </w:r>
      <w:r w:rsidRPr="00371FBD">
        <w:t xml:space="preserve"> </w:t>
      </w:r>
      <w:r>
        <w:t xml:space="preserve">are increasingly </w:t>
      </w:r>
      <w:r w:rsidRPr="00371FBD">
        <w:t>focus</w:t>
      </w:r>
      <w:r>
        <w:t>ing</w:t>
      </w:r>
      <w:r w:rsidRPr="00371FBD">
        <w:t xml:space="preserve"> on broader, cross-sectoral considerations</w:t>
      </w:r>
      <w:r>
        <w:rPr>
          <w:rStyle w:val="FootnoteReference"/>
        </w:rPr>
        <w:footnoteReference w:id="37"/>
      </w:r>
      <w:r>
        <w:t xml:space="preserve"> (</w:t>
      </w:r>
      <w:r>
        <w:rPr>
          <w:highlight w:val="yellow"/>
        </w:rPr>
        <w:fldChar w:fldCharType="begin"/>
      </w:r>
      <w:r>
        <w:instrText xml:space="preserve"> REF _Ref379500187 \h </w:instrText>
      </w:r>
      <w:r>
        <w:rPr>
          <w:highlight w:val="yellow"/>
        </w:rPr>
        <w:instrText xml:space="preserve"> \* MERGEFORMAT </w:instrText>
      </w:r>
      <w:r>
        <w:rPr>
          <w:highlight w:val="yellow"/>
        </w:rPr>
      </w:r>
      <w:r>
        <w:rPr>
          <w:highlight w:val="yellow"/>
        </w:rPr>
        <w:fldChar w:fldCharType="separate"/>
      </w:r>
      <w:r w:rsidR="006A34C6" w:rsidRPr="006A34C6">
        <w:t xml:space="preserve">Figure </w:t>
      </w:r>
      <w:r w:rsidR="006A34C6" w:rsidRPr="006A34C6">
        <w:rPr>
          <w:noProof/>
        </w:rPr>
        <w:t>2</w:t>
      </w:r>
      <w:r>
        <w:rPr>
          <w:highlight w:val="yellow"/>
        </w:rPr>
        <w:fldChar w:fldCharType="end"/>
      </w:r>
      <w:r w:rsidRPr="00371FBD">
        <w:t>).</w:t>
      </w:r>
    </w:p>
    <w:p w:rsidR="00F14C38" w:rsidRPr="007855D0" w:rsidRDefault="00F14C38" w:rsidP="00F14C38">
      <w:pPr>
        <w:pStyle w:val="Caption"/>
        <w:rPr>
          <w:rFonts w:asciiTheme="majorBidi" w:hAnsiTheme="majorBidi" w:cstheme="majorBidi"/>
          <w:sz w:val="22"/>
          <w:szCs w:val="22"/>
        </w:rPr>
      </w:pPr>
      <w:bookmarkStart w:id="32" w:name="_Ref379500187"/>
      <w:r w:rsidRPr="007855D0">
        <w:rPr>
          <w:rFonts w:asciiTheme="majorBidi" w:hAnsiTheme="majorBidi" w:cstheme="majorBidi"/>
          <w:sz w:val="22"/>
          <w:szCs w:val="22"/>
        </w:rPr>
        <w:t xml:space="preserve">Figure </w:t>
      </w:r>
      <w:r w:rsidRPr="007855D0">
        <w:rPr>
          <w:rFonts w:asciiTheme="majorBidi" w:hAnsiTheme="majorBidi" w:cstheme="majorBidi"/>
          <w:sz w:val="22"/>
          <w:szCs w:val="22"/>
        </w:rPr>
        <w:fldChar w:fldCharType="begin"/>
      </w:r>
      <w:r w:rsidRPr="007855D0">
        <w:rPr>
          <w:rFonts w:asciiTheme="majorBidi" w:hAnsiTheme="majorBidi" w:cstheme="majorBidi"/>
          <w:sz w:val="22"/>
          <w:szCs w:val="22"/>
        </w:rPr>
        <w:instrText xml:space="preserve"> SEQ Figure \* ARABIC </w:instrText>
      </w:r>
      <w:r w:rsidRPr="007855D0">
        <w:rPr>
          <w:rFonts w:asciiTheme="majorBidi" w:hAnsiTheme="majorBidi" w:cstheme="majorBidi"/>
          <w:sz w:val="22"/>
          <w:szCs w:val="22"/>
        </w:rPr>
        <w:fldChar w:fldCharType="separate"/>
      </w:r>
      <w:r w:rsidR="006A34C6">
        <w:rPr>
          <w:rFonts w:asciiTheme="majorBidi" w:hAnsiTheme="majorBidi" w:cstheme="majorBidi"/>
          <w:noProof/>
          <w:sz w:val="22"/>
          <w:szCs w:val="22"/>
        </w:rPr>
        <w:t>2</w:t>
      </w:r>
      <w:r w:rsidRPr="007855D0">
        <w:rPr>
          <w:rFonts w:asciiTheme="majorBidi" w:hAnsiTheme="majorBidi" w:cstheme="majorBidi"/>
          <w:noProof/>
          <w:sz w:val="22"/>
          <w:szCs w:val="22"/>
        </w:rPr>
        <w:fldChar w:fldCharType="end"/>
      </w:r>
      <w:bookmarkEnd w:id="32"/>
      <w:r w:rsidRPr="007855D0">
        <w:rPr>
          <w:rFonts w:asciiTheme="majorBidi" w:hAnsiTheme="majorBidi" w:cstheme="majorBidi"/>
          <w:sz w:val="22"/>
          <w:szCs w:val="22"/>
        </w:rPr>
        <w:t>. Evolution in Countries’ telecommunication/ICT Policies over time, 1997-2013</w:t>
      </w:r>
    </w:p>
    <w:p w:rsidR="00F14C38" w:rsidRDefault="00F14C38" w:rsidP="00F14C38">
      <w:pPr>
        <w:jc w:val="center"/>
      </w:pPr>
      <w:r w:rsidRPr="001157D0">
        <w:rPr>
          <w:noProof/>
          <w:lang w:val="en-US" w:eastAsia="zh-CN"/>
        </w:rPr>
        <w:drawing>
          <wp:inline distT="0" distB="0" distL="0" distR="0" wp14:anchorId="605DD425" wp14:editId="0AA081A3">
            <wp:extent cx="3752850" cy="2504611"/>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755459" cy="2506352"/>
                    </a:xfrm>
                    <a:prstGeom prst="rect">
                      <a:avLst/>
                    </a:prstGeom>
                    <a:noFill/>
                    <a:ln w="9525">
                      <a:noFill/>
                      <a:miter lim="800000"/>
                      <a:headEnd/>
                      <a:tailEnd/>
                    </a:ln>
                  </pic:spPr>
                </pic:pic>
              </a:graphicData>
            </a:graphic>
          </wp:inline>
        </w:drawing>
      </w:r>
    </w:p>
    <w:p w:rsidR="00F14C38" w:rsidRDefault="00F14C38" w:rsidP="00EE4A78">
      <w:pPr>
        <w:pStyle w:val="Tabletext"/>
      </w:pPr>
      <w:r w:rsidRPr="001D4F1D">
        <w:t>Source:</w:t>
      </w:r>
      <w:r>
        <w:t xml:space="preserve"> Broadband Commission (2013): Planning for Progress; Why National Broadband Plans Matter</w:t>
      </w:r>
    </w:p>
    <w:p w:rsidR="00F14C38" w:rsidRDefault="00F14C38" w:rsidP="00EE4A78">
      <w:r w:rsidRPr="00C55480">
        <w:t>Adopting appropriate regulatory tools to respond to new market behaviours and the growing need for consumer protection is becoming an increasingly complex proposition for regulators in today’s converged environment.</w:t>
      </w:r>
      <w:r>
        <w:t xml:space="preserve"> Such environment is becoming increasingly complex with</w:t>
      </w:r>
      <w:r w:rsidRPr="00C55480">
        <w:t xml:space="preserve"> multiple players operating in the same markets</w:t>
      </w:r>
      <w:r>
        <w:t>,</w:t>
      </w:r>
      <w:r w:rsidRPr="00C55480">
        <w:t xml:space="preserve"> but under different regimes: in the provision of voice services, for example, traditional telecom</w:t>
      </w:r>
      <w:r>
        <w:t>munication</w:t>
      </w:r>
      <w:r w:rsidRPr="00C55480">
        <w:t xml:space="preserve"> operators are not only competing with players in adjacent markets, such as Internet service providers (ISPs) and cable operators, but with players in the layers above, such as OTT content and application providers.</w:t>
      </w:r>
    </w:p>
    <w:p w:rsidR="00F14C38" w:rsidRDefault="00F14C38" w:rsidP="00EE4A78">
      <w:r w:rsidRPr="00C37D5F">
        <w:t xml:space="preserve">The nature of </w:t>
      </w:r>
      <w:r w:rsidRPr="00DA2E7C">
        <w:t>telecommunication/</w:t>
      </w:r>
      <w:r w:rsidRPr="00C37D5F">
        <w:t>ICT as cross-sectoral and pervasive infrastructure means that telecom</w:t>
      </w:r>
      <w:r>
        <w:t>munication</w:t>
      </w:r>
      <w:r w:rsidRPr="00C37D5F">
        <w:t xml:space="preserve">/ICT regulators are today forced to look beyond traditional models of regulation, which have historically consisted mainly of regulating access to networks and services, ensuring fair competition, protecting the interests of consumers and advancing universal access. More recently, electronic </w:t>
      </w:r>
      <w:r>
        <w:t>services</w:t>
      </w:r>
      <w:r w:rsidRPr="00C37D5F">
        <w:t xml:space="preserve">, cybersecurity, data protection, privacy and environmental issues have entered </w:t>
      </w:r>
      <w:r w:rsidRPr="00C37D5F">
        <w:lastRenderedPageBreak/>
        <w:t>into the purview of regulators.</w:t>
      </w:r>
      <w:r>
        <w:rPr>
          <w:rStyle w:val="FootnoteReference"/>
        </w:rPr>
        <w:footnoteReference w:id="38"/>
      </w:r>
      <w:r>
        <w:t xml:space="preserve"> T</w:t>
      </w:r>
      <w:r w:rsidRPr="00C37D5F">
        <w:t>he increased use of online applications and services to communicate and do business (such as social media, cloud services, e-payment and other m-banking services) brings a host of new</w:t>
      </w:r>
      <w:r>
        <w:t xml:space="preserve"> regulatory issues to the fore.</w:t>
      </w:r>
    </w:p>
    <w:p w:rsidR="00F14C38" w:rsidRDefault="00F14C38" w:rsidP="00EE4A78">
      <w:r w:rsidRPr="00C37D5F">
        <w:t xml:space="preserve">In this highly dynamic digital environment, regulators need to consider whether they are sufficiently equipped to ensure </w:t>
      </w:r>
      <w:r>
        <w:t>appropriate operation of markets</w:t>
      </w:r>
      <w:r w:rsidRPr="00C37D5F">
        <w:t xml:space="preserve">. They also need to identify if additional measures should be adopted to help ensure a level playing field among operators. In addition, where public funds are requested, clear policies should be adopted with regard to how these should be </w:t>
      </w:r>
      <w:r>
        <w:t>used.</w:t>
      </w:r>
    </w:p>
    <w:p w:rsidR="00F14C38" w:rsidRDefault="00F14C38" w:rsidP="00EE4A78">
      <w:r w:rsidRPr="00C37D5F">
        <w:t xml:space="preserve">To adapt to the changing </w:t>
      </w:r>
      <w:r>
        <w:t>telecommunication/</w:t>
      </w:r>
      <w:r w:rsidRPr="00C37D5F">
        <w:t>ICT environment</w:t>
      </w:r>
      <w:r>
        <w:t>/sector</w:t>
      </w:r>
      <w:r w:rsidRPr="00C37D5F">
        <w:t xml:space="preserve">, some governments have continued the move towards reform of their institutional and organizational structures by </w:t>
      </w:r>
      <w:r>
        <w:t xml:space="preserve">considering </w:t>
      </w:r>
      <w:r w:rsidRPr="00C37D5F">
        <w:t>merging multiple, separate regulatory authorities</w:t>
      </w:r>
      <w:r>
        <w:t>,</w:t>
      </w:r>
      <w:r w:rsidRPr="00C37D5F">
        <w:t xml:space="preserve"> covering different areas of telecommuni</w:t>
      </w:r>
      <w:r>
        <w:t xml:space="preserve">cations and broadcasting, into </w:t>
      </w:r>
      <w:r w:rsidRPr="00C37D5F">
        <w:t>converg</w:t>
      </w:r>
      <w:r>
        <w:t>ed communication/ICT authorities.</w:t>
      </w:r>
      <w:r>
        <w:rPr>
          <w:rStyle w:val="FootnoteReference"/>
        </w:rPr>
        <w:footnoteReference w:id="39"/>
      </w:r>
    </w:p>
    <w:p w:rsidR="00F14C38" w:rsidRPr="004371E6" w:rsidRDefault="00F14C38" w:rsidP="00EE4A78">
      <w:r w:rsidRPr="00F67CFB">
        <w:t xml:space="preserve">As many of the services carried over </w:t>
      </w:r>
      <w:r w:rsidRPr="00DA2E7C">
        <w:t>telecommunication/</w:t>
      </w:r>
      <w:r w:rsidRPr="00F67CFB">
        <w:t>ICT networks are today transnational and borderless in nature, strengthening cross-border, regional and international cooperation will remain key in ensuring that all citizens of the world can benefit from affordable, secure and safe access anytime, anywhere.</w:t>
      </w:r>
    </w:p>
    <w:p w:rsidR="00F14C38" w:rsidRDefault="00F14C38" w:rsidP="00EE4A78">
      <w:r w:rsidRPr="00056F73">
        <w:t xml:space="preserve">Reviewing existing </w:t>
      </w:r>
      <w:r w:rsidRPr="00DA2E7C">
        <w:t>telecommunication/</w:t>
      </w:r>
      <w:r w:rsidRPr="00056F73">
        <w:t>ICT policy and regulatory frameworks to adapt to the fast-changing digital environment is an ongoing process that requires coordination with multiple stakeholders so as to develop forward-looking approaches to attract and secure the huge and sustained investment in networks which is still needed.</w:t>
      </w:r>
    </w:p>
    <w:p w:rsidR="00F14C38" w:rsidRPr="003B668A" w:rsidRDefault="00F14C38" w:rsidP="00EE4A78">
      <w:r w:rsidRPr="003B668A">
        <w:t>Various international organizations, non-governmental organizations, civil society, multinational companies, academia and foundations, are taking a role in this</w:t>
      </w:r>
      <w:r>
        <w:t xml:space="preserve"> increasingly complex</w:t>
      </w:r>
      <w:r w:rsidRPr="003B668A">
        <w:t xml:space="preserve"> </w:t>
      </w:r>
      <w:r>
        <w:t>telecommunication/</w:t>
      </w:r>
      <w:r w:rsidRPr="003B668A">
        <w:t xml:space="preserve">ICT </w:t>
      </w:r>
      <w:r>
        <w:t>environment/sector</w:t>
      </w:r>
      <w:r w:rsidRPr="003B668A">
        <w:t>. For example, the World Bank Group’s new ICT Strategy aims at helping developing countries use</w:t>
      </w:r>
      <w:r>
        <w:t xml:space="preserve"> telecommunication/ICT</w:t>
      </w:r>
      <w:r w:rsidRPr="003B668A">
        <w:t xml:space="preserve"> to transform delivery of basic services, drive innovations and productivity gains, and improve competitiveness</w:t>
      </w:r>
      <w:r>
        <w:t>.</w:t>
      </w:r>
      <w:r w:rsidRPr="003B668A">
        <w:rPr>
          <w:rStyle w:val="FootnoteReference"/>
        </w:rPr>
        <w:footnoteReference w:id="40"/>
      </w:r>
      <w:r w:rsidRPr="003B668A">
        <w:t xml:space="preserve"> Other emerging initiatives, such as public-private and multi-stakeholder partnerships can potentially significantly contribute to the changing </w:t>
      </w:r>
      <w:r>
        <w:t>telecommunication/</w:t>
      </w:r>
      <w:r w:rsidRPr="003B668A">
        <w:t xml:space="preserve">ICT </w:t>
      </w:r>
      <w:r>
        <w:t>environment/sector</w:t>
      </w:r>
      <w:r w:rsidRPr="003B668A">
        <w:t xml:space="preserve">. Therefore </w:t>
      </w:r>
      <w:r>
        <w:t>collaboration</w:t>
      </w:r>
      <w:r w:rsidRPr="003B668A">
        <w:t xml:space="preserve"> among various established and new players will be important for the future of the</w:t>
      </w:r>
      <w:r>
        <w:t xml:space="preserve"> telecommunication/ICT</w:t>
      </w:r>
      <w:r w:rsidRPr="003B668A">
        <w:t xml:space="preserve"> environment</w:t>
      </w:r>
      <w:r>
        <w:t>/sector</w:t>
      </w:r>
      <w:r w:rsidRPr="003B668A">
        <w:t>.</w:t>
      </w:r>
    </w:p>
    <w:p w:rsidR="00F14C38" w:rsidRDefault="00EE4A78" w:rsidP="00EE4A78">
      <w:pPr>
        <w:pStyle w:val="Heading1"/>
      </w:pPr>
      <w:bookmarkStart w:id="33" w:name="_Toc377565005"/>
      <w:bookmarkStart w:id="34" w:name="_Toc379397003"/>
      <w:bookmarkStart w:id="35" w:name="_Toc379546807"/>
      <w:r>
        <w:t>3</w:t>
      </w:r>
      <w:r>
        <w:tab/>
      </w:r>
      <w:r w:rsidR="00F14C38">
        <w:t>Situational analysis of ITU Sectors</w:t>
      </w:r>
    </w:p>
    <w:p w:rsidR="00F14C38" w:rsidRDefault="00EE4A78" w:rsidP="00EE4A78">
      <w:pPr>
        <w:pStyle w:val="Heading2"/>
      </w:pPr>
      <w:r>
        <w:t>3.1</w:t>
      </w:r>
      <w:r>
        <w:tab/>
      </w:r>
      <w:r w:rsidR="00F14C38">
        <w:t>Situational analysis of ITU-R Sector</w:t>
      </w:r>
      <w:bookmarkEnd w:id="33"/>
      <w:bookmarkEnd w:id="34"/>
      <w:bookmarkEnd w:id="35"/>
    </w:p>
    <w:p w:rsidR="00F14C38" w:rsidRPr="00491760" w:rsidRDefault="00F14C38" w:rsidP="00EE4A78">
      <w:r w:rsidRPr="00491760">
        <w:t>The biggest challenge for ITU-R is to remain abreast of the rapid and complex changes occurring in the world of international radiocommunications, coupled with a timely response to the needs of the radiocommunication and broadcasting industry in particular and to the membership as a whole. In an environment undergoing constant change and with ever greater demands from its members for products and services, the Sector should ensure that it remains as adaptable and responsive as possible to meet these challenges.</w:t>
      </w:r>
    </w:p>
    <w:p w:rsidR="00F14C38" w:rsidRPr="00491760" w:rsidRDefault="00F14C38" w:rsidP="00EE4A78">
      <w:r w:rsidRPr="00491760">
        <w:t xml:space="preserve">Pursuant to Article 1 of the ITU Constitution, ITU-R is committed to building an enabling environment through management of the international radio-frequency spectrum and satellite-orbit resources. Since the global management of frequencies and orbit resources requires a high level of </w:t>
      </w:r>
      <w:r w:rsidRPr="00491760">
        <w:lastRenderedPageBreak/>
        <w:t xml:space="preserve">international cooperation, one of </w:t>
      </w:r>
      <w:r>
        <w:t>the</w:t>
      </w:r>
      <w:r w:rsidRPr="00491760">
        <w:t xml:space="preserve"> principal tasks in ITU-R is to facilitate the complex intergovernmental negotiations needed to develop legally binding agreements between sovereign states. These agreements are embodied in the Radio Regulations and in world and regional plans adopted for different space and terrestrial services.</w:t>
      </w:r>
    </w:p>
    <w:p w:rsidR="00F14C38" w:rsidRPr="00491760" w:rsidRDefault="00F14C38" w:rsidP="00EE4A78">
      <w:r w:rsidRPr="00491760">
        <w:t>The field of radiocommunications addresses terrestrial and space services that are critical and increasingly important for the development of the global economy in the twenty-first century. The world is witnessing a phenomenal increase in the use of wireless systems in a myriad of applications. International radiocommunication standards (such as those contained in ITU-R Recommendations) underpin the entire global communications framework – and will continue to serve as the platform for a whole range of new wireless applications.</w:t>
      </w:r>
    </w:p>
    <w:p w:rsidR="00F14C38" w:rsidRPr="00491760" w:rsidRDefault="00F14C38" w:rsidP="00EE4A78">
      <w:r w:rsidRPr="00491760">
        <w:t>The domain of radiocommunications also includes aeronautical telemetry and telecommand systems, satellite services, mobile communications, maritime distress and safety signals, digital broadcasting, satellites for meteorology, and the prediction and detection of natural disasters.</w:t>
      </w:r>
    </w:p>
    <w:p w:rsidR="00F14C38" w:rsidRPr="00491760" w:rsidRDefault="00F14C38" w:rsidP="00EE4A78">
      <w:r w:rsidRPr="00491760">
        <w:t>In line with Radio Regulations, the recording of space and terrestrial notices and their associated pu</w:t>
      </w:r>
      <w:r w:rsidR="007855D0">
        <w:t>blications are central to ITU-R’</w:t>
      </w:r>
      <w:r w:rsidRPr="00491760">
        <w:t>s mission.</w:t>
      </w:r>
    </w:p>
    <w:p w:rsidR="00F14C38" w:rsidRPr="00491760" w:rsidRDefault="00F14C38" w:rsidP="00EE4A78">
      <w:r w:rsidRPr="00491760">
        <w:t>The need for continuing development of radiocommunication systems used in disaster mitigation and relief operations has increased and will be a key challenge for the future. Telecommunications are critical at all phases of disaster management. Aspects of emergency radiocommunication services associated with disasters include, inter alia, disaster prediction, detection, alerting and relief.</w:t>
      </w:r>
    </w:p>
    <w:p w:rsidR="00F14C38" w:rsidRPr="00491760" w:rsidRDefault="00F14C38" w:rsidP="00EE4A78">
      <w:r w:rsidRPr="00491760">
        <w:t>In the area of climate change, the work of ITU-R focuses on the use of</w:t>
      </w:r>
      <w:r>
        <w:t xml:space="preserve"> telecommunication/ICT</w:t>
      </w:r>
      <w:r w:rsidRPr="00491760">
        <w:t xml:space="preserve"> (different radio and telecommunication technologies and equipment) for weather and climate-change monitoring and for prediction, detection and mitigation of hurricanes, typhoons, thunderstorms, earthquakes, tsunamis, man-made disasters, etc.</w:t>
      </w:r>
    </w:p>
    <w:p w:rsidR="00F14C38" w:rsidRPr="00491760" w:rsidRDefault="00F14C38" w:rsidP="00EE4A78">
      <w:r>
        <w:t>S</w:t>
      </w:r>
      <w:r w:rsidRPr="00491760">
        <w:t>takeholders, such as government agencies, public and private telecommunication operators, manufacturers, scientific or industrial bodies, international organizations, consultancies, universities, technical institutions, etc., through the processes linked with world radiocommunication conferences and study groups, will need to continue to make decisions on the most profitable and efficient ways to exploit the limited resource of the radio-frequency spectrum and satellite orbits, which will be critical and of increasing economic value for the development of the global economy in the twenty-first century.</w:t>
      </w:r>
    </w:p>
    <w:p w:rsidR="00F14C38" w:rsidRDefault="00F14C38" w:rsidP="00EE4A78">
      <w:r w:rsidRPr="00491760">
        <w:t>In conducting its activities, the ITU-R should e</w:t>
      </w:r>
      <w:r>
        <w:t>nsure to cast a proper balance:</w:t>
      </w:r>
    </w:p>
    <w:p w:rsidR="00F14C38" w:rsidRDefault="00EE4A78" w:rsidP="00EE4A78">
      <w:pPr>
        <w:pStyle w:val="enumlev1"/>
      </w:pPr>
      <w:r>
        <w:t>–</w:t>
      </w:r>
      <w:r>
        <w:tab/>
      </w:r>
      <w:r w:rsidR="00F14C38" w:rsidRPr="00584DFE">
        <w:t>between the need for worldwide harmonization (to benefit from economies of scale, connectivity and interoperability) and the need for flexibility in spectrum allocations,</w:t>
      </w:r>
    </w:p>
    <w:p w:rsidR="00F14C38" w:rsidRPr="00584DFE" w:rsidRDefault="00EE4A78" w:rsidP="00EE4A78">
      <w:pPr>
        <w:pStyle w:val="enumlev1"/>
      </w:pPr>
      <w:r>
        <w:t>–</w:t>
      </w:r>
      <w:r>
        <w:tab/>
      </w:r>
      <w:r w:rsidR="00F14C38" w:rsidRPr="00584DFE">
        <w:t>between the need to accommodate new systems, applications and technologies as they arise and the need to protect existing radiocommunication services.</w:t>
      </w:r>
    </w:p>
    <w:p w:rsidR="00F14C38" w:rsidRDefault="00EE4A78" w:rsidP="00EE4A78">
      <w:pPr>
        <w:pStyle w:val="Heading2"/>
      </w:pPr>
      <w:bookmarkStart w:id="36" w:name="_Toc377565006"/>
      <w:bookmarkStart w:id="37" w:name="_Toc379397004"/>
      <w:bookmarkStart w:id="38" w:name="_Toc379546808"/>
      <w:r>
        <w:t>3.2</w:t>
      </w:r>
      <w:r>
        <w:tab/>
      </w:r>
      <w:r w:rsidR="00F14C38">
        <w:t>Situational analysis of ITU-T Sector</w:t>
      </w:r>
      <w:bookmarkEnd w:id="36"/>
      <w:bookmarkEnd w:id="37"/>
      <w:bookmarkEnd w:id="38"/>
    </w:p>
    <w:p w:rsidR="00F14C38" w:rsidRDefault="00F14C38" w:rsidP="00EE4A78">
      <w:r w:rsidRPr="008D7EA3">
        <w:t>ITU-T operates in a competitive, complex and rapidly evolving environment and ecosystem.</w:t>
      </w:r>
    </w:p>
    <w:p w:rsidR="00F14C38" w:rsidRDefault="00F14C38" w:rsidP="00EE4A78">
      <w:r w:rsidRPr="008123AF">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F14C38" w:rsidRDefault="00F14C38" w:rsidP="00EE4A78">
      <w:r w:rsidRPr="008D7EA3">
        <w:lastRenderedPageBreak/>
        <w:t>While retaining current ITU-T members, new members from industry and academia need to be attracted and encouraged, and the participation of developing countries i</w:t>
      </w:r>
      <w:r>
        <w:t>n the standardization process (“</w:t>
      </w:r>
      <w:r w:rsidRPr="008D7EA3">
        <w:t>Br</w:t>
      </w:r>
      <w:r>
        <w:t>idging the standardization gap”</w:t>
      </w:r>
      <w:r w:rsidRPr="008D7EA3">
        <w:t>) needs to be boosted.</w:t>
      </w:r>
    </w:p>
    <w:p w:rsidR="00F14C38" w:rsidRDefault="00F14C38" w:rsidP="00EE4A78">
      <w:bookmarkStart w:id="39" w:name="_Toc379397005"/>
      <w:bookmarkStart w:id="40" w:name="_Toc379546809"/>
      <w:r>
        <w:t>Cooperation and collaboration with other standardization bodies and relevant consortia and fora are key to minimize conflict of work and achieve efficient use of resources, as well as to incorporate expertise from outside ITU.</w:t>
      </w:r>
    </w:p>
    <w:p w:rsidR="00F14C38" w:rsidRDefault="00F14C38" w:rsidP="00EE4A78">
      <w:pPr>
        <w:rPr>
          <w:b/>
        </w:rPr>
      </w:pPr>
      <w:r w:rsidRPr="00E01D45">
        <w:t>The review of the International Telecommunication Regulations will set a renewed worldwide framework for ITU-T activities</w:t>
      </w:r>
      <w:r>
        <w:t>.</w:t>
      </w:r>
    </w:p>
    <w:p w:rsidR="00F14C38" w:rsidRDefault="00EE4A78" w:rsidP="00EE4A78">
      <w:pPr>
        <w:pStyle w:val="Heading2"/>
      </w:pPr>
      <w:r>
        <w:t>3.3</w:t>
      </w:r>
      <w:r>
        <w:tab/>
      </w:r>
      <w:r w:rsidR="00F14C38">
        <w:t>Situational analysis of ITU-D Sector</w:t>
      </w:r>
      <w:bookmarkEnd w:id="39"/>
      <w:bookmarkEnd w:id="40"/>
    </w:p>
    <w:p w:rsidR="00F14C38" w:rsidRPr="003820E3" w:rsidRDefault="00F14C38" w:rsidP="00EE4A78">
      <w:r w:rsidRPr="003820E3">
        <w:t xml:space="preserve">Telecommunications/ICTs are increasingly being recognized by </w:t>
      </w:r>
      <w:r w:rsidRPr="0093486E">
        <w:t>governments</w:t>
      </w:r>
      <w:r w:rsidRPr="003820E3">
        <w:t xml:space="preserve"> around the world as the key engine for economic growth and social development. Furthering development of telecommunications/ICTs around the world has long been at the core of the work of ITU, as </w:t>
      </w:r>
      <w:r w:rsidRPr="0093486E">
        <w:t>a United Nations</w:t>
      </w:r>
      <w:r w:rsidRPr="003820E3">
        <w:t xml:space="preserve"> specialized agency, but has become even more vital over recent years</w:t>
      </w:r>
      <w:r w:rsidRPr="0093486E">
        <w:t>,</w:t>
      </w:r>
      <w:r w:rsidRPr="003820E3">
        <w:t xml:space="preserve"> when technological developments have given </w:t>
      </w:r>
      <w:r w:rsidRPr="0093486E">
        <w:t>telecommunications</w:t>
      </w:r>
      <w:r w:rsidRPr="003820E3">
        <w:t xml:space="preserve">/ICTs an essential role in every aspect of human lives. Telecommunications/ICTs are not just an end in themselves, but are the key enablers of the other </w:t>
      </w:r>
      <w:r w:rsidRPr="0093486E">
        <w:t>sectors</w:t>
      </w:r>
      <w:r w:rsidRPr="003820E3">
        <w:t>.</w:t>
      </w:r>
    </w:p>
    <w:p w:rsidR="00F14C38" w:rsidRPr="003820E3" w:rsidRDefault="00F14C38" w:rsidP="00EE4A78">
      <w:r w:rsidRPr="003820E3">
        <w:t xml:space="preserve">The progress that has been made since the establishment of the Millennium Development Goals (MDGs) in 2000 and of the </w:t>
      </w:r>
      <w:r w:rsidRPr="0093486E">
        <w:t>telecommunication/</w:t>
      </w:r>
      <w:r w:rsidRPr="003820E3">
        <w:t>ICT connectivity targets set by WSIS in 2003 and 2005 has been extremely important. Providing the right conditions is key to fully meeting these goals. The priority shall be the development of infrastructure, in particular for broadband communications, and the provision of telecommunication/ICT applications and services. The enhancement of human capacity building and a robust, predictable, enabling regulatory environment will ensure that technological development is sustainable.</w:t>
      </w:r>
      <w:r w:rsidRPr="0093486E">
        <w:t xml:space="preserve"> </w:t>
      </w:r>
    </w:p>
    <w:p w:rsidR="00F14C38" w:rsidRPr="0093486E" w:rsidRDefault="00F14C38" w:rsidP="00EE4A78">
      <w:r w:rsidRPr="0093486E">
        <w:t>Having regard to the importance of local content and its role in developing the use of broadband, countries with language and cultural barriers should pay adequate attention to the significant proportion of local content. Therefore, generating local content as an enabler for developing deployment of broadband services and enhancing its penetration, developing e</w:t>
      </w:r>
      <w:r>
        <w:t>-</w:t>
      </w:r>
      <w:r w:rsidRPr="0093486E">
        <w:t>health, e</w:t>
      </w:r>
      <w:r>
        <w:t>-</w:t>
      </w:r>
      <w:r w:rsidRPr="0093486E">
        <w:t>learning and e</w:t>
      </w:r>
      <w:r>
        <w:t>-</w:t>
      </w:r>
      <w:r w:rsidRPr="0093486E">
        <w:t>commerce to satisfy demand for local content and encouraging countries with similar or common culture and language to construct local content could help speed up continuing access to broadband services.</w:t>
      </w:r>
    </w:p>
    <w:p w:rsidR="00F14C38" w:rsidRPr="0093486E" w:rsidRDefault="00F14C38" w:rsidP="00EE4A78">
      <w:r w:rsidRPr="0093486E">
        <w:t>In view of the borderless nature of the cyberspace community, ITU</w:t>
      </w:r>
      <w:r w:rsidRPr="0093486E">
        <w:noBreakHyphen/>
        <w:t>D acknowledges the importance of international cooperation in enhancing reliability, availability and security in the use of ICTs. Therefore, ITU</w:t>
      </w:r>
      <w:r w:rsidRPr="0093486E">
        <w:noBreakHyphen/>
        <w:t>D recognizes that there is an urgent need to support countries in developing specific measures in the implementation of their national cybersecurity frameworks to address the concerns of different stakeholders in this regard and to enable and assist in the sharing of best practices at the global level. Accordingly, ITU will play a key role in facilitating the above-mentioned cooperation.</w:t>
      </w:r>
    </w:p>
    <w:p w:rsidR="00F14C38" w:rsidRPr="003820E3" w:rsidRDefault="00F14C38" w:rsidP="00EE4A78">
      <w:r w:rsidRPr="003820E3">
        <w:t xml:space="preserve">Among those standing to derive the greatest benefit from telecommunications/ICTs are least developed countries (LDCs), small island developing states (SIDS), landlocked </w:t>
      </w:r>
      <w:r w:rsidRPr="0093486E">
        <w:t xml:space="preserve">developing </w:t>
      </w:r>
      <w:r w:rsidRPr="003820E3">
        <w:t>countries</w:t>
      </w:r>
      <w:r w:rsidRPr="0093486E">
        <w:t xml:space="preserve"> (LLDCs)</w:t>
      </w:r>
      <w:r w:rsidRPr="003820E3">
        <w:t xml:space="preserve"> and countries with economies in transition, all of which deserve special attention. Emergency telecommunications and gender issues are also priority areas in ITU</w:t>
      </w:r>
      <w:r>
        <w:t>-</w:t>
      </w:r>
      <w:r w:rsidRPr="003820E3">
        <w:t>D work. Given the magnitude of the task, success will depend on working closely with ITU members and mobilizing resources through public-private partnerships.</w:t>
      </w:r>
    </w:p>
    <w:p w:rsidR="00F14C38" w:rsidRPr="003820E3" w:rsidRDefault="00F14C38" w:rsidP="00EE4A78">
      <w:r w:rsidRPr="003820E3">
        <w:t xml:space="preserve">There is a need </w:t>
      </w:r>
      <w:r w:rsidRPr="0093486E">
        <w:t>to encourage</w:t>
      </w:r>
      <w:r w:rsidRPr="003820E3">
        <w:t xml:space="preserve"> a culture of innovation in ITU</w:t>
      </w:r>
      <w:r>
        <w:t>-</w:t>
      </w:r>
      <w:r w:rsidRPr="003820E3">
        <w:t xml:space="preserve">D. Constantly examining </w:t>
      </w:r>
      <w:r w:rsidRPr="00831FAD">
        <w:t>BDT’s</w:t>
      </w:r>
      <w:r w:rsidRPr="003820E3">
        <w:t xml:space="preserve"> activities under the lens of how products and services can be more innovative leads to critical consideration of </w:t>
      </w:r>
      <w:r w:rsidRPr="0093486E">
        <w:t>its</w:t>
      </w:r>
      <w:r w:rsidRPr="003820E3">
        <w:t xml:space="preserve"> competitive position </w:t>
      </w:r>
      <w:r w:rsidRPr="0093486E">
        <w:t>among</w:t>
      </w:r>
      <w:r w:rsidRPr="003820E3">
        <w:t xml:space="preserve"> telecommunication/ICT development agencies and provides the motivation to pursue new opportunities for improvement. The growing importance of </w:t>
      </w:r>
      <w:r w:rsidRPr="003820E3">
        <w:lastRenderedPageBreak/>
        <w:t xml:space="preserve">innovation is recognized worldwide. Innovation is essential if countries and firms are to recover from the global economic downturn and thrive in </w:t>
      </w:r>
      <w:r w:rsidRPr="00831FAD">
        <w:t>today’s</w:t>
      </w:r>
      <w:r w:rsidRPr="003820E3">
        <w:t xml:space="preserve"> highly competitive and connected global economy. Innovation is a powerful engine for development and for addressing social and economic challenges. Innovative broadband-fuelled services such as m-payments, m-health and m-education can be literally </w:t>
      </w:r>
      <w:r w:rsidRPr="00831FAD">
        <w:t>“</w:t>
      </w:r>
      <w:r w:rsidRPr="003820E3">
        <w:t>life</w:t>
      </w:r>
      <w:r w:rsidRPr="00831FAD">
        <w:t>-</w:t>
      </w:r>
      <w:r w:rsidRPr="003820E3">
        <w:t>changing</w:t>
      </w:r>
      <w:r w:rsidRPr="00831FAD">
        <w:t xml:space="preserve">” </w:t>
      </w:r>
      <w:r w:rsidRPr="0093486E">
        <w:t>for</w:t>
      </w:r>
      <w:r w:rsidRPr="003820E3">
        <w:t xml:space="preserve"> individuals, communities and societies at large. Access to telecommunications/ICTs can empower hundreds of millions of people in developing countries to directly enhance their own social and economic well-being.</w:t>
      </w:r>
    </w:p>
    <w:p w:rsidR="00F14C38" w:rsidRPr="003820E3" w:rsidRDefault="00F14C38" w:rsidP="00EE4A78">
      <w:r w:rsidRPr="0093486E">
        <w:t xml:space="preserve">The </w:t>
      </w:r>
      <w:r w:rsidRPr="003820E3">
        <w:t>ITU</w:t>
      </w:r>
      <w:r>
        <w:t>-</w:t>
      </w:r>
      <w:r w:rsidRPr="003820E3">
        <w:t xml:space="preserve">D mission is not just about connectivity for </w:t>
      </w:r>
      <w:r w:rsidRPr="00B830B4">
        <w:t>connectivity’s</w:t>
      </w:r>
      <w:r w:rsidRPr="003820E3">
        <w:t xml:space="preserve"> sake</w:t>
      </w:r>
      <w:r w:rsidRPr="0093486E">
        <w:t>,</w:t>
      </w:r>
      <w:r w:rsidRPr="003820E3">
        <w:t xml:space="preserve"> but is more to aim at seeing innovative uses of telecommunications/ICTs that fundamentally improve </w:t>
      </w:r>
      <w:r w:rsidRPr="00B830B4">
        <w:t>people’s</w:t>
      </w:r>
      <w:r w:rsidRPr="003820E3">
        <w:t xml:space="preserve"> lives for the better.</w:t>
      </w:r>
    </w:p>
    <w:p w:rsidR="00DB3058" w:rsidRDefault="00DB3058" w:rsidP="00EE4A78">
      <w:r>
        <w:br w:type="page"/>
      </w:r>
    </w:p>
    <w:p w:rsidR="00DB3058" w:rsidRDefault="00DB3058" w:rsidP="00DB3058">
      <w:pPr>
        <w:pStyle w:val="Title1"/>
        <w:framePr w:hSpace="180" w:wrap="around" w:hAnchor="margin" w:y="-675"/>
      </w:pPr>
    </w:p>
    <w:p w:rsidR="00DB3058" w:rsidRDefault="00DB3058" w:rsidP="00DB3058">
      <w:pPr>
        <w:pStyle w:val="AnnexNotitle"/>
      </w:pPr>
      <w:r>
        <w:t>Annex 2 to Resolution 71</w:t>
      </w:r>
      <w:r>
        <w:br/>
      </w:r>
      <w:r>
        <w:br/>
      </w:r>
      <w:r w:rsidRPr="0063206D">
        <w:t xml:space="preserve">Strategic Plan for the Union </w:t>
      </w:r>
      <w:r>
        <w:t>for 2016-2019</w:t>
      </w:r>
    </w:p>
    <w:sdt>
      <w:sdtPr>
        <w:rPr>
          <w:rFonts w:ascii="Times New Roman" w:eastAsiaTheme="minorHAnsi" w:hAnsi="Times New Roman" w:cstheme="minorBidi"/>
          <w:b w:val="0"/>
          <w:bCs w:val="0"/>
          <w:color w:val="auto"/>
          <w:sz w:val="22"/>
          <w:szCs w:val="22"/>
        </w:rPr>
        <w:id w:val="-92319846"/>
        <w:docPartObj>
          <w:docPartGallery w:val="Table of Contents"/>
          <w:docPartUnique/>
        </w:docPartObj>
      </w:sdtPr>
      <w:sdtEndPr>
        <w:rPr>
          <w:rFonts w:eastAsia="Times New Roman" w:cs="Times New Roman"/>
          <w:sz w:val="24"/>
          <w:szCs w:val="20"/>
        </w:rPr>
      </w:sdtEndPr>
      <w:sdtContent>
        <w:p w:rsidR="00DB3058" w:rsidRPr="00C95A5A" w:rsidRDefault="00DB3058" w:rsidP="00DB3058">
          <w:pPr>
            <w:pStyle w:val="TOCHeading"/>
            <w:ind w:left="432" w:hanging="432"/>
          </w:pPr>
          <w:r w:rsidRPr="00C95A5A">
            <w:t>Table of Contents</w:t>
          </w:r>
        </w:p>
        <w:p w:rsidR="00DB3058" w:rsidRDefault="00DB3058" w:rsidP="00E27992">
          <w:pPr>
            <w:pStyle w:val="TOC1"/>
            <w:tabs>
              <w:tab w:val="left" w:pos="440"/>
              <w:tab w:val="right" w:leader="dot" w:pos="9737"/>
            </w:tabs>
            <w:rPr>
              <w:rFonts w:cstheme="minorBidi"/>
              <w:b/>
              <w:noProof/>
              <w:sz w:val="22"/>
              <w:lang w:eastAsia="zh-CN"/>
            </w:rPr>
          </w:pPr>
          <w:r w:rsidRPr="00C95A5A">
            <w:rPr>
              <w:rFonts w:eastAsiaTheme="minorEastAsia"/>
            </w:rPr>
            <w:fldChar w:fldCharType="begin"/>
          </w:r>
          <w:r w:rsidRPr="00C95A5A">
            <w:instrText xml:space="preserve"> TOC \o "1-3" \h \z \u </w:instrText>
          </w:r>
          <w:r w:rsidRPr="00C95A5A">
            <w:rPr>
              <w:rFonts w:eastAsiaTheme="minorEastAsia"/>
            </w:rPr>
            <w:fldChar w:fldCharType="separate"/>
          </w:r>
          <w:hyperlink w:anchor="_Toc387091835" w:history="1">
            <w:r w:rsidRPr="008C591A">
              <w:rPr>
                <w:rStyle w:val="Hyperlink"/>
                <w:noProof/>
              </w:rPr>
              <w:t>1</w:t>
            </w:r>
            <w:r>
              <w:rPr>
                <w:rFonts w:cstheme="minorBidi"/>
                <w:noProof/>
                <w:sz w:val="22"/>
                <w:lang w:eastAsia="zh-CN"/>
              </w:rPr>
              <w:tab/>
            </w:r>
            <w:r w:rsidRPr="008C591A">
              <w:rPr>
                <w:rStyle w:val="Hyperlink"/>
                <w:noProof/>
              </w:rPr>
              <w:t>ITU results-based management (RBM) framework and structure of the strategic plan</w:t>
            </w:r>
          </w:hyperlink>
        </w:p>
        <w:p w:rsidR="00DB3058" w:rsidRDefault="006A34C6" w:rsidP="00E27992">
          <w:pPr>
            <w:pStyle w:val="TOC1"/>
            <w:tabs>
              <w:tab w:val="left" w:pos="440"/>
              <w:tab w:val="right" w:leader="dot" w:pos="9737"/>
            </w:tabs>
            <w:rPr>
              <w:rFonts w:cstheme="minorBidi"/>
              <w:b/>
              <w:noProof/>
              <w:sz w:val="22"/>
              <w:lang w:eastAsia="zh-CN"/>
            </w:rPr>
          </w:pPr>
          <w:hyperlink w:anchor="_Toc387091836" w:history="1">
            <w:r w:rsidR="00DB3058" w:rsidRPr="008C591A">
              <w:rPr>
                <w:rStyle w:val="Hyperlink"/>
                <w:noProof/>
              </w:rPr>
              <w:t>2</w:t>
            </w:r>
            <w:r w:rsidR="00DB3058">
              <w:rPr>
                <w:rFonts w:cstheme="minorBidi"/>
                <w:noProof/>
                <w:sz w:val="22"/>
                <w:lang w:eastAsia="zh-CN"/>
              </w:rPr>
              <w:tab/>
            </w:r>
            <w:r w:rsidR="00DB3058" w:rsidRPr="008C591A">
              <w:rPr>
                <w:rStyle w:val="Hyperlink"/>
                <w:noProof/>
              </w:rPr>
              <w:t>ITU vision, mission and values</w:t>
            </w:r>
          </w:hyperlink>
        </w:p>
        <w:p w:rsidR="00DB3058" w:rsidRDefault="006A34C6" w:rsidP="00C82CA9">
          <w:pPr>
            <w:pStyle w:val="TOC2"/>
            <w:tabs>
              <w:tab w:val="left" w:pos="880"/>
              <w:tab w:val="right" w:leader="dot" w:pos="9737"/>
            </w:tabs>
            <w:rPr>
              <w:rFonts w:cstheme="minorBidi"/>
              <w:noProof/>
              <w:lang w:eastAsia="zh-CN"/>
            </w:rPr>
          </w:pPr>
          <w:hyperlink w:anchor="_Toc387091837" w:history="1">
            <w:r w:rsidR="00DB3058" w:rsidRPr="008C591A">
              <w:rPr>
                <w:rStyle w:val="Hyperlink"/>
                <w:noProof/>
              </w:rPr>
              <w:t>2.1</w:t>
            </w:r>
            <w:r w:rsidR="00DB3058">
              <w:rPr>
                <w:rFonts w:cstheme="minorBidi"/>
                <w:noProof/>
                <w:lang w:eastAsia="zh-CN"/>
              </w:rPr>
              <w:tab/>
            </w:r>
            <w:r w:rsidR="00DB3058" w:rsidRPr="008C591A">
              <w:rPr>
                <w:rStyle w:val="Hyperlink"/>
                <w:noProof/>
              </w:rPr>
              <w:t>Vision</w:t>
            </w:r>
          </w:hyperlink>
        </w:p>
        <w:p w:rsidR="00DB3058" w:rsidRDefault="006A34C6" w:rsidP="00C82CA9">
          <w:pPr>
            <w:pStyle w:val="TOC2"/>
            <w:tabs>
              <w:tab w:val="left" w:pos="880"/>
              <w:tab w:val="right" w:leader="dot" w:pos="9737"/>
            </w:tabs>
            <w:rPr>
              <w:rFonts w:cstheme="minorBidi"/>
              <w:noProof/>
              <w:lang w:eastAsia="zh-CN"/>
            </w:rPr>
          </w:pPr>
          <w:hyperlink w:anchor="_Toc387091838" w:history="1">
            <w:r w:rsidR="00DB3058" w:rsidRPr="008C591A">
              <w:rPr>
                <w:rStyle w:val="Hyperlink"/>
                <w:noProof/>
              </w:rPr>
              <w:t>2.2</w:t>
            </w:r>
            <w:r w:rsidR="00DB3058">
              <w:rPr>
                <w:rFonts w:cstheme="minorBidi"/>
                <w:noProof/>
                <w:lang w:eastAsia="zh-CN"/>
              </w:rPr>
              <w:tab/>
            </w:r>
            <w:r w:rsidR="00DB3058" w:rsidRPr="008C591A">
              <w:rPr>
                <w:rStyle w:val="Hyperlink"/>
                <w:noProof/>
              </w:rPr>
              <w:t>Mission</w:t>
            </w:r>
          </w:hyperlink>
        </w:p>
        <w:p w:rsidR="00DB3058" w:rsidRDefault="006A34C6" w:rsidP="00C82CA9">
          <w:pPr>
            <w:pStyle w:val="TOC2"/>
            <w:tabs>
              <w:tab w:val="left" w:pos="880"/>
              <w:tab w:val="right" w:leader="dot" w:pos="9737"/>
            </w:tabs>
            <w:rPr>
              <w:rFonts w:cstheme="minorBidi"/>
              <w:noProof/>
              <w:lang w:eastAsia="zh-CN"/>
            </w:rPr>
          </w:pPr>
          <w:hyperlink w:anchor="_Toc387091839" w:history="1">
            <w:r w:rsidR="00DB3058" w:rsidRPr="008C591A">
              <w:rPr>
                <w:rStyle w:val="Hyperlink"/>
                <w:noProof/>
              </w:rPr>
              <w:t>2.3</w:t>
            </w:r>
            <w:r w:rsidR="00DB3058">
              <w:rPr>
                <w:rFonts w:cstheme="minorBidi"/>
                <w:noProof/>
                <w:lang w:eastAsia="zh-CN"/>
              </w:rPr>
              <w:tab/>
            </w:r>
            <w:r w:rsidR="00DB3058" w:rsidRPr="008C591A">
              <w:rPr>
                <w:rStyle w:val="Hyperlink"/>
                <w:noProof/>
              </w:rPr>
              <w:t>Values</w:t>
            </w:r>
          </w:hyperlink>
        </w:p>
        <w:p w:rsidR="00DB3058" w:rsidRDefault="006A34C6" w:rsidP="00E27992">
          <w:pPr>
            <w:pStyle w:val="TOC1"/>
            <w:tabs>
              <w:tab w:val="left" w:pos="440"/>
              <w:tab w:val="right" w:leader="dot" w:pos="9737"/>
            </w:tabs>
            <w:rPr>
              <w:rFonts w:cstheme="minorBidi"/>
              <w:b/>
              <w:noProof/>
              <w:sz w:val="22"/>
              <w:lang w:eastAsia="zh-CN"/>
            </w:rPr>
          </w:pPr>
          <w:hyperlink w:anchor="_Toc387091840" w:history="1">
            <w:r w:rsidR="00DB3058" w:rsidRPr="008C591A">
              <w:rPr>
                <w:rStyle w:val="Hyperlink"/>
                <w:noProof/>
              </w:rPr>
              <w:t>3</w:t>
            </w:r>
            <w:r w:rsidR="00DB3058">
              <w:rPr>
                <w:rFonts w:cstheme="minorBidi"/>
                <w:noProof/>
                <w:sz w:val="22"/>
                <w:lang w:eastAsia="zh-CN"/>
              </w:rPr>
              <w:tab/>
            </w:r>
            <w:r w:rsidR="00DB3058" w:rsidRPr="008C591A">
              <w:rPr>
                <w:rStyle w:val="Hyperlink"/>
                <w:noProof/>
              </w:rPr>
              <w:t>Strategic goals and targets of the Union</w:t>
            </w:r>
          </w:hyperlink>
        </w:p>
        <w:p w:rsidR="00DB3058" w:rsidRDefault="006A34C6" w:rsidP="00C82CA9">
          <w:pPr>
            <w:pStyle w:val="TOC2"/>
            <w:tabs>
              <w:tab w:val="left" w:pos="880"/>
              <w:tab w:val="right" w:leader="dot" w:pos="9737"/>
            </w:tabs>
            <w:rPr>
              <w:rFonts w:cstheme="minorBidi"/>
              <w:noProof/>
              <w:lang w:eastAsia="zh-CN"/>
            </w:rPr>
          </w:pPr>
          <w:hyperlink w:anchor="_Toc387091841" w:history="1">
            <w:r w:rsidR="00DB3058" w:rsidRPr="008C591A">
              <w:rPr>
                <w:rStyle w:val="Hyperlink"/>
                <w:noProof/>
              </w:rPr>
              <w:t>3.1</w:t>
            </w:r>
            <w:r w:rsidR="00DB3058">
              <w:rPr>
                <w:rFonts w:cstheme="minorBidi"/>
                <w:noProof/>
                <w:lang w:eastAsia="zh-CN"/>
              </w:rPr>
              <w:tab/>
            </w:r>
            <w:r w:rsidR="00DB3058" w:rsidRPr="008C591A">
              <w:rPr>
                <w:rStyle w:val="Hyperlink"/>
                <w:noProof/>
              </w:rPr>
              <w:t>Strategic goals</w:t>
            </w:r>
          </w:hyperlink>
        </w:p>
        <w:p w:rsidR="00DB3058" w:rsidRDefault="006A34C6" w:rsidP="00C82CA9">
          <w:pPr>
            <w:pStyle w:val="TOC3"/>
            <w:rPr>
              <w:rFonts w:cstheme="minorBidi"/>
              <w:noProof/>
              <w:lang w:eastAsia="zh-CN"/>
            </w:rPr>
          </w:pPr>
          <w:hyperlink w:anchor="_Toc387091842" w:history="1">
            <w:r w:rsidR="00DB3058" w:rsidRPr="008C591A">
              <w:rPr>
                <w:rStyle w:val="Hyperlink"/>
                <w:noProof/>
              </w:rPr>
              <w:t>3.1.1</w:t>
            </w:r>
            <w:r w:rsidR="00DB3058">
              <w:rPr>
                <w:rFonts w:cstheme="minorBidi"/>
                <w:noProof/>
                <w:lang w:eastAsia="zh-CN"/>
              </w:rPr>
              <w:tab/>
            </w:r>
            <w:r w:rsidR="00DB3058" w:rsidRPr="008C591A">
              <w:rPr>
                <w:rStyle w:val="Hyperlink"/>
                <w:noProof/>
              </w:rPr>
              <w:t>Goal 1: Growth – Enable and foster access to and increased use of telecommunications/ICTs</w:t>
            </w:r>
          </w:hyperlink>
        </w:p>
        <w:p w:rsidR="00DB3058" w:rsidRDefault="006A34C6" w:rsidP="00C82CA9">
          <w:pPr>
            <w:pStyle w:val="TOC3"/>
            <w:rPr>
              <w:rFonts w:cstheme="minorBidi"/>
              <w:noProof/>
              <w:lang w:eastAsia="zh-CN"/>
            </w:rPr>
          </w:pPr>
          <w:hyperlink w:anchor="_Toc387091843" w:history="1">
            <w:r w:rsidR="00DB3058" w:rsidRPr="008C591A">
              <w:rPr>
                <w:rStyle w:val="Hyperlink"/>
                <w:noProof/>
              </w:rPr>
              <w:t>3.1.2</w:t>
            </w:r>
            <w:r w:rsidR="00DB3058">
              <w:rPr>
                <w:rFonts w:cstheme="minorBidi"/>
                <w:noProof/>
                <w:lang w:eastAsia="zh-CN"/>
              </w:rPr>
              <w:tab/>
            </w:r>
            <w:r w:rsidR="00DB3058" w:rsidRPr="008C591A">
              <w:rPr>
                <w:rStyle w:val="Hyperlink"/>
                <w:noProof/>
              </w:rPr>
              <w:t>Goal 2: Inclusiveness – Bridge the digital divide and provide broadband for all</w:t>
            </w:r>
          </w:hyperlink>
        </w:p>
        <w:p w:rsidR="00DB3058" w:rsidRDefault="006A34C6" w:rsidP="00C82CA9">
          <w:pPr>
            <w:pStyle w:val="TOC3"/>
            <w:rPr>
              <w:rFonts w:cstheme="minorBidi"/>
              <w:noProof/>
              <w:lang w:eastAsia="zh-CN"/>
            </w:rPr>
          </w:pPr>
          <w:hyperlink w:anchor="_Toc387091844" w:history="1">
            <w:r w:rsidR="00DB3058" w:rsidRPr="008C591A">
              <w:rPr>
                <w:rStyle w:val="Hyperlink"/>
                <w:noProof/>
              </w:rPr>
              <w:t>3.1.3</w:t>
            </w:r>
            <w:r w:rsidR="00DB3058">
              <w:rPr>
                <w:rFonts w:cstheme="minorBidi"/>
                <w:noProof/>
                <w:lang w:eastAsia="zh-CN"/>
              </w:rPr>
              <w:tab/>
            </w:r>
            <w:r w:rsidR="00DB3058" w:rsidRPr="008C591A">
              <w:rPr>
                <w:rStyle w:val="Hyperlink"/>
                <w:noProof/>
              </w:rPr>
              <w:t>Goal 3: Sustainability – Manage challenges resulting from telecommunication/ICT development</w:t>
            </w:r>
          </w:hyperlink>
        </w:p>
        <w:p w:rsidR="00DB3058" w:rsidRDefault="006A34C6" w:rsidP="00C82CA9">
          <w:pPr>
            <w:pStyle w:val="TOC3"/>
            <w:rPr>
              <w:rFonts w:cstheme="minorBidi"/>
              <w:noProof/>
              <w:lang w:eastAsia="zh-CN"/>
            </w:rPr>
          </w:pPr>
          <w:hyperlink w:anchor="_Toc387091845" w:history="1">
            <w:r w:rsidR="00DB3058" w:rsidRPr="008C591A">
              <w:rPr>
                <w:rStyle w:val="Hyperlink"/>
                <w:noProof/>
              </w:rPr>
              <w:t>3.1.4</w:t>
            </w:r>
            <w:r w:rsidR="00DB3058">
              <w:rPr>
                <w:rFonts w:cstheme="minorBidi"/>
                <w:noProof/>
                <w:lang w:eastAsia="zh-CN"/>
              </w:rPr>
              <w:tab/>
            </w:r>
            <w:r w:rsidR="00DB3058" w:rsidRPr="008C591A">
              <w:rPr>
                <w:rStyle w:val="Hyperlink"/>
                <w:noProof/>
              </w:rPr>
              <w:t>Goal 4: Innovation and partnership – Lead, improve and adapt to the changing telecommunication/ICT environment</w:t>
            </w:r>
          </w:hyperlink>
        </w:p>
        <w:p w:rsidR="00DB3058" w:rsidRDefault="006A34C6" w:rsidP="00C82CA9">
          <w:pPr>
            <w:pStyle w:val="TOC2"/>
            <w:tabs>
              <w:tab w:val="left" w:pos="880"/>
              <w:tab w:val="right" w:leader="dot" w:pos="9737"/>
            </w:tabs>
            <w:rPr>
              <w:rFonts w:cstheme="minorBidi"/>
              <w:noProof/>
              <w:lang w:eastAsia="zh-CN"/>
            </w:rPr>
          </w:pPr>
          <w:hyperlink w:anchor="_Toc387091846" w:history="1">
            <w:r w:rsidR="00DB3058" w:rsidRPr="008C591A">
              <w:rPr>
                <w:rStyle w:val="Hyperlink"/>
                <w:noProof/>
              </w:rPr>
              <w:t>3.2</w:t>
            </w:r>
            <w:r w:rsidR="00DB3058">
              <w:rPr>
                <w:rFonts w:cstheme="minorBidi"/>
                <w:noProof/>
                <w:lang w:eastAsia="zh-CN"/>
              </w:rPr>
              <w:tab/>
            </w:r>
            <w:r w:rsidR="00DB3058" w:rsidRPr="008C591A">
              <w:rPr>
                <w:rStyle w:val="Hyperlink"/>
                <w:noProof/>
              </w:rPr>
              <w:t>Targets of the Union</w:t>
            </w:r>
          </w:hyperlink>
        </w:p>
        <w:p w:rsidR="00DB3058" w:rsidRDefault="006A34C6" w:rsidP="00C82CA9">
          <w:pPr>
            <w:pStyle w:val="TOC3"/>
            <w:rPr>
              <w:rFonts w:cstheme="minorBidi"/>
              <w:noProof/>
              <w:lang w:eastAsia="zh-CN"/>
            </w:rPr>
          </w:pPr>
          <w:hyperlink w:anchor="_Toc387091847" w:history="1">
            <w:r w:rsidR="00DB3058" w:rsidRPr="008C591A">
              <w:rPr>
                <w:rStyle w:val="Hyperlink"/>
                <w:noProof/>
              </w:rPr>
              <w:t>3.2.1</w:t>
            </w:r>
            <w:r w:rsidR="00DB3058">
              <w:rPr>
                <w:rFonts w:cstheme="minorBidi"/>
                <w:noProof/>
                <w:lang w:eastAsia="zh-CN"/>
              </w:rPr>
              <w:tab/>
            </w:r>
            <w:r w:rsidR="00DB3058" w:rsidRPr="008C591A">
              <w:rPr>
                <w:rStyle w:val="Hyperlink"/>
                <w:noProof/>
              </w:rPr>
              <w:t>Principles for global telecommunication/ICT targets</w:t>
            </w:r>
          </w:hyperlink>
        </w:p>
        <w:p w:rsidR="00DB3058" w:rsidRDefault="006A34C6" w:rsidP="00C82CA9">
          <w:pPr>
            <w:pStyle w:val="TOC3"/>
            <w:rPr>
              <w:rFonts w:cstheme="minorBidi"/>
              <w:noProof/>
              <w:lang w:eastAsia="zh-CN"/>
            </w:rPr>
          </w:pPr>
          <w:hyperlink w:anchor="_Toc387091848" w:history="1">
            <w:r w:rsidR="00DB3058" w:rsidRPr="008C591A">
              <w:rPr>
                <w:rStyle w:val="Hyperlink"/>
                <w:noProof/>
              </w:rPr>
              <w:t>3.2.2</w:t>
            </w:r>
            <w:r w:rsidR="00DB3058">
              <w:rPr>
                <w:rFonts w:cstheme="minorBidi"/>
                <w:noProof/>
                <w:lang w:eastAsia="zh-CN"/>
              </w:rPr>
              <w:tab/>
            </w:r>
            <w:r w:rsidR="00DB3058" w:rsidRPr="008C591A">
              <w:rPr>
                <w:rStyle w:val="Hyperlink"/>
                <w:noProof/>
              </w:rPr>
              <w:t>Global telecommunication/ICT targets</w:t>
            </w:r>
          </w:hyperlink>
        </w:p>
        <w:p w:rsidR="00DB3058" w:rsidRDefault="006A34C6" w:rsidP="00C82CA9">
          <w:pPr>
            <w:pStyle w:val="TOC2"/>
            <w:tabs>
              <w:tab w:val="left" w:pos="880"/>
              <w:tab w:val="right" w:leader="dot" w:pos="9737"/>
            </w:tabs>
            <w:rPr>
              <w:rFonts w:cstheme="minorBidi"/>
              <w:noProof/>
              <w:lang w:eastAsia="zh-CN"/>
            </w:rPr>
          </w:pPr>
          <w:hyperlink w:anchor="_Toc387091849" w:history="1">
            <w:r w:rsidR="00DB3058" w:rsidRPr="008C591A">
              <w:rPr>
                <w:rStyle w:val="Hyperlink"/>
                <w:noProof/>
              </w:rPr>
              <w:t>3.3</w:t>
            </w:r>
            <w:r w:rsidR="00DB3058">
              <w:rPr>
                <w:rFonts w:cstheme="minorBidi"/>
                <w:noProof/>
                <w:lang w:eastAsia="zh-CN"/>
              </w:rPr>
              <w:tab/>
            </w:r>
            <w:r w:rsidR="00DB3058" w:rsidRPr="008C591A">
              <w:rPr>
                <w:rStyle w:val="Hyperlink"/>
                <w:noProof/>
              </w:rPr>
              <w:t>Strategic risk management and mitigation</w:t>
            </w:r>
          </w:hyperlink>
        </w:p>
        <w:p w:rsidR="00DB3058" w:rsidRDefault="006A34C6" w:rsidP="00C82CA9">
          <w:pPr>
            <w:pStyle w:val="TOC1"/>
            <w:tabs>
              <w:tab w:val="left" w:pos="440"/>
              <w:tab w:val="right" w:leader="dot" w:pos="9737"/>
            </w:tabs>
            <w:rPr>
              <w:rFonts w:cstheme="minorBidi"/>
              <w:b/>
              <w:noProof/>
              <w:sz w:val="22"/>
              <w:lang w:eastAsia="zh-CN"/>
            </w:rPr>
          </w:pPr>
          <w:hyperlink w:anchor="_Toc387091850" w:history="1">
            <w:r w:rsidR="00DB3058" w:rsidRPr="008C591A">
              <w:rPr>
                <w:rStyle w:val="Hyperlink"/>
                <w:noProof/>
              </w:rPr>
              <w:t>4</w:t>
            </w:r>
            <w:r w:rsidR="00DB3058">
              <w:rPr>
                <w:rFonts w:cstheme="minorBidi"/>
                <w:noProof/>
                <w:sz w:val="22"/>
                <w:lang w:eastAsia="zh-CN"/>
              </w:rPr>
              <w:tab/>
            </w:r>
            <w:r w:rsidR="00DB3058" w:rsidRPr="008C591A">
              <w:rPr>
                <w:rStyle w:val="Hyperlink"/>
                <w:noProof/>
              </w:rPr>
              <w:t>Sector and Intersectoral Objectives, Outcomes and Outputs</w:t>
            </w:r>
          </w:hyperlink>
        </w:p>
        <w:p w:rsidR="00DB3058" w:rsidRDefault="006A34C6" w:rsidP="00C82CA9">
          <w:pPr>
            <w:pStyle w:val="TOC2"/>
            <w:tabs>
              <w:tab w:val="left" w:pos="880"/>
              <w:tab w:val="right" w:leader="dot" w:pos="9737"/>
            </w:tabs>
            <w:rPr>
              <w:rFonts w:cstheme="minorBidi"/>
              <w:noProof/>
              <w:lang w:eastAsia="zh-CN"/>
            </w:rPr>
          </w:pPr>
          <w:hyperlink w:anchor="_Toc387091851" w:history="1">
            <w:r w:rsidR="00DB3058" w:rsidRPr="008C591A">
              <w:rPr>
                <w:rStyle w:val="Hyperlink"/>
                <w:noProof/>
              </w:rPr>
              <w:t>4.1</w:t>
            </w:r>
            <w:r w:rsidR="00DB3058">
              <w:rPr>
                <w:rFonts w:cstheme="minorBidi"/>
                <w:noProof/>
                <w:lang w:eastAsia="zh-CN"/>
              </w:rPr>
              <w:tab/>
            </w:r>
            <w:r w:rsidR="00DB3058" w:rsidRPr="008C591A">
              <w:rPr>
                <w:rStyle w:val="Hyperlink"/>
                <w:noProof/>
              </w:rPr>
              <w:t>Sector and intersectoral objectives</w:t>
            </w:r>
          </w:hyperlink>
        </w:p>
        <w:p w:rsidR="00DB3058" w:rsidRDefault="006A34C6" w:rsidP="00C82CA9">
          <w:pPr>
            <w:pStyle w:val="TOC2"/>
            <w:tabs>
              <w:tab w:val="left" w:pos="880"/>
              <w:tab w:val="right" w:leader="dot" w:pos="9737"/>
            </w:tabs>
            <w:rPr>
              <w:rFonts w:cstheme="minorBidi"/>
              <w:noProof/>
              <w:lang w:eastAsia="zh-CN"/>
            </w:rPr>
          </w:pPr>
          <w:hyperlink w:anchor="_Toc387091852" w:history="1">
            <w:r w:rsidR="00DB3058" w:rsidRPr="008C591A">
              <w:rPr>
                <w:rStyle w:val="Hyperlink"/>
                <w:noProof/>
              </w:rPr>
              <w:t>4.2</w:t>
            </w:r>
            <w:r w:rsidR="00DB3058">
              <w:rPr>
                <w:rFonts w:cstheme="minorBidi"/>
                <w:noProof/>
                <w:lang w:eastAsia="zh-CN"/>
              </w:rPr>
              <w:tab/>
            </w:r>
            <w:r w:rsidR="00DB3058" w:rsidRPr="008C591A">
              <w:rPr>
                <w:rStyle w:val="Hyperlink"/>
                <w:noProof/>
              </w:rPr>
              <w:t>Objectives, outcomes and outputs</w:t>
            </w:r>
          </w:hyperlink>
        </w:p>
        <w:p w:rsidR="00DB3058" w:rsidRDefault="006A34C6" w:rsidP="00C82CA9">
          <w:pPr>
            <w:pStyle w:val="TOC2"/>
            <w:tabs>
              <w:tab w:val="left" w:pos="880"/>
              <w:tab w:val="right" w:leader="dot" w:pos="9737"/>
            </w:tabs>
            <w:rPr>
              <w:rFonts w:cstheme="minorBidi"/>
              <w:noProof/>
              <w:lang w:eastAsia="zh-CN"/>
            </w:rPr>
          </w:pPr>
          <w:hyperlink w:anchor="_Toc387091853" w:history="1">
            <w:r w:rsidR="00DB3058" w:rsidRPr="008C591A">
              <w:rPr>
                <w:rStyle w:val="Hyperlink"/>
                <w:noProof/>
              </w:rPr>
              <w:t>4.3</w:t>
            </w:r>
            <w:r w:rsidR="00DB3058">
              <w:rPr>
                <w:rFonts w:cstheme="minorBidi"/>
                <w:noProof/>
                <w:lang w:eastAsia="zh-CN"/>
              </w:rPr>
              <w:tab/>
            </w:r>
            <w:r w:rsidR="00DB3058" w:rsidRPr="008C591A">
              <w:rPr>
                <w:rStyle w:val="Hyperlink"/>
                <w:noProof/>
              </w:rPr>
              <w:t>Enablers</w:t>
            </w:r>
          </w:hyperlink>
        </w:p>
        <w:p w:rsidR="00DB3058" w:rsidRDefault="006A34C6" w:rsidP="00C82CA9">
          <w:pPr>
            <w:pStyle w:val="TOC1"/>
            <w:tabs>
              <w:tab w:val="left" w:pos="440"/>
              <w:tab w:val="right" w:leader="dot" w:pos="9737"/>
            </w:tabs>
            <w:rPr>
              <w:rFonts w:cstheme="minorBidi"/>
              <w:b/>
              <w:noProof/>
              <w:sz w:val="22"/>
              <w:lang w:eastAsia="zh-CN"/>
            </w:rPr>
          </w:pPr>
          <w:hyperlink w:anchor="_Toc387091854" w:history="1">
            <w:r w:rsidR="00DB3058" w:rsidRPr="008C591A">
              <w:rPr>
                <w:rStyle w:val="Hyperlink"/>
                <w:noProof/>
              </w:rPr>
              <w:t>5</w:t>
            </w:r>
            <w:r w:rsidR="00DB3058">
              <w:rPr>
                <w:rFonts w:cstheme="minorBidi"/>
                <w:noProof/>
                <w:sz w:val="22"/>
                <w:lang w:eastAsia="zh-CN"/>
              </w:rPr>
              <w:tab/>
            </w:r>
            <w:r w:rsidR="00DB3058" w:rsidRPr="008C591A">
              <w:rPr>
                <w:rStyle w:val="Hyperlink"/>
                <w:noProof/>
              </w:rPr>
              <w:t>Implementation and evaluation</w:t>
            </w:r>
          </w:hyperlink>
        </w:p>
        <w:p w:rsidR="00DB3058" w:rsidRDefault="006A34C6" w:rsidP="00C82CA9">
          <w:pPr>
            <w:pStyle w:val="TOC2"/>
            <w:tabs>
              <w:tab w:val="left" w:pos="880"/>
              <w:tab w:val="right" w:leader="dot" w:pos="9737"/>
            </w:tabs>
            <w:rPr>
              <w:rFonts w:cstheme="minorBidi"/>
              <w:noProof/>
              <w:lang w:eastAsia="zh-CN"/>
            </w:rPr>
          </w:pPr>
          <w:hyperlink w:anchor="_Toc387091855" w:history="1">
            <w:r w:rsidR="00DB3058" w:rsidRPr="008C591A">
              <w:rPr>
                <w:rStyle w:val="Hyperlink"/>
                <w:noProof/>
              </w:rPr>
              <w:t>5.1</w:t>
            </w:r>
            <w:r w:rsidR="00DB3058">
              <w:rPr>
                <w:rFonts w:cstheme="minorBidi"/>
                <w:noProof/>
                <w:lang w:eastAsia="zh-CN"/>
              </w:rPr>
              <w:tab/>
            </w:r>
            <w:r w:rsidR="00DB3058" w:rsidRPr="008C591A">
              <w:rPr>
                <w:rStyle w:val="Hyperlink"/>
                <w:noProof/>
              </w:rPr>
              <w:t>Linkage between strategic, operational and financial planning</w:t>
            </w:r>
          </w:hyperlink>
        </w:p>
        <w:p w:rsidR="00DB3058" w:rsidRDefault="006A34C6" w:rsidP="00C82CA9">
          <w:pPr>
            <w:pStyle w:val="TOC2"/>
            <w:tabs>
              <w:tab w:val="left" w:pos="880"/>
              <w:tab w:val="right" w:leader="dot" w:pos="9737"/>
            </w:tabs>
            <w:rPr>
              <w:rFonts w:cstheme="minorBidi"/>
              <w:noProof/>
              <w:lang w:eastAsia="zh-CN"/>
            </w:rPr>
          </w:pPr>
          <w:hyperlink w:anchor="_Toc387091856" w:history="1">
            <w:r w:rsidR="00DB3058" w:rsidRPr="008C591A">
              <w:rPr>
                <w:rStyle w:val="Hyperlink"/>
                <w:noProof/>
              </w:rPr>
              <w:t>5.2</w:t>
            </w:r>
            <w:r w:rsidR="00DB3058">
              <w:rPr>
                <w:rFonts w:cstheme="minorBidi"/>
                <w:noProof/>
                <w:lang w:eastAsia="zh-CN"/>
              </w:rPr>
              <w:tab/>
            </w:r>
            <w:r w:rsidR="00DB3058" w:rsidRPr="008C591A">
              <w:rPr>
                <w:rStyle w:val="Hyperlink"/>
                <w:noProof/>
              </w:rPr>
              <w:t>Implementation criteria</w:t>
            </w:r>
          </w:hyperlink>
        </w:p>
        <w:p w:rsidR="00DB3058" w:rsidRDefault="006A34C6" w:rsidP="003A3140">
          <w:pPr>
            <w:pStyle w:val="TOC2"/>
            <w:tabs>
              <w:tab w:val="left" w:pos="880"/>
              <w:tab w:val="right" w:leader="dot" w:pos="9737"/>
            </w:tabs>
            <w:rPr>
              <w:rFonts w:cstheme="minorBidi"/>
              <w:noProof/>
              <w:lang w:eastAsia="zh-CN"/>
            </w:rPr>
          </w:pPr>
          <w:hyperlink w:anchor="_Toc387091857" w:history="1">
            <w:r w:rsidR="00DB3058" w:rsidRPr="008C591A">
              <w:rPr>
                <w:rStyle w:val="Hyperlink"/>
                <w:noProof/>
              </w:rPr>
              <w:t>5.3</w:t>
            </w:r>
            <w:r w:rsidR="00DB3058">
              <w:rPr>
                <w:rFonts w:cstheme="minorBidi"/>
                <w:noProof/>
                <w:lang w:eastAsia="zh-CN"/>
              </w:rPr>
              <w:tab/>
            </w:r>
            <w:r w:rsidR="00DB3058" w:rsidRPr="008C591A">
              <w:rPr>
                <w:rStyle w:val="Hyperlink"/>
                <w:noProof/>
              </w:rPr>
              <w:t>Monitoring, evaluation and risk management in the ITU RBM framework</w:t>
            </w:r>
            <w:r w:rsidR="00DB3058">
              <w:rPr>
                <w:noProof/>
                <w:webHidden/>
              </w:rPr>
              <w:tab/>
            </w:r>
          </w:hyperlink>
        </w:p>
        <w:p w:rsidR="00DB3058" w:rsidRPr="00C95A5A" w:rsidRDefault="00DB3058" w:rsidP="00DB3058">
          <w:r w:rsidRPr="00C95A5A">
            <w:rPr>
              <w:b/>
              <w:bCs/>
            </w:rPr>
            <w:fldChar w:fldCharType="end"/>
          </w:r>
        </w:p>
      </w:sdtContent>
    </w:sdt>
    <w:p w:rsidR="00DB3058" w:rsidRPr="00C95A5A" w:rsidRDefault="00DB3058" w:rsidP="00DB3058"/>
    <w:p w:rsidR="00DB3058" w:rsidRPr="00C95A5A" w:rsidRDefault="00DB3058" w:rsidP="00DB3058">
      <w:pPr>
        <w:sectPr w:rsidR="00DB3058" w:rsidRPr="00C95A5A" w:rsidSect="00C84A68">
          <w:headerReference w:type="default" r:id="rId15"/>
          <w:footerReference w:type="default" r:id="rId16"/>
          <w:footerReference w:type="first" r:id="rId17"/>
          <w:pgSz w:w="11907" w:h="16839" w:code="9"/>
          <w:pgMar w:top="1440" w:right="1080" w:bottom="1440" w:left="1080" w:header="720" w:footer="720" w:gutter="0"/>
          <w:pgNumType w:start="1"/>
          <w:cols w:space="720"/>
          <w:titlePg/>
          <w:docGrid w:linePitch="360"/>
        </w:sectPr>
      </w:pPr>
    </w:p>
    <w:p w:rsidR="00DB3058" w:rsidRPr="00C95A5A" w:rsidRDefault="00DB3058" w:rsidP="00DB3058">
      <w:r w:rsidRPr="00C95A5A">
        <w:lastRenderedPageBreak/>
        <w:t>The four-year strategy guides the activities of the Union in 2016-2019 in accordance with the Constitution and Convention of ITU.</w:t>
      </w:r>
    </w:p>
    <w:p w:rsidR="00DB3058" w:rsidRPr="00C95A5A" w:rsidRDefault="00DB3058" w:rsidP="00DB3058">
      <w:r w:rsidRPr="00C95A5A">
        <w:t>The structure of the 2016-2019 strategic plan of the Union follows the structure of the ITU results-based management (RBM) framework, as shown in Section 1 below. Section 2 defines the vision, mission and values, Section 3 defines the ITU strategic goals and sets the targets, and Section 4 defines the sector and intersectoral objectives, the outcomes, the enablers of the strategic goals and objectives of the Union and, for purposes of linkage of the strategic with the operational plans of the Union, the sector and intersectoral outputs. Section 5 plots the roadmap from strategy to execution, by laying down the implementation criteria for prioritization. The activities and outputs are defined in detail in the operational planning process, thereby ensuring a strong linkage between strategic and operational planning (as described in Section 5.1).</w:t>
      </w:r>
    </w:p>
    <w:p w:rsidR="00DB3058" w:rsidRDefault="00DB3058" w:rsidP="00DB3058">
      <w:pPr>
        <w:pStyle w:val="Heading1"/>
      </w:pPr>
      <w:bookmarkStart w:id="41" w:name="_Toc377565004"/>
      <w:bookmarkStart w:id="42" w:name="_Toc387091835"/>
      <w:r>
        <w:t>1</w:t>
      </w:r>
      <w:r>
        <w:tab/>
      </w:r>
      <w:r w:rsidRPr="00C95A5A">
        <w:t>ITU results-based management (RBM) framework</w:t>
      </w:r>
      <w:bookmarkEnd w:id="41"/>
      <w:r w:rsidRPr="00C95A5A">
        <w:t xml:space="preserve"> and structure of the strategic plan</w:t>
      </w:r>
      <w:bookmarkEnd w:id="42"/>
    </w:p>
    <w:p w:rsidR="00DB3058" w:rsidRPr="00C95A5A" w:rsidRDefault="00DB3058" w:rsidP="00DB3058">
      <w:r w:rsidRPr="00C95A5A">
        <w:t>The RBM framework presented below describes the relationships between the activities of ITU, outputs they produce, and overall objectives and strategic goals of the Union, which contribute to the organization’s mission and vision.</w:t>
      </w:r>
    </w:p>
    <w:p w:rsidR="00DB3058" w:rsidRDefault="00DB3058" w:rsidP="00E27992">
      <w:pPr>
        <w:spacing w:after="120"/>
      </w:pPr>
      <w:r w:rsidRPr="00C95A5A">
        <w:t xml:space="preserve">The ITU results chain is divided into five levels: </w:t>
      </w:r>
      <w:r w:rsidRPr="00C95A5A">
        <w:rPr>
          <w:i/>
          <w:iCs/>
        </w:rPr>
        <w:t>activities</w:t>
      </w:r>
      <w:r w:rsidRPr="00C95A5A">
        <w:t xml:space="preserve">, </w:t>
      </w:r>
      <w:r w:rsidRPr="00C95A5A">
        <w:rPr>
          <w:i/>
          <w:iCs/>
        </w:rPr>
        <w:t>outputs</w:t>
      </w:r>
      <w:r w:rsidRPr="00C95A5A">
        <w:t xml:space="preserve">, </w:t>
      </w:r>
      <w:r w:rsidRPr="00C95A5A">
        <w:rPr>
          <w:i/>
          <w:iCs/>
        </w:rPr>
        <w:t>objectives</w:t>
      </w:r>
      <w:r w:rsidRPr="00C95A5A">
        <w:t xml:space="preserve"> and </w:t>
      </w:r>
      <w:r w:rsidRPr="00C95A5A">
        <w:rPr>
          <w:i/>
          <w:iCs/>
        </w:rPr>
        <w:t>outcomes</w:t>
      </w:r>
      <w:r w:rsidRPr="00C95A5A">
        <w:t xml:space="preserve">, </w:t>
      </w:r>
      <w:r w:rsidRPr="00C95A5A">
        <w:rPr>
          <w:i/>
          <w:iCs/>
        </w:rPr>
        <w:t>strategic goals</w:t>
      </w:r>
      <w:r w:rsidRPr="00C95A5A">
        <w:t xml:space="preserve"> and </w:t>
      </w:r>
      <w:r w:rsidRPr="00C95A5A">
        <w:rPr>
          <w:i/>
          <w:iCs/>
        </w:rPr>
        <w:t>targets</w:t>
      </w:r>
      <w:r w:rsidRPr="00C95A5A">
        <w:t xml:space="preserve">, and </w:t>
      </w:r>
      <w:r w:rsidRPr="00C95A5A">
        <w:rPr>
          <w:i/>
          <w:iCs/>
        </w:rPr>
        <w:t>vision</w:t>
      </w:r>
      <w:r w:rsidRPr="00C95A5A">
        <w:t xml:space="preserve"> and </w:t>
      </w:r>
      <w:r w:rsidRPr="00C95A5A">
        <w:rPr>
          <w:i/>
          <w:iCs/>
        </w:rPr>
        <w:t>mission</w:t>
      </w:r>
      <w:r w:rsidRPr="00C95A5A">
        <w:t xml:space="preserve">. The ITU </w:t>
      </w:r>
      <w:r w:rsidRPr="00C95A5A">
        <w:rPr>
          <w:i/>
          <w:iCs/>
        </w:rPr>
        <w:t>values</w:t>
      </w:r>
      <w:r w:rsidRPr="00C95A5A">
        <w:t xml:space="preserve"> represent overarching shared and common beliefs that drive priorities of the Union.</w:t>
      </w:r>
    </w:p>
    <w:p w:rsidR="00DB3058" w:rsidRPr="00DB3058" w:rsidRDefault="00DB3058" w:rsidP="00DB3058">
      <w:pPr>
        <w:pStyle w:val="Caption"/>
        <w:rPr>
          <w:rFonts w:asciiTheme="majorBidi" w:hAnsiTheme="majorBidi" w:cstheme="majorBidi"/>
          <w:sz w:val="22"/>
          <w:szCs w:val="22"/>
          <w:lang w:val="en-GB"/>
        </w:rPr>
      </w:pPr>
      <w:bookmarkStart w:id="43" w:name="_Ref378949482"/>
      <w:r w:rsidRPr="00DB3058">
        <w:rPr>
          <w:rFonts w:asciiTheme="majorBidi" w:hAnsiTheme="majorBidi" w:cstheme="majorBidi"/>
          <w:sz w:val="22"/>
          <w:szCs w:val="22"/>
          <w:lang w:val="en-GB"/>
        </w:rPr>
        <w:t xml:space="preserve">Table </w:t>
      </w:r>
      <w:r w:rsidRPr="00DB3058">
        <w:rPr>
          <w:rFonts w:asciiTheme="majorBidi" w:hAnsiTheme="majorBidi" w:cstheme="majorBidi"/>
          <w:sz w:val="22"/>
          <w:szCs w:val="22"/>
          <w:lang w:val="en-GB"/>
        </w:rPr>
        <w:fldChar w:fldCharType="begin"/>
      </w:r>
      <w:r w:rsidRPr="00DB3058">
        <w:rPr>
          <w:rFonts w:asciiTheme="majorBidi" w:hAnsiTheme="majorBidi" w:cstheme="majorBidi"/>
          <w:sz w:val="22"/>
          <w:szCs w:val="22"/>
          <w:lang w:val="en-GB"/>
        </w:rPr>
        <w:instrText xml:space="preserve"> SEQ Table \* ARABIC </w:instrText>
      </w:r>
      <w:r w:rsidRPr="00DB3058">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1</w:t>
      </w:r>
      <w:r w:rsidRPr="00DB3058">
        <w:rPr>
          <w:rFonts w:asciiTheme="majorBidi" w:hAnsiTheme="majorBidi" w:cstheme="majorBidi"/>
          <w:sz w:val="22"/>
          <w:szCs w:val="22"/>
          <w:lang w:val="en-GB"/>
        </w:rPr>
        <w:fldChar w:fldCharType="end"/>
      </w:r>
      <w:bookmarkEnd w:id="43"/>
      <w:r w:rsidRPr="00DB3058">
        <w:rPr>
          <w:rFonts w:asciiTheme="majorBidi" w:hAnsiTheme="majorBidi" w:cstheme="majorBidi"/>
          <w:sz w:val="22"/>
          <w:szCs w:val="22"/>
          <w:lang w:val="en-GB"/>
        </w:rPr>
        <w:t>: The ITU RBM framework (as presented in the ITU Strategic and Operational plans)</w:t>
      </w:r>
    </w:p>
    <w:tbl>
      <w:tblPr>
        <w:tblStyle w:val="PlainTable21"/>
        <w:tblW w:w="10065" w:type="dxa"/>
        <w:tblInd w:w="-176"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26"/>
        <w:gridCol w:w="567"/>
        <w:gridCol w:w="1526"/>
        <w:gridCol w:w="6554"/>
        <w:gridCol w:w="992"/>
      </w:tblGrid>
      <w:tr w:rsidR="00DB3058" w:rsidRPr="00C95A5A" w:rsidTr="00AE7A15">
        <w:trPr>
          <w:cnfStyle w:val="000000100000" w:firstRow="0" w:lastRow="0" w:firstColumn="0" w:lastColumn="0" w:oddVBand="0" w:evenVBand="0" w:oddHBand="1" w:evenHBand="0" w:firstRowFirstColumn="0" w:firstRowLastColumn="0" w:lastRowFirstColumn="0" w:lastRowLastColumn="0"/>
          <w:cantSplit/>
          <w:trHeight w:val="617"/>
        </w:trPr>
        <w:tc>
          <w:tcPr>
            <w:tcW w:w="426" w:type="dxa"/>
            <w:vMerge w:val="restart"/>
            <w:textDirection w:val="btLr"/>
          </w:tcPr>
          <w:p w:rsidR="00DB3058" w:rsidRPr="00C95A5A" w:rsidRDefault="00DB3058" w:rsidP="00DB3058">
            <w:pPr>
              <w:ind w:left="113" w:right="113"/>
              <w:jc w:val="center"/>
              <w:rPr>
                <w:sz w:val="20"/>
              </w:rPr>
            </w:pPr>
            <w:r w:rsidRPr="00C95A5A">
              <w:rPr>
                <w:sz w:val="20"/>
              </w:rPr>
              <w:sym w:font="Wingdings" w:char="F0DF"/>
            </w:r>
            <w:r w:rsidRPr="00C95A5A">
              <w:rPr>
                <w:sz w:val="20"/>
              </w:rPr>
              <w:t xml:space="preserve"> RBM planning</w:t>
            </w:r>
          </w:p>
        </w:tc>
        <w:tc>
          <w:tcPr>
            <w:tcW w:w="567" w:type="dxa"/>
            <w:vMerge w:val="restart"/>
            <w:textDirection w:val="btLr"/>
          </w:tcPr>
          <w:p w:rsidR="00DB3058" w:rsidRPr="00C95A5A" w:rsidRDefault="00DB3058" w:rsidP="00DB3058">
            <w:pPr>
              <w:ind w:left="113" w:right="113"/>
              <w:jc w:val="center"/>
              <w:rPr>
                <w:sz w:val="20"/>
              </w:rPr>
            </w:pPr>
            <w:r w:rsidRPr="00C95A5A">
              <w:rPr>
                <w:sz w:val="20"/>
              </w:rPr>
              <w:t xml:space="preserve">Implementation </w:t>
            </w:r>
            <w:r w:rsidRPr="00C95A5A">
              <w:rPr>
                <w:sz w:val="20"/>
              </w:rPr>
              <w:sym w:font="Wingdings" w:char="F0E0"/>
            </w:r>
          </w:p>
        </w:tc>
        <w:tc>
          <w:tcPr>
            <w:tcW w:w="1526" w:type="dxa"/>
            <w:vAlign w:val="center"/>
          </w:tcPr>
          <w:p w:rsidR="00DB3058" w:rsidRPr="00C95A5A" w:rsidRDefault="00DB3058" w:rsidP="00DB3058">
            <w:pPr>
              <w:jc w:val="center"/>
              <w:rPr>
                <w:b/>
              </w:rPr>
            </w:pPr>
            <w:r w:rsidRPr="00C95A5A">
              <w:rPr>
                <w:b/>
              </w:rPr>
              <w:t>Vision &amp; Mission</w:t>
            </w:r>
          </w:p>
          <w:p w:rsidR="00DB3058" w:rsidRPr="00C95A5A" w:rsidRDefault="00DB3058" w:rsidP="00DB3058">
            <w:pPr>
              <w:jc w:val="center"/>
              <w:rPr>
                <w:bCs/>
              </w:rPr>
            </w:pPr>
            <w:r w:rsidRPr="00C95A5A">
              <w:rPr>
                <w:bCs/>
                <w:sz w:val="20"/>
                <w:szCs w:val="20"/>
              </w:rPr>
              <w:t>(Section 2)</w:t>
            </w:r>
          </w:p>
        </w:tc>
        <w:tc>
          <w:tcPr>
            <w:tcW w:w="6554" w:type="dxa"/>
          </w:tcPr>
          <w:p w:rsidR="00DB3058" w:rsidRPr="00C95A5A" w:rsidRDefault="00DB3058" w:rsidP="00DB3058">
            <w:pPr>
              <w:rPr>
                <w:sz w:val="20"/>
              </w:rPr>
            </w:pPr>
            <w:r w:rsidRPr="00C95A5A">
              <w:rPr>
                <w:b/>
                <w:sz w:val="20"/>
              </w:rPr>
              <w:t>Vision</w:t>
            </w:r>
            <w:r w:rsidRPr="00C95A5A">
              <w:rPr>
                <w:sz w:val="20"/>
              </w:rPr>
              <w:t xml:space="preserve"> is the better world ITU wants to see.</w:t>
            </w:r>
          </w:p>
          <w:p w:rsidR="00DB3058" w:rsidRPr="00C95A5A" w:rsidRDefault="00DB3058" w:rsidP="00DB3058">
            <w:pPr>
              <w:rPr>
                <w:sz w:val="20"/>
              </w:rPr>
            </w:pPr>
            <w:r w:rsidRPr="00C95A5A">
              <w:rPr>
                <w:b/>
                <w:sz w:val="20"/>
              </w:rPr>
              <w:t>Mission</w:t>
            </w:r>
            <w:r w:rsidRPr="00C95A5A">
              <w:rPr>
                <w:sz w:val="20"/>
              </w:rPr>
              <w:t xml:space="preserve"> refers to the main overall purposes of the Union, as per the Basic Instruments of ITU.</w:t>
            </w:r>
          </w:p>
        </w:tc>
        <w:tc>
          <w:tcPr>
            <w:tcW w:w="992" w:type="dxa"/>
            <w:vMerge w:val="restart"/>
            <w:textDirection w:val="tbRl"/>
            <w:vAlign w:val="center"/>
          </w:tcPr>
          <w:p w:rsidR="00DB3058" w:rsidRPr="00C95A5A" w:rsidRDefault="00DB3058" w:rsidP="00DB3058">
            <w:pPr>
              <w:ind w:left="113" w:right="113"/>
              <w:jc w:val="center"/>
              <w:rPr>
                <w:b/>
                <w:sz w:val="20"/>
              </w:rPr>
            </w:pPr>
            <w:r w:rsidRPr="00C95A5A">
              <w:rPr>
                <w:b/>
                <w:sz w:val="20"/>
              </w:rPr>
              <w:t>Values</w:t>
            </w:r>
            <w:r w:rsidRPr="00C95A5A">
              <w:rPr>
                <w:sz w:val="20"/>
              </w:rPr>
              <w:t xml:space="preserve">: ITU’s shared and common beliefs that drive its priorities and guide all decision-making processes (Section 2) </w:t>
            </w:r>
          </w:p>
        </w:tc>
      </w:tr>
      <w:tr w:rsidR="00DB3058" w:rsidRPr="00C95A5A" w:rsidTr="00AE7A15">
        <w:tc>
          <w:tcPr>
            <w:tcW w:w="426" w:type="dxa"/>
            <w:vMerge/>
          </w:tcPr>
          <w:p w:rsidR="00DB3058" w:rsidRPr="00C95A5A" w:rsidRDefault="00DB3058" w:rsidP="00DB3058"/>
        </w:tc>
        <w:tc>
          <w:tcPr>
            <w:tcW w:w="567" w:type="dxa"/>
            <w:vMerge/>
          </w:tcPr>
          <w:p w:rsidR="00DB3058" w:rsidRPr="00C95A5A" w:rsidRDefault="00DB3058" w:rsidP="00DB3058">
            <w:pPr>
              <w:jc w:val="center"/>
            </w:pPr>
          </w:p>
        </w:tc>
        <w:tc>
          <w:tcPr>
            <w:tcW w:w="1526" w:type="dxa"/>
            <w:vAlign w:val="center"/>
          </w:tcPr>
          <w:p w:rsidR="00DB3058" w:rsidRPr="00C95A5A" w:rsidRDefault="00DB3058" w:rsidP="00DB3058">
            <w:pPr>
              <w:jc w:val="center"/>
              <w:rPr>
                <w:b/>
              </w:rPr>
            </w:pPr>
            <w:r w:rsidRPr="00C95A5A">
              <w:rPr>
                <w:b/>
              </w:rPr>
              <w:t>Strategic goals &amp; Targets</w:t>
            </w:r>
          </w:p>
          <w:p w:rsidR="00DB3058" w:rsidRPr="00C95A5A" w:rsidRDefault="00DB3058" w:rsidP="00DB3058">
            <w:pPr>
              <w:jc w:val="center"/>
            </w:pPr>
            <w:r w:rsidRPr="00C95A5A">
              <w:rPr>
                <w:bCs/>
                <w:sz w:val="20"/>
                <w:szCs w:val="20"/>
              </w:rPr>
              <w:t>(Section 3)</w:t>
            </w:r>
          </w:p>
        </w:tc>
        <w:tc>
          <w:tcPr>
            <w:tcW w:w="6554" w:type="dxa"/>
          </w:tcPr>
          <w:p w:rsidR="00DB3058" w:rsidRPr="00C95A5A" w:rsidRDefault="00DB3058" w:rsidP="00DB3058">
            <w:pPr>
              <w:rPr>
                <w:sz w:val="20"/>
              </w:rPr>
            </w:pPr>
            <w:r w:rsidRPr="00C95A5A">
              <w:rPr>
                <w:b/>
                <w:sz w:val="20"/>
              </w:rPr>
              <w:t>Strategic goals</w:t>
            </w:r>
            <w:r w:rsidRPr="00C95A5A">
              <w:rPr>
                <w:sz w:val="20"/>
              </w:rPr>
              <w:t xml:space="preserve"> refer to the Union’s high-level targets to which the objectives contribute, directly or indirectly. They relate to the whole of ITU.</w:t>
            </w:r>
          </w:p>
          <w:p w:rsidR="00DB3058" w:rsidRPr="00C95A5A" w:rsidRDefault="00DB3058" w:rsidP="00DB3058">
            <w:pPr>
              <w:rPr>
                <w:sz w:val="20"/>
              </w:rPr>
            </w:pPr>
            <w:r w:rsidRPr="00C95A5A">
              <w:rPr>
                <w:b/>
                <w:sz w:val="20"/>
              </w:rPr>
              <w:t>Targets</w:t>
            </w:r>
            <w:r w:rsidRPr="00C95A5A">
              <w:rPr>
                <w:sz w:val="20"/>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tcPr>
          <w:p w:rsidR="00DB3058" w:rsidRPr="00C95A5A" w:rsidRDefault="00DB3058" w:rsidP="00DB3058">
            <w:pPr>
              <w:rPr>
                <w:b/>
                <w:sz w:val="20"/>
              </w:rPr>
            </w:pPr>
          </w:p>
        </w:tc>
      </w:tr>
      <w:tr w:rsidR="00DB3058" w:rsidRPr="00C95A5A" w:rsidTr="00AE7A15">
        <w:trPr>
          <w:cnfStyle w:val="000000100000" w:firstRow="0" w:lastRow="0" w:firstColumn="0" w:lastColumn="0" w:oddVBand="0" w:evenVBand="0" w:oddHBand="1" w:evenHBand="0" w:firstRowFirstColumn="0" w:firstRowLastColumn="0" w:lastRowFirstColumn="0" w:lastRowLastColumn="0"/>
        </w:trPr>
        <w:tc>
          <w:tcPr>
            <w:tcW w:w="426" w:type="dxa"/>
            <w:vMerge/>
          </w:tcPr>
          <w:p w:rsidR="00DB3058" w:rsidRPr="00C95A5A" w:rsidRDefault="00DB3058" w:rsidP="00DB3058"/>
        </w:tc>
        <w:tc>
          <w:tcPr>
            <w:tcW w:w="567" w:type="dxa"/>
            <w:vMerge/>
          </w:tcPr>
          <w:p w:rsidR="00DB3058" w:rsidRPr="00C95A5A" w:rsidRDefault="00DB3058" w:rsidP="00DB3058">
            <w:pPr>
              <w:jc w:val="center"/>
            </w:pPr>
          </w:p>
        </w:tc>
        <w:tc>
          <w:tcPr>
            <w:tcW w:w="1526" w:type="dxa"/>
            <w:vAlign w:val="center"/>
          </w:tcPr>
          <w:p w:rsidR="00DB3058" w:rsidRPr="00C95A5A" w:rsidRDefault="00DB3058" w:rsidP="00DB3058">
            <w:pPr>
              <w:jc w:val="center"/>
              <w:rPr>
                <w:b/>
              </w:rPr>
            </w:pPr>
            <w:r w:rsidRPr="00C95A5A">
              <w:rPr>
                <w:b/>
              </w:rPr>
              <w:t>Objectives &amp; Outcomes</w:t>
            </w:r>
          </w:p>
          <w:p w:rsidR="00DB3058" w:rsidRPr="00C95A5A" w:rsidRDefault="00DB3058" w:rsidP="00DB3058">
            <w:pPr>
              <w:jc w:val="center"/>
            </w:pPr>
            <w:r w:rsidRPr="00C95A5A">
              <w:rPr>
                <w:bCs/>
                <w:sz w:val="20"/>
                <w:szCs w:val="20"/>
              </w:rPr>
              <w:t>(Section 4)</w:t>
            </w:r>
          </w:p>
        </w:tc>
        <w:tc>
          <w:tcPr>
            <w:tcW w:w="6554" w:type="dxa"/>
          </w:tcPr>
          <w:p w:rsidR="00DB3058" w:rsidRPr="00C95A5A" w:rsidRDefault="00DB3058" w:rsidP="00DB3058">
            <w:pPr>
              <w:rPr>
                <w:sz w:val="20"/>
              </w:rPr>
            </w:pPr>
            <w:r w:rsidRPr="00C95A5A">
              <w:rPr>
                <w:b/>
                <w:sz w:val="20"/>
              </w:rPr>
              <w:t>Objectives</w:t>
            </w:r>
            <w:r w:rsidRPr="00C95A5A">
              <w:rPr>
                <w:sz w:val="20"/>
              </w:rPr>
              <w:t xml:space="preserve"> refer to the specific aims of the Sector and Intersectoral activities in a given period.</w:t>
            </w:r>
          </w:p>
          <w:p w:rsidR="00DB3058" w:rsidRPr="00C95A5A" w:rsidRDefault="00DB3058" w:rsidP="00DB3058">
            <w:pPr>
              <w:rPr>
                <w:sz w:val="20"/>
              </w:rPr>
            </w:pPr>
            <w:r w:rsidRPr="00C95A5A">
              <w:rPr>
                <w:b/>
                <w:sz w:val="20"/>
              </w:rPr>
              <w:t>Outcomes</w:t>
            </w:r>
            <w:r w:rsidRPr="00C95A5A">
              <w:rPr>
                <w:sz w:val="20"/>
              </w:rPr>
              <w:t xml:space="preserve"> provide an indication as to whether the objective is being achieved. Outcomes are usually partly, but not entirely, within the organization’s control.</w:t>
            </w:r>
          </w:p>
        </w:tc>
        <w:tc>
          <w:tcPr>
            <w:tcW w:w="992" w:type="dxa"/>
            <w:vMerge/>
          </w:tcPr>
          <w:p w:rsidR="00DB3058" w:rsidRPr="00C95A5A" w:rsidRDefault="00DB3058" w:rsidP="00DB3058">
            <w:pPr>
              <w:rPr>
                <w:b/>
                <w:sz w:val="20"/>
              </w:rPr>
            </w:pPr>
          </w:p>
        </w:tc>
      </w:tr>
      <w:tr w:rsidR="00DB3058" w:rsidRPr="00C95A5A" w:rsidTr="00AE7A15">
        <w:tc>
          <w:tcPr>
            <w:tcW w:w="426" w:type="dxa"/>
            <w:vMerge/>
          </w:tcPr>
          <w:p w:rsidR="00DB3058" w:rsidRPr="00C95A5A" w:rsidRDefault="00DB3058" w:rsidP="00DB3058"/>
        </w:tc>
        <w:tc>
          <w:tcPr>
            <w:tcW w:w="567" w:type="dxa"/>
            <w:vMerge/>
          </w:tcPr>
          <w:p w:rsidR="00DB3058" w:rsidRPr="00C95A5A" w:rsidRDefault="00DB3058" w:rsidP="00DB3058">
            <w:pPr>
              <w:jc w:val="center"/>
            </w:pPr>
          </w:p>
        </w:tc>
        <w:tc>
          <w:tcPr>
            <w:tcW w:w="1526" w:type="dxa"/>
            <w:vAlign w:val="center"/>
          </w:tcPr>
          <w:p w:rsidR="00DB3058" w:rsidRPr="00C95A5A" w:rsidRDefault="00DB3058" w:rsidP="00DB3058">
            <w:pPr>
              <w:jc w:val="center"/>
              <w:rPr>
                <w:b/>
              </w:rPr>
            </w:pPr>
            <w:r w:rsidRPr="00C95A5A">
              <w:rPr>
                <w:b/>
              </w:rPr>
              <w:t>Outputs</w:t>
            </w:r>
          </w:p>
          <w:p w:rsidR="00DB3058" w:rsidRPr="00C95A5A" w:rsidRDefault="00DB3058" w:rsidP="00DB3058">
            <w:pPr>
              <w:jc w:val="center"/>
              <w:rPr>
                <w:bCs/>
              </w:rPr>
            </w:pPr>
            <w:r w:rsidRPr="00C95A5A">
              <w:rPr>
                <w:bCs/>
                <w:sz w:val="20"/>
                <w:szCs w:val="20"/>
              </w:rPr>
              <w:t>(Section 4)</w:t>
            </w:r>
          </w:p>
        </w:tc>
        <w:tc>
          <w:tcPr>
            <w:tcW w:w="6554" w:type="dxa"/>
          </w:tcPr>
          <w:p w:rsidR="00DB3058" w:rsidRPr="00C95A5A" w:rsidRDefault="00DB3058" w:rsidP="00DB3058">
            <w:pPr>
              <w:rPr>
                <w:sz w:val="20"/>
              </w:rPr>
            </w:pPr>
            <w:r w:rsidRPr="00C95A5A">
              <w:rPr>
                <w:b/>
                <w:sz w:val="20"/>
              </w:rPr>
              <w:t>Outputs</w:t>
            </w:r>
            <w:r w:rsidRPr="00C95A5A">
              <w:rPr>
                <w:sz w:val="20"/>
              </w:rPr>
              <w:t xml:space="preserve"> are the final tangible results, deliverables, products and services achieved by the Union in the implementation of the operational plans.</w:t>
            </w:r>
          </w:p>
        </w:tc>
        <w:tc>
          <w:tcPr>
            <w:tcW w:w="992" w:type="dxa"/>
            <w:vMerge/>
          </w:tcPr>
          <w:p w:rsidR="00DB3058" w:rsidRPr="00C95A5A" w:rsidRDefault="00DB3058" w:rsidP="00DB3058">
            <w:pPr>
              <w:rPr>
                <w:b/>
                <w:sz w:val="20"/>
              </w:rPr>
            </w:pPr>
          </w:p>
        </w:tc>
      </w:tr>
      <w:tr w:rsidR="00DB3058" w:rsidRPr="00C95A5A" w:rsidTr="00AE7A15">
        <w:trPr>
          <w:cnfStyle w:val="000000100000" w:firstRow="0" w:lastRow="0" w:firstColumn="0" w:lastColumn="0" w:oddVBand="0" w:evenVBand="0" w:oddHBand="1" w:evenHBand="0" w:firstRowFirstColumn="0" w:firstRowLastColumn="0" w:lastRowFirstColumn="0" w:lastRowLastColumn="0"/>
        </w:trPr>
        <w:tc>
          <w:tcPr>
            <w:tcW w:w="426" w:type="dxa"/>
            <w:vMerge/>
          </w:tcPr>
          <w:p w:rsidR="00DB3058" w:rsidRPr="00C95A5A" w:rsidRDefault="00DB3058" w:rsidP="00DB3058"/>
        </w:tc>
        <w:tc>
          <w:tcPr>
            <w:tcW w:w="567" w:type="dxa"/>
            <w:vMerge/>
          </w:tcPr>
          <w:p w:rsidR="00DB3058" w:rsidRPr="00C95A5A" w:rsidRDefault="00DB3058" w:rsidP="00DB3058">
            <w:pPr>
              <w:jc w:val="center"/>
            </w:pPr>
          </w:p>
        </w:tc>
        <w:tc>
          <w:tcPr>
            <w:tcW w:w="1526" w:type="dxa"/>
            <w:vAlign w:val="center"/>
          </w:tcPr>
          <w:p w:rsidR="00DB3058" w:rsidRPr="00C95A5A" w:rsidRDefault="00DB3058" w:rsidP="00DB3058">
            <w:pPr>
              <w:jc w:val="center"/>
            </w:pPr>
            <w:r w:rsidRPr="00C95A5A">
              <w:rPr>
                <w:b/>
              </w:rPr>
              <w:t>Activities</w:t>
            </w:r>
          </w:p>
        </w:tc>
        <w:tc>
          <w:tcPr>
            <w:tcW w:w="6554" w:type="dxa"/>
          </w:tcPr>
          <w:p w:rsidR="00DB3058" w:rsidRPr="00C95A5A" w:rsidRDefault="00DB3058" w:rsidP="00DB3058">
            <w:pPr>
              <w:rPr>
                <w:sz w:val="20"/>
              </w:rPr>
            </w:pPr>
            <w:r w:rsidRPr="00C95A5A">
              <w:rPr>
                <w:b/>
                <w:sz w:val="20"/>
              </w:rPr>
              <w:t>Activities</w:t>
            </w:r>
            <w:r w:rsidRPr="00C95A5A">
              <w:rPr>
                <w:sz w:val="20"/>
              </w:rPr>
              <w:t xml:space="preserve"> are various actions/services for transforming resources (inputs) into outputs. Activities may be grouped into processes.</w:t>
            </w:r>
          </w:p>
        </w:tc>
        <w:tc>
          <w:tcPr>
            <w:tcW w:w="992" w:type="dxa"/>
            <w:vMerge/>
          </w:tcPr>
          <w:p w:rsidR="00DB3058" w:rsidRPr="00C95A5A" w:rsidRDefault="00DB3058" w:rsidP="00DB3058">
            <w:pPr>
              <w:rPr>
                <w:b/>
                <w:sz w:val="20"/>
              </w:rPr>
            </w:pPr>
          </w:p>
        </w:tc>
      </w:tr>
    </w:tbl>
    <w:p w:rsidR="00DB3058" w:rsidRPr="00C95A5A" w:rsidRDefault="00DB3058" w:rsidP="003A3140">
      <w:pPr>
        <w:keepNext/>
      </w:pPr>
      <w:r w:rsidRPr="00C95A5A">
        <w:lastRenderedPageBreak/>
        <w:t>Each of the levels above represents a distinct step in the causal logic of the ITU RBM framework. The bottom two levels (activities and outputs) relate to how financial contributions from the membership and other revenues of ITU are being invested in order to implement various functions, programmes and initiatives of the Union. The top three levels refer to the actual changes and impact that ITU envisages, i.e. the long-term economic, socio-cultural, institutional, environmental, technological or other effects of the Union’s work.</w:t>
      </w:r>
    </w:p>
    <w:p w:rsidR="00DB3058" w:rsidRPr="00C95A5A" w:rsidRDefault="00AE7A15" w:rsidP="00AE7A15">
      <w:pPr>
        <w:pStyle w:val="Heading1"/>
      </w:pPr>
      <w:bookmarkStart w:id="44" w:name="_Toc377565020"/>
      <w:bookmarkStart w:id="45" w:name="_Toc387091836"/>
      <w:r>
        <w:t>2</w:t>
      </w:r>
      <w:r>
        <w:tab/>
      </w:r>
      <w:r w:rsidR="00DB3058" w:rsidRPr="00C95A5A">
        <w:t>ITU vision, mission and values</w:t>
      </w:r>
      <w:bookmarkEnd w:id="44"/>
      <w:bookmarkEnd w:id="45"/>
    </w:p>
    <w:p w:rsidR="00DB3058" w:rsidRDefault="00AE7A15" w:rsidP="00AE7A15">
      <w:pPr>
        <w:pStyle w:val="Heading2"/>
      </w:pPr>
      <w:bookmarkStart w:id="46" w:name="_Toc377565021"/>
      <w:bookmarkStart w:id="47" w:name="_Toc387091837"/>
      <w:r>
        <w:t>2.1</w:t>
      </w:r>
      <w:r>
        <w:tab/>
      </w:r>
      <w:r w:rsidR="00DB3058" w:rsidRPr="00C95A5A">
        <w:t>Vision</w:t>
      </w:r>
      <w:bookmarkEnd w:id="46"/>
      <w:bookmarkEnd w:id="47"/>
    </w:p>
    <w:p w:rsidR="00DB3058" w:rsidRPr="00AE7A15" w:rsidRDefault="00DB3058" w:rsidP="00AE7A15">
      <w:pPr>
        <w:rPr>
          <w:i/>
          <w:iCs/>
        </w:rPr>
      </w:pPr>
      <w:r w:rsidRPr="00AE7A15">
        <w:rPr>
          <w:i/>
          <w:iCs/>
        </w:rPr>
        <w:t>“An information society, empowered by the interconnected world, where telecommunication/information and communication technologies enable and accelerate social, economic and environmentally sustainable growth and development for everyone”</w:t>
      </w:r>
    </w:p>
    <w:p w:rsidR="00DB3058" w:rsidRDefault="00DB3058" w:rsidP="00AE7A15">
      <w:r w:rsidRPr="00C95A5A">
        <w:t>ITU is committed to enabling a connected world. In this interconnected world, information and communication technologies (ICTs) play a key role as an ultimate enabler for social, economic and environmentally sustainable development, benefiting each and every person on the planet. ICTs are redefining how development objectives may be achieved. Delivering affordable access to telecommunication/ICT networks, services and applications to all the world’s inhabitants is a vital driver of development.</w:t>
      </w:r>
    </w:p>
    <w:p w:rsidR="00DB3058" w:rsidRDefault="00AE7A15" w:rsidP="00AE7A15">
      <w:pPr>
        <w:pStyle w:val="Heading2"/>
      </w:pPr>
      <w:bookmarkStart w:id="48" w:name="_Toc377565022"/>
      <w:bookmarkStart w:id="49" w:name="_Toc387091838"/>
      <w:r>
        <w:t>2.2</w:t>
      </w:r>
      <w:r>
        <w:tab/>
      </w:r>
      <w:r w:rsidR="00DB3058" w:rsidRPr="00C95A5A">
        <w:t>Mission</w:t>
      </w:r>
      <w:bookmarkEnd w:id="48"/>
      <w:bookmarkEnd w:id="49"/>
    </w:p>
    <w:p w:rsidR="00DB3058" w:rsidRPr="00AE7A15" w:rsidRDefault="00DB3058" w:rsidP="00AE7A15">
      <w:pPr>
        <w:rPr>
          <w:i/>
          <w:iCs/>
        </w:rPr>
      </w:pPr>
      <w:r w:rsidRPr="00AE7A15">
        <w:rPr>
          <w:i/>
          <w:iCs/>
        </w:rPr>
        <w:t>“To promote, facilitate and foster affordable and universal access to telecommunication/information and communication technology networks, services and applications and their use for social, economic and environmentally sustainable growth and development”</w:t>
      </w:r>
    </w:p>
    <w:p w:rsidR="00DB3058" w:rsidRPr="00C95A5A" w:rsidRDefault="006A2951" w:rsidP="006A2951">
      <w:pPr>
        <w:pStyle w:val="Heading2"/>
      </w:pPr>
      <w:bookmarkStart w:id="50" w:name="_Toc377565023"/>
      <w:bookmarkStart w:id="51" w:name="_Toc387091839"/>
      <w:r>
        <w:t>2.3</w:t>
      </w:r>
      <w:r>
        <w:tab/>
      </w:r>
      <w:r w:rsidR="00DB3058" w:rsidRPr="00C95A5A">
        <w:t>Values</w:t>
      </w:r>
      <w:bookmarkEnd w:id="50"/>
      <w:bookmarkEnd w:id="51"/>
    </w:p>
    <w:p w:rsidR="00DB3058" w:rsidRPr="00C95A5A" w:rsidRDefault="00DB3058" w:rsidP="006A2951">
      <w:r w:rsidRPr="00C95A5A">
        <w:t>The core values of ITU are the principles and common beliefs that drive the priorities of the Union and the decision-making process of the organization.</w:t>
      </w:r>
    </w:p>
    <w:p w:rsidR="00DB3058" w:rsidRDefault="006A2951" w:rsidP="006A2951">
      <w:pPr>
        <w:pStyle w:val="Headingb"/>
      </w:pPr>
      <w:r>
        <w:t>•</w:t>
      </w:r>
      <w:r>
        <w:tab/>
      </w:r>
      <w:r w:rsidR="00DB3058" w:rsidRPr="00C95A5A">
        <w:t>People-centred, service-oriented and results-based</w:t>
      </w:r>
    </w:p>
    <w:p w:rsidR="00DB3058" w:rsidRDefault="00DB3058" w:rsidP="006A2951">
      <w:r w:rsidRPr="00C95A5A">
        <w:t>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DB3058" w:rsidRDefault="006A2951" w:rsidP="006A2951">
      <w:pPr>
        <w:pStyle w:val="Headingb"/>
      </w:pPr>
      <w:r>
        <w:t>•</w:t>
      </w:r>
      <w:r>
        <w:tab/>
      </w:r>
      <w:r w:rsidR="00DB3058" w:rsidRPr="00C95A5A">
        <w:t>Inclusiveness</w:t>
      </w:r>
    </w:p>
    <w:p w:rsidR="00DB3058" w:rsidRDefault="00DB3058" w:rsidP="00DB3058">
      <w:r w:rsidRPr="00C95A5A">
        <w:t xml:space="preserve">Recognizing inclusiveness as a universal value, ITU is committed to ensuring that the benefits of telecommunication/ICTs reach everyone in an equitable manner, including developing countries, </w:t>
      </w:r>
      <w:r>
        <w:t>persons</w:t>
      </w:r>
      <w:r w:rsidRPr="00C95A5A">
        <w:t xml:space="preserve"> with </w:t>
      </w:r>
      <w:r>
        <w:t>specific</w:t>
      </w:r>
      <w:r w:rsidRPr="00C95A5A">
        <w:t xml:space="preserve"> needs as well as marginal and vulnerable populations, including youth, indigenous peoples, older persons, persons with disabilities, persons with diverse income levels, rural and remote populations, as well as ensuring gender equality in telecommunication/ICTs. Significance of inclusiveness is twofold: everyone benefits from the work of ITU, and everyone can contribute.</w:t>
      </w:r>
    </w:p>
    <w:p w:rsidR="005664C8" w:rsidRDefault="005664C8" w:rsidP="005664C8">
      <w:pPr>
        <w:pStyle w:val="Headingb"/>
      </w:pPr>
      <w:r>
        <w:br w:type="page"/>
      </w:r>
    </w:p>
    <w:p w:rsidR="00DB3058" w:rsidRDefault="006A2951" w:rsidP="005664C8">
      <w:pPr>
        <w:pStyle w:val="Headingb"/>
      </w:pPr>
      <w:r>
        <w:lastRenderedPageBreak/>
        <w:t>•</w:t>
      </w:r>
      <w:r>
        <w:tab/>
      </w:r>
      <w:r w:rsidR="00DB3058" w:rsidRPr="00C95A5A">
        <w:t>Universality and neutrality</w:t>
      </w:r>
    </w:p>
    <w:p w:rsidR="00DB3058" w:rsidRDefault="00DB3058" w:rsidP="005664C8">
      <w:pPr>
        <w:keepNext/>
      </w:pPr>
      <w:r w:rsidRPr="00C95A5A">
        <w:t>As a United Nations specialized agency, ITU reaches, covers and represents all parts of the world</w:t>
      </w:r>
      <w:r>
        <w:t>. Within the remit of the Basic Instruments of the Union, its operations and activities reflect the express will of its membership</w:t>
      </w:r>
      <w:r w:rsidRPr="00C95A5A">
        <w:t>. Appreciating the significance of being neutral, ITU also recognizes the overarching pre-eminence of human rights. It is essential to protect the right to freedom of expression, the right to communicate and the right to privacy.</w:t>
      </w:r>
    </w:p>
    <w:p w:rsidR="00DB3058" w:rsidRDefault="006A2951" w:rsidP="006A2951">
      <w:pPr>
        <w:pStyle w:val="Headingb"/>
      </w:pPr>
      <w:r>
        <w:t>•</w:t>
      </w:r>
      <w:r>
        <w:tab/>
      </w:r>
      <w:r w:rsidR="00DB3058" w:rsidRPr="00C95A5A">
        <w:t>Synergies through collaboration</w:t>
      </w:r>
    </w:p>
    <w:p w:rsidR="00DB3058" w:rsidRDefault="00DB3058" w:rsidP="00DB3058">
      <w:r w:rsidRPr="00C95A5A">
        <w:t xml:space="preserve">A diverse array of organizations </w:t>
      </w:r>
      <w:r>
        <w:t xml:space="preserve">contributes to the development of the telecommunication/ICT. </w:t>
      </w:r>
      <w:r w:rsidRPr="00C95A5A">
        <w:t xml:space="preserve">ITU, as a major player in this diverse environment, embraces </w:t>
      </w:r>
      <w:r w:rsidRPr="009128E1">
        <w:t>collaboration</w:t>
      </w:r>
      <w:r w:rsidRPr="00C95A5A">
        <w:t xml:space="preserve"> as the best way to contribute </w:t>
      </w:r>
      <w:r>
        <w:t>to the fulfilment of its mission</w:t>
      </w:r>
      <w:r w:rsidRPr="00C95A5A">
        <w:t>.</w:t>
      </w:r>
    </w:p>
    <w:p w:rsidR="00DB3058" w:rsidRPr="00C95A5A" w:rsidRDefault="006A2951" w:rsidP="006A2951">
      <w:pPr>
        <w:pStyle w:val="Headingb"/>
      </w:pPr>
      <w:r>
        <w:t>•</w:t>
      </w:r>
      <w:r>
        <w:tab/>
      </w:r>
      <w:r w:rsidR="00DB3058" w:rsidRPr="00C95A5A">
        <w:t>Innovativeness</w:t>
      </w:r>
    </w:p>
    <w:p w:rsidR="00DB3058" w:rsidRPr="00C95A5A" w:rsidRDefault="00DB3058" w:rsidP="006A2951">
      <w:r w:rsidRPr="00C95A5A">
        <w:t>Innovation is a key element in the transformation of the telecommunication/ICT environment. In order to be successful in what it</w:t>
      </w:r>
      <w:r w:rsidRPr="00C95A5A" w:rsidDel="003B1B8B">
        <w:t xml:space="preserve"> </w:t>
      </w:r>
      <w:r w:rsidRPr="00C95A5A">
        <w:t>does, ITU recognizes that it must continuously contribute to shaping and adapting quickly to this rapidly changing telecommunication/ICT environment.</w:t>
      </w:r>
    </w:p>
    <w:p w:rsidR="00DB3058" w:rsidRDefault="006A2951" w:rsidP="006A2951">
      <w:pPr>
        <w:pStyle w:val="Headingb"/>
      </w:pPr>
      <w:r>
        <w:t>•</w:t>
      </w:r>
      <w:r>
        <w:tab/>
      </w:r>
      <w:r w:rsidR="00DB3058" w:rsidRPr="00C95A5A">
        <w:t>Efficiency</w:t>
      </w:r>
    </w:p>
    <w:p w:rsidR="00DB3058" w:rsidRDefault="00DB3058" w:rsidP="006A2951">
      <w:r w:rsidRPr="00C95A5A">
        <w:t xml:space="preserve">Efficiency </w:t>
      </w:r>
      <w:r>
        <w:t>is a</w:t>
      </w:r>
      <w:r w:rsidRPr="00C95A5A">
        <w:t xml:space="preserve"> concern for all </w:t>
      </w:r>
      <w:r w:rsidRPr="002667A2">
        <w:t>stakeholders in</w:t>
      </w:r>
      <w:r w:rsidRPr="00C95A5A">
        <w:t xml:space="preserve"> the telecommunication/ICT environment. ITU is committed to providing increased value for money, focusing on its priorities and avoiding </w:t>
      </w:r>
      <w:r>
        <w:t>conflicting</w:t>
      </w:r>
      <w:r w:rsidRPr="00C95A5A">
        <w:t xml:space="preserve"> effort</w:t>
      </w:r>
      <w:r>
        <w:t>s</w:t>
      </w:r>
      <w:r w:rsidRPr="00C95A5A">
        <w:t xml:space="preserve"> and activities.</w:t>
      </w:r>
    </w:p>
    <w:p w:rsidR="00DB3058" w:rsidRPr="00C95A5A" w:rsidRDefault="006A2951" w:rsidP="006A2951">
      <w:pPr>
        <w:pStyle w:val="Headingb"/>
      </w:pPr>
      <w:r>
        <w:t>•</w:t>
      </w:r>
      <w:r>
        <w:tab/>
      </w:r>
      <w:r w:rsidR="00DB3058" w:rsidRPr="00C95A5A">
        <w:t>Continuous improvement</w:t>
      </w:r>
    </w:p>
    <w:p w:rsidR="00DB3058" w:rsidRPr="00C95A5A" w:rsidRDefault="00DB3058" w:rsidP="006A2951">
      <w:r w:rsidRPr="00C95A5A">
        <w:t xml:space="preserve">Recognizing that in a fast-moving, rapidly-evolving environment there are no permanent solutions, ITU embraces the value of </w:t>
      </w:r>
      <w:r w:rsidRPr="00C95A5A">
        <w:rPr>
          <w:i/>
          <w:iCs/>
        </w:rPr>
        <w:t>continuous improvement</w:t>
      </w:r>
      <w:r w:rsidRPr="00C95A5A">
        <w:t xml:space="preserve"> of its products, services and processes, by adjusting focus as required and raising performance and quality standards.</w:t>
      </w:r>
    </w:p>
    <w:p w:rsidR="00DB3058" w:rsidRDefault="006A2951" w:rsidP="006A2951">
      <w:pPr>
        <w:pStyle w:val="Headingb"/>
      </w:pPr>
      <w:r>
        <w:t>•</w:t>
      </w:r>
      <w:r>
        <w:tab/>
      </w:r>
      <w:r w:rsidR="00DB3058" w:rsidRPr="00C95A5A">
        <w:t>Transparency</w:t>
      </w:r>
    </w:p>
    <w:p w:rsidR="00DB3058" w:rsidRPr="00C95A5A" w:rsidRDefault="00DB3058" w:rsidP="006A2951">
      <w:r w:rsidRPr="00C95A5A">
        <w:t>As an enabler for many of the above values, transparency allows accountability for decisions, actions and results. Embracing transparency, ITU communicates and demonstrates progress towards the achievement of its goals.</w:t>
      </w:r>
    </w:p>
    <w:p w:rsidR="00DB3058" w:rsidRPr="00C95A5A" w:rsidRDefault="006A2951" w:rsidP="006A2951">
      <w:pPr>
        <w:pStyle w:val="Heading1"/>
      </w:pPr>
      <w:bookmarkStart w:id="52" w:name="_Toc377565024"/>
      <w:bookmarkStart w:id="53" w:name="_Toc387091840"/>
      <w:r>
        <w:t>3</w:t>
      </w:r>
      <w:r>
        <w:tab/>
      </w:r>
      <w:r w:rsidR="00DB3058" w:rsidRPr="00C95A5A">
        <w:t>Strategic goals and targets of the Union</w:t>
      </w:r>
      <w:bookmarkEnd w:id="52"/>
      <w:bookmarkEnd w:id="53"/>
    </w:p>
    <w:p w:rsidR="00DB3058" w:rsidRDefault="006A2951" w:rsidP="006A2951">
      <w:pPr>
        <w:pStyle w:val="Heading2"/>
      </w:pPr>
      <w:bookmarkStart w:id="54" w:name="_Toc377565025"/>
      <w:bookmarkStart w:id="55" w:name="_Toc387091841"/>
      <w:r>
        <w:t>3.1</w:t>
      </w:r>
      <w:r>
        <w:tab/>
      </w:r>
      <w:r w:rsidR="00DB3058" w:rsidRPr="00C95A5A">
        <w:t>Strategic goals</w:t>
      </w:r>
      <w:bookmarkEnd w:id="54"/>
      <w:bookmarkEnd w:id="55"/>
    </w:p>
    <w:p w:rsidR="00DB3058" w:rsidRPr="00C95A5A" w:rsidRDefault="00DB3058" w:rsidP="006A2951">
      <w:r w:rsidRPr="00C95A5A">
        <w:t>The Council in its role in managing the Union between Plenipotentiary Conferences, and all three ITU Sectors will cooperate towards achievement of the ITU-wide goals: the ITU Radiocommunication Sector (ITU-R), the ITU Telecommunication Standardization Sector (ITU-T) and the ITU Telecommunication Development Sector (ITU-D). Successful coordination and collaboration among the Sectors, their three Bureaux and the General Secretariat shall underpin the Union’s progress in achieving these goals.</w:t>
      </w:r>
    </w:p>
    <w:p w:rsidR="00DB3058" w:rsidRDefault="00DB3058" w:rsidP="006A2951">
      <w:r w:rsidRPr="00C95A5A">
        <w:t>In 2016-2019 ITU will work to achieve its mission through the following four goals:</w:t>
      </w:r>
    </w:p>
    <w:p w:rsidR="005664C8" w:rsidRDefault="005664C8" w:rsidP="006A2951">
      <w:pPr>
        <w:pStyle w:val="Heading3"/>
      </w:pPr>
      <w:bookmarkStart w:id="56" w:name="_Toc377565026"/>
      <w:bookmarkStart w:id="57" w:name="_Toc387091842"/>
      <w:r>
        <w:br w:type="page"/>
      </w:r>
    </w:p>
    <w:p w:rsidR="00DB3058" w:rsidRDefault="006A2951" w:rsidP="006A2951">
      <w:pPr>
        <w:pStyle w:val="Heading3"/>
      </w:pPr>
      <w:r>
        <w:lastRenderedPageBreak/>
        <w:t>3.1.1</w:t>
      </w:r>
      <w:r>
        <w:tab/>
      </w:r>
      <w:r w:rsidR="00DB3058" w:rsidRPr="00C95A5A">
        <w:t>Goal 1: Growth – Enable and foster access to and increased use of telecommunications/ICTs</w:t>
      </w:r>
      <w:bookmarkEnd w:id="56"/>
      <w:bookmarkEnd w:id="57"/>
    </w:p>
    <w:p w:rsidR="00DB3058" w:rsidRDefault="00DB3058" w:rsidP="006A2951">
      <w:r w:rsidRPr="00C95A5A">
        <w:t>Recognizing the role of telecommunication/ICTs as a key enabler for social, economic and environmentally sustainable development, ITU will work to enable and foster access to</w:t>
      </w:r>
      <w:r>
        <w:t>,</w:t>
      </w:r>
      <w:r w:rsidRPr="00C95A5A">
        <w:t xml:space="preserve"> and increase</w:t>
      </w:r>
      <w:r>
        <w:t xml:space="preserve"> the</w:t>
      </w:r>
      <w:r w:rsidRPr="00C95A5A">
        <w:t xml:space="preserve"> use of telecommunication/ICTs. Growth in the use of telecommunication/ICTs has a positive impact on short- and long-term socio-economic development. The Union, including its members, are committed to working together and collaborating with all stakeholders in the telecommunication/ICT environment in order to achieve this goal.</w:t>
      </w:r>
    </w:p>
    <w:p w:rsidR="00DB3058" w:rsidRDefault="006A2951" w:rsidP="006A2951">
      <w:pPr>
        <w:pStyle w:val="Heading3"/>
      </w:pPr>
      <w:bookmarkStart w:id="58" w:name="_Toc387091843"/>
      <w:r>
        <w:t>3.1.2</w:t>
      </w:r>
      <w:r>
        <w:tab/>
      </w:r>
      <w:r w:rsidR="00DB3058" w:rsidRPr="00C95A5A">
        <w:t>Goal 2: Inclusiveness – Bridge the digital divide and provide broadband for all</w:t>
      </w:r>
      <w:bookmarkEnd w:id="58"/>
    </w:p>
    <w:p w:rsidR="00DB3058" w:rsidRPr="00C95A5A" w:rsidRDefault="00DB3058" w:rsidP="006A2951">
      <w:r w:rsidRPr="00C95A5A">
        <w:t xml:space="preserve">Being committed to ensuring that everyone without exception benefits from telecommunication/ICTs, ITU will work to bridge the digital divide and </w:t>
      </w:r>
      <w:r>
        <w:t xml:space="preserve">enable the provision of </w:t>
      </w:r>
      <w:r w:rsidRPr="00C95A5A">
        <w:t xml:space="preserve">broadband for all. Bridging the digital divide focuses on global telecommunication/ICT inclusiveness, fostering telecommunication/ICT access, accessibility, affordability and use in all countries and regions and by all peoples, including marginal and vulnerable populations, such as women, children, people with different income levels, Indigenous Peoples, older persons and persons with disabilities. The Union will </w:t>
      </w:r>
      <w:r>
        <w:t>continue to</w:t>
      </w:r>
      <w:r w:rsidRPr="00C95A5A">
        <w:t xml:space="preserve"> work towards </w:t>
      </w:r>
      <w:r>
        <w:t>enabling the provision of</w:t>
      </w:r>
      <w:r w:rsidRPr="00C95A5A">
        <w:t xml:space="preserve"> broadband for all, so everyone can take advantage of these benefits.</w:t>
      </w:r>
    </w:p>
    <w:p w:rsidR="00DB3058" w:rsidRDefault="006A2951" w:rsidP="006A2951">
      <w:pPr>
        <w:pStyle w:val="Heading3"/>
      </w:pPr>
      <w:bookmarkStart w:id="59" w:name="_Toc377565028"/>
      <w:bookmarkStart w:id="60" w:name="_Toc387091844"/>
      <w:r>
        <w:t>3.1.3</w:t>
      </w:r>
      <w:r>
        <w:tab/>
      </w:r>
      <w:r w:rsidR="00DB3058" w:rsidRPr="00C95A5A">
        <w:t>Goal 3: Sustainability – Manage challenges resulting from telecommunication/ICT development</w:t>
      </w:r>
      <w:bookmarkEnd w:id="59"/>
      <w:bookmarkEnd w:id="60"/>
    </w:p>
    <w:p w:rsidR="00DB3058" w:rsidRPr="00C95A5A" w:rsidRDefault="00DB3058" w:rsidP="006A2951">
      <w:r>
        <w:t>To promote</w:t>
      </w:r>
      <w:r w:rsidRPr="00C95A5A">
        <w:t xml:space="preserve"> the beneficial use of telecommunication/ICTs, </w:t>
      </w:r>
      <w:r>
        <w:t xml:space="preserve">the </w:t>
      </w:r>
      <w:r w:rsidRPr="00C95A5A">
        <w:t xml:space="preserve">Union recognizes the need to manage challenges that emerge from the rapid growth of telecommunication/ICTs. The Union focuses on enhancing the sustainable and safe use of telecommunication/ICTs, in close collaboration with all </w:t>
      </w:r>
      <w:r>
        <w:t>organizations and entities</w:t>
      </w:r>
      <w:r w:rsidRPr="00C95A5A">
        <w:t>. Accordingly, the Union will work towards minimizing the negative impact of undesired collaterals, such as cybersecurity threats, including potential harm to most vulnerable parts of the society, in particular children, and negative effects on the environment, including e-waste.</w:t>
      </w:r>
    </w:p>
    <w:p w:rsidR="00DB3058" w:rsidRPr="00C95A5A" w:rsidRDefault="006A2951" w:rsidP="006A2951">
      <w:pPr>
        <w:pStyle w:val="Heading3"/>
      </w:pPr>
      <w:bookmarkStart w:id="61" w:name="_Toc377565029"/>
      <w:bookmarkStart w:id="62" w:name="_Toc387091845"/>
      <w:r>
        <w:t>3.1.4</w:t>
      </w:r>
      <w:r>
        <w:tab/>
      </w:r>
      <w:r w:rsidR="00DB3058" w:rsidRPr="00C95A5A">
        <w:t>Goal 4: Innovation and partnership –</w:t>
      </w:r>
      <w:r w:rsidR="00DB3058">
        <w:t xml:space="preserve"> </w:t>
      </w:r>
      <w:r w:rsidR="00DB3058" w:rsidRPr="00C95A5A">
        <w:t xml:space="preserve">Lead, </w:t>
      </w:r>
      <w:r w:rsidR="00DB3058">
        <w:t>improve</w:t>
      </w:r>
      <w:r w:rsidR="00DB3058" w:rsidRPr="00C95A5A">
        <w:t xml:space="preserve"> and adapt to the changing telecommunication/ICT environment</w:t>
      </w:r>
      <w:bookmarkEnd w:id="61"/>
      <w:bookmarkEnd w:id="62"/>
    </w:p>
    <w:p w:rsidR="00DB3058" w:rsidRDefault="00DB3058" w:rsidP="006A2951">
      <w:r w:rsidRPr="00C95A5A">
        <w:t xml:space="preserve">The fourth </w:t>
      </w:r>
      <w:r>
        <w:t>goal</w:t>
      </w:r>
      <w:r w:rsidRPr="00C95A5A">
        <w:t xml:space="preserve"> of the Union’s strategy for 2016-2019 is innovation: </w:t>
      </w:r>
      <w:r>
        <w:t xml:space="preserve">fostering an innovative ecosystem </w:t>
      </w:r>
      <w:r w:rsidRPr="00C95A5A">
        <w:t xml:space="preserve">and adapting to the changing telecommunication/ICT environment. In the rapidly evolving environment, the goal set by the Union is to contribute to the development of an environment that is sufficiently conducive to innovation, where advances in new technologies </w:t>
      </w:r>
      <w:r>
        <w:t xml:space="preserve">and strategic partnerships </w:t>
      </w:r>
      <w:r w:rsidRPr="00C95A5A">
        <w:t>become a key driver for the post-2015 development agenda. The Union recognizes the global need to adapt systems and practices continuously, since technological innovation is transforming the telecommunication/ICT environment.</w:t>
      </w:r>
      <w:r>
        <w:t xml:space="preserve"> </w:t>
      </w:r>
      <w:r w:rsidRPr="005E57F5">
        <w:t xml:space="preserve">The Union recognizes the need of fostering the engagement and </w:t>
      </w:r>
      <w:r>
        <w:t>cooperation</w:t>
      </w:r>
      <w:r w:rsidRPr="005E57F5">
        <w:t xml:space="preserve"> with other </w:t>
      </w:r>
      <w:r>
        <w:t>entities and organizations</w:t>
      </w:r>
      <w:r w:rsidRPr="005E57F5">
        <w:t xml:space="preserve"> in pursuing that goal.</w:t>
      </w:r>
      <w:bookmarkStart w:id="63" w:name="_Toc377565030"/>
    </w:p>
    <w:p w:rsidR="00DB3058" w:rsidRDefault="006A2951" w:rsidP="006A2951">
      <w:pPr>
        <w:pStyle w:val="Heading2"/>
      </w:pPr>
      <w:bookmarkStart w:id="64" w:name="_Toc387091846"/>
      <w:r>
        <w:t>3.2</w:t>
      </w:r>
      <w:r>
        <w:tab/>
      </w:r>
      <w:r w:rsidR="00DB3058" w:rsidRPr="00C95A5A">
        <w:t>Targets of the Union</w:t>
      </w:r>
      <w:bookmarkEnd w:id="63"/>
      <w:bookmarkEnd w:id="64"/>
    </w:p>
    <w:p w:rsidR="00DB3058" w:rsidRPr="00C95A5A" w:rsidRDefault="00DB3058" w:rsidP="006A2951">
      <w:r w:rsidRPr="00C95A5A">
        <w:t xml:space="preserve">Targets represent the effect and long-term impact of the Union’s work and provide an indication of progress towards achievement of the strategic goals. </w:t>
      </w:r>
      <w:r w:rsidRPr="00F61E41">
        <w:t xml:space="preserve">ITU </w:t>
      </w:r>
      <w:r>
        <w:t>will</w:t>
      </w:r>
      <w:r w:rsidRPr="00F61E41">
        <w:t xml:space="preserve"> work collaboratively with </w:t>
      </w:r>
      <w:r>
        <w:t xml:space="preserve">the full range of </w:t>
      </w:r>
      <w:r w:rsidRPr="00F61E41">
        <w:t xml:space="preserve">other organizations and </w:t>
      </w:r>
      <w:r>
        <w:t>entities</w:t>
      </w:r>
      <w:r w:rsidRPr="00F61E41">
        <w:t xml:space="preserve"> around the world committed to advancing the use of telecommunications/ICTs</w:t>
      </w:r>
      <w:r>
        <w:t xml:space="preserve">. </w:t>
      </w:r>
      <w:r w:rsidRPr="00C95A5A">
        <w:t>The purpose of such targets is to provide the direction where the Union should focus its attention and materialize the ITU vision for an interconnected world for the 4 year period of the strategic plan.</w:t>
      </w:r>
    </w:p>
    <w:p w:rsidR="00DB3058" w:rsidRPr="00C95A5A" w:rsidRDefault="006A2951" w:rsidP="006A2951">
      <w:pPr>
        <w:pStyle w:val="Heading3"/>
      </w:pPr>
      <w:bookmarkStart w:id="65" w:name="_Toc377565031"/>
      <w:bookmarkStart w:id="66" w:name="_Toc387091847"/>
      <w:r>
        <w:lastRenderedPageBreak/>
        <w:t>3.2.1</w:t>
      </w:r>
      <w:r>
        <w:tab/>
      </w:r>
      <w:r w:rsidR="00DB3058" w:rsidRPr="00C95A5A">
        <w:t>Principles for global telecommunication/ICT targets</w:t>
      </w:r>
      <w:bookmarkEnd w:id="65"/>
      <w:bookmarkEnd w:id="66"/>
    </w:p>
    <w:p w:rsidR="00DB3058" w:rsidRPr="00C95A5A" w:rsidRDefault="00DB3058" w:rsidP="006A2951">
      <w:r w:rsidRPr="00C95A5A">
        <w:t>Following best practice for setting targets, the global telecommunication/ICT targets are set in compliance with the following criteria:</w:t>
      </w:r>
    </w:p>
    <w:p w:rsidR="00DB3058" w:rsidRPr="00C95A5A" w:rsidRDefault="006A2951" w:rsidP="006A2951">
      <w:pPr>
        <w:pStyle w:val="enumlev1"/>
      </w:pPr>
      <w:r w:rsidRPr="006A2951">
        <w:rPr>
          <w:bCs/>
        </w:rPr>
        <w:t>–</w:t>
      </w:r>
      <w:r>
        <w:rPr>
          <w:b/>
        </w:rPr>
        <w:tab/>
      </w:r>
      <w:r w:rsidR="00DB3058" w:rsidRPr="00C95A5A">
        <w:rPr>
          <w:b/>
        </w:rPr>
        <w:t>Specific</w:t>
      </w:r>
      <w:r w:rsidR="00DB3058" w:rsidRPr="00C95A5A">
        <w:t>: Targets describe the tangible impact that the Union would like to see from its efforts:</w:t>
      </w:r>
      <w:r w:rsidR="007855D0">
        <w:t xml:space="preserve"> </w:t>
      </w:r>
      <w:r w:rsidR="00DB3058" w:rsidRPr="00C95A5A">
        <w:t>the long-term economic, socio-cultural, institutional, environmental, technological or other effects sought, which may, however, be largely outside the Union’s direct control.</w:t>
      </w:r>
    </w:p>
    <w:p w:rsidR="00DB3058" w:rsidRPr="00C95A5A" w:rsidRDefault="006A2951" w:rsidP="006A2951">
      <w:pPr>
        <w:pStyle w:val="enumlev1"/>
      </w:pPr>
      <w:r w:rsidRPr="006A2951">
        <w:rPr>
          <w:bCs/>
        </w:rPr>
        <w:t>–</w:t>
      </w:r>
      <w:r>
        <w:rPr>
          <w:b/>
        </w:rPr>
        <w:tab/>
      </w:r>
      <w:r w:rsidR="00DB3058" w:rsidRPr="00C95A5A">
        <w:rPr>
          <w:b/>
        </w:rPr>
        <w:t>Measurable</w:t>
      </w:r>
      <w:r w:rsidR="00DB3058" w:rsidRPr="00C95A5A">
        <w:t>: Targets build on existing statistical indicators, leveraging ITU knowledge bases, are measurable and have an established baseline.</w:t>
      </w:r>
    </w:p>
    <w:p w:rsidR="00DB3058" w:rsidRPr="00C95A5A" w:rsidRDefault="006A2951" w:rsidP="006A2951">
      <w:pPr>
        <w:pStyle w:val="enumlev1"/>
      </w:pPr>
      <w:r w:rsidRPr="006A2951">
        <w:rPr>
          <w:bCs/>
        </w:rPr>
        <w:t>–</w:t>
      </w:r>
      <w:r>
        <w:rPr>
          <w:b/>
        </w:rPr>
        <w:tab/>
      </w:r>
      <w:r w:rsidR="00DB3058" w:rsidRPr="00C95A5A">
        <w:rPr>
          <w:b/>
        </w:rPr>
        <w:t>Action-oriented</w:t>
      </w:r>
      <w:r w:rsidR="00DB3058" w:rsidRPr="00C95A5A">
        <w:t>: Targets guide specific efforts under the strategic and operational plans of the Union.</w:t>
      </w:r>
    </w:p>
    <w:p w:rsidR="00DB3058" w:rsidRPr="00C95A5A" w:rsidRDefault="006A2951" w:rsidP="006A2951">
      <w:pPr>
        <w:pStyle w:val="enumlev1"/>
      </w:pPr>
      <w:r w:rsidRPr="006A2951">
        <w:rPr>
          <w:bCs/>
        </w:rPr>
        <w:t>–</w:t>
      </w:r>
      <w:r>
        <w:rPr>
          <w:b/>
        </w:rPr>
        <w:tab/>
      </w:r>
      <w:r w:rsidR="00DB3058" w:rsidRPr="00C95A5A">
        <w:rPr>
          <w:b/>
        </w:rPr>
        <w:t>Realistic and relevant</w:t>
      </w:r>
      <w:r w:rsidR="00DB3058" w:rsidRPr="00C95A5A">
        <w:t>: Targets are ambitious, but realistic, and are linked with the strategic goals of the Union.</w:t>
      </w:r>
    </w:p>
    <w:p w:rsidR="00DB3058" w:rsidRDefault="006A2951" w:rsidP="006A2951">
      <w:pPr>
        <w:pStyle w:val="enumlev1"/>
      </w:pPr>
      <w:r w:rsidRPr="006A2951">
        <w:rPr>
          <w:bCs/>
        </w:rPr>
        <w:t>–</w:t>
      </w:r>
      <w:r>
        <w:rPr>
          <w:b/>
        </w:rPr>
        <w:tab/>
      </w:r>
      <w:r w:rsidR="00DB3058" w:rsidRPr="00C95A5A">
        <w:rPr>
          <w:b/>
        </w:rPr>
        <w:t>Time-bound and traceable</w:t>
      </w:r>
      <w:r w:rsidR="00DB3058" w:rsidRPr="00C95A5A">
        <w:rPr>
          <w:bCs/>
        </w:rPr>
        <w:t>: Targets correspond to the time-frame</w:t>
      </w:r>
      <w:r w:rsidR="00DB3058" w:rsidRPr="00C95A5A">
        <w:t xml:space="preserve"> within the four-year period of the strategic plan of the Union, i.e. by 2020.</w:t>
      </w:r>
    </w:p>
    <w:p w:rsidR="00DB3058" w:rsidRPr="00C95A5A" w:rsidRDefault="006A2951" w:rsidP="006A2951">
      <w:pPr>
        <w:pStyle w:val="Heading3"/>
      </w:pPr>
      <w:bookmarkStart w:id="67" w:name="_Toc377565032"/>
      <w:bookmarkStart w:id="68" w:name="_Toc387091848"/>
      <w:r>
        <w:t>3.2.2</w:t>
      </w:r>
      <w:r>
        <w:tab/>
      </w:r>
      <w:r w:rsidR="00DB3058" w:rsidRPr="00C95A5A">
        <w:t>Global telecommunication/ICT targets</w:t>
      </w:r>
      <w:bookmarkEnd w:id="67"/>
      <w:bookmarkEnd w:id="68"/>
    </w:p>
    <w:p w:rsidR="00DB3058" w:rsidRDefault="00DB3058" w:rsidP="00DB3058">
      <w:r w:rsidRPr="00C95A5A">
        <w:fldChar w:fldCharType="begin"/>
      </w:r>
      <w:r w:rsidRPr="00C95A5A">
        <w:instrText xml:space="preserve"> REF _Ref378949502 \h </w:instrText>
      </w:r>
      <w:r>
        <w:instrText xml:space="preserve"> \* MERGEFORMAT </w:instrText>
      </w:r>
      <w:r w:rsidRPr="00C95A5A">
        <w:fldChar w:fldCharType="separate"/>
      </w:r>
      <w:r w:rsidR="006A34C6" w:rsidRPr="006A34C6">
        <w:t xml:space="preserve">Table </w:t>
      </w:r>
      <w:r w:rsidR="006A34C6" w:rsidRPr="006A34C6">
        <w:rPr>
          <w:noProof/>
        </w:rPr>
        <w:t>2</w:t>
      </w:r>
      <w:r w:rsidRPr="00C95A5A">
        <w:fldChar w:fldCharType="end"/>
      </w:r>
      <w:r w:rsidRPr="00C95A5A">
        <w:t xml:space="preserve"> below presents the Global telecommunication/ICT targets for each of the strategic goals of the ITU.</w:t>
      </w:r>
    </w:p>
    <w:p w:rsidR="00DB3058" w:rsidRPr="006A2951" w:rsidRDefault="00DB3058" w:rsidP="00DB3058">
      <w:pPr>
        <w:pStyle w:val="Caption"/>
        <w:rPr>
          <w:rFonts w:asciiTheme="majorBidi" w:hAnsiTheme="majorBidi" w:cstheme="majorBidi"/>
          <w:sz w:val="22"/>
          <w:szCs w:val="22"/>
          <w:lang w:val="en-GB"/>
        </w:rPr>
      </w:pPr>
      <w:bookmarkStart w:id="69" w:name="_Ref378949502"/>
      <w:bookmarkStart w:id="70" w:name="_Toc377565033"/>
      <w:r w:rsidRPr="006A2951">
        <w:rPr>
          <w:rFonts w:asciiTheme="majorBidi" w:hAnsiTheme="majorBidi" w:cstheme="majorBidi"/>
          <w:sz w:val="22"/>
          <w:szCs w:val="22"/>
          <w:lang w:val="en-GB"/>
        </w:rPr>
        <w:t xml:space="preserve">Table </w:t>
      </w:r>
      <w:r w:rsidRPr="006A2951">
        <w:rPr>
          <w:rFonts w:asciiTheme="majorBidi" w:hAnsiTheme="majorBidi" w:cstheme="majorBidi"/>
          <w:sz w:val="22"/>
          <w:szCs w:val="22"/>
          <w:lang w:val="en-GB"/>
        </w:rPr>
        <w:fldChar w:fldCharType="begin"/>
      </w:r>
      <w:r w:rsidRPr="006A2951">
        <w:rPr>
          <w:rFonts w:asciiTheme="majorBidi" w:hAnsiTheme="majorBidi" w:cstheme="majorBidi"/>
          <w:sz w:val="22"/>
          <w:szCs w:val="22"/>
          <w:lang w:val="en-GB"/>
        </w:rPr>
        <w:instrText xml:space="preserve"> SEQ Table \* ARABIC </w:instrText>
      </w:r>
      <w:r w:rsidRPr="006A2951">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2</w:t>
      </w:r>
      <w:r w:rsidRPr="006A2951">
        <w:rPr>
          <w:rFonts w:asciiTheme="majorBidi" w:hAnsiTheme="majorBidi" w:cstheme="majorBidi"/>
          <w:sz w:val="22"/>
          <w:szCs w:val="22"/>
          <w:lang w:val="en-GB"/>
        </w:rPr>
        <w:fldChar w:fldCharType="end"/>
      </w:r>
      <w:bookmarkEnd w:id="69"/>
      <w:r w:rsidRPr="006A2951">
        <w:rPr>
          <w:rFonts w:asciiTheme="majorBidi" w:hAnsiTheme="majorBidi" w:cstheme="majorBidi"/>
          <w:sz w:val="22"/>
          <w:szCs w:val="22"/>
          <w:lang w:val="en-GB"/>
        </w:rPr>
        <w:t>: Global telecommunication/ICT targets</w:t>
      </w:r>
    </w:p>
    <w:tbl>
      <w:tblPr>
        <w:tblStyle w:val="PlainTable21"/>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855"/>
      </w:tblGrid>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tcW w:w="9889" w:type="dxa"/>
          </w:tcPr>
          <w:p w:rsidR="00DB3058" w:rsidRPr="00C95A5A" w:rsidRDefault="00DB3058" w:rsidP="00DB3058">
            <w:pPr>
              <w:rPr>
                <w:sz w:val="20"/>
                <w:szCs w:val="20"/>
              </w:rPr>
            </w:pPr>
            <w:r w:rsidRPr="00C95A5A">
              <w:rPr>
                <w:b/>
                <w:sz w:val="20"/>
                <w:szCs w:val="20"/>
              </w:rPr>
              <w:t>Goal 1 Growth – Enable and foster access to and increased use of telecommunications/ICTs</w:t>
            </w:r>
          </w:p>
        </w:tc>
      </w:tr>
      <w:tr w:rsidR="00DB3058" w:rsidRPr="00C95A5A" w:rsidTr="00DB3058">
        <w:trPr>
          <w:cantSplit/>
        </w:trPr>
        <w:tc>
          <w:tcPr>
            <w:tcW w:w="9889" w:type="dxa"/>
          </w:tcPr>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1.1</w:t>
            </w:r>
            <w:r w:rsidRPr="00C95A5A">
              <w:rPr>
                <w:sz w:val="20"/>
                <w:szCs w:val="20"/>
              </w:rPr>
              <w:t>: Worldwide, 55% of households should have access to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1.2</w:t>
            </w:r>
            <w:r w:rsidRPr="00C95A5A">
              <w:rPr>
                <w:sz w:val="20"/>
                <w:szCs w:val="20"/>
              </w:rPr>
              <w:t>: Worldwide, 60% of individuals should be using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1.3</w:t>
            </w:r>
            <w:r w:rsidRPr="00C95A5A">
              <w:rPr>
                <w:sz w:val="20"/>
                <w:szCs w:val="20"/>
              </w:rPr>
              <w:t>: Worldwide, telecommunication/ICTs should be 40% more affordable by 2020</w:t>
            </w:r>
            <w:r w:rsidRPr="00E27992">
              <w:rPr>
                <w:rStyle w:val="FootnoteReference"/>
                <w:sz w:val="16"/>
                <w:szCs w:val="16"/>
              </w:rPr>
              <w:footnoteReference w:id="41"/>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tcW w:w="9889" w:type="dxa"/>
          </w:tcPr>
          <w:p w:rsidR="00DB3058" w:rsidRPr="00C95A5A" w:rsidRDefault="00DB3058" w:rsidP="00DB3058">
            <w:pPr>
              <w:rPr>
                <w:b/>
                <w:sz w:val="20"/>
                <w:szCs w:val="20"/>
              </w:rPr>
            </w:pPr>
            <w:r w:rsidRPr="00C95A5A">
              <w:rPr>
                <w:b/>
                <w:sz w:val="20"/>
                <w:szCs w:val="20"/>
              </w:rPr>
              <w:t>Goal 2 Inclusiveness –Bridge the digital divide and provide broadband for all</w:t>
            </w:r>
          </w:p>
        </w:tc>
      </w:tr>
      <w:tr w:rsidR="00DB3058" w:rsidRPr="00C95A5A" w:rsidTr="00DB3058">
        <w:trPr>
          <w:cantSplit/>
        </w:trPr>
        <w:tc>
          <w:tcPr>
            <w:tcW w:w="9889" w:type="dxa"/>
          </w:tcPr>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2.1.A</w:t>
            </w:r>
            <w:r w:rsidRPr="00C95A5A">
              <w:rPr>
                <w:sz w:val="20"/>
                <w:szCs w:val="20"/>
              </w:rPr>
              <w:t>: In the developing world, 50% of households should have access to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2.1.B</w:t>
            </w:r>
            <w:r w:rsidRPr="00C95A5A">
              <w:rPr>
                <w:sz w:val="20"/>
                <w:szCs w:val="20"/>
              </w:rPr>
              <w:t>: In the least developed countries (LDCs), 15% of households should have access to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2.2.A</w:t>
            </w:r>
            <w:r w:rsidRPr="00C95A5A">
              <w:rPr>
                <w:sz w:val="20"/>
                <w:szCs w:val="20"/>
              </w:rPr>
              <w:t>: In the developing world, 50% of individuals should be using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2.2.B</w:t>
            </w:r>
            <w:r w:rsidRPr="00C95A5A">
              <w:rPr>
                <w:sz w:val="20"/>
                <w:szCs w:val="20"/>
              </w:rPr>
              <w:t>: In the least developed countries (LDCs), 20% of individuals should be using the Internet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2.3.A</w:t>
            </w:r>
            <w:r w:rsidRPr="00C95A5A">
              <w:rPr>
                <w:sz w:val="20"/>
                <w:szCs w:val="20"/>
              </w:rPr>
              <w:t>: The affordability gap between developed and developing countries should be reduced by 40% by 2020</w:t>
            </w:r>
            <w:r w:rsidRPr="00E27992">
              <w:rPr>
                <w:rStyle w:val="FootnoteReference"/>
                <w:bCs/>
                <w:sz w:val="16"/>
                <w:szCs w:val="16"/>
              </w:rPr>
              <w:footnoteReference w:id="42"/>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2.3.B</w:t>
            </w:r>
            <w:r w:rsidRPr="00C95A5A">
              <w:rPr>
                <w:sz w:val="20"/>
                <w:szCs w:val="20"/>
              </w:rPr>
              <w:t>: Broadband services should cost no more than 5% of average monthly income in developing countries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b/>
                <w:sz w:val="20"/>
                <w:szCs w:val="20"/>
              </w:rPr>
            </w:pPr>
            <w:r w:rsidRPr="00C95A5A">
              <w:rPr>
                <w:b/>
                <w:sz w:val="20"/>
                <w:szCs w:val="20"/>
              </w:rPr>
              <w:t>Target 2.4</w:t>
            </w:r>
            <w:r w:rsidRPr="00C95A5A">
              <w:rPr>
                <w:bCs/>
                <w:sz w:val="20"/>
                <w:szCs w:val="20"/>
              </w:rPr>
              <w:t>:</w:t>
            </w:r>
            <w:r w:rsidRPr="00C95A5A">
              <w:rPr>
                <w:b/>
                <w:sz w:val="20"/>
                <w:szCs w:val="20"/>
              </w:rPr>
              <w:t xml:space="preserve"> </w:t>
            </w:r>
            <w:r w:rsidRPr="00C95A5A">
              <w:rPr>
                <w:bCs/>
                <w:sz w:val="20"/>
                <w:szCs w:val="20"/>
              </w:rPr>
              <w:t>Worldwide, 90% of the rural population should be covered by broadband services by 2020</w:t>
            </w:r>
            <w:r w:rsidRPr="00E27992">
              <w:rPr>
                <w:rStyle w:val="FootnoteReference"/>
                <w:bCs/>
                <w:sz w:val="16"/>
                <w:szCs w:val="16"/>
              </w:rPr>
              <w:footnoteReference w:id="43"/>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2.5.A</w:t>
            </w:r>
            <w:r w:rsidRPr="00C95A5A">
              <w:rPr>
                <w:sz w:val="20"/>
                <w:szCs w:val="20"/>
              </w:rPr>
              <w:t>: Gender equality among Internet users should be reached by 2020</w:t>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2.5.B</w:t>
            </w:r>
            <w:r w:rsidRPr="00C95A5A">
              <w:rPr>
                <w:sz w:val="20"/>
                <w:szCs w:val="20"/>
              </w:rPr>
              <w:t>: Enabling environments ensuring accessible telecommunications/ICTs for persons with disabilities should be established in all countries by 2020</w:t>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tcW w:w="9889" w:type="dxa"/>
          </w:tcPr>
          <w:p w:rsidR="00DB3058" w:rsidRPr="00C95A5A" w:rsidRDefault="00DB3058" w:rsidP="00DB3058">
            <w:pPr>
              <w:rPr>
                <w:b/>
                <w:sz w:val="20"/>
                <w:szCs w:val="20"/>
              </w:rPr>
            </w:pPr>
            <w:r w:rsidRPr="00C95A5A">
              <w:rPr>
                <w:b/>
                <w:sz w:val="20"/>
                <w:szCs w:val="20"/>
              </w:rPr>
              <w:t>Goal 3 Sustainability – Manage challenges resulting from the telecommunication/ICT development</w:t>
            </w:r>
          </w:p>
        </w:tc>
      </w:tr>
      <w:tr w:rsidR="00DB3058" w:rsidRPr="00C95A5A" w:rsidTr="00DB3058">
        <w:trPr>
          <w:cantSplit/>
        </w:trPr>
        <w:tc>
          <w:tcPr>
            <w:tcW w:w="9889" w:type="dxa"/>
          </w:tcPr>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textAlignment w:val="auto"/>
              <w:rPr>
                <w:sz w:val="20"/>
                <w:szCs w:val="20"/>
              </w:rPr>
            </w:pPr>
            <w:r w:rsidRPr="00C95A5A">
              <w:rPr>
                <w:b/>
                <w:sz w:val="20"/>
                <w:szCs w:val="20"/>
              </w:rPr>
              <w:t>Target 3.1</w:t>
            </w:r>
            <w:r w:rsidRPr="00C95A5A">
              <w:rPr>
                <w:sz w:val="20"/>
                <w:szCs w:val="20"/>
              </w:rPr>
              <w:t>: Cybersecurity readiness should be improved by 40% by 2020</w:t>
            </w:r>
            <w:r w:rsidRPr="00E27992">
              <w:rPr>
                <w:rStyle w:val="FootnoteReference"/>
                <w:sz w:val="16"/>
                <w:szCs w:val="16"/>
              </w:rPr>
              <w:footnoteReference w:id="44"/>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textAlignment w:val="auto"/>
              <w:rPr>
                <w:sz w:val="20"/>
                <w:szCs w:val="20"/>
              </w:rPr>
            </w:pPr>
            <w:r w:rsidRPr="00C95A5A">
              <w:rPr>
                <w:b/>
                <w:sz w:val="20"/>
                <w:szCs w:val="20"/>
              </w:rPr>
              <w:t>Target 3.2</w:t>
            </w:r>
            <w:r w:rsidRPr="00C95A5A">
              <w:rPr>
                <w:sz w:val="20"/>
                <w:szCs w:val="20"/>
              </w:rPr>
              <w:t>: Volume of redundant e-waste to be reduced by 50% by 2020</w:t>
            </w:r>
            <w:r w:rsidRPr="00E27992">
              <w:rPr>
                <w:rStyle w:val="FootnoteReference"/>
                <w:sz w:val="16"/>
                <w:szCs w:val="16"/>
              </w:rPr>
              <w:footnoteReference w:id="45"/>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textAlignment w:val="auto"/>
              <w:rPr>
                <w:sz w:val="20"/>
                <w:szCs w:val="20"/>
              </w:rPr>
            </w:pPr>
            <w:r w:rsidRPr="00C95A5A">
              <w:rPr>
                <w:b/>
                <w:sz w:val="20"/>
                <w:szCs w:val="20"/>
              </w:rPr>
              <w:t>Target 3.3</w:t>
            </w:r>
            <w:r w:rsidRPr="00C95A5A">
              <w:rPr>
                <w:sz w:val="20"/>
                <w:szCs w:val="20"/>
              </w:rPr>
              <w:t>: Green House Gas emissions generated by the telecommunication/ICT sector to be decreased per device by 30% by 2020</w:t>
            </w:r>
            <w:r w:rsidRPr="00E27992">
              <w:rPr>
                <w:rStyle w:val="FootnoteReference"/>
                <w:sz w:val="16"/>
                <w:szCs w:val="16"/>
              </w:rPr>
              <w:footnoteReference w:id="46"/>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tcW w:w="9889" w:type="dxa"/>
          </w:tcPr>
          <w:p w:rsidR="00DB3058" w:rsidRPr="00C95A5A" w:rsidRDefault="00DB3058" w:rsidP="00DB3058">
            <w:pPr>
              <w:rPr>
                <w:b/>
                <w:sz w:val="20"/>
                <w:szCs w:val="20"/>
              </w:rPr>
            </w:pPr>
            <w:r w:rsidRPr="00C95A5A">
              <w:rPr>
                <w:b/>
                <w:sz w:val="20"/>
                <w:szCs w:val="20"/>
              </w:rPr>
              <w:lastRenderedPageBreak/>
              <w:t xml:space="preserve">Goal 4 Innovation and partnership – Lead, </w:t>
            </w:r>
            <w:r>
              <w:rPr>
                <w:b/>
                <w:sz w:val="20"/>
                <w:szCs w:val="20"/>
              </w:rPr>
              <w:t>improve</w:t>
            </w:r>
            <w:r w:rsidRPr="00C95A5A">
              <w:rPr>
                <w:b/>
                <w:sz w:val="20"/>
                <w:szCs w:val="20"/>
              </w:rPr>
              <w:t xml:space="preserve"> and adapt to the changing telecommunication/ICT environment</w:t>
            </w:r>
          </w:p>
        </w:tc>
      </w:tr>
      <w:tr w:rsidR="00DB3058" w:rsidRPr="00C95A5A" w:rsidTr="00DB3058">
        <w:trPr>
          <w:cantSplit/>
        </w:trPr>
        <w:tc>
          <w:tcPr>
            <w:tcW w:w="9889" w:type="dxa"/>
          </w:tcPr>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4.1</w:t>
            </w:r>
            <w:r w:rsidRPr="00C95A5A">
              <w:rPr>
                <w:sz w:val="20"/>
                <w:szCs w:val="20"/>
              </w:rPr>
              <w:t>: Telecommunication/ICT environment conducive to innovation</w:t>
            </w:r>
            <w:r w:rsidRPr="00E27992">
              <w:rPr>
                <w:rStyle w:val="FootnoteReference"/>
                <w:sz w:val="16"/>
                <w:szCs w:val="16"/>
              </w:rPr>
              <w:footnoteReference w:id="47"/>
            </w:r>
          </w:p>
          <w:p w:rsidR="00DB3058" w:rsidRPr="00C95A5A" w:rsidRDefault="00DB3058" w:rsidP="00DB3058">
            <w:pPr>
              <w:pStyle w:val="ListParagraph"/>
              <w:numPr>
                <w:ilvl w:val="0"/>
                <w:numId w:val="19"/>
              </w:numPr>
              <w:tabs>
                <w:tab w:val="clear" w:pos="794"/>
                <w:tab w:val="clear" w:pos="1191"/>
                <w:tab w:val="clear" w:pos="1588"/>
                <w:tab w:val="clear" w:pos="1985"/>
              </w:tabs>
              <w:overflowPunct/>
              <w:autoSpaceDE/>
              <w:autoSpaceDN/>
              <w:adjustRightInd/>
              <w:spacing w:before="0"/>
              <w:ind w:left="170" w:hanging="170"/>
              <w:jc w:val="both"/>
              <w:textAlignment w:val="auto"/>
              <w:rPr>
                <w:sz w:val="20"/>
                <w:szCs w:val="20"/>
              </w:rPr>
            </w:pPr>
            <w:r w:rsidRPr="00C95A5A">
              <w:rPr>
                <w:b/>
                <w:sz w:val="20"/>
                <w:szCs w:val="20"/>
              </w:rPr>
              <w:t>Target 4.2:</w:t>
            </w:r>
            <w:r w:rsidRPr="00C95A5A">
              <w:rPr>
                <w:sz w:val="20"/>
                <w:szCs w:val="20"/>
              </w:rPr>
              <w:t xml:space="preserve"> Effective partnerships of stakeholders in telecommunication/ICT environment</w:t>
            </w:r>
            <w:r w:rsidRPr="00E27992">
              <w:rPr>
                <w:rStyle w:val="FootnoteReference"/>
                <w:sz w:val="16"/>
                <w:szCs w:val="16"/>
              </w:rPr>
              <w:footnoteReference w:id="48"/>
            </w:r>
          </w:p>
        </w:tc>
      </w:tr>
    </w:tbl>
    <w:p w:rsidR="00DB3058" w:rsidRPr="00C95A5A" w:rsidRDefault="006A2951" w:rsidP="006A2951">
      <w:pPr>
        <w:pStyle w:val="Heading2"/>
      </w:pPr>
      <w:bookmarkStart w:id="71" w:name="_Toc377565037"/>
      <w:bookmarkStart w:id="72" w:name="_Toc387091849"/>
      <w:bookmarkEnd w:id="70"/>
      <w:r>
        <w:t>3.3</w:t>
      </w:r>
      <w:r>
        <w:tab/>
      </w:r>
      <w:r w:rsidR="00DB3058" w:rsidRPr="00C95A5A">
        <w:t>Strategic risk management and mitigation</w:t>
      </w:r>
      <w:bookmarkEnd w:id="71"/>
      <w:bookmarkEnd w:id="72"/>
    </w:p>
    <w:p w:rsidR="00DB3058" w:rsidRDefault="00DB3058" w:rsidP="006A2951">
      <w:r w:rsidRPr="00C95A5A">
        <w:t xml:space="preserve">Bearing in mind the prevailing challenges, evolutions and transformations that have the most potential to impact activities of the ITU during the period of the strategic plan, the following list of top-level strategic risks presented in </w:t>
      </w:r>
      <w:r w:rsidRPr="00C95A5A">
        <w:fldChar w:fldCharType="begin"/>
      </w:r>
      <w:r w:rsidRPr="00C95A5A">
        <w:instrText xml:space="preserve"> REF _Ref378949486 \h </w:instrText>
      </w:r>
      <w:r>
        <w:instrText xml:space="preserve"> \* MERGEFORMAT </w:instrText>
      </w:r>
      <w:r w:rsidRPr="00C95A5A">
        <w:fldChar w:fldCharType="separate"/>
      </w:r>
      <w:r w:rsidR="006A34C6" w:rsidRPr="006A34C6">
        <w:t xml:space="preserve">Table </w:t>
      </w:r>
      <w:r w:rsidR="006A34C6" w:rsidRPr="006A34C6">
        <w:rPr>
          <w:noProof/>
        </w:rPr>
        <w:t>3</w:t>
      </w:r>
      <w:r w:rsidRPr="00C95A5A">
        <w:fldChar w:fldCharType="end"/>
      </w:r>
      <w:r w:rsidRPr="00C95A5A">
        <w:t xml:space="preserve"> has been identified, analysed and evaluated. These risks have been considered when planning the strategy for 2016-2019,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DB3058" w:rsidRDefault="00DB3058" w:rsidP="00E27992">
      <w:pPr>
        <w:spacing w:after="120"/>
      </w:pPr>
      <w:r w:rsidRPr="00C95A5A">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DB3058" w:rsidRPr="006A2951" w:rsidRDefault="00DB3058" w:rsidP="00DB3058">
      <w:pPr>
        <w:pStyle w:val="Caption"/>
        <w:rPr>
          <w:rFonts w:asciiTheme="majorBidi" w:hAnsiTheme="majorBidi" w:cstheme="majorBidi"/>
          <w:sz w:val="22"/>
          <w:szCs w:val="22"/>
          <w:lang w:val="en-GB"/>
        </w:rPr>
      </w:pPr>
      <w:bookmarkStart w:id="73" w:name="_Ref378949486"/>
      <w:r w:rsidRPr="006A2951">
        <w:rPr>
          <w:rFonts w:asciiTheme="majorBidi" w:hAnsiTheme="majorBidi" w:cstheme="majorBidi"/>
          <w:sz w:val="22"/>
          <w:szCs w:val="22"/>
          <w:lang w:val="en-GB"/>
        </w:rPr>
        <w:t xml:space="preserve">Table </w:t>
      </w:r>
      <w:r w:rsidRPr="006A2951">
        <w:rPr>
          <w:rFonts w:asciiTheme="majorBidi" w:hAnsiTheme="majorBidi" w:cstheme="majorBidi"/>
          <w:sz w:val="22"/>
          <w:szCs w:val="22"/>
          <w:lang w:val="en-GB"/>
        </w:rPr>
        <w:fldChar w:fldCharType="begin"/>
      </w:r>
      <w:r w:rsidRPr="006A2951">
        <w:rPr>
          <w:rFonts w:asciiTheme="majorBidi" w:hAnsiTheme="majorBidi" w:cstheme="majorBidi"/>
          <w:sz w:val="22"/>
          <w:szCs w:val="22"/>
          <w:lang w:val="en-GB"/>
        </w:rPr>
        <w:instrText xml:space="preserve"> SEQ Table \* ARABIC </w:instrText>
      </w:r>
      <w:r w:rsidRPr="006A2951">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3</w:t>
      </w:r>
      <w:r w:rsidRPr="006A2951">
        <w:rPr>
          <w:rFonts w:asciiTheme="majorBidi" w:hAnsiTheme="majorBidi" w:cstheme="majorBidi"/>
          <w:sz w:val="22"/>
          <w:szCs w:val="22"/>
          <w:lang w:val="en-GB"/>
        </w:rPr>
        <w:fldChar w:fldCharType="end"/>
      </w:r>
      <w:bookmarkEnd w:id="73"/>
      <w:r w:rsidRPr="006A2951">
        <w:rPr>
          <w:rFonts w:asciiTheme="majorBidi" w:hAnsiTheme="majorBidi" w:cstheme="majorBidi"/>
          <w:sz w:val="22"/>
          <w:szCs w:val="22"/>
          <w:lang w:val="en-GB"/>
        </w:rPr>
        <w:t>: Strategic risks and mitigation measures</w:t>
      </w:r>
    </w:p>
    <w:tbl>
      <w:tblPr>
        <w:tblStyle w:val="PlainTable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200"/>
        <w:gridCol w:w="3108"/>
        <w:gridCol w:w="2547"/>
      </w:tblGrid>
      <w:tr w:rsidR="00DB3058" w:rsidRPr="00C95A5A" w:rsidTr="00DB305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rPr>
                <w:sz w:val="20"/>
                <w:szCs w:val="20"/>
              </w:rPr>
            </w:pPr>
            <w:r w:rsidRPr="00C95A5A">
              <w:rPr>
                <w:sz w:val="20"/>
                <w:szCs w:val="20"/>
              </w:rPr>
              <w:t>Risk</w:t>
            </w:r>
          </w:p>
        </w:tc>
        <w:tc>
          <w:tcPr>
            <w:tcW w:w="3119" w:type="dxa"/>
          </w:tcPr>
          <w:p w:rsidR="00DB3058" w:rsidRPr="00C95A5A" w:rsidRDefault="00DB3058" w:rsidP="00DB3058">
            <w:pPr>
              <w:cnfStyle w:val="100000000000" w:firstRow="1" w:lastRow="0" w:firstColumn="0" w:lastColumn="0" w:oddVBand="0" w:evenVBand="0" w:oddHBand="0" w:evenHBand="0" w:firstRowFirstColumn="0" w:firstRowLastColumn="0" w:lastRowFirstColumn="0" w:lastRowLastColumn="0"/>
              <w:rPr>
                <w:sz w:val="20"/>
                <w:szCs w:val="20"/>
              </w:rPr>
            </w:pPr>
            <w:r w:rsidRPr="00C95A5A">
              <w:rPr>
                <w:sz w:val="20"/>
                <w:szCs w:val="20"/>
              </w:rPr>
              <w:t>Strategic mitigation measure</w:t>
            </w:r>
          </w:p>
        </w:tc>
        <w:tc>
          <w:tcPr>
            <w:tcW w:w="2551" w:type="dxa"/>
          </w:tcPr>
          <w:p w:rsidR="00DB3058" w:rsidRPr="00C95A5A" w:rsidRDefault="00DB3058" w:rsidP="00DB3058">
            <w:pPr>
              <w:cnfStyle w:val="100000000000" w:firstRow="1" w:lastRow="0" w:firstColumn="0" w:lastColumn="0" w:oddVBand="0" w:evenVBand="0" w:oddHBand="0" w:evenHBand="0" w:firstRowFirstColumn="0" w:firstRowLastColumn="0" w:lastRowFirstColumn="0" w:lastRowLastColumn="0"/>
              <w:rPr>
                <w:sz w:val="20"/>
                <w:szCs w:val="20"/>
              </w:rPr>
            </w:pPr>
            <w:r w:rsidRPr="00C95A5A">
              <w:rPr>
                <w:sz w:val="20"/>
                <w:szCs w:val="20"/>
              </w:rPr>
              <w:t>Reflected in</w:t>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pStyle w:val="ListParagraph"/>
              <w:numPr>
                <w:ilvl w:val="0"/>
                <w:numId w:val="18"/>
              </w:numPr>
              <w:tabs>
                <w:tab w:val="clear" w:pos="794"/>
                <w:tab w:val="clear" w:pos="1191"/>
                <w:tab w:val="clear" w:pos="1588"/>
                <w:tab w:val="clear" w:pos="1985"/>
              </w:tabs>
              <w:overflowPunct/>
              <w:autoSpaceDE/>
              <w:autoSpaceDN/>
              <w:adjustRightInd/>
              <w:spacing w:before="0"/>
              <w:ind w:left="227" w:hanging="227"/>
              <w:textAlignment w:val="auto"/>
              <w:rPr>
                <w:b w:val="0"/>
                <w:sz w:val="20"/>
                <w:szCs w:val="20"/>
              </w:rPr>
            </w:pPr>
            <w:r w:rsidRPr="00C95A5A">
              <w:rPr>
                <w:sz w:val="20"/>
                <w:szCs w:val="20"/>
              </w:rPr>
              <w:t>Diminishing relevance and ability to demonstrate clear added value</w:t>
            </w:r>
          </w:p>
          <w:p w:rsidR="00DB3058" w:rsidRPr="00C95A5A" w:rsidRDefault="00DB3058" w:rsidP="00DB3058">
            <w:pPr>
              <w:rPr>
                <w:b w:val="0"/>
                <w:bCs w:val="0"/>
                <w:sz w:val="20"/>
                <w:szCs w:val="20"/>
              </w:rPr>
            </w:pPr>
            <w:r w:rsidRPr="00C95A5A">
              <w:rPr>
                <w:b w:val="0"/>
                <w:bCs w:val="0"/>
                <w:sz w:val="20"/>
                <w:szCs w:val="20"/>
              </w:rPr>
              <w:t xml:space="preserve">Represents the risk of </w:t>
            </w:r>
            <w:r>
              <w:rPr>
                <w:b w:val="0"/>
                <w:bCs w:val="0"/>
                <w:sz w:val="20"/>
                <w:szCs w:val="20"/>
              </w:rPr>
              <w:t>conflicting</w:t>
            </w:r>
            <w:r w:rsidRPr="00C95A5A">
              <w:rPr>
                <w:b w:val="0"/>
                <w:bCs w:val="0"/>
                <w:sz w:val="20"/>
                <w:szCs w:val="20"/>
              </w:rPr>
              <w:t xml:space="preserve"> efforts, inconsistencies and competition with other relevant organizations and bodies, as well as the risk of misperception of ITU’s mandate, mission and role.</w:t>
            </w:r>
          </w:p>
        </w:tc>
        <w:tc>
          <w:tcPr>
            <w:tcW w:w="3119" w:type="dxa"/>
          </w:tcPr>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100000" w:firstRow="0" w:lastRow="0" w:firstColumn="0" w:lastColumn="0" w:oddVBand="0" w:evenVBand="0" w:oddHBand="1" w:evenHBand="0" w:firstRowFirstColumn="0" w:firstRowLastColumn="0" w:lastRowFirstColumn="0" w:lastRowLastColumn="0"/>
              <w:rPr>
                <w:b/>
                <w:sz w:val="20"/>
                <w:szCs w:val="20"/>
              </w:rPr>
            </w:pPr>
            <w:r w:rsidRPr="00C95A5A">
              <w:rPr>
                <w:b/>
                <w:sz w:val="20"/>
                <w:szCs w:val="20"/>
              </w:rPr>
              <w:t>Identify and concentrate on activities with unique added value</w:t>
            </w:r>
          </w:p>
        </w:tc>
        <w:tc>
          <w:tcPr>
            <w:tcW w:w="2551" w:type="dxa"/>
          </w:tcPr>
          <w:p w:rsidR="00DB3058" w:rsidRPr="00C95A5A" w:rsidRDefault="003A3140" w:rsidP="00E27992">
            <w:pPr>
              <w:tabs>
                <w:tab w:val="left" w:pos="205"/>
              </w:tabs>
              <w:ind w:left="165" w:hanging="165"/>
              <w:cnfStyle w:val="000000100000" w:firstRow="0" w:lastRow="0" w:firstColumn="0" w:lastColumn="0" w:oddVBand="0" w:evenVBand="0" w:oddHBand="1" w:evenHBand="0" w:firstRowFirstColumn="0" w:firstRowLastColumn="0" w:lastRowFirstColumn="0" w:lastRowLastColumn="0"/>
              <w:rPr>
                <w:sz w:val="20"/>
                <w:szCs w:val="20"/>
              </w:rPr>
            </w:pPr>
            <w:r w:rsidRPr="003A3140">
              <w:rPr>
                <w:sz w:val="20"/>
              </w:rPr>
              <w:t>–</w:t>
            </w:r>
            <w:r>
              <w:rPr>
                <w:sz w:val="20"/>
                <w:szCs w:val="20"/>
              </w:rPr>
              <w:tab/>
            </w:r>
            <w:r w:rsidR="00DB3058" w:rsidRPr="00C95A5A">
              <w:rPr>
                <w:sz w:val="20"/>
                <w:szCs w:val="20"/>
              </w:rPr>
              <w:t>Vision, Mission, Strategic goals and Objectives/Outcomes, Criteria for prioritization</w:t>
            </w:r>
          </w:p>
        </w:tc>
      </w:tr>
      <w:tr w:rsidR="00DB3058" w:rsidRPr="00C95A5A" w:rsidTr="00DB3058">
        <w:trPr>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pStyle w:val="ListParagraph"/>
              <w:numPr>
                <w:ilvl w:val="0"/>
                <w:numId w:val="18"/>
              </w:numPr>
              <w:tabs>
                <w:tab w:val="clear" w:pos="794"/>
                <w:tab w:val="clear" w:pos="1191"/>
                <w:tab w:val="clear" w:pos="1588"/>
                <w:tab w:val="clear" w:pos="1985"/>
              </w:tabs>
              <w:overflowPunct/>
              <w:autoSpaceDE/>
              <w:autoSpaceDN/>
              <w:adjustRightInd/>
              <w:spacing w:before="0"/>
              <w:ind w:left="227" w:hanging="227"/>
              <w:textAlignment w:val="auto"/>
              <w:rPr>
                <w:b w:val="0"/>
                <w:sz w:val="20"/>
                <w:szCs w:val="20"/>
              </w:rPr>
            </w:pPr>
            <w:r w:rsidRPr="00C95A5A">
              <w:rPr>
                <w:sz w:val="20"/>
                <w:szCs w:val="20"/>
              </w:rPr>
              <w:t>Spreading too thin</w:t>
            </w:r>
          </w:p>
          <w:p w:rsidR="00DB3058" w:rsidRPr="00C95A5A" w:rsidRDefault="00DB3058" w:rsidP="00DB3058">
            <w:pPr>
              <w:rPr>
                <w:b w:val="0"/>
                <w:bCs w:val="0"/>
                <w:sz w:val="20"/>
                <w:szCs w:val="20"/>
              </w:rPr>
            </w:pPr>
            <w:r w:rsidRPr="00C95A5A">
              <w:rPr>
                <w:b w:val="0"/>
                <w:bCs w:val="0"/>
                <w:sz w:val="20"/>
                <w:szCs w:val="20"/>
              </w:rPr>
              <w:t>Represents the risk of mission dilution and the risk of losing sight of the organization’s core mandate.</w:t>
            </w:r>
          </w:p>
        </w:tc>
        <w:tc>
          <w:tcPr>
            <w:tcW w:w="3119" w:type="dxa"/>
          </w:tcPr>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000000" w:firstRow="0" w:lastRow="0" w:firstColumn="0" w:lastColumn="0" w:oddVBand="0" w:evenVBand="0" w:oddHBand="0" w:evenHBand="0" w:firstRowFirstColumn="0" w:firstRowLastColumn="0" w:lastRowFirstColumn="0" w:lastRowLastColumn="0"/>
              <w:rPr>
                <w:b/>
                <w:sz w:val="20"/>
                <w:szCs w:val="20"/>
              </w:rPr>
            </w:pPr>
            <w:r w:rsidRPr="00C95A5A">
              <w:rPr>
                <w:b/>
                <w:sz w:val="20"/>
                <w:szCs w:val="20"/>
              </w:rPr>
              <w:t>Ensure cohesiveness and strength of focus</w:t>
            </w:r>
          </w:p>
        </w:tc>
        <w:tc>
          <w:tcPr>
            <w:tcW w:w="2551" w:type="dxa"/>
          </w:tcPr>
          <w:p w:rsidR="00DB3058" w:rsidRPr="00C95A5A" w:rsidRDefault="003A3140" w:rsidP="00E27992">
            <w:pPr>
              <w:tabs>
                <w:tab w:val="left" w:pos="205"/>
              </w:tabs>
              <w:ind w:left="33"/>
              <w:cnfStyle w:val="000000000000" w:firstRow="0" w:lastRow="0" w:firstColumn="0" w:lastColumn="0" w:oddVBand="0" w:evenVBand="0" w:oddHBand="0" w:evenHBand="0" w:firstRowFirstColumn="0" w:firstRowLastColumn="0" w:lastRowFirstColumn="0" w:lastRowLastColumn="0"/>
              <w:rPr>
                <w:sz w:val="20"/>
                <w:szCs w:val="20"/>
              </w:rPr>
            </w:pPr>
            <w:r w:rsidRPr="003A3140">
              <w:rPr>
                <w:sz w:val="20"/>
              </w:rPr>
              <w:t>–</w:t>
            </w:r>
            <w:r>
              <w:rPr>
                <w:sz w:val="20"/>
                <w:szCs w:val="20"/>
              </w:rPr>
              <w:tab/>
            </w:r>
            <w:r w:rsidR="00DB3058" w:rsidRPr="00C95A5A">
              <w:rPr>
                <w:sz w:val="20"/>
                <w:szCs w:val="20"/>
              </w:rPr>
              <w:t>Criteria for prioritization</w:t>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pStyle w:val="ListParagraph"/>
              <w:numPr>
                <w:ilvl w:val="0"/>
                <w:numId w:val="18"/>
              </w:numPr>
              <w:tabs>
                <w:tab w:val="clear" w:pos="794"/>
                <w:tab w:val="clear" w:pos="1191"/>
                <w:tab w:val="clear" w:pos="1588"/>
                <w:tab w:val="clear" w:pos="1985"/>
              </w:tabs>
              <w:overflowPunct/>
              <w:autoSpaceDE/>
              <w:autoSpaceDN/>
              <w:adjustRightInd/>
              <w:spacing w:before="0"/>
              <w:ind w:left="227" w:hanging="227"/>
              <w:textAlignment w:val="auto"/>
              <w:rPr>
                <w:b w:val="0"/>
                <w:bCs w:val="0"/>
                <w:sz w:val="20"/>
                <w:szCs w:val="20"/>
              </w:rPr>
            </w:pPr>
            <w:r w:rsidRPr="00C95A5A">
              <w:rPr>
                <w:bCs w:val="0"/>
                <w:sz w:val="20"/>
                <w:szCs w:val="20"/>
              </w:rPr>
              <w:t>Failure to respond quickly to emerging needs and innovate sufficiently</w:t>
            </w:r>
            <w:r>
              <w:rPr>
                <w:bCs w:val="0"/>
                <w:sz w:val="20"/>
                <w:szCs w:val="20"/>
              </w:rPr>
              <w:t xml:space="preserve"> while still providing high-quality deliverables</w:t>
            </w:r>
          </w:p>
          <w:p w:rsidR="00DB3058" w:rsidRPr="00C95A5A" w:rsidRDefault="00DB3058" w:rsidP="00DB3058">
            <w:pPr>
              <w:rPr>
                <w:b w:val="0"/>
                <w:bCs w:val="0"/>
                <w:sz w:val="20"/>
                <w:szCs w:val="20"/>
              </w:rPr>
            </w:pPr>
            <w:r w:rsidRPr="00C95A5A">
              <w:rPr>
                <w:b w:val="0"/>
                <w:bCs w:val="0"/>
                <w:sz w:val="20"/>
                <w:szCs w:val="20"/>
              </w:rPr>
              <w:t>Represents the risk of unresponsiveness, leading to disengagement of membership and other stakeholders.</w:t>
            </w:r>
          </w:p>
        </w:tc>
        <w:tc>
          <w:tcPr>
            <w:tcW w:w="3119" w:type="dxa"/>
          </w:tcPr>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100000" w:firstRow="0" w:lastRow="0" w:firstColumn="0" w:lastColumn="0" w:oddVBand="0" w:evenVBand="0" w:oddHBand="1" w:evenHBand="0" w:firstRowFirstColumn="0" w:firstRowLastColumn="0" w:lastRowFirstColumn="0" w:lastRowLastColumn="0"/>
              <w:rPr>
                <w:b/>
                <w:sz w:val="20"/>
                <w:szCs w:val="20"/>
              </w:rPr>
            </w:pPr>
            <w:r w:rsidRPr="00C95A5A">
              <w:rPr>
                <w:b/>
                <w:sz w:val="20"/>
                <w:szCs w:val="20"/>
              </w:rPr>
              <w:t>Be fast moving, agile, responsive and innovative</w:t>
            </w:r>
          </w:p>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100000" w:firstRow="0" w:lastRow="0" w:firstColumn="0" w:lastColumn="0" w:oddVBand="0" w:evenVBand="0" w:oddHBand="1" w:evenHBand="0" w:firstRowFirstColumn="0" w:firstRowLastColumn="0" w:lastRowFirstColumn="0" w:lastRowLastColumn="0"/>
              <w:rPr>
                <w:b/>
                <w:sz w:val="20"/>
                <w:szCs w:val="20"/>
              </w:rPr>
            </w:pPr>
            <w:r w:rsidRPr="00C95A5A">
              <w:rPr>
                <w:b/>
                <w:sz w:val="20"/>
                <w:szCs w:val="20"/>
              </w:rPr>
              <w:t>Proactively engage stakeholders</w:t>
            </w:r>
          </w:p>
        </w:tc>
        <w:tc>
          <w:tcPr>
            <w:tcW w:w="2551" w:type="dxa"/>
          </w:tcPr>
          <w:p w:rsidR="00DB3058" w:rsidRPr="00C95A5A" w:rsidRDefault="003A3140" w:rsidP="00E27992">
            <w:pPr>
              <w:tabs>
                <w:tab w:val="left" w:pos="205"/>
              </w:tabs>
              <w:ind w:left="165" w:hanging="165"/>
              <w:cnfStyle w:val="000000100000" w:firstRow="0" w:lastRow="0" w:firstColumn="0" w:lastColumn="0" w:oddVBand="0" w:evenVBand="0" w:oddHBand="1" w:evenHBand="0" w:firstRowFirstColumn="0" w:firstRowLastColumn="0" w:lastRowFirstColumn="0" w:lastRowLastColumn="0"/>
              <w:rPr>
                <w:sz w:val="20"/>
                <w:szCs w:val="20"/>
              </w:rPr>
            </w:pPr>
            <w:r w:rsidRPr="003A3140">
              <w:rPr>
                <w:sz w:val="20"/>
              </w:rPr>
              <w:t>–</w:t>
            </w:r>
            <w:r>
              <w:rPr>
                <w:sz w:val="20"/>
                <w:szCs w:val="20"/>
              </w:rPr>
              <w:tab/>
            </w:r>
            <w:r w:rsidR="00DB3058" w:rsidRPr="00C95A5A">
              <w:rPr>
                <w:sz w:val="20"/>
                <w:szCs w:val="20"/>
              </w:rPr>
              <w:t>Goal 4 related to Innovation, ITU values</w:t>
            </w:r>
          </w:p>
          <w:p w:rsidR="00DB3058" w:rsidRPr="00C95A5A" w:rsidRDefault="003A3140" w:rsidP="00E27992">
            <w:pPr>
              <w:tabs>
                <w:tab w:val="left" w:pos="205"/>
              </w:tabs>
              <w:ind w:left="165" w:hanging="165"/>
              <w:cnfStyle w:val="000000100000" w:firstRow="0" w:lastRow="0" w:firstColumn="0" w:lastColumn="0" w:oddVBand="0" w:evenVBand="0" w:oddHBand="1" w:evenHBand="0" w:firstRowFirstColumn="0" w:firstRowLastColumn="0" w:lastRowFirstColumn="0" w:lastRowLastColumn="0"/>
              <w:rPr>
                <w:sz w:val="20"/>
                <w:szCs w:val="20"/>
              </w:rPr>
            </w:pPr>
            <w:r w:rsidRPr="003A3140">
              <w:rPr>
                <w:sz w:val="20"/>
              </w:rPr>
              <w:t>–</w:t>
            </w:r>
            <w:r>
              <w:rPr>
                <w:sz w:val="20"/>
                <w:szCs w:val="20"/>
              </w:rPr>
              <w:tab/>
            </w:r>
            <w:r w:rsidR="00DB3058" w:rsidRPr="00C95A5A">
              <w:rPr>
                <w:sz w:val="20"/>
                <w:szCs w:val="20"/>
              </w:rPr>
              <w:t>Vision, Mission, Values, Strategic goals and Objectives/Outcomes, Criteria for prioritization</w:t>
            </w:r>
          </w:p>
        </w:tc>
      </w:tr>
      <w:tr w:rsidR="00DB3058" w:rsidRPr="00C95A5A" w:rsidTr="00DB3058">
        <w:trPr>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pStyle w:val="ListParagraph"/>
              <w:numPr>
                <w:ilvl w:val="0"/>
                <w:numId w:val="18"/>
              </w:numPr>
              <w:tabs>
                <w:tab w:val="clear" w:pos="794"/>
                <w:tab w:val="clear" w:pos="1191"/>
                <w:tab w:val="clear" w:pos="1588"/>
                <w:tab w:val="clear" w:pos="1985"/>
              </w:tabs>
              <w:overflowPunct/>
              <w:autoSpaceDE/>
              <w:autoSpaceDN/>
              <w:adjustRightInd/>
              <w:spacing w:before="0"/>
              <w:ind w:left="227" w:hanging="227"/>
              <w:textAlignment w:val="auto"/>
              <w:rPr>
                <w:b w:val="0"/>
                <w:sz w:val="20"/>
                <w:szCs w:val="20"/>
              </w:rPr>
            </w:pPr>
            <w:r w:rsidRPr="00C95A5A">
              <w:rPr>
                <w:sz w:val="20"/>
                <w:szCs w:val="20"/>
              </w:rPr>
              <w:lastRenderedPageBreak/>
              <w:t>Inadequate adjustment of implementation strategies, tools, methodology and processes to keep up with best practices and changing needs</w:t>
            </w:r>
          </w:p>
          <w:p w:rsidR="00DB3058" w:rsidRPr="00C95A5A" w:rsidRDefault="00DB3058" w:rsidP="00DB3058">
            <w:pPr>
              <w:rPr>
                <w:b w:val="0"/>
                <w:bCs w:val="0"/>
                <w:sz w:val="20"/>
                <w:szCs w:val="20"/>
              </w:rPr>
            </w:pPr>
            <w:r w:rsidRPr="00C95A5A">
              <w:rPr>
                <w:b w:val="0"/>
                <w:bCs w:val="0"/>
                <w:sz w:val="20"/>
                <w:szCs w:val="20"/>
              </w:rPr>
              <w:t>Represents the risk of the study group structure, methods and tools becoming inadequate, of the implementation tools and methods becoming unreliable and failing to ensure maximum effectiveness, and of inadequate cooperation among the Sectors.</w:t>
            </w:r>
          </w:p>
        </w:tc>
        <w:tc>
          <w:tcPr>
            <w:tcW w:w="3119" w:type="dxa"/>
          </w:tcPr>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000000" w:firstRow="0" w:lastRow="0" w:firstColumn="0" w:lastColumn="0" w:oddVBand="0" w:evenVBand="0" w:oddHBand="0" w:evenHBand="0" w:firstRowFirstColumn="0" w:firstRowLastColumn="0" w:lastRowFirstColumn="0" w:lastRowLastColumn="0"/>
              <w:rPr>
                <w:b/>
                <w:sz w:val="20"/>
                <w:szCs w:val="20"/>
              </w:rPr>
            </w:pPr>
            <w:r w:rsidRPr="00C95A5A">
              <w:rPr>
                <w:b/>
                <w:sz w:val="20"/>
                <w:szCs w:val="20"/>
              </w:rPr>
              <w:t>Continuously improve strategies, tools, methodologies and processes according to best practice</w:t>
            </w:r>
          </w:p>
        </w:tc>
        <w:tc>
          <w:tcPr>
            <w:tcW w:w="2551" w:type="dxa"/>
          </w:tcPr>
          <w:p w:rsidR="00DB3058" w:rsidRPr="00C95A5A" w:rsidRDefault="003A3140" w:rsidP="00E27992">
            <w:pPr>
              <w:tabs>
                <w:tab w:val="left" w:pos="205"/>
              </w:tabs>
              <w:ind w:left="165" w:hanging="165"/>
              <w:cnfStyle w:val="000000000000" w:firstRow="0" w:lastRow="0" w:firstColumn="0" w:lastColumn="0" w:oddVBand="0" w:evenVBand="0" w:oddHBand="0" w:evenHBand="0" w:firstRowFirstColumn="0" w:firstRowLastColumn="0" w:lastRowFirstColumn="0" w:lastRowLastColumn="0"/>
              <w:rPr>
                <w:sz w:val="20"/>
                <w:szCs w:val="20"/>
              </w:rPr>
            </w:pPr>
            <w:r w:rsidRPr="003A3140">
              <w:rPr>
                <w:sz w:val="20"/>
              </w:rPr>
              <w:t>–</w:t>
            </w:r>
            <w:r>
              <w:rPr>
                <w:sz w:val="20"/>
                <w:szCs w:val="20"/>
              </w:rPr>
              <w:tab/>
            </w:r>
            <w:r w:rsidR="00DB3058" w:rsidRPr="00C95A5A">
              <w:rPr>
                <w:sz w:val="20"/>
                <w:szCs w:val="20"/>
              </w:rPr>
              <w:t>Values, Implementation criteria</w:t>
            </w:r>
          </w:p>
          <w:p w:rsidR="00DB3058" w:rsidRPr="00C95A5A" w:rsidRDefault="00E27992" w:rsidP="00E27992">
            <w:pPr>
              <w:tabs>
                <w:tab w:val="left" w:pos="205"/>
              </w:tabs>
              <w:ind w:left="165" w:hanging="165"/>
              <w:cnfStyle w:val="000000000000" w:firstRow="0" w:lastRow="0" w:firstColumn="0" w:lastColumn="0" w:oddVBand="0" w:evenVBand="0" w:oddHBand="0" w:evenHBand="0" w:firstRowFirstColumn="0" w:firstRowLastColumn="0" w:lastRowFirstColumn="0" w:lastRowLastColumn="0"/>
              <w:rPr>
                <w:sz w:val="20"/>
                <w:szCs w:val="20"/>
              </w:rPr>
            </w:pPr>
            <w:r w:rsidRPr="00E27992">
              <w:rPr>
                <w:sz w:val="20"/>
              </w:rPr>
              <w:t>–</w:t>
            </w:r>
            <w:r w:rsidR="003A3140">
              <w:rPr>
                <w:sz w:val="20"/>
                <w:szCs w:val="20"/>
              </w:rPr>
              <w:tab/>
            </w:r>
            <w:r w:rsidR="00DB3058" w:rsidRPr="00C95A5A">
              <w:rPr>
                <w:sz w:val="20"/>
                <w:szCs w:val="20"/>
              </w:rPr>
              <w:t>Process of monitoring the implementation and adjusting the strategic plan</w:t>
            </w:r>
          </w:p>
        </w:tc>
      </w:tr>
      <w:tr w:rsidR="00DB3058" w:rsidRPr="00C95A5A" w:rsidTr="00DB30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Pr>
          <w:p w:rsidR="00DB3058" w:rsidRPr="00C95A5A" w:rsidRDefault="00DB3058" w:rsidP="00DB3058">
            <w:pPr>
              <w:pStyle w:val="ListParagraph"/>
              <w:numPr>
                <w:ilvl w:val="0"/>
                <w:numId w:val="18"/>
              </w:numPr>
              <w:tabs>
                <w:tab w:val="clear" w:pos="794"/>
                <w:tab w:val="clear" w:pos="1191"/>
                <w:tab w:val="clear" w:pos="1588"/>
                <w:tab w:val="clear" w:pos="1985"/>
              </w:tabs>
              <w:overflowPunct/>
              <w:autoSpaceDE/>
              <w:autoSpaceDN/>
              <w:adjustRightInd/>
              <w:spacing w:before="0"/>
              <w:ind w:left="227" w:hanging="227"/>
              <w:textAlignment w:val="auto"/>
              <w:rPr>
                <w:b w:val="0"/>
                <w:sz w:val="20"/>
                <w:szCs w:val="20"/>
              </w:rPr>
            </w:pPr>
            <w:r w:rsidRPr="00C95A5A">
              <w:rPr>
                <w:sz w:val="20"/>
                <w:szCs w:val="20"/>
              </w:rPr>
              <w:t>Inadequacy of funding</w:t>
            </w:r>
          </w:p>
          <w:p w:rsidR="00DB3058" w:rsidRPr="00C95A5A" w:rsidRDefault="00DB3058" w:rsidP="00DB3058">
            <w:pPr>
              <w:rPr>
                <w:b w:val="0"/>
                <w:bCs w:val="0"/>
                <w:sz w:val="20"/>
                <w:szCs w:val="20"/>
              </w:rPr>
            </w:pPr>
            <w:r w:rsidRPr="00C95A5A">
              <w:rPr>
                <w:b w:val="0"/>
                <w:bCs w:val="0"/>
                <w:sz w:val="20"/>
                <w:szCs w:val="20"/>
              </w:rPr>
              <w:t>Represents the risk of reduced financial contributions from membership.</w:t>
            </w:r>
          </w:p>
        </w:tc>
        <w:tc>
          <w:tcPr>
            <w:tcW w:w="3119" w:type="dxa"/>
          </w:tcPr>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100000" w:firstRow="0" w:lastRow="0" w:firstColumn="0" w:lastColumn="0" w:oddVBand="0" w:evenVBand="0" w:oddHBand="1" w:evenHBand="0" w:firstRowFirstColumn="0" w:firstRowLastColumn="0" w:lastRowFirstColumn="0" w:lastRowLastColumn="0"/>
              <w:rPr>
                <w:b/>
                <w:sz w:val="20"/>
                <w:szCs w:val="20"/>
              </w:rPr>
            </w:pPr>
            <w:r w:rsidRPr="00C95A5A">
              <w:rPr>
                <w:b/>
                <w:sz w:val="20"/>
                <w:szCs w:val="20"/>
              </w:rPr>
              <w:t>Be more efficient and prioritize</w:t>
            </w:r>
          </w:p>
          <w:p w:rsidR="00DB3058" w:rsidRPr="00C95A5A" w:rsidRDefault="00DB3058" w:rsidP="00DB3058">
            <w:pPr>
              <w:pStyle w:val="ListParagraph"/>
              <w:numPr>
                <w:ilvl w:val="0"/>
                <w:numId w:val="20"/>
              </w:numPr>
              <w:tabs>
                <w:tab w:val="clear" w:pos="794"/>
                <w:tab w:val="clear" w:pos="1191"/>
                <w:tab w:val="clear" w:pos="1588"/>
                <w:tab w:val="clear" w:pos="1985"/>
              </w:tabs>
              <w:overflowPunct/>
              <w:autoSpaceDE/>
              <w:autoSpaceDN/>
              <w:adjustRightInd/>
              <w:spacing w:before="0"/>
              <w:ind w:left="227" w:hanging="227"/>
              <w:textAlignment w:val="auto"/>
              <w:cnfStyle w:val="000000100000" w:firstRow="0" w:lastRow="0" w:firstColumn="0" w:lastColumn="0" w:oddVBand="0" w:evenVBand="0" w:oddHBand="1" w:evenHBand="0" w:firstRowFirstColumn="0" w:firstRowLastColumn="0" w:lastRowFirstColumn="0" w:lastRowLastColumn="0"/>
              <w:rPr>
                <w:b/>
                <w:sz w:val="20"/>
                <w:szCs w:val="20"/>
              </w:rPr>
            </w:pPr>
            <w:r w:rsidRPr="00C95A5A">
              <w:rPr>
                <w:b/>
                <w:sz w:val="20"/>
                <w:szCs w:val="20"/>
              </w:rPr>
              <w:t>Ensure effective financial planning</w:t>
            </w:r>
          </w:p>
        </w:tc>
        <w:tc>
          <w:tcPr>
            <w:tcW w:w="2551" w:type="dxa"/>
          </w:tcPr>
          <w:p w:rsidR="00DB3058" w:rsidRPr="00C95A5A" w:rsidRDefault="003A3140" w:rsidP="003A3140">
            <w:pPr>
              <w:tabs>
                <w:tab w:val="left" w:pos="165"/>
              </w:tabs>
              <w:cnfStyle w:val="000000100000" w:firstRow="0" w:lastRow="0" w:firstColumn="0" w:lastColumn="0" w:oddVBand="0" w:evenVBand="0" w:oddHBand="1" w:evenHBand="0" w:firstRowFirstColumn="0" w:firstRowLastColumn="0" w:lastRowFirstColumn="0" w:lastRowLastColumn="0"/>
              <w:rPr>
                <w:b/>
                <w:sz w:val="20"/>
                <w:szCs w:val="20"/>
              </w:rPr>
            </w:pPr>
            <w:r w:rsidRPr="003A3140">
              <w:rPr>
                <w:sz w:val="20"/>
              </w:rPr>
              <w:t>–</w:t>
            </w:r>
            <w:r>
              <w:rPr>
                <w:sz w:val="20"/>
                <w:szCs w:val="20"/>
              </w:rPr>
              <w:tab/>
            </w:r>
            <w:r w:rsidR="00DB3058" w:rsidRPr="00C95A5A">
              <w:rPr>
                <w:sz w:val="20"/>
                <w:szCs w:val="20"/>
              </w:rPr>
              <w:t>Implementation criteria</w:t>
            </w:r>
          </w:p>
        </w:tc>
      </w:tr>
    </w:tbl>
    <w:p w:rsidR="00DB3058" w:rsidRPr="00C95A5A" w:rsidRDefault="003A3140" w:rsidP="003A3140">
      <w:pPr>
        <w:pStyle w:val="Heading1"/>
      </w:pPr>
      <w:bookmarkStart w:id="74" w:name="_Toc377565038"/>
      <w:bookmarkStart w:id="75" w:name="_Toc387091850"/>
      <w:r>
        <w:t>4</w:t>
      </w:r>
      <w:r>
        <w:tab/>
      </w:r>
      <w:r w:rsidR="00DB3058" w:rsidRPr="00C95A5A">
        <w:t>Sector and Intersectoral Objectives, Outcomes</w:t>
      </w:r>
      <w:bookmarkEnd w:id="74"/>
      <w:r w:rsidR="00DB3058" w:rsidRPr="00C95A5A">
        <w:t xml:space="preserve"> and Outputs</w:t>
      </w:r>
      <w:bookmarkEnd w:id="75"/>
    </w:p>
    <w:p w:rsidR="00DB3058" w:rsidRPr="00C95A5A" w:rsidRDefault="00DB3058" w:rsidP="003A3140">
      <w:r w:rsidRPr="00C95A5A">
        <w:t>ITU will implement strategic goals of the Union for 2016-2019 through a number of objectives to be attained in this period. Each Sector will contribute to the overarching goals of the Union in the context of its specific remit, through the implementation of the sector-specific objectives and the overarching intersectoral objectives. The Council will ensure efficient coordination and oversight of this work.</w:t>
      </w:r>
    </w:p>
    <w:p w:rsidR="00DB3058" w:rsidRPr="00C95A5A" w:rsidRDefault="003A3140" w:rsidP="003A3140">
      <w:pPr>
        <w:pStyle w:val="Heading2"/>
      </w:pPr>
      <w:bookmarkStart w:id="76" w:name="_Toc387091851"/>
      <w:r>
        <w:t>4.1</w:t>
      </w:r>
      <w:r>
        <w:tab/>
      </w:r>
      <w:r w:rsidR="00DB3058" w:rsidRPr="00C95A5A">
        <w:t>Sector and intersectoral objectives</w:t>
      </w:r>
      <w:bookmarkEnd w:id="76"/>
    </w:p>
    <w:p w:rsidR="00DB3058" w:rsidRPr="00C95A5A" w:rsidRDefault="00DB3058" w:rsidP="00DB3058">
      <w:r w:rsidRPr="00C95A5A">
        <w:t xml:space="preserve">Sector and intersectoral objectives will contribute to the ITU Strategic Goals as presented in </w:t>
      </w:r>
      <w:r w:rsidRPr="00C95A5A">
        <w:fldChar w:fldCharType="begin"/>
      </w:r>
      <w:r w:rsidRPr="00C95A5A">
        <w:instrText xml:space="preserve"> REF _Ref378949585 \h </w:instrText>
      </w:r>
      <w:r>
        <w:instrText xml:space="preserve"> \* MERGEFORMAT </w:instrText>
      </w:r>
      <w:r w:rsidRPr="00C95A5A">
        <w:fldChar w:fldCharType="separate"/>
      </w:r>
      <w:r w:rsidR="006A34C6" w:rsidRPr="006A34C6">
        <w:t xml:space="preserve">Table </w:t>
      </w:r>
      <w:r w:rsidR="006A34C6" w:rsidRPr="006A34C6">
        <w:rPr>
          <w:noProof/>
        </w:rPr>
        <w:t>4</w:t>
      </w:r>
      <w:r w:rsidRPr="00C95A5A">
        <w:fldChar w:fldCharType="end"/>
      </w:r>
      <w:r w:rsidRPr="00C95A5A">
        <w:t xml:space="preserve"> below</w:t>
      </w:r>
      <w:r w:rsidRPr="00C95A5A">
        <w:rPr>
          <w:rStyle w:val="FootnoteReference"/>
        </w:rPr>
        <w:footnoteReference w:id="49"/>
      </w:r>
      <w:r w:rsidRPr="00C95A5A">
        <w:t>, supported by the enablers of the goals and the objectives of the Union provided by the secretariat.</w:t>
      </w:r>
    </w:p>
    <w:p w:rsidR="0019433A" w:rsidRDefault="0019433A" w:rsidP="003A3140">
      <w:pPr>
        <w:sectPr w:rsidR="0019433A" w:rsidSect="003A3140">
          <w:headerReference w:type="default" r:id="rId18"/>
          <w:footerReference w:type="default" r:id="rId19"/>
          <w:footerReference w:type="first" r:id="rId20"/>
          <w:pgSz w:w="11907" w:h="16834"/>
          <w:pgMar w:top="1418" w:right="1134" w:bottom="1418" w:left="1134" w:header="720" w:footer="720" w:gutter="0"/>
          <w:paperSrc w:first="15" w:other="15"/>
          <w:cols w:space="720"/>
          <w:docGrid w:linePitch="326"/>
        </w:sectPr>
      </w:pPr>
    </w:p>
    <w:p w:rsidR="00DB3058" w:rsidRDefault="00DB3058" w:rsidP="003A3140"/>
    <w:p w:rsidR="0019433A" w:rsidRPr="0019433A" w:rsidRDefault="0019433A" w:rsidP="0019433A">
      <w:pPr>
        <w:pStyle w:val="Caption"/>
        <w:rPr>
          <w:rFonts w:asciiTheme="majorBidi" w:hAnsiTheme="majorBidi" w:cstheme="majorBidi"/>
          <w:sz w:val="22"/>
          <w:szCs w:val="22"/>
          <w:lang w:val="en-GB"/>
        </w:rPr>
      </w:pPr>
      <w:bookmarkStart w:id="77" w:name="_Ref378949585"/>
      <w:r w:rsidRPr="0019433A">
        <w:rPr>
          <w:rFonts w:asciiTheme="majorBidi" w:hAnsiTheme="majorBidi" w:cstheme="majorBidi"/>
          <w:sz w:val="22"/>
          <w:szCs w:val="22"/>
          <w:lang w:val="en-GB"/>
        </w:rPr>
        <w:t xml:space="preserve">Table </w:t>
      </w:r>
      <w:r w:rsidRPr="0019433A">
        <w:rPr>
          <w:rFonts w:asciiTheme="majorBidi" w:hAnsiTheme="majorBidi" w:cstheme="majorBidi"/>
          <w:sz w:val="22"/>
          <w:szCs w:val="22"/>
          <w:lang w:val="en-GB"/>
        </w:rPr>
        <w:fldChar w:fldCharType="begin"/>
      </w:r>
      <w:r w:rsidRPr="0019433A">
        <w:rPr>
          <w:rFonts w:asciiTheme="majorBidi" w:hAnsiTheme="majorBidi" w:cstheme="majorBidi"/>
          <w:sz w:val="22"/>
          <w:szCs w:val="22"/>
          <w:lang w:val="en-GB"/>
        </w:rPr>
        <w:instrText xml:space="preserve"> SEQ Table \* ARABIC </w:instrText>
      </w:r>
      <w:r w:rsidRPr="0019433A">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4</w:t>
      </w:r>
      <w:r w:rsidRPr="0019433A">
        <w:rPr>
          <w:rFonts w:asciiTheme="majorBidi" w:hAnsiTheme="majorBidi" w:cstheme="majorBidi"/>
          <w:sz w:val="22"/>
          <w:szCs w:val="22"/>
          <w:lang w:val="en-GB"/>
        </w:rPr>
        <w:fldChar w:fldCharType="end"/>
      </w:r>
      <w:bookmarkEnd w:id="77"/>
      <w:r w:rsidRPr="0019433A">
        <w:rPr>
          <w:rFonts w:asciiTheme="majorBidi" w:hAnsiTheme="majorBidi" w:cstheme="majorBidi"/>
          <w:sz w:val="22"/>
          <w:szCs w:val="22"/>
          <w:lang w:val="en-GB"/>
        </w:rPr>
        <w:t>: Linkage of Sector and intersectoral Objectives to ITU Strategic Goals</w:t>
      </w:r>
    </w:p>
    <w:tbl>
      <w:tblPr>
        <w:tblStyle w:val="PlainTable21"/>
        <w:tblW w:w="147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9922"/>
        <w:gridCol w:w="850"/>
        <w:gridCol w:w="1134"/>
        <w:gridCol w:w="1276"/>
        <w:gridCol w:w="1134"/>
      </w:tblGrid>
      <w:tr w:rsidR="0019433A" w:rsidRPr="00C95A5A" w:rsidTr="000F1506">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348" w:type="dxa"/>
            <w:gridSpan w:val="2"/>
            <w:hideMark/>
          </w:tcPr>
          <w:p w:rsidR="0019433A" w:rsidRPr="00C95A5A" w:rsidRDefault="0019433A" w:rsidP="000F1506">
            <w:pPr>
              <w:spacing w:line="192" w:lineRule="auto"/>
              <w:jc w:val="center"/>
              <w:rPr>
                <w:sz w:val="20"/>
                <w:szCs w:val="20"/>
              </w:rPr>
            </w:pPr>
          </w:p>
        </w:tc>
        <w:tc>
          <w:tcPr>
            <w:tcW w:w="850" w:type="dxa"/>
            <w:vAlign w:val="center"/>
            <w:hideMark/>
          </w:tcPr>
          <w:p w:rsidR="0019433A" w:rsidRPr="00C95A5A" w:rsidRDefault="0019433A" w:rsidP="000F1506">
            <w:pPr>
              <w:spacing w:line="192"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C95A5A">
              <w:rPr>
                <w:bCs w:val="0"/>
                <w:sz w:val="20"/>
                <w:szCs w:val="20"/>
              </w:rPr>
              <w:t>Goal 1: Growth</w:t>
            </w:r>
          </w:p>
        </w:tc>
        <w:tc>
          <w:tcPr>
            <w:tcW w:w="1134" w:type="dxa"/>
            <w:vAlign w:val="center"/>
            <w:hideMark/>
          </w:tcPr>
          <w:p w:rsidR="0019433A" w:rsidRPr="00C95A5A" w:rsidRDefault="0019433A" w:rsidP="000F1506">
            <w:pPr>
              <w:spacing w:line="192"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C95A5A">
              <w:rPr>
                <w:bCs w:val="0"/>
                <w:sz w:val="20"/>
                <w:szCs w:val="20"/>
              </w:rPr>
              <w:t>Goal 2: Inclusiveness</w:t>
            </w:r>
          </w:p>
        </w:tc>
        <w:tc>
          <w:tcPr>
            <w:tcW w:w="1276" w:type="dxa"/>
            <w:vAlign w:val="center"/>
            <w:hideMark/>
          </w:tcPr>
          <w:p w:rsidR="0019433A" w:rsidRPr="00C95A5A" w:rsidRDefault="0019433A" w:rsidP="000F1506">
            <w:pPr>
              <w:spacing w:line="192"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C95A5A">
              <w:rPr>
                <w:bCs w:val="0"/>
                <w:sz w:val="20"/>
                <w:szCs w:val="20"/>
              </w:rPr>
              <w:t>Goal 3: Sustainability</w:t>
            </w:r>
          </w:p>
        </w:tc>
        <w:tc>
          <w:tcPr>
            <w:tcW w:w="1134" w:type="dxa"/>
            <w:vAlign w:val="center"/>
            <w:hideMark/>
          </w:tcPr>
          <w:p w:rsidR="0019433A" w:rsidRPr="00C95A5A" w:rsidRDefault="0019433A" w:rsidP="000F1506">
            <w:pPr>
              <w:spacing w:line="192"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C95A5A">
              <w:rPr>
                <w:bCs w:val="0"/>
                <w:sz w:val="20"/>
                <w:szCs w:val="20"/>
              </w:rPr>
              <w:t xml:space="preserve">Goal 4: Innovation &amp; </w:t>
            </w:r>
            <w:r>
              <w:rPr>
                <w:bCs w:val="0"/>
                <w:sz w:val="20"/>
                <w:szCs w:val="20"/>
              </w:rPr>
              <w:t>p</w:t>
            </w:r>
            <w:r w:rsidRPr="00C95A5A">
              <w:rPr>
                <w:bCs w:val="0"/>
                <w:sz w:val="20"/>
                <w:szCs w:val="20"/>
              </w:rPr>
              <w:t>artnership</w:t>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tcPr>
          <w:p w:rsidR="0019433A" w:rsidRPr="00C95A5A" w:rsidRDefault="0019433A" w:rsidP="000F1506">
            <w:pPr>
              <w:jc w:val="center"/>
              <w:rPr>
                <w:sz w:val="20"/>
                <w:szCs w:val="20"/>
              </w:rPr>
            </w:pPr>
            <w:r w:rsidRPr="00C95A5A">
              <w:rPr>
                <w:sz w:val="20"/>
                <w:szCs w:val="20"/>
              </w:rPr>
              <w:t>Objectives</w:t>
            </w:r>
          </w:p>
        </w:tc>
        <w:tc>
          <w:tcPr>
            <w:tcW w:w="9922"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r w:rsidRPr="00C95A5A">
              <w:rPr>
                <w:b/>
                <w:bCs/>
                <w:sz w:val="20"/>
                <w:szCs w:val="18"/>
              </w:rPr>
              <w:t>ITU-R objectives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R.1. Meet, in a rational, equitable, efficient and economical way, the ITU membership’s requirements for radio-frequency spectrum and satellite-orbit resources, while avoiding harmful interference</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R.2. Provide for worldwide connectivity and interoperability, improved performance, quality and affordability of service and overall system economy in radiocommunications, including through the development of international standards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r>
      <w:tr w:rsidR="0019433A" w:rsidRPr="00C95A5A" w:rsidTr="005664C8">
        <w:trPr>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R.3. Foster the acquisition and sharing of knowledge and know-how on radiocommunications</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r w:rsidRPr="00C95A5A">
              <w:rPr>
                <w:b/>
                <w:bCs/>
                <w:sz w:val="20"/>
                <w:szCs w:val="18"/>
              </w:rPr>
              <w:t>ITU-T objectives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T.1. Develop non-discriminatory international standards (ITU-T Recommendations), in a timely manner, and foster interoperability and improved performance of equipment, networks, services and applications</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26" w:type="dxa"/>
            <w:vMerge/>
            <w:textDirection w:val="btLr"/>
          </w:tcPr>
          <w:p w:rsidR="0019433A" w:rsidRPr="00C95A5A" w:rsidRDefault="0019433A" w:rsidP="000F1506">
            <w:pPr>
              <w:jc w:val="cente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 xml:space="preserve">T.2. Promote the active participation of the membership, in particular developing countries, in the definition and adoption of </w:t>
            </w:r>
            <w:r>
              <w:rPr>
                <w:sz w:val="20"/>
                <w:szCs w:val="18"/>
              </w:rPr>
              <w:t>non-discriminatory international</w:t>
            </w:r>
            <w:r w:rsidRPr="00C95A5A">
              <w:rPr>
                <w:sz w:val="20"/>
                <w:szCs w:val="18"/>
              </w:rPr>
              <w:t xml:space="preserve"> standards (ITU-T Recommendations)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231"/>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T.3. Ensure effective allocation and management of international telecommunication numbering, naming, addressing and identification resources in accordance with ITU-T Recommendations and procedures</w:t>
            </w:r>
          </w:p>
        </w:tc>
        <w:tc>
          <w:tcPr>
            <w:tcW w:w="850"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T.4 Foster the acquisition and sharing of knowledge and know-how on the standardization activities of ITU-T</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r>
      <w:tr w:rsidR="0019433A" w:rsidRPr="00C95A5A" w:rsidTr="005664C8">
        <w:trPr>
          <w:trHeight w:val="231"/>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 xml:space="preserve">T.5 Extend and facilitate cooperation </w:t>
            </w:r>
            <w:r>
              <w:rPr>
                <w:sz w:val="20"/>
                <w:szCs w:val="18"/>
              </w:rPr>
              <w:t>with</w:t>
            </w:r>
            <w:r w:rsidRPr="00C95A5A">
              <w:rPr>
                <w:sz w:val="20"/>
                <w:szCs w:val="18"/>
              </w:rPr>
              <w:t xml:space="preserve"> international and regional standardization bodies</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95A5A">
              <w:rPr>
                <w:sz w:val="20"/>
                <w:szCs w:val="20"/>
              </w:rPr>
              <w:sym w:font="Wingdings 2" w:char="F050"/>
            </w: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r w:rsidRPr="00C95A5A">
              <w:rPr>
                <w:b/>
                <w:bCs/>
                <w:sz w:val="20"/>
                <w:szCs w:val="18"/>
              </w:rPr>
              <w:t>ITU-D objectives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128"/>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D.1. Foster international cooperation on telecommunication/ICT development issues</w:t>
            </w:r>
          </w:p>
        </w:tc>
        <w:tc>
          <w:tcPr>
            <w:tcW w:w="850"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D.2. Foster an enabling environment for ICT development and foster the development of telecommunication/ICT networks as well as relevant applications and services, including bridging the standardization gap</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128"/>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EC3552"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D.3</w:t>
            </w:r>
            <w:r w:rsidRPr="00C95A5A">
              <w:t xml:space="preserve"> </w:t>
            </w:r>
            <w:r w:rsidRPr="00C95A5A">
              <w:rPr>
                <w:sz w:val="20"/>
                <w:szCs w:val="18"/>
              </w:rPr>
              <w:t>Enhance confidence and security in the use of telecommunications/ICTs, and roll-out of relevant applications and services</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EC3552"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D.4. Build human and institutional capacity, provide data and statistics, promote digital inclusion and provide concentrated assistan</w:t>
            </w:r>
            <w:r>
              <w:rPr>
                <w:sz w:val="20"/>
                <w:szCs w:val="18"/>
              </w:rPr>
              <w:t>ce to countries in special need</w:t>
            </w:r>
          </w:p>
        </w:tc>
        <w:tc>
          <w:tcPr>
            <w:tcW w:w="850" w:type="dxa"/>
            <w:vAlign w:val="center"/>
            <w:hideMark/>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hideMark/>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hideMark/>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hideMark/>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9433A" w:rsidRPr="00C95A5A" w:rsidTr="005664C8">
        <w:trPr>
          <w:trHeight w:val="20"/>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D.5. Enhance environmental protection, climate-change adaptation and mitigation,</w:t>
            </w:r>
            <w:r w:rsidRPr="00C95A5A" w:rsidDel="004B507D">
              <w:rPr>
                <w:sz w:val="20"/>
                <w:szCs w:val="18"/>
              </w:rPr>
              <w:t xml:space="preserve"> </w:t>
            </w:r>
            <w:r w:rsidRPr="00C95A5A">
              <w:rPr>
                <w:sz w:val="20"/>
                <w:szCs w:val="18"/>
              </w:rPr>
              <w:t>and disaster-management efforts through telecommunications/ICTs</w:t>
            </w:r>
          </w:p>
        </w:tc>
        <w:tc>
          <w:tcPr>
            <w:tcW w:w="850"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r w:rsidRPr="00C95A5A">
              <w:rPr>
                <w:b/>
                <w:bCs/>
                <w:sz w:val="20"/>
                <w:szCs w:val="18"/>
              </w:rPr>
              <w:t>Intersectoral objectives</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18"/>
              </w:rPr>
            </w:pPr>
          </w:p>
        </w:tc>
      </w:tr>
      <w:tr w:rsidR="0019433A" w:rsidRPr="00C95A5A" w:rsidTr="005664C8">
        <w:trPr>
          <w:trHeight w:val="20"/>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I.1. Enhance international dialogue among stakeholders</w:t>
            </w:r>
          </w:p>
        </w:tc>
        <w:tc>
          <w:tcPr>
            <w:tcW w:w="850"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I.2. Enhance partnerships and cooperation within the telecommunication/ICT environment</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95A5A">
              <w:rPr>
                <w:b/>
                <w:bCs/>
                <w:sz w:val="20"/>
                <w:szCs w:val="20"/>
              </w:rPr>
              <w:sym w:font="Wingdings 2" w:char="F052"/>
            </w:r>
          </w:p>
        </w:tc>
      </w:tr>
      <w:tr w:rsidR="0019433A" w:rsidRPr="00C95A5A" w:rsidTr="005664C8">
        <w:trPr>
          <w:trHeight w:val="109"/>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rPr>
                <w:sz w:val="20"/>
                <w:szCs w:val="18"/>
              </w:rPr>
            </w:pPr>
            <w:r w:rsidRPr="00C95A5A">
              <w:rPr>
                <w:sz w:val="20"/>
                <w:szCs w:val="18"/>
              </w:rPr>
              <w:t xml:space="preserve">I.3. Enhance identification and analysis of emerging trends in the telecommunication/ICT environment </w:t>
            </w:r>
          </w:p>
        </w:tc>
        <w:tc>
          <w:tcPr>
            <w:tcW w:w="850"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276"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sz w:val="20"/>
                <w:szCs w:val="20"/>
              </w:rPr>
              <w:sym w:font="Wingdings 2" w:char="F050"/>
            </w: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r>
      <w:tr w:rsidR="0019433A" w:rsidRPr="00C95A5A" w:rsidTr="005664C8">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426" w:type="dxa"/>
            <w:vMerge/>
          </w:tcPr>
          <w:p w:rsidR="0019433A" w:rsidRPr="00C95A5A" w:rsidRDefault="0019433A" w:rsidP="000F1506">
            <w:pPr>
              <w:rPr>
                <w:sz w:val="20"/>
                <w:szCs w:val="20"/>
              </w:rPr>
            </w:pPr>
          </w:p>
        </w:tc>
        <w:tc>
          <w:tcPr>
            <w:tcW w:w="9922" w:type="dxa"/>
          </w:tcPr>
          <w:p w:rsidR="0019433A" w:rsidRPr="00C95A5A" w:rsidRDefault="0019433A" w:rsidP="000F1506">
            <w:pPr>
              <w:spacing w:line="192" w:lineRule="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I.4. Enhance/promote recognition of (importance of) the telecommunication/ICTs as a key enabler of social, economic and environmentally sustainable development</w:t>
            </w:r>
          </w:p>
        </w:tc>
        <w:tc>
          <w:tcPr>
            <w:tcW w:w="850"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95A5A">
              <w:rPr>
                <w:b/>
                <w:bCs/>
                <w:sz w:val="20"/>
                <w:szCs w:val="20"/>
              </w:rPr>
              <w:sym w:font="Wingdings 2" w:char="F052"/>
            </w:r>
          </w:p>
        </w:tc>
        <w:tc>
          <w:tcPr>
            <w:tcW w:w="1134" w:type="dxa"/>
            <w:vAlign w:val="center"/>
          </w:tcPr>
          <w:p w:rsidR="0019433A" w:rsidRPr="00C95A5A" w:rsidRDefault="0019433A" w:rsidP="000F1506">
            <w:pPr>
              <w:spacing w:line="192"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19433A" w:rsidRPr="00C95A5A" w:rsidTr="005664C8">
        <w:trPr>
          <w:trHeight w:val="230"/>
        </w:trPr>
        <w:tc>
          <w:tcPr>
            <w:cnfStyle w:val="001000000000" w:firstRow="0" w:lastRow="0" w:firstColumn="1" w:lastColumn="0" w:oddVBand="0" w:evenVBand="0" w:oddHBand="0" w:evenHBand="0" w:firstRowFirstColumn="0" w:firstRowLastColumn="0" w:lastRowFirstColumn="0" w:lastRowLastColumn="0"/>
            <w:tcW w:w="426" w:type="dxa"/>
            <w:vMerge/>
            <w:hideMark/>
          </w:tcPr>
          <w:p w:rsidR="0019433A" w:rsidRPr="00C95A5A" w:rsidRDefault="0019433A" w:rsidP="000F1506">
            <w:pPr>
              <w:rPr>
                <w:sz w:val="20"/>
                <w:szCs w:val="20"/>
              </w:rPr>
            </w:pPr>
          </w:p>
        </w:tc>
        <w:tc>
          <w:tcPr>
            <w:tcW w:w="9922" w:type="dxa"/>
            <w:hideMark/>
          </w:tcPr>
          <w:p w:rsidR="0019433A" w:rsidRPr="00C95A5A" w:rsidRDefault="0019433A" w:rsidP="000F1506">
            <w:pPr>
              <w:spacing w:line="192" w:lineRule="auto"/>
              <w:cnfStyle w:val="000000000000" w:firstRow="0" w:lastRow="0" w:firstColumn="0" w:lastColumn="0" w:oddVBand="0" w:evenVBand="0" w:oddHBand="0" w:evenHBand="0" w:firstRowFirstColumn="0" w:firstRowLastColumn="0" w:lastRowFirstColumn="0" w:lastRowLastColumn="0"/>
            </w:pPr>
            <w:r w:rsidRPr="000D3FCF">
              <w:rPr>
                <w:sz w:val="20"/>
                <w:szCs w:val="18"/>
              </w:rPr>
              <w:t>I.5. Enhance access to telecommunications/ICTs for persons with disabilities and specific needs</w:t>
            </w:r>
          </w:p>
        </w:tc>
        <w:tc>
          <w:tcPr>
            <w:tcW w:w="850"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C95A5A">
              <w:rPr>
                <w:b/>
                <w:bCs/>
                <w:sz w:val="20"/>
                <w:szCs w:val="20"/>
              </w:rPr>
              <w:sym w:font="Wingdings 2" w:char="F052"/>
            </w:r>
          </w:p>
        </w:tc>
        <w:tc>
          <w:tcPr>
            <w:tcW w:w="1276" w:type="dxa"/>
            <w:vAlign w:val="center"/>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hideMark/>
          </w:tcPr>
          <w:p w:rsidR="0019433A" w:rsidRPr="00C95A5A" w:rsidRDefault="0019433A" w:rsidP="000F1506">
            <w:pPr>
              <w:spacing w:line="192"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9433A" w:rsidRPr="00C95A5A" w:rsidTr="005664C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6" w:type="dxa"/>
            <w:textDirection w:val="btLr"/>
          </w:tcPr>
          <w:p w:rsidR="0019433A" w:rsidRPr="00C95A5A" w:rsidRDefault="0019433A" w:rsidP="000F1506">
            <w:pPr>
              <w:ind w:left="113" w:right="113"/>
              <w:jc w:val="center"/>
              <w:rPr>
                <w:sz w:val="20"/>
                <w:szCs w:val="20"/>
              </w:rPr>
            </w:pPr>
            <w:r w:rsidRPr="00C95A5A">
              <w:rPr>
                <w:sz w:val="20"/>
                <w:szCs w:val="20"/>
              </w:rPr>
              <w:t>Enablers</w:t>
            </w:r>
          </w:p>
        </w:tc>
        <w:tc>
          <w:tcPr>
            <w:tcW w:w="14316" w:type="dxa"/>
            <w:gridSpan w:val="5"/>
            <w:vAlign w:val="center"/>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0" w:line="192" w:lineRule="auto"/>
              <w:ind w:left="283" w:hanging="113"/>
              <w:textAlignment w:val="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Ensure efficient and effective use of human, financial and capital resources, as well as a work-conducive, safe and secure working environment</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0" w:line="192" w:lineRule="auto"/>
              <w:ind w:left="283" w:hanging="113"/>
              <w:textAlignment w:val="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Ensure efficient and accessible conferences, meetings, documentation, publications and information infrastructures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0" w:line="192" w:lineRule="auto"/>
              <w:ind w:left="283" w:hanging="113"/>
              <w:textAlignment w:val="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Ensure efficient membership-related, protocol, communication and resource mobilization services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0" w:line="192" w:lineRule="auto"/>
              <w:ind w:left="283" w:hanging="113"/>
              <w:textAlignment w:val="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Ensure efficient planning, coordination and execution of the strategic plan and operational plans of the Union</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0" w:line="192" w:lineRule="auto"/>
              <w:ind w:left="283" w:hanging="113"/>
              <w:textAlignment w:val="auto"/>
              <w:cnfStyle w:val="000000100000" w:firstRow="0" w:lastRow="0" w:firstColumn="0" w:lastColumn="0" w:oddVBand="0" w:evenVBand="0" w:oddHBand="1" w:evenHBand="0" w:firstRowFirstColumn="0" w:firstRowLastColumn="0" w:lastRowFirstColumn="0" w:lastRowLastColumn="0"/>
              <w:rPr>
                <w:sz w:val="20"/>
                <w:szCs w:val="18"/>
              </w:rPr>
            </w:pPr>
            <w:r w:rsidRPr="00C95A5A">
              <w:rPr>
                <w:sz w:val="20"/>
                <w:szCs w:val="18"/>
              </w:rPr>
              <w:t>Ensure effective and efficient governance of the organization (internal and external)</w:t>
            </w:r>
          </w:p>
        </w:tc>
      </w:tr>
    </w:tbl>
    <w:p w:rsidR="0019433A" w:rsidRPr="00C95A5A" w:rsidRDefault="005664C8" w:rsidP="005664C8">
      <w:pPr>
        <w:pStyle w:val="Heading2"/>
      </w:pPr>
      <w:bookmarkStart w:id="78" w:name="_Toc387091852"/>
      <w:r>
        <w:t>4.2</w:t>
      </w:r>
      <w:r>
        <w:tab/>
      </w:r>
      <w:r w:rsidR="0019433A" w:rsidRPr="00C95A5A">
        <w:t>Objectives, outcomes and outputs</w:t>
      </w:r>
      <w:bookmarkEnd w:id="78"/>
    </w:p>
    <w:p w:rsidR="0019433A" w:rsidRPr="00C95A5A" w:rsidRDefault="0019433A" w:rsidP="005664C8">
      <w:pPr>
        <w:spacing w:after="120"/>
      </w:pPr>
      <w:r w:rsidRPr="00C95A5A">
        <w:t>The Sector and intersectoral objectives will be met by achieving the related outcomes, implemented by the outputs presented in the table below:</w:t>
      </w:r>
    </w:p>
    <w:p w:rsidR="0019433A" w:rsidRPr="005664C8" w:rsidRDefault="0019433A" w:rsidP="0019433A">
      <w:pPr>
        <w:pStyle w:val="Caption"/>
        <w:rPr>
          <w:rFonts w:asciiTheme="majorBidi" w:hAnsiTheme="majorBidi" w:cstheme="majorBidi"/>
          <w:sz w:val="22"/>
          <w:szCs w:val="22"/>
          <w:lang w:val="en-GB"/>
        </w:rPr>
      </w:pPr>
      <w:r w:rsidRPr="005664C8">
        <w:rPr>
          <w:rFonts w:asciiTheme="majorBidi" w:hAnsiTheme="majorBidi" w:cstheme="majorBidi"/>
          <w:sz w:val="22"/>
          <w:szCs w:val="22"/>
          <w:lang w:val="en-GB"/>
        </w:rPr>
        <w:t xml:space="preserve">Table </w:t>
      </w:r>
      <w:r w:rsidRPr="005664C8">
        <w:rPr>
          <w:rFonts w:asciiTheme="majorBidi" w:hAnsiTheme="majorBidi" w:cstheme="majorBidi"/>
          <w:sz w:val="22"/>
          <w:szCs w:val="22"/>
          <w:lang w:val="en-GB"/>
        </w:rPr>
        <w:fldChar w:fldCharType="begin"/>
      </w:r>
      <w:r w:rsidRPr="005664C8">
        <w:rPr>
          <w:rFonts w:asciiTheme="majorBidi" w:hAnsiTheme="majorBidi" w:cstheme="majorBidi"/>
          <w:sz w:val="22"/>
          <w:szCs w:val="22"/>
          <w:lang w:val="en-GB"/>
        </w:rPr>
        <w:instrText xml:space="preserve"> SEQ Table \* ARABIC </w:instrText>
      </w:r>
      <w:r w:rsidRPr="005664C8">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5</w:t>
      </w:r>
      <w:r w:rsidRPr="005664C8">
        <w:rPr>
          <w:rFonts w:asciiTheme="majorBidi" w:hAnsiTheme="majorBidi" w:cstheme="majorBidi"/>
          <w:sz w:val="22"/>
          <w:szCs w:val="22"/>
          <w:lang w:val="en-GB"/>
        </w:rPr>
        <w:fldChar w:fldCharType="end"/>
      </w:r>
      <w:r w:rsidRPr="005664C8">
        <w:rPr>
          <w:rFonts w:asciiTheme="majorBidi" w:hAnsiTheme="majorBidi" w:cstheme="majorBidi"/>
          <w:sz w:val="22"/>
          <w:szCs w:val="22"/>
          <w:lang w:val="en-GB"/>
        </w:rPr>
        <w:t>: Objectives, outcomes and outputs</w:t>
      </w:r>
    </w:p>
    <w:tbl>
      <w:tblPr>
        <w:tblStyle w:val="PlainTable21"/>
        <w:tblW w:w="14742" w:type="dxa"/>
        <w:tblInd w:w="108" w:type="dxa"/>
        <w:tblBorders>
          <w:top w:val="single" w:sz="4" w:space="0" w:color="auto"/>
          <w:bottom w:val="single" w:sz="4" w:space="0" w:color="auto"/>
          <w:insideH w:val="single" w:sz="4" w:space="0" w:color="auto"/>
        </w:tblBorders>
        <w:tblLook w:val="0420" w:firstRow="1" w:lastRow="0" w:firstColumn="0" w:lastColumn="0" w:noHBand="0" w:noVBand="1"/>
      </w:tblPr>
      <w:tblGrid>
        <w:gridCol w:w="3686"/>
        <w:gridCol w:w="6095"/>
        <w:gridCol w:w="4961"/>
      </w:tblGrid>
      <w:tr w:rsidR="0019433A" w:rsidRPr="00C95A5A" w:rsidTr="000F1506">
        <w:trPr>
          <w:cnfStyle w:val="100000000000" w:firstRow="1" w:lastRow="0" w:firstColumn="0" w:lastColumn="0" w:oddVBand="0" w:evenVBand="0" w:oddHBand="0" w:evenHBand="0" w:firstRowFirstColumn="0" w:firstRowLastColumn="0" w:lastRowFirstColumn="0" w:lastRowLastColumn="0"/>
          <w:tblHeader/>
        </w:trPr>
        <w:tc>
          <w:tcPr>
            <w:tcW w:w="3686" w:type="dxa"/>
          </w:tcPr>
          <w:p w:rsidR="0019433A" w:rsidRPr="00C95A5A" w:rsidRDefault="0019433A" w:rsidP="000F1506">
            <w:pPr>
              <w:rPr>
                <w:sz w:val="20"/>
                <w:szCs w:val="20"/>
              </w:rPr>
            </w:pPr>
            <w:r w:rsidRPr="00C95A5A">
              <w:rPr>
                <w:sz w:val="20"/>
                <w:szCs w:val="20"/>
              </w:rPr>
              <w:t>Objective</w:t>
            </w:r>
          </w:p>
        </w:tc>
        <w:tc>
          <w:tcPr>
            <w:tcW w:w="6095" w:type="dxa"/>
          </w:tcPr>
          <w:p w:rsidR="0019433A" w:rsidRPr="00C95A5A" w:rsidRDefault="0019433A" w:rsidP="000F1506">
            <w:pPr>
              <w:rPr>
                <w:sz w:val="20"/>
                <w:szCs w:val="20"/>
              </w:rPr>
            </w:pPr>
            <w:r w:rsidRPr="00C95A5A">
              <w:rPr>
                <w:sz w:val="20"/>
                <w:szCs w:val="20"/>
              </w:rPr>
              <w:t>Outcomes</w:t>
            </w:r>
          </w:p>
        </w:tc>
        <w:tc>
          <w:tcPr>
            <w:tcW w:w="4961" w:type="dxa"/>
          </w:tcPr>
          <w:p w:rsidR="0019433A" w:rsidRPr="00C95A5A" w:rsidRDefault="0019433A" w:rsidP="000F1506">
            <w:pPr>
              <w:rPr>
                <w:sz w:val="20"/>
                <w:szCs w:val="20"/>
              </w:rPr>
            </w:pPr>
            <w:r w:rsidRPr="00C95A5A">
              <w:rPr>
                <w:sz w:val="20"/>
                <w:szCs w:val="20"/>
              </w:rPr>
              <w:t>Outputs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14742" w:type="dxa"/>
            <w:gridSpan w:val="3"/>
          </w:tcPr>
          <w:p w:rsidR="0019433A" w:rsidRPr="00C95A5A" w:rsidRDefault="0019433A" w:rsidP="000F1506">
            <w:pPr>
              <w:spacing w:before="60" w:after="60"/>
              <w:rPr>
                <w:b/>
                <w:bCs/>
                <w:sz w:val="20"/>
                <w:szCs w:val="20"/>
              </w:rPr>
            </w:pPr>
            <w:r w:rsidRPr="00C95A5A">
              <w:rPr>
                <w:b/>
                <w:bCs/>
                <w:sz w:val="20"/>
                <w:szCs w:val="20"/>
              </w:rPr>
              <w:t>ITU-R objectives</w:t>
            </w:r>
          </w:p>
        </w:tc>
      </w:tr>
      <w:tr w:rsidR="0019433A" w:rsidRPr="00C95A5A" w:rsidTr="000F1506">
        <w:tc>
          <w:tcPr>
            <w:tcW w:w="3686" w:type="dxa"/>
          </w:tcPr>
          <w:p w:rsidR="0019433A" w:rsidRPr="00C95A5A" w:rsidRDefault="0019433A" w:rsidP="000F1506">
            <w:pPr>
              <w:spacing w:before="60" w:after="60"/>
              <w:rPr>
                <w:b/>
                <w:bCs/>
                <w:sz w:val="20"/>
                <w:szCs w:val="20"/>
              </w:rPr>
            </w:pPr>
            <w:r w:rsidRPr="00C95A5A">
              <w:rPr>
                <w:b/>
                <w:sz w:val="20"/>
                <w:szCs w:val="18"/>
              </w:rPr>
              <w:t>R.1. Meet, in a rational, equitable, efficient and economical way, the ITU membership’s requirements for radio-frequency spectrum and satellite-orbit resources, while avoiding harmful interference</w:t>
            </w:r>
          </w:p>
        </w:tc>
        <w:tc>
          <w:tcPr>
            <w:tcW w:w="6095" w:type="dxa"/>
          </w:tcPr>
          <w:p w:rsidR="0019433A" w:rsidRPr="00C95A5A" w:rsidRDefault="0019433A" w:rsidP="000F1506">
            <w:pPr>
              <w:spacing w:before="60" w:after="60"/>
              <w:rPr>
                <w:sz w:val="20"/>
                <w:szCs w:val="20"/>
              </w:rPr>
            </w:pPr>
            <w:r w:rsidRPr="00C95A5A">
              <w:rPr>
                <w:sz w:val="20"/>
                <w:szCs w:val="20"/>
              </w:rPr>
              <w:t>R.1-1: Increased number of countries having satellite networks and earth stations recorded in the Master International Frequency Register (MIFR)</w:t>
            </w:r>
          </w:p>
          <w:p w:rsidR="0019433A" w:rsidRPr="00C95A5A" w:rsidRDefault="0019433A" w:rsidP="000F1506">
            <w:pPr>
              <w:spacing w:before="60" w:after="60"/>
              <w:rPr>
                <w:b/>
                <w:bCs/>
                <w:sz w:val="20"/>
                <w:szCs w:val="20"/>
              </w:rPr>
            </w:pPr>
            <w:r w:rsidRPr="00C95A5A">
              <w:rPr>
                <w:sz w:val="20"/>
                <w:szCs w:val="20"/>
              </w:rPr>
              <w:t>R.1-2: Increased number of countries having terrestrial frequency assignments recorded in the MIFR</w:t>
            </w:r>
          </w:p>
          <w:p w:rsidR="0019433A" w:rsidRPr="00C95A5A" w:rsidRDefault="0019433A" w:rsidP="000F1506">
            <w:pPr>
              <w:spacing w:before="60" w:after="60"/>
              <w:rPr>
                <w:b/>
                <w:bCs/>
                <w:sz w:val="20"/>
                <w:szCs w:val="20"/>
              </w:rPr>
            </w:pPr>
            <w:r w:rsidRPr="00C95A5A">
              <w:rPr>
                <w:sz w:val="20"/>
                <w:szCs w:val="20"/>
              </w:rPr>
              <w:t>R.1-3: Increased percentage of countries which have completed the transition to digital terrestrial television</w:t>
            </w:r>
          </w:p>
          <w:p w:rsidR="0019433A" w:rsidRPr="00C95A5A" w:rsidRDefault="0019433A" w:rsidP="000F1506">
            <w:pPr>
              <w:spacing w:before="60" w:after="60"/>
              <w:rPr>
                <w:b/>
                <w:bCs/>
                <w:sz w:val="20"/>
                <w:szCs w:val="20"/>
              </w:rPr>
            </w:pPr>
            <w:r w:rsidRPr="00C95A5A">
              <w:rPr>
                <w:sz w:val="20"/>
                <w:szCs w:val="20"/>
              </w:rPr>
              <w:t xml:space="preserve">R.1-4: Increased percentage of spectrum assigned to satellite networks which is free from harmful interference </w:t>
            </w:r>
          </w:p>
          <w:p w:rsidR="0019433A" w:rsidRPr="00C95A5A" w:rsidRDefault="0019433A" w:rsidP="000F1506">
            <w:pPr>
              <w:spacing w:before="60" w:after="60"/>
              <w:rPr>
                <w:sz w:val="20"/>
                <w:szCs w:val="20"/>
              </w:rPr>
            </w:pPr>
            <w:r w:rsidRPr="00C95A5A">
              <w:rPr>
                <w:sz w:val="20"/>
                <w:szCs w:val="20"/>
              </w:rPr>
              <w:t>R.1-5: Increased percentage of assignments to terrestrial services recorded in the master register which are free from harmful interference</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Final Acts of World Radiocommunication Conferences, updated Radio Regulations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Final Acts of Regional Radiocommunication Conferences, Regional</w:t>
            </w:r>
            <w:r w:rsidR="007855D0">
              <w:rPr>
                <w:sz w:val="20"/>
                <w:szCs w:val="20"/>
              </w:rPr>
              <w:t xml:space="preserve"> </w:t>
            </w:r>
            <w:r w:rsidRPr="00C95A5A">
              <w:rPr>
                <w:sz w:val="20"/>
                <w:szCs w:val="20"/>
              </w:rPr>
              <w:t>Agreements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Rules of procedure adopted by Radio Regulations Board (RRB)</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Results of the processing of space notices and other related activities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Results of the processing of terrestrial notices and other related activities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 xml:space="preserve">RRB decisions other than adoption of Rules of </w:t>
            </w:r>
            <w:r w:rsidRPr="00C95A5A">
              <w:rPr>
                <w:sz w:val="20"/>
                <w:szCs w:val="20"/>
              </w:rPr>
              <w:lastRenderedPageBreak/>
              <w:t>Procedure</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Improvement of software of ITU-R</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0F1506">
            <w:pPr>
              <w:spacing w:before="60" w:after="60"/>
              <w:rPr>
                <w:b/>
                <w:bCs/>
                <w:sz w:val="20"/>
                <w:szCs w:val="20"/>
              </w:rPr>
            </w:pPr>
            <w:r w:rsidRPr="00C95A5A">
              <w:rPr>
                <w:b/>
                <w:sz w:val="20"/>
                <w:szCs w:val="18"/>
              </w:rPr>
              <w:lastRenderedPageBreak/>
              <w:t>R.2. Provide for worldwide connectivity and interoperability, improved performance, quality and affordability of service and overall system economy in radiocommunications, including through the development of international standards</w:t>
            </w:r>
          </w:p>
        </w:tc>
        <w:tc>
          <w:tcPr>
            <w:tcW w:w="6095" w:type="dxa"/>
          </w:tcPr>
          <w:p w:rsidR="0019433A" w:rsidRPr="00C95A5A" w:rsidRDefault="0019433A" w:rsidP="000F1506">
            <w:pPr>
              <w:spacing w:before="60" w:after="60"/>
              <w:rPr>
                <w:sz w:val="20"/>
                <w:szCs w:val="20"/>
              </w:rPr>
            </w:pPr>
            <w:r w:rsidRPr="00C95A5A">
              <w:rPr>
                <w:sz w:val="20"/>
                <w:szCs w:val="20"/>
              </w:rPr>
              <w:t>R.2-1: Increased mobile broadband access including in frequency bands identified for International Mobile Telecommunications (IMT)</w:t>
            </w:r>
          </w:p>
          <w:p w:rsidR="0019433A" w:rsidRPr="00C95A5A" w:rsidRDefault="0019433A" w:rsidP="000F1506">
            <w:pPr>
              <w:spacing w:before="60" w:after="60"/>
              <w:rPr>
                <w:szCs w:val="20"/>
              </w:rPr>
            </w:pPr>
            <w:r w:rsidRPr="00C95A5A">
              <w:rPr>
                <w:sz w:val="20"/>
                <w:szCs w:val="20"/>
              </w:rPr>
              <w:t>R.2-2: Reduced mobile broadband price basket</w:t>
            </w:r>
            <w:r w:rsidRPr="00C95A5A">
              <w:rPr>
                <w:rStyle w:val="FootnoteReference"/>
                <w:sz w:val="20"/>
                <w:szCs w:val="20"/>
              </w:rPr>
              <w:footnoteReference w:id="50"/>
            </w:r>
            <w:r w:rsidRPr="00C95A5A">
              <w:rPr>
                <w:sz w:val="20"/>
                <w:szCs w:val="20"/>
              </w:rPr>
              <w:t>, as percentage of Gross national income (GNI) per capita</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Decisions of Radio Assembly, ITU-R Resolutions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w:t>
            </w:r>
            <w:r w:rsidRPr="00C95A5A">
              <w:rPr>
                <w:rFonts w:ascii="MS Gothic" w:eastAsia="MS Gothic" w:hAnsi="MS Gothic" w:cs="MS Gothic"/>
                <w:sz w:val="20"/>
                <w:szCs w:val="20"/>
              </w:rPr>
              <w:t>-</w:t>
            </w:r>
            <w:r w:rsidRPr="00C95A5A">
              <w:rPr>
                <w:sz w:val="20"/>
                <w:szCs w:val="20"/>
              </w:rPr>
              <w:t>R Recommendations, Reports (including the CPM report) and Handbooks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Advice from the Radiocommunication Advisory Group</w:t>
            </w:r>
          </w:p>
        </w:tc>
      </w:tr>
      <w:tr w:rsidR="0019433A" w:rsidRPr="00C95A5A" w:rsidTr="000F1506">
        <w:tc>
          <w:tcPr>
            <w:tcW w:w="3686" w:type="dxa"/>
            <w:shd w:val="clear" w:color="auto" w:fill="auto"/>
          </w:tcPr>
          <w:p w:rsidR="0019433A" w:rsidRPr="00C95A5A" w:rsidRDefault="0019433A" w:rsidP="000F1506">
            <w:pPr>
              <w:spacing w:before="60" w:after="60"/>
              <w:rPr>
                <w:b/>
                <w:bCs/>
                <w:sz w:val="20"/>
                <w:szCs w:val="20"/>
              </w:rPr>
            </w:pPr>
            <w:r w:rsidRPr="00C95A5A">
              <w:rPr>
                <w:b/>
                <w:sz w:val="20"/>
                <w:szCs w:val="18"/>
              </w:rPr>
              <w:t>R.3. Foster the acquisition and sharing of knowledge and know-how on radiocommunications</w:t>
            </w:r>
          </w:p>
        </w:tc>
        <w:tc>
          <w:tcPr>
            <w:tcW w:w="6095" w:type="dxa"/>
            <w:shd w:val="clear" w:color="auto" w:fill="auto"/>
          </w:tcPr>
          <w:p w:rsidR="0019433A" w:rsidRPr="00C95A5A" w:rsidRDefault="0019433A" w:rsidP="000F1506">
            <w:pPr>
              <w:spacing w:before="60" w:after="60"/>
              <w:rPr>
                <w:sz w:val="20"/>
                <w:szCs w:val="20"/>
              </w:rPr>
            </w:pPr>
            <w:r w:rsidRPr="00C95A5A">
              <w:rPr>
                <w:sz w:val="20"/>
                <w:szCs w:val="20"/>
              </w:rPr>
              <w:t>R.3-1: Increased knowledge and know-how on Radio Regulations, Rules of Procedures, Regional Agreements and best practices on spectrum use</w:t>
            </w:r>
          </w:p>
          <w:p w:rsidR="0019433A" w:rsidRPr="00C95A5A" w:rsidRDefault="0019433A" w:rsidP="000F1506">
            <w:pPr>
              <w:spacing w:before="60" w:after="60"/>
              <w:rPr>
                <w:sz w:val="20"/>
                <w:szCs w:val="20"/>
              </w:rPr>
            </w:pPr>
            <w:r w:rsidRPr="00C95A5A">
              <w:rPr>
                <w:sz w:val="20"/>
                <w:szCs w:val="20"/>
              </w:rPr>
              <w:t>R.3-2: Increased participation in ITU-R activities, in particular, developing countries</w:t>
            </w:r>
          </w:p>
        </w:tc>
        <w:tc>
          <w:tcPr>
            <w:tcW w:w="4961" w:type="dxa"/>
            <w:shd w:val="clear" w:color="auto" w:fill="auto"/>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ITU-R publications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Assistance to members, in particular developing countries and LDCs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Liaison/support to development activities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Seminars, workshops and other events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14742" w:type="dxa"/>
            <w:gridSpan w:val="3"/>
          </w:tcPr>
          <w:p w:rsidR="0019433A" w:rsidRPr="00C95A5A" w:rsidRDefault="0019433A" w:rsidP="000F1506">
            <w:pPr>
              <w:spacing w:before="60" w:after="60"/>
              <w:rPr>
                <w:b/>
                <w:sz w:val="20"/>
                <w:szCs w:val="20"/>
              </w:rPr>
            </w:pPr>
            <w:r w:rsidRPr="00C95A5A">
              <w:rPr>
                <w:b/>
                <w:bCs/>
                <w:sz w:val="20"/>
                <w:szCs w:val="20"/>
              </w:rPr>
              <w:t>ITU-T objectives</w:t>
            </w:r>
          </w:p>
        </w:tc>
      </w:tr>
      <w:tr w:rsidR="0019433A" w:rsidRPr="00C95A5A" w:rsidTr="000F1506">
        <w:tc>
          <w:tcPr>
            <w:tcW w:w="3686" w:type="dxa"/>
          </w:tcPr>
          <w:p w:rsidR="0019433A" w:rsidRPr="00EC3552" w:rsidRDefault="0019433A" w:rsidP="000F1506">
            <w:pPr>
              <w:spacing w:before="60" w:after="60"/>
              <w:rPr>
                <w:b/>
                <w:sz w:val="20"/>
                <w:szCs w:val="18"/>
              </w:rPr>
            </w:pPr>
            <w:r w:rsidRPr="00C95A5A">
              <w:rPr>
                <w:b/>
                <w:sz w:val="20"/>
                <w:szCs w:val="18"/>
              </w:rPr>
              <w:t>T.1. Develop non-discriminatory international standards (ITU-T Recommendations), in a timely manner, and foster interoperability and improved performance of equipment, netw</w:t>
            </w:r>
            <w:r>
              <w:rPr>
                <w:b/>
                <w:sz w:val="20"/>
                <w:szCs w:val="18"/>
              </w:rPr>
              <w:t>orks, services and applications</w:t>
            </w:r>
          </w:p>
        </w:tc>
        <w:tc>
          <w:tcPr>
            <w:tcW w:w="6095" w:type="dxa"/>
          </w:tcPr>
          <w:p w:rsidR="0019433A" w:rsidRPr="00C95A5A" w:rsidRDefault="0019433A" w:rsidP="000F1506">
            <w:pPr>
              <w:spacing w:before="60" w:after="60"/>
              <w:rPr>
                <w:sz w:val="20"/>
                <w:szCs w:val="20"/>
              </w:rPr>
            </w:pPr>
            <w:r w:rsidRPr="00C95A5A">
              <w:rPr>
                <w:sz w:val="20"/>
                <w:szCs w:val="20"/>
              </w:rPr>
              <w:t>T.1-1: Increased utilization of ITU-T Recommendations</w:t>
            </w:r>
          </w:p>
          <w:p w:rsidR="0019433A" w:rsidRPr="00C95A5A" w:rsidRDefault="0019433A" w:rsidP="000F1506">
            <w:pPr>
              <w:spacing w:before="60" w:after="60"/>
              <w:rPr>
                <w:sz w:val="20"/>
                <w:szCs w:val="20"/>
              </w:rPr>
            </w:pPr>
            <w:r w:rsidRPr="00C95A5A">
              <w:rPr>
                <w:sz w:val="20"/>
                <w:szCs w:val="20"/>
              </w:rPr>
              <w:t>T.1-2: Improved conformance to ITU-T Recommendations</w:t>
            </w:r>
          </w:p>
          <w:p w:rsidR="0019433A" w:rsidRPr="00C95A5A" w:rsidRDefault="0019433A" w:rsidP="000F1506">
            <w:pPr>
              <w:spacing w:before="60" w:after="60"/>
            </w:pPr>
            <w:r w:rsidRPr="00C95A5A">
              <w:rPr>
                <w:sz w:val="20"/>
                <w:szCs w:val="20"/>
              </w:rPr>
              <w:t>T.1-3: Enhanced standards in new technologies and services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Resolutions, Recommendations and Opinions of World Telecommunication Standardization Assembly (WTSA)</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WTSA regional consultation sessions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Advice and Decisions of Telecommunication Standardization Advisory Group (TSAG)</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ITU-T Recommendations and related results of ITU-T Study Groups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ITU-T general assistance and cooperation</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Conformity database</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Interoperability test centres and events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pPr>
            <w:r w:rsidRPr="00C95A5A">
              <w:rPr>
                <w:sz w:val="20"/>
                <w:szCs w:val="20"/>
              </w:rPr>
              <w:t>Development of test suites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5664C8">
            <w:pPr>
              <w:keepNext/>
              <w:spacing w:before="60" w:after="60"/>
              <w:rPr>
                <w:b/>
                <w:bCs/>
              </w:rPr>
            </w:pPr>
            <w:r w:rsidRPr="00C95A5A">
              <w:rPr>
                <w:b/>
                <w:sz w:val="20"/>
                <w:szCs w:val="18"/>
              </w:rPr>
              <w:lastRenderedPageBreak/>
              <w:t xml:space="preserve">T.2. Promote the active participation of the membership, in particular developing countries in the definition and adoption of </w:t>
            </w:r>
            <w:r>
              <w:rPr>
                <w:b/>
                <w:sz w:val="20"/>
                <w:szCs w:val="18"/>
              </w:rPr>
              <w:t>non-discriminatory international</w:t>
            </w:r>
            <w:r w:rsidRPr="00C95A5A">
              <w:rPr>
                <w:b/>
                <w:sz w:val="20"/>
                <w:szCs w:val="18"/>
              </w:rPr>
              <w:t xml:space="preserve"> standards (ITU-T Recommendations)</w:t>
            </w:r>
          </w:p>
        </w:tc>
        <w:tc>
          <w:tcPr>
            <w:tcW w:w="6095" w:type="dxa"/>
          </w:tcPr>
          <w:p w:rsidR="0019433A" w:rsidRPr="00C95A5A" w:rsidRDefault="0019433A" w:rsidP="005664C8">
            <w:pPr>
              <w:keepNext/>
              <w:spacing w:before="60" w:after="60"/>
              <w:rPr>
                <w:sz w:val="20"/>
                <w:szCs w:val="20"/>
              </w:rPr>
            </w:pPr>
            <w:r w:rsidRPr="00C95A5A">
              <w:rPr>
                <w:sz w:val="20"/>
                <w:szCs w:val="20"/>
              </w:rPr>
              <w:t>T.2-1: Increased participation in the ITU-T standardization process, including attendance of meetings, submission of contributions, taking leadership positions and hosting of meetings/workshops</w:t>
            </w:r>
          </w:p>
          <w:p w:rsidR="0019433A" w:rsidRPr="00C95A5A" w:rsidRDefault="0019433A" w:rsidP="005664C8">
            <w:pPr>
              <w:keepNext/>
              <w:spacing w:before="60" w:after="60"/>
              <w:rPr>
                <w:sz w:val="20"/>
                <w:szCs w:val="20"/>
              </w:rPr>
            </w:pPr>
            <w:r w:rsidRPr="00C95A5A">
              <w:rPr>
                <w:sz w:val="20"/>
                <w:szCs w:val="20"/>
              </w:rPr>
              <w:t>T.2-2: Increase of the ITU-T membership, including Sector Members, Associates and Academia</w:t>
            </w:r>
          </w:p>
        </w:tc>
        <w:tc>
          <w:tcPr>
            <w:tcW w:w="4961" w:type="dxa"/>
          </w:tcPr>
          <w:p w:rsidR="0019433A" w:rsidRPr="00C95A5A" w:rsidRDefault="0019433A" w:rsidP="005664C8">
            <w:pPr>
              <w:pStyle w:val="ListParagraph"/>
              <w:keepNext/>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Bridging the standardization gap (e.g. remote participation, fellowships, establishment of regional study groups)</w:t>
            </w:r>
          </w:p>
          <w:p w:rsidR="0019433A" w:rsidRPr="00C95A5A" w:rsidRDefault="0019433A" w:rsidP="005664C8">
            <w:pPr>
              <w:pStyle w:val="ListParagraph"/>
              <w:keepNext/>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Workshops and seminars including training activities</w:t>
            </w:r>
          </w:p>
          <w:p w:rsidR="0019433A" w:rsidRPr="00C95A5A" w:rsidRDefault="0019433A" w:rsidP="005664C8">
            <w:pPr>
              <w:pStyle w:val="ListParagraph"/>
              <w:keepNext/>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Outreach and promotion</w:t>
            </w:r>
          </w:p>
        </w:tc>
      </w:tr>
      <w:tr w:rsidR="0019433A" w:rsidRPr="00C95A5A" w:rsidTr="000F1506">
        <w:tc>
          <w:tcPr>
            <w:tcW w:w="3686" w:type="dxa"/>
          </w:tcPr>
          <w:p w:rsidR="0019433A" w:rsidRPr="00C95A5A" w:rsidRDefault="0019433A" w:rsidP="000F1506">
            <w:pPr>
              <w:spacing w:before="60" w:after="60"/>
              <w:rPr>
                <w:b/>
                <w:bCs/>
              </w:rPr>
            </w:pPr>
            <w:r w:rsidRPr="00C95A5A">
              <w:rPr>
                <w:b/>
                <w:sz w:val="20"/>
                <w:szCs w:val="18"/>
              </w:rPr>
              <w:t>T.3. Ensure effective allocation and management of international telecommunication numbering, naming, addressing and identification resources in accordance with ITU-T Recommendations and procedures</w:t>
            </w:r>
          </w:p>
        </w:tc>
        <w:tc>
          <w:tcPr>
            <w:tcW w:w="6095" w:type="dxa"/>
          </w:tcPr>
          <w:p w:rsidR="0019433A" w:rsidRPr="00C95A5A" w:rsidRDefault="0019433A" w:rsidP="000F1506">
            <w:pPr>
              <w:spacing w:before="60" w:after="60"/>
              <w:rPr>
                <w:szCs w:val="20"/>
              </w:rPr>
            </w:pPr>
            <w:r w:rsidRPr="00C95A5A">
              <w:rPr>
                <w:sz w:val="20"/>
                <w:szCs w:val="20"/>
              </w:rPr>
              <w:t>T.3-1: Timely and accurate allocation of international telecommunication numbering, naming, addressing and identification resources, as specified in the relevant recommendations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Relevant TSB databases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Allocation and management of international telecommunication numbering, naming, addressing and identification resources in accordance with ITU-T Recommendations and procedures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0F1506">
            <w:pPr>
              <w:spacing w:before="60" w:after="60"/>
              <w:rPr>
                <w:b/>
                <w:bCs/>
                <w:sz w:val="20"/>
                <w:szCs w:val="20"/>
              </w:rPr>
            </w:pPr>
            <w:r w:rsidRPr="00C95A5A">
              <w:rPr>
                <w:b/>
                <w:sz w:val="20"/>
                <w:szCs w:val="18"/>
              </w:rPr>
              <w:t>T.4 Foster the acquisition and sharing of knowledge and know-how on the standardization activities of ITU-T</w:t>
            </w:r>
          </w:p>
        </w:tc>
        <w:tc>
          <w:tcPr>
            <w:tcW w:w="6095" w:type="dxa"/>
          </w:tcPr>
          <w:p w:rsidR="0019433A" w:rsidRPr="00C95A5A" w:rsidRDefault="0019433A" w:rsidP="000F1506">
            <w:pPr>
              <w:spacing w:before="60" w:after="60"/>
              <w:rPr>
                <w:sz w:val="20"/>
                <w:szCs w:val="20"/>
              </w:rPr>
            </w:pPr>
            <w:r w:rsidRPr="00C95A5A">
              <w:rPr>
                <w:sz w:val="20"/>
                <w:szCs w:val="20"/>
              </w:rPr>
              <w:t xml:space="preserve">T.4-1: Increased knowledge on ITU-T standards and on best practices in the implementation of ITU-T standards. </w:t>
            </w:r>
          </w:p>
          <w:p w:rsidR="0019433A" w:rsidRPr="00C95A5A" w:rsidRDefault="0019433A" w:rsidP="000F1506">
            <w:pPr>
              <w:spacing w:before="60" w:after="60"/>
              <w:rPr>
                <w:sz w:val="20"/>
                <w:szCs w:val="20"/>
              </w:rPr>
            </w:pPr>
            <w:r w:rsidRPr="00C95A5A">
              <w:rPr>
                <w:sz w:val="20"/>
                <w:szCs w:val="20"/>
              </w:rPr>
              <w:t>T.4-2: Increased participation in ITU-T's standardization activities and increased awareness of the relevance of ITU-T standards</w:t>
            </w:r>
          </w:p>
          <w:p w:rsidR="0019433A" w:rsidRPr="00C95A5A" w:rsidRDefault="0019433A" w:rsidP="000F1506">
            <w:pPr>
              <w:spacing w:before="60" w:after="60"/>
              <w:rPr>
                <w:sz w:val="20"/>
                <w:szCs w:val="20"/>
              </w:rPr>
            </w:pPr>
            <w:r w:rsidRPr="00C95A5A">
              <w:rPr>
                <w:sz w:val="20"/>
                <w:szCs w:val="20"/>
              </w:rPr>
              <w:t>T.4-3: Increased Sector visibility</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ITU-T publications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Database publications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 xml:space="preserve">Outreach and promotion </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ITU Operational Bulletin</w:t>
            </w:r>
          </w:p>
        </w:tc>
      </w:tr>
      <w:tr w:rsidR="0019433A" w:rsidRPr="00C95A5A" w:rsidTr="000F1506">
        <w:tc>
          <w:tcPr>
            <w:tcW w:w="3686" w:type="dxa"/>
          </w:tcPr>
          <w:p w:rsidR="0019433A" w:rsidRPr="00C95A5A" w:rsidRDefault="0019433A" w:rsidP="000F1506">
            <w:pPr>
              <w:spacing w:before="60" w:after="60"/>
              <w:rPr>
                <w:b/>
                <w:szCs w:val="18"/>
              </w:rPr>
            </w:pPr>
            <w:r w:rsidRPr="00C95A5A">
              <w:rPr>
                <w:b/>
                <w:sz w:val="20"/>
                <w:szCs w:val="18"/>
              </w:rPr>
              <w:t xml:space="preserve">T.5 Extend and facilitate cooperation </w:t>
            </w:r>
            <w:r>
              <w:rPr>
                <w:b/>
                <w:sz w:val="20"/>
                <w:szCs w:val="18"/>
              </w:rPr>
              <w:t>with</w:t>
            </w:r>
            <w:r w:rsidRPr="00C95A5A">
              <w:rPr>
                <w:b/>
                <w:sz w:val="20"/>
                <w:szCs w:val="18"/>
              </w:rPr>
              <w:t xml:space="preserve"> international and regional standardization bodies</w:t>
            </w:r>
          </w:p>
        </w:tc>
        <w:tc>
          <w:tcPr>
            <w:tcW w:w="6095" w:type="dxa"/>
          </w:tcPr>
          <w:p w:rsidR="0019433A" w:rsidRPr="00C95A5A" w:rsidRDefault="0019433A" w:rsidP="000F1506">
            <w:pPr>
              <w:spacing w:before="60" w:after="60"/>
              <w:rPr>
                <w:sz w:val="20"/>
                <w:szCs w:val="20"/>
              </w:rPr>
            </w:pPr>
            <w:r w:rsidRPr="00C95A5A">
              <w:rPr>
                <w:sz w:val="20"/>
                <w:szCs w:val="20"/>
              </w:rPr>
              <w:t>T.5-1: Increased number of common texts with other standards organizations</w:t>
            </w:r>
          </w:p>
          <w:p w:rsidR="0019433A" w:rsidRPr="00C95A5A" w:rsidRDefault="0019433A" w:rsidP="000F1506">
            <w:pPr>
              <w:spacing w:before="60" w:after="60"/>
              <w:rPr>
                <w:sz w:val="20"/>
                <w:szCs w:val="20"/>
              </w:rPr>
            </w:pPr>
            <w:r w:rsidRPr="00C95A5A">
              <w:rPr>
                <w:sz w:val="20"/>
                <w:szCs w:val="20"/>
              </w:rPr>
              <w:t>T.5-2: Decreased number of conflicting standards</w:t>
            </w:r>
          </w:p>
          <w:p w:rsidR="0019433A" w:rsidRPr="00C95A5A" w:rsidRDefault="0019433A" w:rsidP="000F1506">
            <w:pPr>
              <w:spacing w:before="60" w:after="60"/>
              <w:rPr>
                <w:sz w:val="20"/>
                <w:szCs w:val="20"/>
              </w:rPr>
            </w:pPr>
            <w:r w:rsidRPr="00C95A5A">
              <w:rPr>
                <w:sz w:val="20"/>
                <w:szCs w:val="20"/>
              </w:rPr>
              <w:t>T.5-3: Increased number of Memoranda of Understanding</w:t>
            </w:r>
            <w:r w:rsidR="007855D0">
              <w:rPr>
                <w:sz w:val="20"/>
                <w:szCs w:val="20"/>
              </w:rPr>
              <w:t>/</w:t>
            </w:r>
            <w:r w:rsidRPr="00C95A5A">
              <w:rPr>
                <w:sz w:val="20"/>
                <w:szCs w:val="20"/>
              </w:rPr>
              <w:t>collaboration agreements with other organizations</w:t>
            </w:r>
          </w:p>
          <w:p w:rsidR="0019433A" w:rsidRPr="00C95A5A" w:rsidRDefault="0019433A" w:rsidP="000F1506">
            <w:pPr>
              <w:spacing w:before="60" w:after="60"/>
              <w:rPr>
                <w:sz w:val="20"/>
                <w:szCs w:val="20"/>
              </w:rPr>
            </w:pPr>
            <w:r w:rsidRPr="00C95A5A">
              <w:rPr>
                <w:sz w:val="20"/>
                <w:szCs w:val="20"/>
              </w:rPr>
              <w:t>T.5-4: Increased number of ITU-T A.4, A.5 and A.6 qualified organizations</w:t>
            </w:r>
          </w:p>
          <w:p w:rsidR="0019433A" w:rsidRPr="00C95A5A" w:rsidRDefault="0019433A" w:rsidP="000F1506">
            <w:pPr>
              <w:spacing w:before="60" w:after="60"/>
              <w:rPr>
                <w:sz w:val="20"/>
                <w:szCs w:val="20"/>
              </w:rPr>
            </w:pPr>
            <w:r w:rsidRPr="00C95A5A">
              <w:rPr>
                <w:sz w:val="20"/>
                <w:szCs w:val="20"/>
              </w:rPr>
              <w:t>T.5-5: Increased number of workshops/events organized jointly with other organizations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Memoranda of Understanding (MoUs) and collaboration agreements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lang w:val="fr-CH"/>
              </w:rPr>
            </w:pPr>
            <w:r w:rsidRPr="00C95A5A">
              <w:rPr>
                <w:sz w:val="20"/>
                <w:szCs w:val="20"/>
                <w:lang w:val="fr-CH"/>
              </w:rPr>
              <w:t xml:space="preserve">ITU-T A.4/A.5/A.6 qualifications </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Jointly organized workshop/events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pPr>
            <w:r w:rsidRPr="00C95A5A">
              <w:rPr>
                <w:sz w:val="20"/>
                <w:szCs w:val="20"/>
              </w:rPr>
              <w:t>Joint texts with other organizations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14742" w:type="dxa"/>
            <w:gridSpan w:val="3"/>
          </w:tcPr>
          <w:p w:rsidR="0019433A" w:rsidRPr="00C95A5A" w:rsidRDefault="0019433A" w:rsidP="000F1506">
            <w:pPr>
              <w:spacing w:before="60" w:after="60"/>
              <w:rPr>
                <w:b/>
                <w:sz w:val="20"/>
                <w:szCs w:val="20"/>
              </w:rPr>
            </w:pPr>
            <w:r w:rsidRPr="00C95A5A">
              <w:rPr>
                <w:b/>
                <w:bCs/>
                <w:sz w:val="20"/>
                <w:szCs w:val="20"/>
              </w:rPr>
              <w:t>ITU-D objectives</w:t>
            </w:r>
            <w:r w:rsidRPr="00C95A5A">
              <w:rPr>
                <w:rStyle w:val="FootnoteReference"/>
                <w:b/>
                <w:bCs/>
                <w:sz w:val="20"/>
                <w:szCs w:val="20"/>
              </w:rPr>
              <w:footnoteReference w:id="51"/>
            </w:r>
          </w:p>
        </w:tc>
      </w:tr>
      <w:tr w:rsidR="0019433A" w:rsidRPr="00C95A5A" w:rsidTr="000F1506">
        <w:tc>
          <w:tcPr>
            <w:tcW w:w="3686" w:type="dxa"/>
          </w:tcPr>
          <w:p w:rsidR="0019433A" w:rsidRPr="00C95A5A" w:rsidRDefault="0019433A" w:rsidP="000F1506">
            <w:pPr>
              <w:spacing w:before="60" w:after="60"/>
              <w:rPr>
                <w:b/>
                <w:bCs/>
                <w:sz w:val="20"/>
                <w:szCs w:val="20"/>
              </w:rPr>
            </w:pPr>
            <w:r w:rsidRPr="00C95A5A">
              <w:rPr>
                <w:b/>
                <w:bCs/>
                <w:sz w:val="20"/>
                <w:szCs w:val="20"/>
              </w:rPr>
              <w:lastRenderedPageBreak/>
              <w:t>D.1. Foster international cooperation on telecommunication/ICT development issues</w:t>
            </w:r>
          </w:p>
        </w:tc>
        <w:tc>
          <w:tcPr>
            <w:tcW w:w="6095" w:type="dxa"/>
          </w:tcPr>
          <w:p w:rsidR="0019433A" w:rsidRPr="00C95A5A" w:rsidRDefault="0019433A" w:rsidP="000F1506">
            <w:pPr>
              <w:spacing w:before="60" w:after="60"/>
              <w:rPr>
                <w:sz w:val="20"/>
                <w:szCs w:val="20"/>
              </w:rPr>
            </w:pPr>
            <w:r w:rsidRPr="00C95A5A">
              <w:rPr>
                <w:sz w:val="20"/>
                <w:szCs w:val="20"/>
              </w:rPr>
              <w:t xml:space="preserve">D.1-1: Draft strategic plan </w:t>
            </w:r>
            <w:r>
              <w:rPr>
                <w:sz w:val="20"/>
                <w:szCs w:val="20"/>
              </w:rPr>
              <w:t>for ITU-D</w:t>
            </w:r>
          </w:p>
          <w:p w:rsidR="0019433A" w:rsidRPr="00C95A5A" w:rsidRDefault="0019433A" w:rsidP="000F1506">
            <w:pPr>
              <w:spacing w:before="60" w:after="60"/>
              <w:rPr>
                <w:sz w:val="20"/>
                <w:szCs w:val="20"/>
              </w:rPr>
            </w:pPr>
            <w:r w:rsidRPr="00C95A5A">
              <w:rPr>
                <w:sz w:val="20"/>
                <w:szCs w:val="20"/>
              </w:rPr>
              <w:t>D.1-2: WTDC Declaration</w:t>
            </w:r>
          </w:p>
          <w:p w:rsidR="0019433A" w:rsidRPr="00C95A5A" w:rsidRDefault="0019433A" w:rsidP="000F1506">
            <w:pPr>
              <w:spacing w:before="60" w:after="60"/>
              <w:rPr>
                <w:sz w:val="20"/>
                <w:szCs w:val="20"/>
              </w:rPr>
            </w:pPr>
            <w:r w:rsidRPr="00C95A5A">
              <w:rPr>
                <w:sz w:val="20"/>
                <w:szCs w:val="20"/>
              </w:rPr>
              <w:t>D.1-3: WTDC Action Plan</w:t>
            </w:r>
          </w:p>
          <w:p w:rsidR="0019433A" w:rsidRPr="00C95A5A" w:rsidRDefault="0019433A" w:rsidP="000F1506">
            <w:pPr>
              <w:spacing w:before="60" w:after="60"/>
              <w:rPr>
                <w:sz w:val="20"/>
                <w:szCs w:val="20"/>
              </w:rPr>
            </w:pPr>
            <w:r w:rsidRPr="00C95A5A">
              <w:rPr>
                <w:sz w:val="20"/>
                <w:szCs w:val="20"/>
              </w:rPr>
              <w:t>D.1-4: Resolutions and recommendations</w:t>
            </w:r>
          </w:p>
          <w:p w:rsidR="0019433A" w:rsidRPr="00C95A5A" w:rsidRDefault="0019433A" w:rsidP="000F1506">
            <w:pPr>
              <w:spacing w:before="60" w:after="60"/>
              <w:rPr>
                <w:sz w:val="20"/>
                <w:szCs w:val="20"/>
              </w:rPr>
            </w:pPr>
            <w:r w:rsidRPr="00C95A5A">
              <w:rPr>
                <w:sz w:val="20"/>
                <w:szCs w:val="20"/>
              </w:rPr>
              <w:t>D.1-5: New and revised Questions for study groups</w:t>
            </w:r>
          </w:p>
          <w:p w:rsidR="0019433A" w:rsidRPr="00C95A5A" w:rsidRDefault="0019433A" w:rsidP="000F1506">
            <w:pPr>
              <w:spacing w:before="60" w:after="60"/>
              <w:rPr>
                <w:sz w:val="20"/>
                <w:szCs w:val="20"/>
              </w:rPr>
            </w:pPr>
            <w:r w:rsidRPr="00C95A5A">
              <w:rPr>
                <w:sz w:val="20"/>
                <w:szCs w:val="20"/>
              </w:rPr>
              <w:t>D.1-6: Increased level of agreement on priority areas</w:t>
            </w:r>
          </w:p>
          <w:p w:rsidR="0019433A" w:rsidRPr="00C95A5A" w:rsidRDefault="0019433A" w:rsidP="000F1506">
            <w:pPr>
              <w:spacing w:before="60" w:after="60"/>
              <w:rPr>
                <w:sz w:val="20"/>
                <w:szCs w:val="20"/>
              </w:rPr>
            </w:pPr>
            <w:r w:rsidRPr="00C95A5A">
              <w:rPr>
                <w:sz w:val="20"/>
                <w:szCs w:val="20"/>
              </w:rPr>
              <w:t>D.1-7: Assessment of the implementation of the Action Plan and of the WSIS Plan of Action</w:t>
            </w:r>
          </w:p>
          <w:p w:rsidR="0019433A" w:rsidRPr="00C95A5A" w:rsidRDefault="0019433A" w:rsidP="000F1506">
            <w:pPr>
              <w:spacing w:before="60" w:after="60"/>
              <w:rPr>
                <w:sz w:val="20"/>
                <w:szCs w:val="20"/>
              </w:rPr>
            </w:pPr>
            <w:r w:rsidRPr="00C95A5A">
              <w:rPr>
                <w:sz w:val="20"/>
                <w:szCs w:val="20"/>
              </w:rPr>
              <w:t>D.1-8: Identification of regional initiatives</w:t>
            </w:r>
          </w:p>
          <w:p w:rsidR="0019433A" w:rsidRPr="00C95A5A" w:rsidRDefault="0019433A" w:rsidP="000F1506">
            <w:pPr>
              <w:spacing w:before="60" w:after="60"/>
              <w:rPr>
                <w:sz w:val="20"/>
                <w:szCs w:val="20"/>
              </w:rPr>
            </w:pPr>
            <w:r w:rsidRPr="00C95A5A">
              <w:rPr>
                <w:sz w:val="20"/>
                <w:szCs w:val="20"/>
              </w:rPr>
              <w:t>D.1-9: Increased number of contributions and proposals for the Action Plan</w:t>
            </w:r>
          </w:p>
          <w:p w:rsidR="0019433A" w:rsidRPr="00C95A5A" w:rsidRDefault="0019433A" w:rsidP="000F1506">
            <w:pPr>
              <w:spacing w:before="60" w:after="60"/>
              <w:rPr>
                <w:sz w:val="20"/>
                <w:szCs w:val="20"/>
              </w:rPr>
            </w:pPr>
            <w:r w:rsidRPr="00C95A5A">
              <w:rPr>
                <w:sz w:val="20"/>
                <w:szCs w:val="20"/>
              </w:rPr>
              <w:t>D.1-10: Enhanced review of priorities, programmes, operations, financial matters and strategies</w:t>
            </w:r>
          </w:p>
          <w:p w:rsidR="0019433A" w:rsidRPr="00C95A5A" w:rsidRDefault="0019433A" w:rsidP="000F1506">
            <w:pPr>
              <w:spacing w:before="60" w:after="60"/>
              <w:rPr>
                <w:sz w:val="20"/>
                <w:szCs w:val="20"/>
              </w:rPr>
            </w:pPr>
            <w:r w:rsidRPr="00C95A5A">
              <w:rPr>
                <w:sz w:val="20"/>
                <w:szCs w:val="20"/>
              </w:rPr>
              <w:t>D.1-11: Work programme</w:t>
            </w:r>
          </w:p>
          <w:p w:rsidR="0019433A" w:rsidRPr="00C95A5A" w:rsidRDefault="0019433A" w:rsidP="000F1506">
            <w:pPr>
              <w:spacing w:before="60" w:after="60"/>
              <w:rPr>
                <w:sz w:val="20"/>
                <w:szCs w:val="20"/>
              </w:rPr>
            </w:pPr>
            <w:r w:rsidRPr="00C95A5A">
              <w:rPr>
                <w:sz w:val="20"/>
                <w:szCs w:val="20"/>
              </w:rPr>
              <w:t>D.1-12: Comprehensive preparation of progress report to the Director of BDT on the implementation of the work programme</w:t>
            </w:r>
          </w:p>
          <w:p w:rsidR="0019433A" w:rsidRPr="00C95A5A" w:rsidRDefault="0019433A" w:rsidP="000F1506">
            <w:pPr>
              <w:spacing w:before="60" w:after="60"/>
              <w:rPr>
                <w:sz w:val="20"/>
                <w:szCs w:val="20"/>
              </w:rPr>
            </w:pPr>
            <w:r w:rsidRPr="00C95A5A">
              <w:rPr>
                <w:sz w:val="20"/>
                <w:szCs w:val="20"/>
              </w:rPr>
              <w:t>D.1-13: Enhanced knowledge-sharing and dialogue among Member States and Sector Members (including Associates and Academia) on emerging telecommunication/ICT issues for sustainable growth</w:t>
            </w:r>
          </w:p>
          <w:p w:rsidR="0019433A" w:rsidRPr="00C95A5A" w:rsidRDefault="0019433A" w:rsidP="000F1506">
            <w:pPr>
              <w:spacing w:before="60" w:after="60"/>
              <w:rPr>
                <w:sz w:val="20"/>
                <w:szCs w:val="20"/>
              </w:rPr>
            </w:pPr>
            <w:r w:rsidRPr="00C95A5A">
              <w:rPr>
                <w:sz w:val="20"/>
                <w:szCs w:val="20"/>
              </w:rPr>
              <w:t>D.1-14: Strengthened capacity of members to develop and implement ICT strategies and policies as well as to identify methods and approaches for the development and deployment of infrastructure and applications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World Telecommunication Development Conference (WTDC)</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Regional preparatory meetings (RPMs)</w:t>
            </w:r>
            <w:r w:rsidRPr="00C95A5A" w:rsidDel="003F17F5">
              <w:rPr>
                <w:sz w:val="20"/>
                <w:szCs w:val="20"/>
              </w:rPr>
              <w:t xml:space="preserve"> </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Telecommunication Development Advisory Group (TDAG)</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Study groups</w:t>
            </w:r>
          </w:p>
          <w:p w:rsidR="0019433A" w:rsidRPr="00C95A5A" w:rsidRDefault="0019433A" w:rsidP="000F1506">
            <w:pPr>
              <w:spacing w:before="60" w:after="60"/>
              <w:rPr>
                <w:sz w:val="20"/>
                <w:szCs w:val="20"/>
              </w:rPr>
            </w:pP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0F1506">
            <w:pPr>
              <w:spacing w:before="60" w:after="60"/>
              <w:rPr>
                <w:b/>
                <w:bCs/>
                <w:sz w:val="20"/>
                <w:szCs w:val="20"/>
              </w:rPr>
            </w:pPr>
            <w:r w:rsidRPr="00C95A5A">
              <w:rPr>
                <w:b/>
                <w:bCs/>
                <w:sz w:val="20"/>
                <w:szCs w:val="20"/>
              </w:rPr>
              <w:t>D.2. Foster an enabling environment for ICT development and foster the development of telecommunication/ICT networks as well as relevant applications and services, including bridging the standardization gap</w:t>
            </w:r>
          </w:p>
        </w:tc>
        <w:tc>
          <w:tcPr>
            <w:tcW w:w="6095" w:type="dxa"/>
          </w:tcPr>
          <w:p w:rsidR="0019433A" w:rsidRPr="00C95A5A" w:rsidRDefault="0019433A" w:rsidP="000F1506">
            <w:pPr>
              <w:spacing w:before="60" w:after="60"/>
              <w:rPr>
                <w:sz w:val="20"/>
                <w:szCs w:val="20"/>
              </w:rPr>
            </w:pPr>
            <w:r w:rsidRPr="00C95A5A">
              <w:rPr>
                <w:sz w:val="20"/>
                <w:szCs w:val="20"/>
              </w:rPr>
              <w:t>D.2-1: Enhanced dialogue and cooperation among national regulators, policy-makers and other telecommunication/ICT stakeholders on topical policy, legal and regulatory issues to help countries achieve their goals of creating a more inclusive information society</w:t>
            </w:r>
          </w:p>
          <w:p w:rsidR="0019433A" w:rsidRPr="00C95A5A" w:rsidRDefault="0019433A" w:rsidP="000F1506">
            <w:pPr>
              <w:spacing w:before="60" w:after="60"/>
              <w:rPr>
                <w:sz w:val="20"/>
                <w:szCs w:val="20"/>
              </w:rPr>
            </w:pPr>
            <w:r w:rsidRPr="00C95A5A">
              <w:rPr>
                <w:sz w:val="20"/>
                <w:szCs w:val="20"/>
              </w:rPr>
              <w:t>D.2-2: Improved decision-making on policy and regulatory issues and conducive policy, legal and regulatory environment for the ICT sector</w:t>
            </w:r>
          </w:p>
          <w:p w:rsidR="0019433A" w:rsidRPr="00C95A5A" w:rsidRDefault="0019433A" w:rsidP="000F1506">
            <w:pPr>
              <w:spacing w:before="60" w:after="60"/>
              <w:rPr>
                <w:sz w:val="20"/>
                <w:szCs w:val="20"/>
              </w:rPr>
            </w:pPr>
            <w:r w:rsidRPr="00C95A5A">
              <w:rPr>
                <w:sz w:val="20"/>
                <w:szCs w:val="20"/>
              </w:rPr>
              <w:t xml:space="preserve">D.2-3: Enhanced awareness and capability of countries to enable planning, deployment, operation and maintenance of sustainable, accessible and resilient ICT networks and services, including broadband infrastructure, and improved knowledge of available broadband </w:t>
            </w:r>
            <w:r w:rsidRPr="00C95A5A">
              <w:rPr>
                <w:sz w:val="20"/>
                <w:szCs w:val="20"/>
              </w:rPr>
              <w:lastRenderedPageBreak/>
              <w:t xml:space="preserve">transmission infrastructure worldwide </w:t>
            </w:r>
          </w:p>
          <w:p w:rsidR="0019433A" w:rsidRPr="00C95A5A" w:rsidRDefault="0019433A" w:rsidP="000F1506">
            <w:pPr>
              <w:spacing w:before="60" w:after="60"/>
              <w:rPr>
                <w:sz w:val="20"/>
                <w:szCs w:val="20"/>
              </w:rPr>
            </w:pPr>
            <w:r w:rsidRPr="00C95A5A">
              <w:rPr>
                <w:sz w:val="20"/>
                <w:szCs w:val="20"/>
              </w:rPr>
              <w:t>D.2-4: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19433A" w:rsidRPr="00C95A5A" w:rsidRDefault="0019433A" w:rsidP="000F1506">
            <w:pPr>
              <w:spacing w:before="60" w:after="60"/>
              <w:rPr>
                <w:sz w:val="20"/>
                <w:szCs w:val="20"/>
              </w:rPr>
            </w:pPr>
            <w:r w:rsidRPr="00C95A5A">
              <w:rPr>
                <w:sz w:val="20"/>
                <w:szCs w:val="20"/>
              </w:rPr>
              <w:t>D.2-5: 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p w:rsidR="0019433A" w:rsidRPr="00C95A5A" w:rsidRDefault="0019433A" w:rsidP="000F1506">
            <w:pPr>
              <w:spacing w:before="60" w:after="60"/>
              <w:rPr>
                <w:sz w:val="20"/>
                <w:szCs w:val="20"/>
              </w:rPr>
            </w:pPr>
            <w:r w:rsidRPr="00C95A5A">
              <w:rPr>
                <w:sz w:val="20"/>
                <w:szCs w:val="20"/>
              </w:rPr>
              <w:t>D.2-6: Enhanced awareness and capability of countries in the transition from analogue to digital broadcasting and in post-transition activities, and effectiveness of implementation of the guidelines prepared</w:t>
            </w:r>
          </w:p>
          <w:p w:rsidR="0019433A" w:rsidRPr="00C95A5A" w:rsidRDefault="0019433A" w:rsidP="000F1506">
            <w:pPr>
              <w:spacing w:before="60" w:after="60"/>
              <w:rPr>
                <w:sz w:val="20"/>
                <w:szCs w:val="20"/>
              </w:rPr>
            </w:pPr>
            <w:r w:rsidRPr="00C95A5A">
              <w:rPr>
                <w:sz w:val="20"/>
                <w:szCs w:val="20"/>
              </w:rPr>
              <w:t>D.2-7: Strengthened members' capacity to integrate telecommunication/ICT innovation in national development agendas</w:t>
            </w:r>
          </w:p>
          <w:p w:rsidR="0019433A" w:rsidRPr="00C95A5A" w:rsidRDefault="0019433A" w:rsidP="000F1506">
            <w:pPr>
              <w:spacing w:before="60" w:after="60"/>
              <w:rPr>
                <w:sz w:val="20"/>
                <w:szCs w:val="20"/>
              </w:rPr>
            </w:pPr>
            <w:r w:rsidRPr="00C95A5A">
              <w:rPr>
                <w:sz w:val="20"/>
                <w:szCs w:val="20"/>
              </w:rPr>
              <w:t>D.2-8: Enhanced public-private partnership to foster the development of telecommunications/ICTs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lastRenderedPageBreak/>
              <w:t>Policy and regulatory frameworks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Telecommunication/ICT networks, including conformance and interoperability and bridging the standardization gap</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pPr>
            <w:r w:rsidRPr="00C95A5A">
              <w:rPr>
                <w:sz w:val="20"/>
                <w:szCs w:val="20"/>
              </w:rPr>
              <w:t>Innovation and partnership</w:t>
            </w:r>
          </w:p>
        </w:tc>
      </w:tr>
      <w:tr w:rsidR="0019433A" w:rsidRPr="00C95A5A" w:rsidTr="000F1506">
        <w:tc>
          <w:tcPr>
            <w:tcW w:w="3686" w:type="dxa"/>
          </w:tcPr>
          <w:p w:rsidR="0019433A" w:rsidRPr="00C95A5A" w:rsidRDefault="0019433A" w:rsidP="005664C8">
            <w:pPr>
              <w:spacing w:before="60" w:after="60"/>
              <w:rPr>
                <w:b/>
                <w:bCs/>
                <w:sz w:val="20"/>
                <w:szCs w:val="20"/>
              </w:rPr>
            </w:pPr>
            <w:r w:rsidRPr="00C95A5A">
              <w:rPr>
                <w:b/>
                <w:bCs/>
                <w:sz w:val="20"/>
                <w:szCs w:val="20"/>
              </w:rPr>
              <w:lastRenderedPageBreak/>
              <w:t>D.3. Enhance confidence and security in the use of telecommunications/ICTs, and roll-out of relevant applications and services</w:t>
            </w:r>
          </w:p>
        </w:tc>
        <w:tc>
          <w:tcPr>
            <w:tcW w:w="6095" w:type="dxa"/>
          </w:tcPr>
          <w:p w:rsidR="0019433A" w:rsidRPr="00C95A5A" w:rsidRDefault="0019433A" w:rsidP="000F1506">
            <w:pPr>
              <w:spacing w:before="60" w:after="60"/>
              <w:rPr>
                <w:sz w:val="20"/>
                <w:szCs w:val="20"/>
              </w:rPr>
            </w:pPr>
            <w:r w:rsidRPr="00C95A5A">
              <w:rPr>
                <w:sz w:val="20"/>
                <w:szCs w:val="20"/>
              </w:rPr>
              <w:t>D.3-1: Strengthened capacity of Member States to incorporate and implement cybersecurity policies and strategies into nationwide ICT plans, as well as appropriate legislation</w:t>
            </w:r>
          </w:p>
          <w:p w:rsidR="0019433A" w:rsidRPr="00C95A5A" w:rsidRDefault="0019433A" w:rsidP="000F1506">
            <w:pPr>
              <w:spacing w:before="60" w:after="60"/>
              <w:rPr>
                <w:sz w:val="20"/>
                <w:szCs w:val="20"/>
              </w:rPr>
            </w:pPr>
            <w:r w:rsidRPr="00C95A5A">
              <w:rPr>
                <w:sz w:val="20"/>
                <w:szCs w:val="20"/>
              </w:rPr>
              <w:t>D.3-2: Enhanced ability of Member States to respond to cyberthreats in a timely manner</w:t>
            </w:r>
          </w:p>
          <w:p w:rsidR="0019433A" w:rsidRPr="00C95A5A" w:rsidRDefault="0019433A" w:rsidP="000F1506">
            <w:pPr>
              <w:spacing w:before="60" w:after="60"/>
              <w:rPr>
                <w:sz w:val="20"/>
                <w:szCs w:val="20"/>
              </w:rPr>
            </w:pPr>
            <w:r w:rsidRPr="00C95A5A">
              <w:rPr>
                <w:sz w:val="20"/>
                <w:szCs w:val="20"/>
              </w:rPr>
              <w:t>D.3-3: Enhanced cooperation, information exchange and know-how transfer among Member States and with relevant players</w:t>
            </w:r>
          </w:p>
          <w:p w:rsidR="0019433A" w:rsidRPr="00C95A5A" w:rsidRDefault="0019433A" w:rsidP="000F1506">
            <w:pPr>
              <w:spacing w:before="60" w:after="60"/>
              <w:rPr>
                <w:sz w:val="20"/>
                <w:szCs w:val="20"/>
              </w:rPr>
            </w:pPr>
            <w:r w:rsidRPr="00C95A5A">
              <w:rPr>
                <w:sz w:val="20"/>
                <w:szCs w:val="20"/>
              </w:rPr>
              <w:t>D.3-4: Improved capacity of countries for the planning of national sectoral e-strategies to foster the enabling environment for upscaling ICT applications</w:t>
            </w:r>
          </w:p>
          <w:p w:rsidR="0019433A" w:rsidRPr="00C95A5A" w:rsidRDefault="0019433A" w:rsidP="000F1506">
            <w:pPr>
              <w:spacing w:before="60" w:after="60"/>
              <w:rPr>
                <w:sz w:val="20"/>
                <w:szCs w:val="20"/>
              </w:rPr>
            </w:pPr>
            <w:r w:rsidRPr="00C95A5A">
              <w:rPr>
                <w:sz w:val="20"/>
                <w:szCs w:val="20"/>
              </w:rPr>
              <w:t xml:space="preserve">D.3-5: Improved capacity of countries to leverage ICT/mobile applications to improve the delivery of value-added services in high-priority areas (e.g. health, governance, education, payments, etc.) in order to provide effective solutions for various challenges in sustainable </w:t>
            </w:r>
            <w:r w:rsidRPr="00C95A5A">
              <w:rPr>
                <w:sz w:val="20"/>
                <w:szCs w:val="20"/>
              </w:rPr>
              <w:lastRenderedPageBreak/>
              <w:t>development through public-private collaboration</w:t>
            </w:r>
          </w:p>
          <w:p w:rsidR="0019433A" w:rsidRPr="00C95A5A" w:rsidRDefault="0019433A" w:rsidP="000F1506">
            <w:pPr>
              <w:spacing w:before="60" w:after="60"/>
              <w:rPr>
                <w:sz w:val="20"/>
                <w:szCs w:val="20"/>
              </w:rPr>
            </w:pPr>
            <w:r w:rsidRPr="00C95A5A">
              <w:rPr>
                <w:sz w:val="20"/>
                <w:szCs w:val="20"/>
              </w:rPr>
              <w:t>D.3-6: Enhanced innovation, knowledge and skills of national institutions to use ICT and broadband for development</w:t>
            </w:r>
          </w:p>
          <w:p w:rsidR="0019433A" w:rsidRPr="00C95A5A" w:rsidRDefault="0019433A" w:rsidP="000F1506">
            <w:pPr>
              <w:spacing w:before="60" w:after="60"/>
              <w:rPr>
                <w:sz w:val="20"/>
                <w:szCs w:val="20"/>
              </w:rPr>
            </w:pP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lastRenderedPageBreak/>
              <w:t>Building confidence and security in the use of ICTs</w:t>
            </w:r>
          </w:p>
          <w:p w:rsidR="0019433A" w:rsidRPr="0019433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ICT applications and services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19433A">
            <w:pPr>
              <w:spacing w:before="60" w:after="60"/>
              <w:rPr>
                <w:b/>
                <w:bCs/>
                <w:sz w:val="20"/>
                <w:szCs w:val="20"/>
              </w:rPr>
            </w:pPr>
            <w:r w:rsidRPr="00C95A5A">
              <w:rPr>
                <w:b/>
                <w:bCs/>
                <w:sz w:val="20"/>
                <w:szCs w:val="20"/>
              </w:rPr>
              <w:lastRenderedPageBreak/>
              <w:t>D.4. Build human and institutional capacity, provide data and statistics, promote digital inclusion and provide concentrated assistance to countries in special need</w:t>
            </w:r>
          </w:p>
        </w:tc>
        <w:tc>
          <w:tcPr>
            <w:tcW w:w="6095" w:type="dxa"/>
          </w:tcPr>
          <w:p w:rsidR="0019433A" w:rsidRPr="00C95A5A" w:rsidRDefault="0019433A" w:rsidP="000F1506">
            <w:pPr>
              <w:spacing w:before="60" w:after="60"/>
              <w:rPr>
                <w:sz w:val="20"/>
                <w:szCs w:val="20"/>
              </w:rPr>
            </w:pPr>
            <w:r w:rsidRPr="00C95A5A">
              <w:rPr>
                <w:sz w:val="20"/>
                <w:szCs w:val="20"/>
              </w:rPr>
              <w:t>D.4-1: Enhanced capacity building of membership in international Internet governance</w:t>
            </w:r>
          </w:p>
          <w:p w:rsidR="0019433A" w:rsidRPr="00C95A5A" w:rsidRDefault="0019433A" w:rsidP="000F1506">
            <w:pPr>
              <w:spacing w:before="60" w:after="60"/>
              <w:rPr>
                <w:sz w:val="20"/>
                <w:szCs w:val="20"/>
              </w:rPr>
            </w:pPr>
            <w:r w:rsidRPr="00C95A5A">
              <w:rPr>
                <w:sz w:val="20"/>
                <w:szCs w:val="20"/>
              </w:rPr>
              <w:t>D.4-2:Improved knowledge and skills of ITU membership in the use of telecommunications/ICTs</w:t>
            </w:r>
          </w:p>
          <w:p w:rsidR="0019433A" w:rsidRPr="00C95A5A" w:rsidRDefault="0019433A" w:rsidP="000F1506">
            <w:pPr>
              <w:spacing w:before="60" w:after="60"/>
              <w:rPr>
                <w:sz w:val="20"/>
                <w:szCs w:val="20"/>
              </w:rPr>
            </w:pPr>
            <w:r w:rsidRPr="00C95A5A">
              <w:rPr>
                <w:sz w:val="20"/>
                <w:szCs w:val="20"/>
              </w:rPr>
              <w:t>D.4-3:Enhanced awareness of the role of human and institutional capacity building for telecommunications/ICTs and development for the ITU membership</w:t>
            </w:r>
          </w:p>
          <w:p w:rsidR="0019433A" w:rsidRPr="00C95A5A" w:rsidRDefault="0019433A" w:rsidP="000F1506">
            <w:pPr>
              <w:spacing w:before="60" w:after="60"/>
              <w:rPr>
                <w:sz w:val="20"/>
                <w:szCs w:val="20"/>
              </w:rPr>
            </w:pPr>
            <w:r w:rsidRPr="00C95A5A">
              <w:rPr>
                <w:sz w:val="20"/>
                <w:szCs w:val="20"/>
              </w:rPr>
              <w:t>D.4-4:Enhanced information and knowledge of policy-makers and other stakeholders on current telecommunication/ICT trends and developments based on high-quality, internationally comparable telecommunication/ICT statistics and data analysis</w:t>
            </w:r>
          </w:p>
          <w:p w:rsidR="0019433A" w:rsidRPr="00C95A5A" w:rsidRDefault="0019433A" w:rsidP="000F1506">
            <w:pPr>
              <w:spacing w:before="60" w:after="60"/>
              <w:rPr>
                <w:sz w:val="20"/>
                <w:szCs w:val="20"/>
              </w:rPr>
            </w:pPr>
            <w:r w:rsidRPr="00C95A5A">
              <w:rPr>
                <w:sz w:val="20"/>
                <w:szCs w:val="20"/>
              </w:rPr>
              <w:t>D.4-5:Enhanced dialogue between telecommunication/ICT data producers and users and increased capacity and skills of producers of telecommunication/ICT statistics to carry out data collections at the national level based on international standards and methodologies</w:t>
            </w:r>
          </w:p>
          <w:p w:rsidR="0019433A" w:rsidRPr="00C95A5A" w:rsidRDefault="0019433A" w:rsidP="000F1506">
            <w:pPr>
              <w:spacing w:before="60" w:after="60"/>
              <w:rPr>
                <w:sz w:val="20"/>
                <w:szCs w:val="20"/>
              </w:rPr>
            </w:pPr>
            <w:r w:rsidRPr="00C95A5A">
              <w:rPr>
                <w:sz w:val="20"/>
                <w:szCs w:val="20"/>
              </w:rPr>
              <w:t>D.4-6:Strengthened capacity of Member States to develop and implement digital inclusion policies, strategies and guidelines to ensure telecommunication/ICT accessibility for people with specific needs</w:t>
            </w:r>
            <w:r w:rsidRPr="00C95A5A">
              <w:rPr>
                <w:rStyle w:val="FootnoteReference"/>
                <w:sz w:val="20"/>
                <w:szCs w:val="20"/>
              </w:rPr>
              <w:footnoteReference w:id="52"/>
            </w:r>
            <w:r w:rsidRPr="00C95A5A">
              <w:rPr>
                <w:sz w:val="20"/>
                <w:szCs w:val="20"/>
              </w:rPr>
              <w:t xml:space="preserve"> and the use of telecommunications/ICTs for the social and economic empowerment of people with specific needs</w:t>
            </w:r>
          </w:p>
          <w:p w:rsidR="0019433A" w:rsidRPr="00C95A5A" w:rsidRDefault="0019433A" w:rsidP="000F1506">
            <w:pPr>
              <w:spacing w:before="60" w:after="60"/>
              <w:rPr>
                <w:sz w:val="20"/>
                <w:szCs w:val="20"/>
              </w:rPr>
            </w:pPr>
            <w:r w:rsidRPr="00C95A5A">
              <w:rPr>
                <w:sz w:val="20"/>
                <w:szCs w:val="20"/>
              </w:rPr>
              <w:t xml:space="preserve">D.4-7: Improved capacity of members to provide people with specific needs with digital literacy training and training on the use of telecommunications/ICTs for social and economic development </w:t>
            </w:r>
          </w:p>
          <w:p w:rsidR="0019433A" w:rsidRPr="00C95A5A" w:rsidRDefault="0019433A" w:rsidP="000F1506">
            <w:pPr>
              <w:spacing w:before="60" w:after="60"/>
              <w:rPr>
                <w:sz w:val="20"/>
                <w:szCs w:val="20"/>
              </w:rPr>
            </w:pPr>
            <w:r w:rsidRPr="00C95A5A">
              <w:rPr>
                <w:sz w:val="20"/>
                <w:szCs w:val="20"/>
              </w:rPr>
              <w:t xml:space="preserve">D.4-8:Improved capacity of members in using telecommunications/ICTs for the social and economic development of people with specific needs, including telecommunication/ICT programmes to promote youth </w:t>
            </w:r>
            <w:r w:rsidRPr="00C95A5A">
              <w:rPr>
                <w:sz w:val="20"/>
                <w:szCs w:val="20"/>
              </w:rPr>
              <w:lastRenderedPageBreak/>
              <w:t xml:space="preserve">employment and entrepreneurship </w:t>
            </w:r>
          </w:p>
          <w:p w:rsidR="0019433A" w:rsidRPr="00C95A5A" w:rsidRDefault="0019433A" w:rsidP="000F1506">
            <w:pPr>
              <w:spacing w:before="60" w:after="60"/>
              <w:rPr>
                <w:sz w:val="20"/>
                <w:szCs w:val="20"/>
              </w:rPr>
            </w:pPr>
            <w:r w:rsidRPr="00C95A5A">
              <w:rPr>
                <w:sz w:val="20"/>
                <w:szCs w:val="20"/>
              </w:rPr>
              <w:t>D.4-9:Improved access to and use of telecommunications/ICTs in LDCs, SIDS, LLDCs and countries with economies in transition</w:t>
            </w:r>
          </w:p>
          <w:p w:rsidR="0019433A" w:rsidRPr="00C95A5A" w:rsidRDefault="0019433A" w:rsidP="000F1506">
            <w:pPr>
              <w:spacing w:before="60" w:after="60"/>
              <w:rPr>
                <w:sz w:val="20"/>
                <w:szCs w:val="20"/>
              </w:rPr>
            </w:pPr>
            <w:r w:rsidRPr="00C95A5A">
              <w:rPr>
                <w:sz w:val="20"/>
                <w:szCs w:val="20"/>
              </w:rPr>
              <w:t>D.4-10:Enhanced capacity of LDCs, SIDS and LLDCs on telecommunication/ICT development</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lastRenderedPageBreak/>
              <w:t>Capacity building</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Telecommunication/ICT statistics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 xml:space="preserve">Digital inclusion of people with </w:t>
            </w:r>
            <w:r>
              <w:rPr>
                <w:sz w:val="20"/>
                <w:szCs w:val="20"/>
              </w:rPr>
              <w:t>specific</w:t>
            </w:r>
            <w:r w:rsidRPr="00C95A5A">
              <w:rPr>
                <w:sz w:val="20"/>
                <w:szCs w:val="20"/>
              </w:rPr>
              <w:t xml:space="preserve"> needs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Concentrated assistance to least developed countries (LDCs), small island developing states (SIDS) and landlocked developing countries (LLDCs)</w:t>
            </w:r>
          </w:p>
          <w:p w:rsidR="0019433A" w:rsidRPr="00C95A5A" w:rsidRDefault="0019433A" w:rsidP="000F1506">
            <w:pPr>
              <w:pStyle w:val="ListParagraph"/>
              <w:spacing w:before="60" w:after="60"/>
              <w:ind w:left="170"/>
              <w:rPr>
                <w:sz w:val="20"/>
                <w:szCs w:val="20"/>
              </w:rPr>
            </w:pPr>
          </w:p>
        </w:tc>
      </w:tr>
      <w:tr w:rsidR="0019433A" w:rsidRPr="00C95A5A" w:rsidTr="000F1506">
        <w:tc>
          <w:tcPr>
            <w:tcW w:w="3686" w:type="dxa"/>
          </w:tcPr>
          <w:p w:rsidR="0019433A" w:rsidRPr="00C95A5A" w:rsidRDefault="0019433A" w:rsidP="000F1506">
            <w:pPr>
              <w:spacing w:before="60" w:after="60"/>
              <w:rPr>
                <w:b/>
                <w:bCs/>
                <w:sz w:val="20"/>
                <w:szCs w:val="20"/>
              </w:rPr>
            </w:pPr>
            <w:r w:rsidRPr="00C95A5A">
              <w:rPr>
                <w:b/>
                <w:bCs/>
                <w:sz w:val="20"/>
                <w:szCs w:val="20"/>
              </w:rPr>
              <w:lastRenderedPageBreak/>
              <w:t>D.5. Enhance environmental protection, climate-change adaptation and mitigation,</w:t>
            </w:r>
            <w:r w:rsidRPr="00C95A5A" w:rsidDel="007B6419">
              <w:rPr>
                <w:b/>
                <w:bCs/>
                <w:sz w:val="20"/>
                <w:szCs w:val="20"/>
              </w:rPr>
              <w:t xml:space="preserve"> </w:t>
            </w:r>
            <w:r w:rsidRPr="00C95A5A">
              <w:rPr>
                <w:b/>
                <w:bCs/>
                <w:sz w:val="20"/>
                <w:szCs w:val="20"/>
              </w:rPr>
              <w:t>and disaster-management efforts through telecommunications/ICTs</w:t>
            </w:r>
          </w:p>
        </w:tc>
        <w:tc>
          <w:tcPr>
            <w:tcW w:w="6095" w:type="dxa"/>
          </w:tcPr>
          <w:p w:rsidR="0019433A" w:rsidRPr="00C95A5A" w:rsidRDefault="0019433A" w:rsidP="000F1506">
            <w:pPr>
              <w:spacing w:before="60" w:after="60"/>
              <w:rPr>
                <w:sz w:val="20"/>
                <w:szCs w:val="20"/>
              </w:rPr>
            </w:pPr>
            <w:r w:rsidRPr="00C95A5A">
              <w:rPr>
                <w:sz w:val="20"/>
                <w:szCs w:val="20"/>
              </w:rPr>
              <w:t xml:space="preserve">D.5-1: Improved availability of information and solutions for Member States, regarding climate-change mitigation and adaptation </w:t>
            </w:r>
          </w:p>
          <w:p w:rsidR="0019433A" w:rsidRPr="00C95A5A" w:rsidRDefault="0019433A" w:rsidP="000F1506">
            <w:pPr>
              <w:spacing w:before="60" w:after="60"/>
              <w:rPr>
                <w:sz w:val="20"/>
                <w:szCs w:val="20"/>
              </w:rPr>
            </w:pPr>
            <w:r w:rsidRPr="00C95A5A">
              <w:rPr>
                <w:sz w:val="20"/>
                <w:szCs w:val="20"/>
              </w:rPr>
              <w:t xml:space="preserve">D.5-2: Enhanced capacity of Member States in relation to climate-change mitigation and adaptation policy and regulatory frameworks </w:t>
            </w:r>
          </w:p>
          <w:p w:rsidR="0019433A" w:rsidRPr="00C95A5A" w:rsidRDefault="0019433A" w:rsidP="000F1506">
            <w:pPr>
              <w:spacing w:before="60" w:after="60"/>
              <w:rPr>
                <w:sz w:val="20"/>
                <w:szCs w:val="20"/>
              </w:rPr>
            </w:pPr>
            <w:r w:rsidRPr="00C95A5A">
              <w:rPr>
                <w:sz w:val="20"/>
                <w:szCs w:val="20"/>
              </w:rPr>
              <w:t>D.5-3: Development of e-waste policy</w:t>
            </w:r>
          </w:p>
          <w:p w:rsidR="0019433A" w:rsidRPr="00C95A5A" w:rsidRDefault="0019433A" w:rsidP="000F1506">
            <w:pPr>
              <w:spacing w:before="60" w:after="60"/>
              <w:rPr>
                <w:sz w:val="20"/>
                <w:szCs w:val="20"/>
              </w:rPr>
            </w:pPr>
            <w:r w:rsidRPr="00C95A5A">
              <w:rPr>
                <w:sz w:val="20"/>
                <w:szCs w:val="20"/>
              </w:rPr>
              <w:t>D.5-4: Developed standards-based monitoring and early-warning systems linked to national and regional networks</w:t>
            </w:r>
          </w:p>
          <w:p w:rsidR="0019433A" w:rsidRPr="00C95A5A" w:rsidRDefault="0019433A" w:rsidP="000F1506">
            <w:pPr>
              <w:spacing w:before="60" w:after="60"/>
              <w:rPr>
                <w:sz w:val="20"/>
                <w:szCs w:val="20"/>
              </w:rPr>
            </w:pPr>
            <w:r w:rsidRPr="00C95A5A">
              <w:rPr>
                <w:sz w:val="20"/>
                <w:szCs w:val="20"/>
              </w:rPr>
              <w:t>D.5-5: Collaboration to facilitate emergency disaster response</w:t>
            </w:r>
          </w:p>
          <w:p w:rsidR="0019433A" w:rsidRPr="00C95A5A" w:rsidRDefault="0019433A" w:rsidP="000F1506">
            <w:pPr>
              <w:spacing w:before="60" w:after="60"/>
              <w:rPr>
                <w:sz w:val="20"/>
                <w:szCs w:val="20"/>
              </w:rPr>
            </w:pPr>
            <w:r w:rsidRPr="00C95A5A">
              <w:rPr>
                <w:sz w:val="20"/>
                <w:szCs w:val="20"/>
              </w:rPr>
              <w:t>D.5-6: Established partnerships among relevant organizations dealing with the use of telecommunication/ICT systems for the purpose of disaster preparedness, prediction, detection and mitigation</w:t>
            </w:r>
          </w:p>
          <w:p w:rsidR="0019433A" w:rsidRPr="00C95A5A" w:rsidRDefault="0019433A" w:rsidP="000F1506">
            <w:pPr>
              <w:spacing w:before="60" w:after="60"/>
              <w:rPr>
                <w:sz w:val="20"/>
                <w:szCs w:val="20"/>
              </w:rPr>
            </w:pPr>
            <w:r w:rsidRPr="00C95A5A">
              <w:rPr>
                <w:sz w:val="20"/>
                <w:szCs w:val="20"/>
              </w:rPr>
              <w:t>D.5-7: Increased awareness of regional and international cooperation for easy access to, and sharing of, information related to the use of telecommunications/ICTs for emergency situations</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ICTs and climate-change adaptation and mitigation</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Emergency telecommunications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14742" w:type="dxa"/>
            <w:gridSpan w:val="3"/>
          </w:tcPr>
          <w:p w:rsidR="0019433A" w:rsidRPr="00C95A5A" w:rsidRDefault="0019433A" w:rsidP="000F1506">
            <w:pPr>
              <w:spacing w:before="60" w:after="60"/>
              <w:rPr>
                <w:b/>
                <w:sz w:val="20"/>
                <w:szCs w:val="20"/>
              </w:rPr>
            </w:pPr>
            <w:r w:rsidRPr="00C95A5A">
              <w:rPr>
                <w:b/>
                <w:bCs/>
                <w:sz w:val="20"/>
                <w:szCs w:val="20"/>
              </w:rPr>
              <w:t>Intersectoral objectives</w:t>
            </w:r>
          </w:p>
        </w:tc>
      </w:tr>
      <w:tr w:rsidR="0019433A" w:rsidRPr="00C95A5A" w:rsidTr="000F1506">
        <w:tc>
          <w:tcPr>
            <w:tcW w:w="3686" w:type="dxa"/>
          </w:tcPr>
          <w:p w:rsidR="0019433A" w:rsidRPr="00C95A5A" w:rsidRDefault="0019433A" w:rsidP="000F1506">
            <w:pPr>
              <w:spacing w:before="60" w:after="60"/>
              <w:rPr>
                <w:b/>
                <w:bCs/>
                <w:sz w:val="20"/>
                <w:szCs w:val="20"/>
              </w:rPr>
            </w:pPr>
            <w:r w:rsidRPr="00C95A5A">
              <w:rPr>
                <w:b/>
                <w:bCs/>
                <w:sz w:val="20"/>
                <w:szCs w:val="20"/>
              </w:rPr>
              <w:t>I.1. Enhance international dialogue among stakeholders</w:t>
            </w:r>
          </w:p>
        </w:tc>
        <w:tc>
          <w:tcPr>
            <w:tcW w:w="6095" w:type="dxa"/>
          </w:tcPr>
          <w:p w:rsidR="0019433A" w:rsidRPr="00C95A5A" w:rsidRDefault="0019433A" w:rsidP="000F1506">
            <w:pPr>
              <w:spacing w:before="60" w:after="60"/>
              <w:rPr>
                <w:szCs w:val="20"/>
              </w:rPr>
            </w:pPr>
            <w:r w:rsidRPr="00C95A5A">
              <w:rPr>
                <w:sz w:val="20"/>
                <w:szCs w:val="20"/>
              </w:rPr>
              <w:t>I.1-1: Increased collaboration among relevant stakeholders, aiming to improve the efficiency of the telecommunication/ICT environment</w:t>
            </w:r>
          </w:p>
        </w:tc>
        <w:tc>
          <w:tcPr>
            <w:tcW w:w="4961" w:type="dxa"/>
          </w:tcPr>
          <w:p w:rsidR="0019433A" w:rsidRPr="005664C8" w:rsidRDefault="0019433A" w:rsidP="005664C8">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pPr>
            <w:r w:rsidRPr="00EC3552">
              <w:rPr>
                <w:sz w:val="20"/>
                <w:szCs w:val="20"/>
              </w:rPr>
              <w:t>Intersectoral world conferences, fora, events and platforms for high-level debate (such as World Conference on International Telecommunications (WCIT), World Telecommunication/ICT Policy Forum (WTPF), World Summit on the Information Society (WSIS)</w:t>
            </w:r>
            <w:r w:rsidRPr="00C95A5A">
              <w:rPr>
                <w:rStyle w:val="FootnoteReference"/>
                <w:sz w:val="20"/>
                <w:szCs w:val="20"/>
              </w:rPr>
              <w:footnoteReference w:id="53"/>
            </w:r>
            <w:r w:rsidRPr="00EC3552">
              <w:rPr>
                <w:sz w:val="20"/>
                <w:szCs w:val="20"/>
              </w:rPr>
              <w:t>, World Telecommunication and Information Society Day (WTISD), ITU Telecom)</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C82CA9">
            <w:pPr>
              <w:keepNext/>
              <w:spacing w:before="60" w:after="60"/>
              <w:rPr>
                <w:b/>
                <w:bCs/>
                <w:sz w:val="20"/>
                <w:szCs w:val="20"/>
              </w:rPr>
            </w:pPr>
            <w:r w:rsidRPr="00C95A5A">
              <w:rPr>
                <w:b/>
                <w:bCs/>
                <w:sz w:val="20"/>
                <w:szCs w:val="20"/>
              </w:rPr>
              <w:lastRenderedPageBreak/>
              <w:t>I.2. Enhance partnerships and cooperation within the telecommunication/ICT environment</w:t>
            </w:r>
          </w:p>
        </w:tc>
        <w:tc>
          <w:tcPr>
            <w:tcW w:w="6095" w:type="dxa"/>
          </w:tcPr>
          <w:p w:rsidR="0019433A" w:rsidRPr="00C95A5A" w:rsidRDefault="0019433A" w:rsidP="00C82CA9">
            <w:pPr>
              <w:keepNext/>
              <w:spacing w:before="60" w:after="60"/>
              <w:rPr>
                <w:sz w:val="20"/>
                <w:szCs w:val="20"/>
              </w:rPr>
            </w:pPr>
            <w:r w:rsidRPr="00C95A5A">
              <w:rPr>
                <w:sz w:val="20"/>
                <w:szCs w:val="20"/>
              </w:rPr>
              <w:t>I.2-1: Increased synergies from partnerships on telecommunication/ICTs</w:t>
            </w:r>
          </w:p>
        </w:tc>
        <w:tc>
          <w:tcPr>
            <w:tcW w:w="4961" w:type="dxa"/>
          </w:tcPr>
          <w:p w:rsidR="0019433A" w:rsidRPr="00C95A5A" w:rsidRDefault="0019433A" w:rsidP="00C82CA9">
            <w:pPr>
              <w:pStyle w:val="ListParagraph"/>
              <w:keepNext/>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Knowledge-sharing, networking and partnerships</w:t>
            </w:r>
          </w:p>
          <w:p w:rsidR="0019433A" w:rsidRPr="00C95A5A" w:rsidRDefault="0019433A" w:rsidP="00C82CA9">
            <w:pPr>
              <w:pStyle w:val="ListParagraph"/>
              <w:keepNext/>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Memoranda of Understanding (MoUs)</w:t>
            </w:r>
          </w:p>
        </w:tc>
      </w:tr>
      <w:tr w:rsidR="0019433A" w:rsidRPr="00C95A5A" w:rsidTr="000F1506">
        <w:tc>
          <w:tcPr>
            <w:tcW w:w="3686" w:type="dxa"/>
          </w:tcPr>
          <w:p w:rsidR="0019433A" w:rsidRPr="00C95A5A" w:rsidRDefault="0019433A" w:rsidP="000F1506">
            <w:pPr>
              <w:spacing w:before="60" w:after="60"/>
              <w:rPr>
                <w:b/>
                <w:bCs/>
                <w:sz w:val="20"/>
                <w:szCs w:val="20"/>
              </w:rPr>
            </w:pPr>
            <w:r w:rsidRPr="00C95A5A">
              <w:rPr>
                <w:b/>
                <w:sz w:val="20"/>
                <w:szCs w:val="18"/>
              </w:rPr>
              <w:t>I.3. Enhance identification and analysis of emerging trends in the telecommunication/ICT environment</w:t>
            </w:r>
          </w:p>
        </w:tc>
        <w:tc>
          <w:tcPr>
            <w:tcW w:w="6095" w:type="dxa"/>
          </w:tcPr>
          <w:p w:rsidR="0019433A" w:rsidRDefault="0019433A" w:rsidP="000F1506">
            <w:pPr>
              <w:spacing w:before="60" w:after="60"/>
              <w:rPr>
                <w:sz w:val="20"/>
                <w:szCs w:val="20"/>
              </w:rPr>
            </w:pPr>
            <w:r w:rsidRPr="00C95A5A">
              <w:rPr>
                <w:sz w:val="20"/>
                <w:szCs w:val="20"/>
              </w:rPr>
              <w:t>I.3-1: Timely identification and analysis of emerging trends in telecommunication/ICTs and establishment of new areas of activities related to them</w:t>
            </w:r>
          </w:p>
          <w:p w:rsidR="0019433A" w:rsidRPr="00C95A5A" w:rsidRDefault="0019433A" w:rsidP="000F1506">
            <w:pPr>
              <w:spacing w:before="60" w:after="60"/>
              <w:rPr>
                <w:sz w:val="20"/>
                <w:szCs w:val="20"/>
              </w:rPr>
            </w:pP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Intersectoral initiatives and reports on emerging telecommunication/ICT trends and other similar initiatives (including ITU News)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3686" w:type="dxa"/>
          </w:tcPr>
          <w:p w:rsidR="0019433A" w:rsidRPr="00C95A5A" w:rsidRDefault="0019433A" w:rsidP="000F1506">
            <w:pPr>
              <w:spacing w:before="60" w:after="60"/>
              <w:rPr>
                <w:b/>
                <w:bCs/>
                <w:sz w:val="20"/>
                <w:szCs w:val="20"/>
              </w:rPr>
            </w:pPr>
            <w:r w:rsidRPr="00C95A5A">
              <w:rPr>
                <w:b/>
                <w:sz w:val="20"/>
                <w:szCs w:val="18"/>
              </w:rPr>
              <w:t>I.4. Enhance/promote recognition of (importance of) the telecommunication/ICTs as a key enabler of social, economic and environmentally sustainable development</w:t>
            </w:r>
          </w:p>
        </w:tc>
        <w:tc>
          <w:tcPr>
            <w:tcW w:w="6095" w:type="dxa"/>
          </w:tcPr>
          <w:p w:rsidR="0019433A" w:rsidRDefault="0019433A" w:rsidP="000F1506">
            <w:pPr>
              <w:spacing w:before="60" w:after="60"/>
              <w:rPr>
                <w:sz w:val="20"/>
                <w:szCs w:val="20"/>
              </w:rPr>
            </w:pPr>
            <w:r w:rsidRPr="00C95A5A">
              <w:rPr>
                <w:sz w:val="20"/>
                <w:szCs w:val="20"/>
              </w:rPr>
              <w:t>I.4-1: Increased multilateral and inter-governmental recognition of telecommunication/ICTs as a cross-cutting enabler for all three pillars of sustainable development (economic growth, social inclusion and environmental balance) as defined in the outcome document of the United Nations Rio+20 Sustainable Development Conference, and in support of the UN mission for peace, security and human rights</w:t>
            </w:r>
          </w:p>
          <w:p w:rsidR="0019433A" w:rsidRPr="00C95A5A" w:rsidRDefault="0019433A" w:rsidP="000F1506">
            <w:pPr>
              <w:spacing w:before="60" w:after="60"/>
              <w:rPr>
                <w:sz w:val="20"/>
                <w:szCs w:val="20"/>
              </w:rPr>
            </w:pP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Reports and other inputs to UN inter-agency, multilateral and inter-governmental processes</w:t>
            </w:r>
          </w:p>
        </w:tc>
      </w:tr>
      <w:tr w:rsidR="0019433A" w:rsidRPr="00C95A5A" w:rsidTr="000F1506">
        <w:tc>
          <w:tcPr>
            <w:tcW w:w="3686" w:type="dxa"/>
          </w:tcPr>
          <w:p w:rsidR="0019433A" w:rsidRPr="00EC3552" w:rsidRDefault="0019433A" w:rsidP="000F1506">
            <w:pPr>
              <w:spacing w:before="60" w:after="60"/>
              <w:rPr>
                <w:b/>
                <w:sz w:val="20"/>
                <w:szCs w:val="18"/>
              </w:rPr>
            </w:pPr>
            <w:r w:rsidRPr="00EC3552">
              <w:rPr>
                <w:b/>
                <w:sz w:val="20"/>
                <w:szCs w:val="18"/>
              </w:rPr>
              <w:t>I.5. Enhance access to telecommunications/ICTs for persons with disabilities and specific needs</w:t>
            </w:r>
          </w:p>
        </w:tc>
        <w:tc>
          <w:tcPr>
            <w:tcW w:w="6095" w:type="dxa"/>
          </w:tcPr>
          <w:p w:rsidR="0019433A" w:rsidRPr="000E22EF" w:rsidRDefault="0019433A" w:rsidP="000F1506">
            <w:pPr>
              <w:spacing w:before="60" w:after="60"/>
              <w:rPr>
                <w:sz w:val="20"/>
                <w:szCs w:val="20"/>
              </w:rPr>
            </w:pPr>
            <w:r w:rsidRPr="000E22EF">
              <w:rPr>
                <w:sz w:val="20"/>
                <w:szCs w:val="20"/>
              </w:rPr>
              <w:t>I.5-1 Increased availability and compliance of telecommunication/ICT equipment, services and applications with universal design principles</w:t>
            </w:r>
          </w:p>
          <w:p w:rsidR="0019433A" w:rsidRPr="000E22EF" w:rsidRDefault="0019433A" w:rsidP="000F1506">
            <w:pPr>
              <w:spacing w:before="60" w:after="60"/>
              <w:rPr>
                <w:sz w:val="20"/>
                <w:szCs w:val="20"/>
              </w:rPr>
            </w:pPr>
            <w:r w:rsidRPr="000E22EF">
              <w:rPr>
                <w:sz w:val="20"/>
                <w:szCs w:val="20"/>
              </w:rPr>
              <w:t>I.5-2 Increased engagement of organizations of persons with disabilities and specific needs in the work of the Union</w:t>
            </w:r>
          </w:p>
          <w:p w:rsidR="0019433A" w:rsidRPr="00EC3552" w:rsidRDefault="0019433A" w:rsidP="000F1506">
            <w:pPr>
              <w:spacing w:before="60" w:after="60"/>
              <w:rPr>
                <w:b/>
                <w:sz w:val="20"/>
                <w:szCs w:val="18"/>
              </w:rPr>
            </w:pPr>
            <w:r w:rsidRPr="000E22EF">
              <w:rPr>
                <w:sz w:val="20"/>
                <w:szCs w:val="20"/>
              </w:rPr>
              <w:t>I.5-3 Increased awareness, including multilateral and inter-governmental recognition, of the need to enhance access to telecommunications/ICTs for persons with disabilities and specific needs</w:t>
            </w:r>
          </w:p>
        </w:tc>
        <w:tc>
          <w:tcPr>
            <w:tcW w:w="4961" w:type="dxa"/>
          </w:tcPr>
          <w:p w:rsidR="0019433A" w:rsidRPr="000E22EF"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0E22EF">
              <w:rPr>
                <w:sz w:val="20"/>
                <w:szCs w:val="20"/>
              </w:rPr>
              <w:t>Accessibility of telecommunications/ICTs reports, guidelines, and checklists</w:t>
            </w:r>
          </w:p>
          <w:p w:rsidR="0019433A" w:rsidRPr="000E22EF"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0E22EF">
              <w:rPr>
                <w:sz w:val="20"/>
                <w:szCs w:val="20"/>
              </w:rPr>
              <w:t xml:space="preserve">Mobilization of resources and technical expertise, for example, through promoting greater participation in international and regional meetings by persons with disabilities and specific needs </w:t>
            </w:r>
          </w:p>
          <w:p w:rsidR="0019433A" w:rsidRPr="000E22EF"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0E22EF">
              <w:rPr>
                <w:sz w:val="20"/>
                <w:szCs w:val="20"/>
              </w:rPr>
              <w:t>Further development and implementation of the ITU Accessibility Policy and related plans</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0E22EF">
              <w:rPr>
                <w:sz w:val="20"/>
                <w:szCs w:val="20"/>
              </w:rPr>
              <w:t>Advocacy, both at UN level and at regional and national levels</w:t>
            </w:r>
          </w:p>
        </w:tc>
      </w:tr>
      <w:tr w:rsidR="0019433A" w:rsidRPr="00C95A5A" w:rsidTr="000F1506">
        <w:trPr>
          <w:cnfStyle w:val="000000100000" w:firstRow="0" w:lastRow="0" w:firstColumn="0" w:lastColumn="0" w:oddVBand="0" w:evenVBand="0" w:oddHBand="1" w:evenHBand="0" w:firstRowFirstColumn="0" w:firstRowLastColumn="0" w:lastRowFirstColumn="0" w:lastRowLastColumn="0"/>
        </w:trPr>
        <w:tc>
          <w:tcPr>
            <w:tcW w:w="9781" w:type="dxa"/>
            <w:gridSpan w:val="2"/>
          </w:tcPr>
          <w:p w:rsidR="0019433A" w:rsidRPr="00C95A5A" w:rsidRDefault="0019433A" w:rsidP="00E50D79">
            <w:pPr>
              <w:spacing w:before="60" w:after="60"/>
              <w:rPr>
                <w:sz w:val="20"/>
                <w:szCs w:val="20"/>
              </w:rPr>
            </w:pPr>
            <w:r w:rsidRPr="00C95A5A">
              <w:rPr>
                <w:sz w:val="20"/>
                <w:szCs w:val="20"/>
              </w:rPr>
              <w:t>The following Outputs of the activities of the ITU governing bodies contribute to the implementation of all the objectives of the Union:</w:t>
            </w:r>
          </w:p>
        </w:tc>
        <w:tc>
          <w:tcPr>
            <w:tcW w:w="4961" w:type="dxa"/>
          </w:tcPr>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Decisions, Resolutions, Recommendations and other results of the Plenipotentiary Conference</w:t>
            </w:r>
          </w:p>
          <w:p w:rsidR="0019433A" w:rsidRPr="00C95A5A" w:rsidRDefault="0019433A" w:rsidP="0019433A">
            <w:pPr>
              <w:pStyle w:val="ListParagraph"/>
              <w:numPr>
                <w:ilvl w:val="0"/>
                <w:numId w:val="19"/>
              </w:numPr>
              <w:tabs>
                <w:tab w:val="clear" w:pos="794"/>
                <w:tab w:val="clear" w:pos="1191"/>
                <w:tab w:val="clear" w:pos="1588"/>
                <w:tab w:val="clear" w:pos="1985"/>
              </w:tabs>
              <w:overflowPunct/>
              <w:autoSpaceDE/>
              <w:autoSpaceDN/>
              <w:adjustRightInd/>
              <w:spacing w:before="60" w:after="60"/>
              <w:ind w:left="170" w:hanging="170"/>
              <w:textAlignment w:val="auto"/>
              <w:rPr>
                <w:sz w:val="20"/>
                <w:szCs w:val="20"/>
              </w:rPr>
            </w:pPr>
            <w:r w:rsidRPr="00C95A5A">
              <w:rPr>
                <w:sz w:val="20"/>
                <w:szCs w:val="20"/>
              </w:rPr>
              <w:t>Decisions and Resolutions of the Council, as well as results of the Council Working Groups</w:t>
            </w:r>
          </w:p>
        </w:tc>
      </w:tr>
    </w:tbl>
    <w:p w:rsidR="0019433A" w:rsidRPr="00C95A5A" w:rsidRDefault="0019433A" w:rsidP="0019433A">
      <w:r w:rsidRPr="00C95A5A">
        <w:br w:type="page"/>
      </w:r>
    </w:p>
    <w:p w:rsidR="0019433A" w:rsidRPr="00C95A5A" w:rsidRDefault="0019433A" w:rsidP="006340E2">
      <w:pPr>
        <w:pStyle w:val="Heading2"/>
        <w:spacing w:before="0"/>
      </w:pPr>
      <w:bookmarkStart w:id="79" w:name="_Toc387091853"/>
      <w:r>
        <w:lastRenderedPageBreak/>
        <w:t>4.3</w:t>
      </w:r>
      <w:r>
        <w:tab/>
      </w:r>
      <w:r w:rsidRPr="00C95A5A">
        <w:t>Enablers</w:t>
      </w:r>
      <w:bookmarkEnd w:id="79"/>
    </w:p>
    <w:p w:rsidR="0019433A" w:rsidRDefault="0019433A" w:rsidP="006340E2">
      <w:pPr>
        <w:spacing w:after="40"/>
      </w:pPr>
      <w:r w:rsidRPr="00C95A5A">
        <w:t>The aim of the enablers of the strategic goals and the objectives of the Union is to support the activities of the ITU, towards achieving the objectives and strategic goals. The support processes contribute to the enablers of the strategic goals as presented in the table below:</w:t>
      </w:r>
    </w:p>
    <w:p w:rsidR="0019433A" w:rsidRPr="0019433A" w:rsidRDefault="0019433A" w:rsidP="006340E2">
      <w:pPr>
        <w:pStyle w:val="Caption"/>
        <w:spacing w:before="120" w:after="40"/>
        <w:rPr>
          <w:rFonts w:asciiTheme="majorBidi" w:hAnsiTheme="majorBidi" w:cstheme="majorBidi"/>
          <w:sz w:val="22"/>
          <w:szCs w:val="22"/>
          <w:lang w:val="en-GB"/>
        </w:rPr>
      </w:pPr>
      <w:r w:rsidRPr="0019433A">
        <w:rPr>
          <w:rFonts w:asciiTheme="majorBidi" w:hAnsiTheme="majorBidi" w:cstheme="majorBidi"/>
          <w:sz w:val="22"/>
          <w:szCs w:val="22"/>
          <w:lang w:val="en-GB"/>
        </w:rPr>
        <w:t xml:space="preserve">Table </w:t>
      </w:r>
      <w:r w:rsidRPr="0019433A">
        <w:rPr>
          <w:rFonts w:asciiTheme="majorBidi" w:hAnsiTheme="majorBidi" w:cstheme="majorBidi"/>
          <w:sz w:val="22"/>
          <w:szCs w:val="22"/>
          <w:lang w:val="en-GB"/>
        </w:rPr>
        <w:fldChar w:fldCharType="begin"/>
      </w:r>
      <w:r w:rsidRPr="0019433A">
        <w:rPr>
          <w:rFonts w:asciiTheme="majorBidi" w:hAnsiTheme="majorBidi" w:cstheme="majorBidi"/>
          <w:sz w:val="22"/>
          <w:szCs w:val="22"/>
          <w:lang w:val="en-GB"/>
        </w:rPr>
        <w:instrText xml:space="preserve"> SEQ Table \* ARABIC </w:instrText>
      </w:r>
      <w:r w:rsidRPr="0019433A">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6</w:t>
      </w:r>
      <w:r w:rsidRPr="0019433A">
        <w:rPr>
          <w:rFonts w:asciiTheme="majorBidi" w:hAnsiTheme="majorBidi" w:cstheme="majorBidi"/>
          <w:sz w:val="22"/>
          <w:szCs w:val="22"/>
          <w:lang w:val="en-GB"/>
        </w:rPr>
        <w:fldChar w:fldCharType="end"/>
      </w:r>
      <w:r w:rsidRPr="0019433A">
        <w:rPr>
          <w:rFonts w:asciiTheme="majorBidi" w:hAnsiTheme="majorBidi" w:cstheme="majorBidi"/>
          <w:sz w:val="22"/>
          <w:szCs w:val="22"/>
          <w:lang w:val="en-GB"/>
        </w:rPr>
        <w:t>: Support processes contribution to Enablers</w:t>
      </w:r>
    </w:p>
    <w:tbl>
      <w:tblPr>
        <w:tblStyle w:val="PlainTable21"/>
        <w:tblW w:w="14664" w:type="dxa"/>
        <w:tblInd w:w="113" w:type="dxa"/>
        <w:tblBorders>
          <w:top w:val="single" w:sz="4" w:space="0" w:color="auto"/>
          <w:bottom w:val="single" w:sz="4" w:space="0" w:color="auto"/>
          <w:insideH w:val="single" w:sz="4" w:space="0" w:color="auto"/>
        </w:tblBorders>
        <w:tblCellMar>
          <w:left w:w="113" w:type="dxa"/>
          <w:right w:w="113" w:type="dxa"/>
        </w:tblCellMar>
        <w:tblLook w:val="0400" w:firstRow="0" w:lastRow="0" w:firstColumn="0" w:lastColumn="0" w:noHBand="0" w:noVBand="1"/>
      </w:tblPr>
      <w:tblGrid>
        <w:gridCol w:w="6804"/>
        <w:gridCol w:w="1784"/>
        <w:gridCol w:w="1416"/>
        <w:gridCol w:w="1542"/>
        <w:gridCol w:w="1654"/>
        <w:gridCol w:w="1464"/>
      </w:tblGrid>
      <w:tr w:rsidR="0019433A" w:rsidRPr="00C95A5A" w:rsidTr="006340E2">
        <w:trPr>
          <w:cnfStyle w:val="000000100000" w:firstRow="0" w:lastRow="0" w:firstColumn="0" w:lastColumn="0" w:oddVBand="0" w:evenVBand="0" w:oddHBand="1" w:evenHBand="0" w:firstRowFirstColumn="0" w:firstRowLastColumn="0" w:lastRowFirstColumn="0" w:lastRowLastColumn="0"/>
        </w:trPr>
        <w:tc>
          <w:tcPr>
            <w:tcW w:w="6804" w:type="dxa"/>
            <w:vAlign w:val="center"/>
          </w:tcPr>
          <w:p w:rsidR="0019433A" w:rsidRDefault="0019433A" w:rsidP="006340E2">
            <w:pPr>
              <w:spacing w:before="40"/>
              <w:rPr>
                <w:b/>
                <w:bCs/>
                <w:sz w:val="20"/>
                <w:szCs w:val="20"/>
              </w:rPr>
            </w:pPr>
            <w:r w:rsidRPr="00C95A5A">
              <w:rPr>
                <w:b/>
                <w:bCs/>
                <w:sz w:val="20"/>
                <w:szCs w:val="20"/>
              </w:rPr>
              <w:t>Enablers</w:t>
            </w:r>
            <w:r w:rsidR="005664C8">
              <w:rPr>
                <w:b/>
                <w:bCs/>
                <w:sz w:val="20"/>
                <w:szCs w:val="20"/>
              </w:rPr>
              <w:br/>
            </w:r>
            <w:r w:rsidRPr="00C95A5A">
              <w:rPr>
                <w:b/>
                <w:bCs/>
                <w:sz w:val="20"/>
                <w:szCs w:val="20"/>
              </w:rPr>
              <w:t>of the strategic goals</w:t>
            </w:r>
          </w:p>
          <w:p w:rsidR="005664C8" w:rsidRDefault="005664C8" w:rsidP="006340E2">
            <w:pPr>
              <w:spacing w:before="40"/>
              <w:rPr>
                <w:b/>
                <w:bCs/>
                <w:sz w:val="20"/>
                <w:szCs w:val="20"/>
              </w:rPr>
            </w:pPr>
          </w:p>
          <w:p w:rsidR="005664C8" w:rsidRDefault="005664C8" w:rsidP="006340E2">
            <w:pPr>
              <w:spacing w:before="40"/>
              <w:rPr>
                <w:b/>
                <w:bCs/>
                <w:sz w:val="20"/>
                <w:szCs w:val="20"/>
              </w:rPr>
            </w:pPr>
          </w:p>
          <w:p w:rsidR="006340E2" w:rsidRPr="00C95A5A" w:rsidRDefault="006340E2" w:rsidP="006340E2">
            <w:pPr>
              <w:spacing w:before="40"/>
              <w:rPr>
                <w:b/>
                <w:bCs/>
                <w:sz w:val="20"/>
                <w:szCs w:val="20"/>
              </w:rPr>
            </w:pPr>
          </w:p>
          <w:p w:rsidR="0019433A" w:rsidRPr="00C95A5A" w:rsidRDefault="0019433A" w:rsidP="006340E2">
            <w:pPr>
              <w:spacing w:before="40"/>
              <w:rPr>
                <w:b/>
                <w:bCs/>
                <w:sz w:val="20"/>
                <w:szCs w:val="20"/>
              </w:rPr>
            </w:pPr>
            <w:r w:rsidRPr="00C95A5A">
              <w:rPr>
                <w:b/>
                <w:bCs/>
                <w:sz w:val="20"/>
                <w:szCs w:val="20"/>
              </w:rPr>
              <w:t>Support processes</w:t>
            </w:r>
          </w:p>
        </w:tc>
        <w:tc>
          <w:tcPr>
            <w:tcW w:w="1784" w:type="dxa"/>
          </w:tcPr>
          <w:p w:rsidR="0019433A" w:rsidRPr="00C95A5A" w:rsidRDefault="0019433A" w:rsidP="006340E2">
            <w:pPr>
              <w:spacing w:before="40"/>
              <w:rPr>
                <w:sz w:val="18"/>
                <w:szCs w:val="18"/>
              </w:rPr>
            </w:pPr>
            <w:r w:rsidRPr="00C95A5A">
              <w:rPr>
                <w:sz w:val="18"/>
                <w:szCs w:val="18"/>
              </w:rPr>
              <w:t>Ensure efficient and effective use of human, financial and capital resources, as well as a work-conducive, safe and secure working environment</w:t>
            </w:r>
          </w:p>
        </w:tc>
        <w:tc>
          <w:tcPr>
            <w:tcW w:w="1416" w:type="dxa"/>
          </w:tcPr>
          <w:p w:rsidR="0019433A" w:rsidRPr="00C95A5A" w:rsidRDefault="0019433A" w:rsidP="006340E2">
            <w:pPr>
              <w:spacing w:before="40"/>
              <w:rPr>
                <w:sz w:val="18"/>
                <w:szCs w:val="18"/>
              </w:rPr>
            </w:pPr>
            <w:r w:rsidRPr="00C95A5A">
              <w:rPr>
                <w:sz w:val="18"/>
                <w:szCs w:val="18"/>
              </w:rPr>
              <w:t>Ensure efficient and accessible conferences, meetings, documentation, publications and information infrastructures</w:t>
            </w:r>
          </w:p>
        </w:tc>
        <w:tc>
          <w:tcPr>
            <w:tcW w:w="1542" w:type="dxa"/>
          </w:tcPr>
          <w:p w:rsidR="0019433A" w:rsidRPr="00C95A5A" w:rsidRDefault="0019433A" w:rsidP="006340E2">
            <w:pPr>
              <w:spacing w:before="40"/>
              <w:rPr>
                <w:sz w:val="18"/>
                <w:szCs w:val="18"/>
              </w:rPr>
            </w:pPr>
            <w:r w:rsidRPr="00C95A5A">
              <w:rPr>
                <w:sz w:val="18"/>
                <w:szCs w:val="18"/>
              </w:rPr>
              <w:t>Ensure efficient membership-related, protocol, communication and resource mobilization services</w:t>
            </w:r>
          </w:p>
        </w:tc>
        <w:tc>
          <w:tcPr>
            <w:tcW w:w="1654" w:type="dxa"/>
          </w:tcPr>
          <w:p w:rsidR="0019433A" w:rsidRPr="00C95A5A" w:rsidRDefault="0019433A" w:rsidP="006340E2">
            <w:pPr>
              <w:spacing w:before="40"/>
              <w:rPr>
                <w:sz w:val="18"/>
                <w:szCs w:val="18"/>
              </w:rPr>
            </w:pPr>
            <w:r w:rsidRPr="00C95A5A">
              <w:rPr>
                <w:sz w:val="18"/>
                <w:szCs w:val="18"/>
              </w:rPr>
              <w:t>Ensure efficient planning, coordination and execution of the strategic plan and operational plans of the Union</w:t>
            </w:r>
          </w:p>
        </w:tc>
        <w:tc>
          <w:tcPr>
            <w:tcW w:w="1464" w:type="dxa"/>
          </w:tcPr>
          <w:p w:rsidR="0019433A" w:rsidRPr="00C95A5A" w:rsidRDefault="0019433A" w:rsidP="000F1506">
            <w:pPr>
              <w:rPr>
                <w:sz w:val="18"/>
                <w:szCs w:val="18"/>
              </w:rPr>
            </w:pPr>
            <w:r w:rsidRPr="00C95A5A">
              <w:rPr>
                <w:sz w:val="18"/>
                <w:szCs w:val="18"/>
              </w:rPr>
              <w:t>Ensure effective and efficient governance of the organization (internal and external)</w:t>
            </w:r>
          </w:p>
        </w:tc>
      </w:tr>
      <w:tr w:rsidR="0019433A" w:rsidRPr="00C95A5A" w:rsidTr="006340E2">
        <w:trPr>
          <w:trHeight w:val="113"/>
        </w:trPr>
        <w:tc>
          <w:tcPr>
            <w:tcW w:w="6804" w:type="dxa"/>
            <w:vAlign w:val="center"/>
          </w:tcPr>
          <w:p w:rsidR="0019433A" w:rsidRPr="00C95A5A" w:rsidRDefault="0019433A" w:rsidP="006340E2">
            <w:pPr>
              <w:tabs>
                <w:tab w:val="left" w:pos="4593"/>
              </w:tabs>
              <w:spacing w:before="0"/>
              <w:rPr>
                <w:sz w:val="18"/>
                <w:szCs w:val="18"/>
              </w:rPr>
            </w:pPr>
            <w:r w:rsidRPr="00C95A5A">
              <w:rPr>
                <w:sz w:val="18"/>
                <w:szCs w:val="18"/>
              </w:rPr>
              <w:t>Management of the Union</w:t>
            </w:r>
          </w:p>
        </w:tc>
        <w:tc>
          <w:tcPr>
            <w:tcW w:w="1784"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r w:rsidRPr="00C95A5A">
              <w:rPr>
                <w:b/>
                <w:bCs/>
                <w:sz w:val="20"/>
                <w:szCs w:val="20"/>
              </w:rPr>
              <w:t>X</w:t>
            </w:r>
          </w:p>
        </w:tc>
        <w:tc>
          <w:tcPr>
            <w:tcW w:w="1464" w:type="dxa"/>
            <w:vAlign w:val="center"/>
          </w:tcPr>
          <w:p w:rsidR="0019433A" w:rsidRPr="00C95A5A" w:rsidRDefault="0019433A" w:rsidP="000F1506">
            <w:pPr>
              <w:jc w:val="center"/>
              <w:rPr>
                <w:b/>
                <w:bCs/>
                <w:sz w:val="20"/>
                <w:szCs w:val="20"/>
              </w:rPr>
            </w:pPr>
            <w:r w:rsidRPr="00C95A5A">
              <w:rPr>
                <w:b/>
                <w:bCs/>
                <w:sz w:val="20"/>
                <w:szCs w:val="20"/>
              </w:rPr>
              <w:t>X</w:t>
            </w: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Organization of conferences</w:t>
            </w:r>
            <w:r>
              <w:rPr>
                <w:sz w:val="18"/>
                <w:szCs w:val="18"/>
              </w:rPr>
              <w:t>, assemblies, seminars and workshops</w:t>
            </w:r>
            <w:r w:rsidRPr="00C95A5A">
              <w:rPr>
                <w:sz w:val="18"/>
                <w:szCs w:val="18"/>
              </w:rPr>
              <w:t xml:space="preserve"> (including translation and interpretation)</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Publication services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IT services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Human resource management</w:t>
            </w:r>
          </w:p>
        </w:tc>
        <w:tc>
          <w:tcPr>
            <w:tcW w:w="1784"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Financial resource management</w:t>
            </w:r>
          </w:p>
        </w:tc>
        <w:tc>
          <w:tcPr>
            <w:tcW w:w="1784"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Legal services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r w:rsidRPr="00C95A5A">
              <w:rPr>
                <w:b/>
                <w:bCs/>
                <w:sz w:val="20"/>
                <w:szCs w:val="20"/>
              </w:rPr>
              <w:t>X</w:t>
            </w: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Internal audit</w:t>
            </w:r>
          </w:p>
        </w:tc>
        <w:tc>
          <w:tcPr>
            <w:tcW w:w="1784"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r w:rsidRPr="00C95A5A">
              <w:rPr>
                <w:b/>
                <w:bCs/>
                <w:sz w:val="20"/>
                <w:szCs w:val="20"/>
              </w:rPr>
              <w:t>X</w:t>
            </w: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Engagement with Membership and external stakeholders (including UN)</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Communication services (audio/visual services, Press release services, Social media, management of the web, branding, speechwriting, ICT Discovery)</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Protocol services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Facilitation of the work of Governing bodies (PP, Council, Council Working Groups)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r w:rsidRPr="00C95A5A">
              <w:rPr>
                <w:b/>
                <w:bCs/>
                <w:sz w:val="20"/>
                <w:szCs w:val="20"/>
              </w:rPr>
              <w:t>X</w:t>
            </w: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Safety and security services</w:t>
            </w:r>
          </w:p>
        </w:tc>
        <w:tc>
          <w:tcPr>
            <w:tcW w:w="1784"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Badging production and distribution</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trHeight w:val="113"/>
        </w:trPr>
        <w:tc>
          <w:tcPr>
            <w:tcW w:w="6804" w:type="dxa"/>
            <w:vAlign w:val="center"/>
          </w:tcPr>
          <w:p w:rsidR="0019433A" w:rsidRPr="00C95A5A" w:rsidRDefault="0019433A" w:rsidP="006340E2">
            <w:pPr>
              <w:spacing w:before="0"/>
              <w:rPr>
                <w:sz w:val="18"/>
                <w:szCs w:val="18"/>
              </w:rPr>
            </w:pPr>
            <w:r w:rsidRPr="00C95A5A">
              <w:rPr>
                <w:sz w:val="18"/>
                <w:szCs w:val="18"/>
              </w:rPr>
              <w:t>Resource mobilization services</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r w:rsidRPr="00C95A5A">
              <w:rPr>
                <w:b/>
                <w:bCs/>
                <w:sz w:val="20"/>
                <w:szCs w:val="20"/>
              </w:rPr>
              <w:t>X</w:t>
            </w:r>
          </w:p>
        </w:tc>
        <w:tc>
          <w:tcPr>
            <w:tcW w:w="1654" w:type="dxa"/>
            <w:vAlign w:val="center"/>
          </w:tcPr>
          <w:p w:rsidR="0019433A" w:rsidRPr="00C95A5A" w:rsidRDefault="0019433A" w:rsidP="000F1506">
            <w:pPr>
              <w:jc w:val="center"/>
              <w:rPr>
                <w:b/>
                <w:bCs/>
                <w:sz w:val="20"/>
                <w:szCs w:val="20"/>
              </w:rPr>
            </w:pPr>
          </w:p>
        </w:tc>
        <w:tc>
          <w:tcPr>
            <w:tcW w:w="1464" w:type="dxa"/>
            <w:vAlign w:val="center"/>
          </w:tcPr>
          <w:p w:rsidR="0019433A" w:rsidRPr="00C95A5A" w:rsidRDefault="0019433A" w:rsidP="000F1506">
            <w:pPr>
              <w:jc w:val="center"/>
              <w:rPr>
                <w:b/>
                <w:bCs/>
                <w:sz w:val="20"/>
                <w:szCs w:val="20"/>
              </w:rPr>
            </w:pPr>
          </w:p>
        </w:tc>
      </w:tr>
      <w:tr w:rsidR="0019433A" w:rsidRPr="00C95A5A" w:rsidTr="006340E2">
        <w:trPr>
          <w:cnfStyle w:val="000000100000" w:firstRow="0" w:lastRow="0" w:firstColumn="0" w:lastColumn="0" w:oddVBand="0" w:evenVBand="0" w:oddHBand="1" w:evenHBand="0" w:firstRowFirstColumn="0" w:firstRowLastColumn="0" w:lastRowFirstColumn="0" w:lastRowLastColumn="0"/>
          <w:trHeight w:val="113"/>
        </w:trPr>
        <w:tc>
          <w:tcPr>
            <w:tcW w:w="6804" w:type="dxa"/>
            <w:vAlign w:val="center"/>
          </w:tcPr>
          <w:p w:rsidR="0019433A" w:rsidRPr="00C95A5A" w:rsidRDefault="0019433A" w:rsidP="006340E2">
            <w:pPr>
              <w:spacing w:before="0"/>
              <w:rPr>
                <w:sz w:val="18"/>
                <w:szCs w:val="18"/>
              </w:rPr>
            </w:pPr>
            <w:r w:rsidRPr="00C95A5A">
              <w:rPr>
                <w:sz w:val="18"/>
                <w:szCs w:val="18"/>
              </w:rPr>
              <w:t>Corporate strategic management and planning</w:t>
            </w:r>
          </w:p>
        </w:tc>
        <w:tc>
          <w:tcPr>
            <w:tcW w:w="1784" w:type="dxa"/>
            <w:vAlign w:val="center"/>
          </w:tcPr>
          <w:p w:rsidR="0019433A" w:rsidRPr="00C95A5A" w:rsidRDefault="0019433A" w:rsidP="006340E2">
            <w:pPr>
              <w:spacing w:before="0"/>
              <w:jc w:val="center"/>
              <w:rPr>
                <w:b/>
                <w:bCs/>
                <w:sz w:val="20"/>
                <w:szCs w:val="20"/>
              </w:rPr>
            </w:pPr>
          </w:p>
        </w:tc>
        <w:tc>
          <w:tcPr>
            <w:tcW w:w="1416" w:type="dxa"/>
            <w:vAlign w:val="center"/>
          </w:tcPr>
          <w:p w:rsidR="0019433A" w:rsidRPr="00C95A5A" w:rsidRDefault="0019433A" w:rsidP="006340E2">
            <w:pPr>
              <w:spacing w:before="0"/>
              <w:jc w:val="center"/>
              <w:rPr>
                <w:b/>
                <w:bCs/>
                <w:sz w:val="20"/>
                <w:szCs w:val="20"/>
              </w:rPr>
            </w:pPr>
          </w:p>
        </w:tc>
        <w:tc>
          <w:tcPr>
            <w:tcW w:w="1542" w:type="dxa"/>
            <w:vAlign w:val="center"/>
          </w:tcPr>
          <w:p w:rsidR="0019433A" w:rsidRPr="00C95A5A" w:rsidRDefault="0019433A" w:rsidP="006340E2">
            <w:pPr>
              <w:spacing w:before="0"/>
              <w:jc w:val="center"/>
              <w:rPr>
                <w:b/>
                <w:bCs/>
                <w:sz w:val="20"/>
                <w:szCs w:val="20"/>
              </w:rPr>
            </w:pPr>
          </w:p>
        </w:tc>
        <w:tc>
          <w:tcPr>
            <w:tcW w:w="1654" w:type="dxa"/>
            <w:vAlign w:val="center"/>
          </w:tcPr>
          <w:p w:rsidR="0019433A" w:rsidRPr="00C95A5A" w:rsidRDefault="0019433A" w:rsidP="000F1506">
            <w:pPr>
              <w:jc w:val="center"/>
              <w:rPr>
                <w:b/>
                <w:bCs/>
                <w:sz w:val="20"/>
                <w:szCs w:val="20"/>
              </w:rPr>
            </w:pPr>
            <w:r w:rsidRPr="00C95A5A">
              <w:rPr>
                <w:b/>
                <w:bCs/>
                <w:sz w:val="20"/>
                <w:szCs w:val="20"/>
              </w:rPr>
              <w:t>X</w:t>
            </w:r>
          </w:p>
        </w:tc>
        <w:tc>
          <w:tcPr>
            <w:tcW w:w="1464" w:type="dxa"/>
            <w:vAlign w:val="center"/>
          </w:tcPr>
          <w:p w:rsidR="0019433A" w:rsidRPr="00C95A5A" w:rsidRDefault="0019433A" w:rsidP="000F1506">
            <w:pPr>
              <w:jc w:val="center"/>
              <w:rPr>
                <w:b/>
                <w:bCs/>
                <w:sz w:val="20"/>
                <w:szCs w:val="20"/>
              </w:rPr>
            </w:pPr>
            <w:r w:rsidRPr="00C95A5A">
              <w:rPr>
                <w:b/>
                <w:bCs/>
                <w:sz w:val="20"/>
                <w:szCs w:val="20"/>
              </w:rPr>
              <w:t>X</w:t>
            </w:r>
          </w:p>
        </w:tc>
      </w:tr>
    </w:tbl>
    <w:p w:rsidR="0019433A" w:rsidRPr="00C95A5A" w:rsidRDefault="0019433A" w:rsidP="0019433A">
      <w:pPr>
        <w:sectPr w:rsidR="0019433A" w:rsidRPr="00C95A5A" w:rsidSect="000F1506">
          <w:pgSz w:w="16839" w:h="11907" w:orient="landscape" w:code="9"/>
          <w:pgMar w:top="1440" w:right="1080" w:bottom="1440" w:left="1080" w:header="720" w:footer="720" w:gutter="0"/>
          <w:cols w:space="720"/>
          <w:docGrid w:linePitch="360"/>
        </w:sectPr>
      </w:pPr>
    </w:p>
    <w:p w:rsidR="0019433A" w:rsidRPr="00C95A5A" w:rsidRDefault="0019433A" w:rsidP="0019433A">
      <w:pPr>
        <w:pStyle w:val="Heading1"/>
      </w:pPr>
      <w:bookmarkStart w:id="80" w:name="_Toc387091854"/>
      <w:r>
        <w:lastRenderedPageBreak/>
        <w:t>5</w:t>
      </w:r>
      <w:r>
        <w:tab/>
      </w:r>
      <w:r w:rsidRPr="00C95A5A">
        <w:t>Implementation and evaluation</w:t>
      </w:r>
      <w:bookmarkEnd w:id="80"/>
    </w:p>
    <w:p w:rsidR="0019433A" w:rsidRPr="00C95A5A" w:rsidRDefault="0019433A" w:rsidP="0019433A">
      <w:pPr>
        <w:pStyle w:val="Heading2"/>
      </w:pPr>
      <w:bookmarkStart w:id="81" w:name="_Toc377565047"/>
      <w:bookmarkStart w:id="82" w:name="_Toc387091855"/>
      <w:r>
        <w:t>5.1</w:t>
      </w:r>
      <w:r>
        <w:tab/>
      </w:r>
      <w:r w:rsidRPr="00C95A5A">
        <w:t>Linkage between strategic, operational and financial planning</w:t>
      </w:r>
      <w:bookmarkEnd w:id="81"/>
      <w:bookmarkEnd w:id="82"/>
    </w:p>
    <w:p w:rsidR="0019433A" w:rsidRPr="00C95A5A" w:rsidRDefault="0019433A" w:rsidP="0019433A">
      <w:r w:rsidRPr="00C95A5A">
        <w:t>The strong and coherent linkage between the Union’s strategic, operational and financial planning is ensured by implementing the ITU RBM framework in accordance with Resolutions 71, 72 and 151 (Rev. Busan, 2014), as per the following structure:</w:t>
      </w:r>
    </w:p>
    <w:p w:rsidR="0019433A" w:rsidRPr="00C95A5A" w:rsidRDefault="0019433A" w:rsidP="0019433A">
      <w:pPr>
        <w:pStyle w:val="enumlev1"/>
      </w:pPr>
      <w:r>
        <w:t>•</w:t>
      </w:r>
      <w:r>
        <w:tab/>
      </w:r>
      <w:r w:rsidRPr="00C95A5A">
        <w:t xml:space="preserve">This four-year </w:t>
      </w:r>
      <w:r w:rsidRPr="00C95A5A">
        <w:rPr>
          <w:b/>
        </w:rPr>
        <w:t>strategic plan</w:t>
      </w:r>
      <w:r w:rsidRPr="00C95A5A">
        <w:t xml:space="preserve"> defines the strategic goals of the Union and the Sector and intersectoral objectives/outcomes for the four-year period. It lays down the </w:t>
      </w:r>
      <w:r w:rsidRPr="00C95A5A">
        <w:rPr>
          <w:b/>
        </w:rPr>
        <w:t>implementation criteria</w:t>
      </w:r>
      <w:r w:rsidRPr="00C95A5A">
        <w:t xml:space="preserve"> to be taken into consideration in the operational planning and budgeting processes. The strategic plan should be implemented within the context of the financial limits established by the Plenipotentiary Conference.</w:t>
      </w:r>
    </w:p>
    <w:p w:rsidR="0019433A" w:rsidRPr="00C95A5A" w:rsidRDefault="0019433A" w:rsidP="0019433A">
      <w:pPr>
        <w:pStyle w:val="enumlev1"/>
      </w:pPr>
      <w:r>
        <w:t>•</w:t>
      </w:r>
      <w:r>
        <w:tab/>
      </w:r>
      <w:r w:rsidRPr="00C95A5A">
        <w:t xml:space="preserve">The four-year </w:t>
      </w:r>
      <w:r w:rsidRPr="00C95A5A">
        <w:rPr>
          <w:b/>
        </w:rPr>
        <w:t>financial plan</w:t>
      </w:r>
      <w:r w:rsidRPr="00C95A5A">
        <w:t>, Decision 5 (Rev. Busan, 2014) forecasts revenue and expenses for the four-year period, in full consistency with the strategic plan and defines resources available for its implementation.</w:t>
      </w:r>
    </w:p>
    <w:p w:rsidR="0019433A" w:rsidRPr="00C95A5A" w:rsidRDefault="0019433A" w:rsidP="0019433A">
      <w:pPr>
        <w:pStyle w:val="enumlev1"/>
      </w:pPr>
      <w:r>
        <w:t>•</w:t>
      </w:r>
      <w:r>
        <w:tab/>
      </w:r>
      <w:r w:rsidRPr="00C95A5A">
        <w:t xml:space="preserve">Biennial </w:t>
      </w:r>
      <w:r w:rsidRPr="00C95A5A">
        <w:rPr>
          <w:b/>
        </w:rPr>
        <w:t>budgets</w:t>
      </w:r>
      <w:r w:rsidRPr="00C95A5A">
        <w:t>, approved by the Council, implement the results-based budgeting (RBB) mechanism, according to the provisions of the financial plan.</w:t>
      </w:r>
    </w:p>
    <w:p w:rsidR="0019433A" w:rsidRPr="00C95A5A" w:rsidRDefault="0019433A" w:rsidP="0019433A">
      <w:pPr>
        <w:pStyle w:val="enumlev1"/>
        <w:spacing w:after="120"/>
      </w:pPr>
      <w:r>
        <w:t>•</w:t>
      </w:r>
      <w:r>
        <w:tab/>
      </w:r>
      <w:r w:rsidRPr="00C95A5A">
        <w:t xml:space="preserve">The four-year rolling </w:t>
      </w:r>
      <w:r w:rsidRPr="00C95A5A">
        <w:rPr>
          <w:b/>
        </w:rPr>
        <w:t>operational plans</w:t>
      </w:r>
      <w:r w:rsidRPr="00C95A5A">
        <w:t>, approved by the Council, follow the principles of the strategic plan and are set in accordance to the financial plan and the biennial budget. Operational plans define the Sector and intersectoral outputs produced to achieve the Union’s objectives and outcomes, and describe the corresponding activities of the Bureaux and the General Secretariat. The activities of the Bureaux contribute directly to Sector or intersectoral outputs. The activities of the General Secretariat either contribute directly to the intersectoral outputs (via intersectoral activities), or provide support services to the Bureaux and the intersectoral activities, as presented below:</w:t>
      </w:r>
    </w:p>
    <w:p w:rsidR="0019433A" w:rsidRPr="0019433A" w:rsidRDefault="0019433A" w:rsidP="0019433A">
      <w:pPr>
        <w:pStyle w:val="Caption"/>
        <w:rPr>
          <w:rFonts w:asciiTheme="majorBidi" w:hAnsiTheme="majorBidi" w:cstheme="majorBidi"/>
          <w:sz w:val="22"/>
          <w:szCs w:val="22"/>
          <w:lang w:val="en-GB"/>
        </w:rPr>
      </w:pPr>
      <w:bookmarkStart w:id="83" w:name="_Ref378962261"/>
      <w:r w:rsidRPr="0019433A">
        <w:rPr>
          <w:rFonts w:asciiTheme="majorBidi" w:hAnsiTheme="majorBidi" w:cstheme="majorBidi"/>
          <w:sz w:val="22"/>
          <w:szCs w:val="22"/>
          <w:lang w:val="en-GB"/>
        </w:rPr>
        <w:t xml:space="preserve">Figure </w:t>
      </w:r>
      <w:r w:rsidRPr="0019433A">
        <w:rPr>
          <w:rFonts w:asciiTheme="majorBidi" w:hAnsiTheme="majorBidi" w:cstheme="majorBidi"/>
          <w:sz w:val="22"/>
          <w:szCs w:val="22"/>
          <w:lang w:val="en-GB"/>
        </w:rPr>
        <w:fldChar w:fldCharType="begin"/>
      </w:r>
      <w:r w:rsidRPr="0019433A">
        <w:rPr>
          <w:rFonts w:asciiTheme="majorBidi" w:hAnsiTheme="majorBidi" w:cstheme="majorBidi"/>
          <w:sz w:val="22"/>
          <w:szCs w:val="22"/>
          <w:lang w:val="en-GB"/>
        </w:rPr>
        <w:instrText xml:space="preserve"> SEQ Figure \* ARABIC </w:instrText>
      </w:r>
      <w:r w:rsidRPr="0019433A">
        <w:rPr>
          <w:rFonts w:asciiTheme="majorBidi" w:hAnsiTheme="majorBidi" w:cstheme="majorBidi"/>
          <w:sz w:val="22"/>
          <w:szCs w:val="22"/>
          <w:lang w:val="en-GB"/>
        </w:rPr>
        <w:fldChar w:fldCharType="separate"/>
      </w:r>
      <w:r w:rsidR="006A34C6">
        <w:rPr>
          <w:rFonts w:asciiTheme="majorBidi" w:hAnsiTheme="majorBidi" w:cstheme="majorBidi"/>
          <w:noProof/>
          <w:sz w:val="22"/>
          <w:szCs w:val="22"/>
          <w:lang w:val="en-GB"/>
        </w:rPr>
        <w:t>3</w:t>
      </w:r>
      <w:r w:rsidRPr="0019433A">
        <w:rPr>
          <w:rFonts w:asciiTheme="majorBidi" w:hAnsiTheme="majorBidi" w:cstheme="majorBidi"/>
          <w:sz w:val="22"/>
          <w:szCs w:val="22"/>
          <w:lang w:val="en-GB"/>
        </w:rPr>
        <w:fldChar w:fldCharType="end"/>
      </w:r>
      <w:bookmarkEnd w:id="83"/>
      <w:r w:rsidRPr="0019433A">
        <w:rPr>
          <w:rFonts w:asciiTheme="majorBidi" w:hAnsiTheme="majorBidi" w:cstheme="majorBidi"/>
          <w:sz w:val="22"/>
          <w:szCs w:val="22"/>
          <w:lang w:val="en-GB"/>
        </w:rPr>
        <w:t>: Linkage between strategic, operational and financial planning</w:t>
      </w:r>
    </w:p>
    <w:p w:rsidR="0019433A" w:rsidRPr="00C95A5A" w:rsidRDefault="0019433A" w:rsidP="0019433A">
      <w:pPr>
        <w:jc w:val="center"/>
      </w:pPr>
      <w:r w:rsidRPr="00C95A5A">
        <w:rPr>
          <w:noProof/>
          <w:lang w:val="en-US" w:eastAsia="zh-CN"/>
        </w:rPr>
        <w:drawing>
          <wp:inline distT="0" distB="0" distL="0" distR="0" wp14:anchorId="601D9072" wp14:editId="693B48C4">
            <wp:extent cx="5562600" cy="2665765"/>
            <wp:effectExtent l="0" t="0" r="0" b="127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62600" cy="2665765"/>
                    </a:xfrm>
                    <a:prstGeom prst="rect">
                      <a:avLst/>
                    </a:prstGeom>
                    <a:noFill/>
                    <a:ln>
                      <a:noFill/>
                    </a:ln>
                  </pic:spPr>
                </pic:pic>
              </a:graphicData>
            </a:graphic>
          </wp:inline>
        </w:drawing>
      </w:r>
      <w:bookmarkStart w:id="84" w:name="_Toc377565048"/>
    </w:p>
    <w:p w:rsidR="0019433A" w:rsidRPr="00C95A5A" w:rsidRDefault="0019433A" w:rsidP="0019433A">
      <w:pPr>
        <w:pStyle w:val="Heading2"/>
      </w:pPr>
      <w:bookmarkStart w:id="85" w:name="_Toc387091856"/>
      <w:r>
        <w:t>5.2</w:t>
      </w:r>
      <w:r>
        <w:tab/>
      </w:r>
      <w:r w:rsidRPr="00C95A5A">
        <w:t>Implementation criteria</w:t>
      </w:r>
      <w:bookmarkEnd w:id="84"/>
      <w:bookmarkEnd w:id="85"/>
    </w:p>
    <w:p w:rsidR="0019433A" w:rsidRPr="00C95A5A" w:rsidRDefault="0019433A" w:rsidP="0019433A">
      <w:r w:rsidRPr="00C95A5A">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19433A" w:rsidRPr="00C95A5A" w:rsidRDefault="0019433A" w:rsidP="0019433A">
      <w:r w:rsidRPr="00C95A5A">
        <w:lastRenderedPageBreak/>
        <w:t>The implementation criteria set for the Union’s strategy for 2016-2019 are:</w:t>
      </w:r>
    </w:p>
    <w:p w:rsidR="0019433A" w:rsidRPr="00C95A5A" w:rsidRDefault="0019433A" w:rsidP="0019433A">
      <w:pPr>
        <w:pStyle w:val="enumlev1"/>
      </w:pPr>
      <w:r w:rsidRPr="0019433A">
        <w:t>1)</w:t>
      </w:r>
      <w:r>
        <w:rPr>
          <w:b/>
        </w:rPr>
        <w:tab/>
      </w:r>
      <w:r w:rsidRPr="00C95A5A">
        <w:rPr>
          <w:b/>
        </w:rPr>
        <w:t>Adherence to ITU values</w:t>
      </w:r>
      <w:r w:rsidRPr="00C95A5A">
        <w:t>: The core values of ITU shall drive the priorities and provide the basis for decision-making.</w:t>
      </w:r>
    </w:p>
    <w:p w:rsidR="0019433A" w:rsidRPr="00C95A5A" w:rsidRDefault="0019433A" w:rsidP="0019433A">
      <w:pPr>
        <w:pStyle w:val="enumlev1"/>
      </w:pPr>
      <w:r w:rsidRPr="0019433A">
        <w:rPr>
          <w:bCs/>
        </w:rPr>
        <w:t>2)</w:t>
      </w:r>
      <w:r>
        <w:rPr>
          <w:b/>
        </w:rPr>
        <w:tab/>
      </w:r>
      <w:r w:rsidRPr="00C95A5A">
        <w:rPr>
          <w:b/>
        </w:rPr>
        <w:t>Following results-based management (RBM) principles</w:t>
      </w:r>
      <w:r w:rsidRPr="00C95A5A">
        <w:t>, including:</w:t>
      </w:r>
    </w:p>
    <w:p w:rsidR="0019433A" w:rsidRPr="00C95A5A" w:rsidRDefault="00BF5E14" w:rsidP="00BF5E14">
      <w:pPr>
        <w:pStyle w:val="enumlev2"/>
      </w:pPr>
      <w:r w:rsidRPr="00BF5E14">
        <w:t>a)</w:t>
      </w:r>
      <w:r>
        <w:rPr>
          <w:b/>
        </w:rPr>
        <w:tab/>
      </w:r>
      <w:r w:rsidR="0019433A" w:rsidRPr="00C95A5A">
        <w:rPr>
          <w:b/>
        </w:rPr>
        <w:t>Performance monitoring and evaluation</w:t>
      </w:r>
      <w:r w:rsidR="0019433A" w:rsidRPr="00C95A5A">
        <w:t>: Performance against the achievement of the goals/objectives shall be monitored and evaluated in accordance to the operational plans, as approved by the Council, and opportunities for improvement shall be identified, in order to support the decision-making process.</w:t>
      </w:r>
    </w:p>
    <w:p w:rsidR="0019433A" w:rsidRPr="00C95A5A" w:rsidRDefault="00BF5E14" w:rsidP="00BF5E14">
      <w:pPr>
        <w:pStyle w:val="enumlev2"/>
      </w:pPr>
      <w:r w:rsidRPr="00BF5E14">
        <w:rPr>
          <w:bCs/>
        </w:rPr>
        <w:t>b)</w:t>
      </w:r>
      <w:r>
        <w:rPr>
          <w:b/>
        </w:rPr>
        <w:tab/>
      </w:r>
      <w:r w:rsidR="0019433A" w:rsidRPr="00C95A5A">
        <w:rPr>
          <w:b/>
        </w:rPr>
        <w:t>Risk identification, assessment and treatment:</w:t>
      </w:r>
      <w:r w:rsidR="0019433A" w:rsidRPr="00C95A5A">
        <w:t xml:space="preserve"> An integrated process to manage uncertain events that may impact achievement of objectives and goals shall be in place, to enhance informed decision-making.</w:t>
      </w:r>
    </w:p>
    <w:p w:rsidR="0019433A" w:rsidRPr="00C95A5A" w:rsidRDefault="00BF5E14" w:rsidP="00BF5E14">
      <w:pPr>
        <w:pStyle w:val="enumlev2"/>
      </w:pPr>
      <w:r w:rsidRPr="00BF5E14">
        <w:rPr>
          <w:bCs/>
        </w:rPr>
        <w:t>c)</w:t>
      </w:r>
      <w:r>
        <w:rPr>
          <w:b/>
        </w:rPr>
        <w:tab/>
      </w:r>
      <w:r w:rsidR="0019433A" w:rsidRPr="00C95A5A">
        <w:rPr>
          <w:b/>
        </w:rPr>
        <w:t>Results-based budgeting (RBB) principles</w:t>
      </w:r>
      <w:r w:rsidR="0019433A" w:rsidRPr="00C95A5A">
        <w:t>: The budgeting process shall allocate resources on the basis of the goals and objectives to be achieved, as defined within this strategic plan.</w:t>
      </w:r>
    </w:p>
    <w:p w:rsidR="0019433A" w:rsidRPr="00C95A5A" w:rsidRDefault="00BF5E14" w:rsidP="00BF5E14">
      <w:pPr>
        <w:pStyle w:val="enumlev2"/>
      </w:pPr>
      <w:r w:rsidRPr="00BF5E14">
        <w:rPr>
          <w:bCs/>
        </w:rPr>
        <w:t>d)</w:t>
      </w:r>
      <w:r>
        <w:rPr>
          <w:b/>
        </w:rPr>
        <w:tab/>
      </w:r>
      <w:r w:rsidR="0019433A" w:rsidRPr="00C95A5A">
        <w:rPr>
          <w:b/>
        </w:rPr>
        <w:t>Impact-oriented reporting</w:t>
      </w:r>
      <w:r w:rsidR="0019433A" w:rsidRPr="00C95A5A">
        <w:t>: Progress towards the achievement of ITU’s strategic goals shall be clearly reported, focusing on the impact of the activities of the Union.</w:t>
      </w:r>
    </w:p>
    <w:p w:rsidR="0019433A" w:rsidRPr="00C95A5A" w:rsidRDefault="00BF5E14" w:rsidP="00BF5E14">
      <w:pPr>
        <w:pStyle w:val="enumlev1"/>
      </w:pPr>
      <w:r w:rsidRPr="00BF5E14">
        <w:t>3)</w:t>
      </w:r>
      <w:r>
        <w:rPr>
          <w:b/>
        </w:rPr>
        <w:tab/>
      </w:r>
      <w:r w:rsidR="0019433A" w:rsidRPr="00C95A5A">
        <w:rPr>
          <w:b/>
        </w:rPr>
        <w:t>Implementing efficiently</w:t>
      </w:r>
      <w:r w:rsidR="0019433A" w:rsidRPr="00C95A5A">
        <w:t>: Efficiency has become an overarching imperative for the Union. ITU shall assess whether its stakeholders obtain maximum benefit from the services ITU provides, according to the resources available (value for money).</w:t>
      </w:r>
    </w:p>
    <w:p w:rsidR="0019433A" w:rsidRPr="00C95A5A" w:rsidRDefault="00BF5E14" w:rsidP="00BF5E14">
      <w:pPr>
        <w:pStyle w:val="enumlev1"/>
        <w:rPr>
          <w:bCs/>
        </w:rPr>
      </w:pPr>
      <w:r w:rsidRPr="00BF5E14">
        <w:rPr>
          <w:bCs/>
        </w:rPr>
        <w:t>4)</w:t>
      </w:r>
      <w:r>
        <w:rPr>
          <w:b/>
        </w:rPr>
        <w:tab/>
      </w:r>
      <w:r w:rsidR="0019433A" w:rsidRPr="00C95A5A">
        <w:rPr>
          <w:b/>
        </w:rPr>
        <w:t>Aiming to mainstream UN recommendations and apply harmonized business practices</w:t>
      </w:r>
      <w:r w:rsidR="0019433A" w:rsidRPr="00C95A5A">
        <w:rPr>
          <w:bCs/>
        </w:rPr>
        <w:t>, as ITU is part of the UN system as a UN specialized agency.</w:t>
      </w:r>
    </w:p>
    <w:p w:rsidR="0019433A" w:rsidRPr="00C95A5A" w:rsidRDefault="00BF5E14" w:rsidP="00BF5E14">
      <w:pPr>
        <w:pStyle w:val="enumlev1"/>
        <w:rPr>
          <w:bCs/>
        </w:rPr>
      </w:pPr>
      <w:r w:rsidRPr="00BF5E14">
        <w:rPr>
          <w:bCs/>
        </w:rPr>
        <w:t>5)</w:t>
      </w:r>
      <w:r>
        <w:rPr>
          <w:b/>
        </w:rPr>
        <w:tab/>
      </w:r>
      <w:r w:rsidR="0019433A" w:rsidRPr="00C95A5A">
        <w:rPr>
          <w:b/>
        </w:rPr>
        <w:t>Working as One ITU</w:t>
      </w:r>
      <w:r w:rsidR="0019433A" w:rsidRPr="00C95A5A">
        <w:t>: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19433A" w:rsidRPr="00C95A5A" w:rsidRDefault="00BF5E14" w:rsidP="00BF5E14">
      <w:pPr>
        <w:pStyle w:val="enumlev1"/>
      </w:pPr>
      <w:r w:rsidRPr="00BF5E14">
        <w:rPr>
          <w:bCs/>
        </w:rPr>
        <w:t>6)</w:t>
      </w:r>
      <w:r>
        <w:rPr>
          <w:b/>
        </w:rPr>
        <w:tab/>
      </w:r>
      <w:r w:rsidR="0019433A" w:rsidRPr="00C95A5A">
        <w:rPr>
          <w:b/>
        </w:rPr>
        <w:t>Long-term development of the organization to sustain performance and relevance of expertise</w:t>
      </w:r>
      <w:r w:rsidR="0019433A" w:rsidRPr="00C95A5A">
        <w:t>: Aspiring to the concept of the learning organization, the organization shall continue operating in an interconnected way and to invest further in staff so as to sustainably deliver most value.</w:t>
      </w:r>
    </w:p>
    <w:p w:rsidR="0019433A" w:rsidRPr="00C95A5A" w:rsidRDefault="00BF5E14" w:rsidP="00BF5E14">
      <w:pPr>
        <w:pStyle w:val="enumlev1"/>
      </w:pPr>
      <w:r w:rsidRPr="00BF5E14">
        <w:rPr>
          <w:bCs/>
        </w:rPr>
        <w:t>7)</w:t>
      </w:r>
      <w:r>
        <w:rPr>
          <w:b/>
        </w:rPr>
        <w:tab/>
      </w:r>
      <w:r w:rsidR="0019433A" w:rsidRPr="00C95A5A">
        <w:rPr>
          <w:b/>
        </w:rPr>
        <w:t>Prioritization</w:t>
      </w:r>
      <w:r w:rsidR="0019433A" w:rsidRPr="00C95A5A">
        <w:t>: It is important to define specific criteria for prioritizing among different activities and initiatives that the Union is willing to undertake. The factors to be considered are the following:</w:t>
      </w:r>
    </w:p>
    <w:p w:rsidR="0019433A" w:rsidRPr="00C95A5A" w:rsidRDefault="00BF5E14" w:rsidP="00BF5E14">
      <w:pPr>
        <w:pStyle w:val="enumlev2"/>
      </w:pPr>
      <w:r>
        <w:t>a)</w:t>
      </w:r>
      <w:r>
        <w:tab/>
      </w:r>
      <w:r w:rsidR="0019433A" w:rsidRPr="006340E2">
        <w:rPr>
          <w:b/>
          <w:bCs/>
        </w:rPr>
        <w:t>Added value</w:t>
      </w:r>
      <w:r w:rsidR="0019433A" w:rsidRPr="00BF5E14">
        <w:t>:</w:t>
      </w:r>
    </w:p>
    <w:p w:rsidR="0019433A" w:rsidRPr="00C95A5A" w:rsidRDefault="00BF5E14" w:rsidP="00BF5E14">
      <w:pPr>
        <w:pStyle w:val="enumlev3"/>
      </w:pPr>
      <w:r>
        <w:t>–</w:t>
      </w:r>
      <w:r>
        <w:tab/>
      </w:r>
      <w:r w:rsidR="0019433A" w:rsidRPr="00C95A5A">
        <w:t>Prioritize based on unique value contribution by ITU (outcomes that cannot be achieved otherwise)</w:t>
      </w:r>
    </w:p>
    <w:p w:rsidR="0019433A" w:rsidRPr="00C95A5A" w:rsidRDefault="00BF5E14" w:rsidP="00BF5E14">
      <w:pPr>
        <w:pStyle w:val="enumlev3"/>
      </w:pPr>
      <w:r>
        <w:t>–</w:t>
      </w:r>
      <w:r>
        <w:tab/>
      </w:r>
      <w:r w:rsidR="0019433A" w:rsidRPr="00C95A5A">
        <w:t>Be involved where and to the extent that ITU adds significant value</w:t>
      </w:r>
    </w:p>
    <w:p w:rsidR="0019433A" w:rsidRPr="00C95A5A" w:rsidRDefault="00BF5E14" w:rsidP="00BF5E14">
      <w:pPr>
        <w:pStyle w:val="enumlev3"/>
      </w:pPr>
      <w:r>
        <w:t>–</w:t>
      </w:r>
      <w:r>
        <w:tab/>
      </w:r>
      <w:r w:rsidR="0019433A" w:rsidRPr="00C95A5A">
        <w:t>Not prioritize activities that other stakeholders can undertake</w:t>
      </w:r>
    </w:p>
    <w:p w:rsidR="0019433A" w:rsidRPr="00C95A5A" w:rsidRDefault="00BF5E14" w:rsidP="00BF5E14">
      <w:pPr>
        <w:pStyle w:val="enumlev3"/>
      </w:pPr>
      <w:r>
        <w:t>–</w:t>
      </w:r>
      <w:r>
        <w:tab/>
      </w:r>
      <w:r w:rsidR="0019433A" w:rsidRPr="00C95A5A">
        <w:t>Prioritize based on ITU’s available expertise for implementation.</w:t>
      </w:r>
    </w:p>
    <w:p w:rsidR="0019433A" w:rsidRPr="00BF5E14" w:rsidRDefault="00BF5E14" w:rsidP="00BF5E14">
      <w:pPr>
        <w:pStyle w:val="enumlev2"/>
      </w:pPr>
      <w:r>
        <w:t>b)</w:t>
      </w:r>
      <w:r>
        <w:tab/>
      </w:r>
      <w:r w:rsidR="0019433A" w:rsidRPr="00BF5E14">
        <w:rPr>
          <w:b/>
          <w:bCs/>
        </w:rPr>
        <w:t>Impact and focus</w:t>
      </w:r>
      <w:r w:rsidR="0019433A" w:rsidRPr="006340E2">
        <w:rPr>
          <w:bCs/>
        </w:rPr>
        <w:t>:</w:t>
      </w:r>
    </w:p>
    <w:p w:rsidR="0019433A" w:rsidRPr="00C95A5A" w:rsidRDefault="00BF5E14" w:rsidP="00BF5E14">
      <w:pPr>
        <w:pStyle w:val="enumlev3"/>
      </w:pPr>
      <w:r>
        <w:t>–</w:t>
      </w:r>
      <w:r>
        <w:tab/>
      </w:r>
      <w:r w:rsidR="0019433A" w:rsidRPr="00C95A5A">
        <w:t>Focus on maximum impact for the wider constituency, while considering inclusiveness</w:t>
      </w:r>
    </w:p>
    <w:p w:rsidR="0019433A" w:rsidRPr="00C95A5A" w:rsidRDefault="00BF5E14" w:rsidP="00BF5E14">
      <w:pPr>
        <w:pStyle w:val="enumlev3"/>
      </w:pPr>
      <w:r>
        <w:t>–</w:t>
      </w:r>
      <w:r>
        <w:tab/>
      </w:r>
      <w:r w:rsidR="0019433A" w:rsidRPr="00C95A5A">
        <w:t>Undertake fewer activities with greater impact, rather than many activities with diluted impact</w:t>
      </w:r>
    </w:p>
    <w:p w:rsidR="0019433A" w:rsidRPr="00C95A5A" w:rsidRDefault="00BF5E14" w:rsidP="00BF5E14">
      <w:pPr>
        <w:pStyle w:val="enumlev3"/>
      </w:pPr>
      <w:r>
        <w:lastRenderedPageBreak/>
        <w:t>–</w:t>
      </w:r>
      <w:r>
        <w:tab/>
      </w:r>
      <w:r w:rsidR="0019433A" w:rsidRPr="00C95A5A">
        <w:t>Be consistent and undertake activities that clearly contribute to the big picture as determined by the ITU strategic framework</w:t>
      </w:r>
    </w:p>
    <w:p w:rsidR="0019433A" w:rsidRPr="00C95A5A" w:rsidRDefault="00BF5E14" w:rsidP="00BF5E14">
      <w:pPr>
        <w:pStyle w:val="enumlev3"/>
      </w:pPr>
      <w:r>
        <w:t>–</w:t>
      </w:r>
      <w:r>
        <w:tab/>
      </w:r>
      <w:r w:rsidR="0019433A" w:rsidRPr="00C95A5A">
        <w:t>Give priority to activities yielding tangible results.</w:t>
      </w:r>
    </w:p>
    <w:p w:rsidR="0019433A" w:rsidRPr="00BF5E14" w:rsidRDefault="00BF5E14" w:rsidP="00BF5E14">
      <w:pPr>
        <w:pStyle w:val="enumlev2"/>
      </w:pPr>
      <w:r>
        <w:t>c)</w:t>
      </w:r>
      <w:r>
        <w:tab/>
      </w:r>
      <w:r w:rsidR="0019433A" w:rsidRPr="00BF5E14">
        <w:rPr>
          <w:b/>
          <w:bCs/>
        </w:rPr>
        <w:t>Membership needs</w:t>
      </w:r>
      <w:r w:rsidR="0019433A" w:rsidRPr="006340E2">
        <w:rPr>
          <w:bCs/>
        </w:rPr>
        <w:t>:</w:t>
      </w:r>
    </w:p>
    <w:p w:rsidR="0019433A" w:rsidRPr="00C95A5A" w:rsidRDefault="00BF5E14" w:rsidP="00BF5E14">
      <w:pPr>
        <w:pStyle w:val="enumlev3"/>
      </w:pPr>
      <w:r>
        <w:t>–</w:t>
      </w:r>
      <w:r>
        <w:tab/>
      </w:r>
      <w:r w:rsidR="0019433A" w:rsidRPr="00C95A5A">
        <w:t>Prioritize membership demands, by following a customer-oriented approach</w:t>
      </w:r>
    </w:p>
    <w:p w:rsidR="0019433A" w:rsidRPr="00C95A5A" w:rsidRDefault="00BF5E14" w:rsidP="00BF5E14">
      <w:pPr>
        <w:pStyle w:val="enumlev3"/>
      </w:pPr>
      <w:r>
        <w:t>–</w:t>
      </w:r>
      <w:r>
        <w:tab/>
      </w:r>
      <w:r w:rsidR="0019433A" w:rsidRPr="00C95A5A">
        <w:t>Give priority to activities that Member States cannot implement without the support of the organization.</w:t>
      </w:r>
    </w:p>
    <w:p w:rsidR="0019433A" w:rsidRPr="00C95A5A" w:rsidRDefault="00BF5E14" w:rsidP="00BF5E14">
      <w:pPr>
        <w:pStyle w:val="Heading2"/>
      </w:pPr>
      <w:bookmarkStart w:id="86" w:name="_Toc377565050"/>
      <w:bookmarkStart w:id="87" w:name="_Toc387091857"/>
      <w:r>
        <w:t>5.3</w:t>
      </w:r>
      <w:r>
        <w:tab/>
      </w:r>
      <w:r w:rsidR="0019433A" w:rsidRPr="00C95A5A">
        <w:t>Monitoring, evaluation and risk management</w:t>
      </w:r>
      <w:bookmarkEnd w:id="86"/>
      <w:r w:rsidR="0019433A" w:rsidRPr="00C95A5A">
        <w:t xml:space="preserve"> in the ITU RBM framework</w:t>
      </w:r>
      <w:bookmarkEnd w:id="87"/>
    </w:p>
    <w:p w:rsidR="0019433A" w:rsidRPr="00C95A5A" w:rsidRDefault="0019433A" w:rsidP="00BF5E14">
      <w:r w:rsidRPr="00C95A5A">
        <w:t>Results will be the main focus of strategy, planning and budgeting in the ITU RBM framework. Performance monitoring and evaluation, and risk management will ensure that the strategic, operational and financial planning processes are based on informed decision-making and appropriate resource allocation.</w:t>
      </w:r>
    </w:p>
    <w:p w:rsidR="0019433A" w:rsidRPr="00C95A5A" w:rsidRDefault="0019433A" w:rsidP="00BF5E14">
      <w:r w:rsidRPr="00C95A5A">
        <w:t>The ITU performance monitoring and evaluation framework will be further developed according to the strategic framework outlined in the 2016-2019 strategic plan, to measure progress towards achievement of the ITU objectives and outcomes, strategic goals and targets set out in this Strategic Plan, evaluating performance and detecting issues that need to be addressed.</w:t>
      </w:r>
    </w:p>
    <w:p w:rsidR="0019433A" w:rsidRPr="00FD7BAE" w:rsidRDefault="0019433A" w:rsidP="00BF5E14">
      <w:r w:rsidRPr="00C95A5A">
        <w:t>The ITU risk management framework will be further developed, to ensure an integrated approach to the ITU results-based management framework set in the 2016-2019 Strategic Plan of the Union.</w:t>
      </w:r>
    </w:p>
    <w:p w:rsidR="0019433A" w:rsidRDefault="0019433A" w:rsidP="003A3140"/>
    <w:p w:rsidR="00BF5E14" w:rsidRDefault="00BF5E14" w:rsidP="003A3140">
      <w:pPr>
        <w:sectPr w:rsidR="00BF5E14" w:rsidSect="0019433A">
          <w:pgSz w:w="11907" w:h="16834"/>
          <w:pgMar w:top="1418" w:right="1134" w:bottom="1418" w:left="1134" w:header="720" w:footer="720" w:gutter="0"/>
          <w:paperSrc w:first="15" w:other="15"/>
          <w:cols w:space="720"/>
          <w:docGrid w:linePitch="326"/>
        </w:sectPr>
      </w:pPr>
    </w:p>
    <w:p w:rsidR="00F314ED" w:rsidRDefault="006340E2" w:rsidP="00F314ED">
      <w:pPr>
        <w:pStyle w:val="AnnexNotitle"/>
      </w:pPr>
      <w:r>
        <w:lastRenderedPageBreak/>
        <w:t>Annex 3 to Resolution 71</w:t>
      </w:r>
      <w:r w:rsidR="00F314ED">
        <w:br/>
      </w:r>
      <w:r w:rsidR="00F314ED">
        <w:br/>
      </w:r>
      <w:r w:rsidR="00F314ED" w:rsidRPr="00BD6E55">
        <w:t>Allocation of resources to objectives and strategic goals</w:t>
      </w:r>
    </w:p>
    <w:p w:rsidR="00F314ED" w:rsidRDefault="00F314ED" w:rsidP="00F314ED">
      <w:r w:rsidRPr="004B3FF0">
        <w:rPr>
          <w:rFonts w:eastAsia="SimSun"/>
          <w:noProof/>
          <w:lang w:val="en-US" w:eastAsia="zh-CN"/>
        </w:rPr>
        <w:drawing>
          <wp:inline distT="0" distB="0" distL="0" distR="0" wp14:anchorId="269019F1" wp14:editId="013FF1A5">
            <wp:extent cx="7981950" cy="425591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81950" cy="4255913"/>
                    </a:xfrm>
                    <a:prstGeom prst="rect">
                      <a:avLst/>
                    </a:prstGeom>
                    <a:noFill/>
                    <a:ln>
                      <a:noFill/>
                    </a:ln>
                  </pic:spPr>
                </pic:pic>
              </a:graphicData>
            </a:graphic>
          </wp:inline>
        </w:drawing>
      </w:r>
    </w:p>
    <w:p w:rsidR="00F314ED" w:rsidRDefault="00F314ED" w:rsidP="00F314ED"/>
    <w:p w:rsidR="00F314ED" w:rsidRDefault="00F314ED" w:rsidP="00F314ED"/>
    <w:p w:rsidR="00F314ED" w:rsidRDefault="00F314ED" w:rsidP="00F314ED">
      <w:pPr>
        <w:sectPr w:rsidR="00F314ED" w:rsidSect="00BF5E14">
          <w:pgSz w:w="16834" w:h="11907" w:orient="landscape"/>
          <w:pgMar w:top="1134" w:right="1418" w:bottom="1134" w:left="1418" w:header="720" w:footer="720" w:gutter="0"/>
          <w:paperSrc w:first="15" w:other="15"/>
          <w:cols w:space="720"/>
          <w:docGrid w:linePitch="326"/>
        </w:sectPr>
      </w:pPr>
    </w:p>
    <w:p w:rsidR="00F314ED" w:rsidRPr="0093486E" w:rsidRDefault="00F314ED" w:rsidP="00560FA1">
      <w:pPr>
        <w:pStyle w:val="AnnexNotitle"/>
        <w:spacing w:after="120"/>
      </w:pPr>
      <w:r>
        <w:lastRenderedPageBreak/>
        <w:t>Annex 4 to Resolution 71</w:t>
      </w:r>
      <w:r>
        <w:br/>
      </w:r>
      <w:r>
        <w:br/>
        <w:t>Glossary of the strategic plan for the Union for 2016-2019</w:t>
      </w:r>
    </w:p>
    <w:tbl>
      <w:tblPr>
        <w:tblStyle w:val="LightList-Accent1"/>
        <w:tblW w:w="9356" w:type="dxa"/>
        <w:jc w:val="center"/>
        <w:tblLook w:val="04A0" w:firstRow="1" w:lastRow="0" w:firstColumn="1" w:lastColumn="0" w:noHBand="0" w:noVBand="1"/>
      </w:tblPr>
      <w:tblGrid>
        <w:gridCol w:w="1469"/>
        <w:gridCol w:w="7887"/>
      </w:tblGrid>
      <w:tr w:rsidR="00F314ED" w:rsidRPr="0093486E" w:rsidTr="000F1506">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jc w:val="center"/>
              <w:rPr>
                <w:i/>
                <w:iCs/>
              </w:rPr>
            </w:pPr>
            <w:r w:rsidRPr="0093486E">
              <w:t>Term</w:t>
            </w:r>
          </w:p>
        </w:tc>
        <w:tc>
          <w:tcPr>
            <w:tcW w:w="7887" w:type="dxa"/>
          </w:tcPr>
          <w:p w:rsidR="00F314ED" w:rsidRPr="0093486E" w:rsidRDefault="00F314ED" w:rsidP="000F1506">
            <w:pPr>
              <w:pStyle w:val="Tabletext"/>
              <w:jc w:val="center"/>
              <w:cnfStyle w:val="100000000000" w:firstRow="1" w:lastRow="0" w:firstColumn="0" w:lastColumn="0" w:oddVBand="0" w:evenVBand="0" w:oddHBand="0" w:evenHBand="0" w:firstRowFirstColumn="0" w:firstRowLastColumn="0" w:lastRowFirstColumn="0" w:lastRowLastColumn="0"/>
            </w:pPr>
            <w:r w:rsidRPr="0093486E">
              <w:t>Working Version</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Activities</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Activities are various actions/services for transforming resources (inputs) into outputs.</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Financial plan</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The Financial Plan covers a four-year period</w:t>
            </w:r>
            <w:r w:rsidRPr="0093486E" w:rsidDel="00765B39">
              <w:rPr>
                <w:sz w:val="20"/>
              </w:rPr>
              <w:t xml:space="preserve"> </w:t>
            </w:r>
            <w:r w:rsidRPr="0093486E">
              <w:rPr>
                <w:sz w:val="20"/>
              </w:rPr>
              <w:t>and sets up the financial basis from which biennial budgets can be elaborated.</w:t>
            </w:r>
          </w:p>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 xml:space="preserve">The financial plan is elaborated within the context of Decision 5 (Revenue and expenses for the Union) which reflects, </w:t>
            </w:r>
            <w:r w:rsidRPr="0093486E">
              <w:rPr>
                <w:i/>
                <w:iCs/>
                <w:sz w:val="20"/>
              </w:rPr>
              <w:t>inter alia</w:t>
            </w:r>
            <w:r w:rsidRPr="0093486E">
              <w:rPr>
                <w:sz w:val="20"/>
              </w:rPr>
              <w:t>, the amount of the contributory unit approved by the Plenipotentiary Conference.</w:t>
            </w:r>
          </w:p>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It should be aligned with the strategic plan.</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Inputs</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Inputs are resources, such as financial, human, material and technological resources, used by activities to produce outputs.</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i/>
                <w:iCs/>
                <w:sz w:val="20"/>
              </w:rPr>
            </w:pPr>
            <w:r w:rsidRPr="0093486E">
              <w:rPr>
                <w:b w:val="0"/>
                <w:sz w:val="20"/>
              </w:rPr>
              <w:t>Mission</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Mission refers to the main overall purposes of the Union, as per the Basic Instruments of ITU.</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Objectives</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Objectives refer to the specific aims of the Sector and intersectoral activities in a given period.</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Operational plan</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93486E">
              <w:rPr>
                <w:sz w:val="20"/>
              </w:rPr>
              <w:noBreakHyphen/>
              <w:t>year period for each Sector and the General Secretariat. The Council reviews and approves the four-year rolling operational plans.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Outcomes</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Outcomes provide an indication as to whether the objective is being achieved. Outcomes are usually partly, but not entirely, within the control of the organization.</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i/>
                <w:iCs/>
                <w:sz w:val="20"/>
              </w:rPr>
            </w:pPr>
            <w:r w:rsidRPr="0093486E">
              <w:rPr>
                <w:b w:val="0"/>
                <w:sz w:val="20"/>
              </w:rPr>
              <w:t>Outputs</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rFonts w:cstheme="minorHAnsi"/>
                <w:sz w:val="20"/>
              </w:rPr>
              <w:t xml:space="preserve">The outputs are the final tangible results, deliverables, products and services achieved by the Union in the implementation of the operational plans. </w:t>
            </w:r>
            <w:r w:rsidRPr="0093486E">
              <w:rPr>
                <w:sz w:val="20"/>
              </w:rPr>
              <w:t>Outputs are cost objects and are represented in the applicable cost accounting system by internal orders.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560FA1" w:rsidRDefault="00F314ED" w:rsidP="000F1506">
            <w:pPr>
              <w:pStyle w:val="Tabletext"/>
              <w:rPr>
                <w:rFonts w:asciiTheme="majorBidi" w:hAnsiTheme="majorBidi" w:cstheme="majorBidi"/>
                <w:sz w:val="20"/>
              </w:rPr>
            </w:pPr>
            <w:r w:rsidRPr="00560FA1">
              <w:rPr>
                <w:rFonts w:asciiTheme="majorBidi" w:hAnsiTheme="majorBidi" w:cstheme="majorBidi"/>
                <w:b w:val="0"/>
                <w:bCs w:val="0"/>
                <w:sz w:val="20"/>
              </w:rPr>
              <w:t>Performance indicators</w:t>
            </w:r>
          </w:p>
        </w:tc>
        <w:tc>
          <w:tcPr>
            <w:tcW w:w="7887" w:type="dxa"/>
          </w:tcPr>
          <w:p w:rsidR="00F314ED" w:rsidRPr="00560FA1" w:rsidRDefault="00F314ED" w:rsidP="000F1506">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rPr>
            </w:pPr>
            <w:r w:rsidRPr="00560FA1">
              <w:rPr>
                <w:rFonts w:asciiTheme="majorBidi" w:hAnsiTheme="majorBidi" w:cstheme="majorBidi"/>
                <w:sz w:val="20"/>
                <w:lang w:val="en-US"/>
              </w:rPr>
              <w:t>Performance indicators are the criteria used to measure the achievement of outputs or outcomes. These indicators may be qualitative or quantitative.</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Processes</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Set of consistent activities intended to meet an intended objective/goal.</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Results-based budgeting (RBB)</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Results-based management (RBM)</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Results framework</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 and inter-sectoral objectives, and desired impact – at the level of ITU</w:t>
            </w:r>
            <w:r w:rsidRPr="0093486E">
              <w:rPr>
                <w:sz w:val="20"/>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i/>
                <w:iCs/>
                <w:sz w:val="20"/>
              </w:rPr>
            </w:pPr>
            <w:r w:rsidRPr="0093486E">
              <w:rPr>
                <w:b w:val="0"/>
                <w:sz w:val="20"/>
              </w:rPr>
              <w:t>Strategic goals</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Str</w:t>
            </w:r>
            <w:r w:rsidR="00560FA1">
              <w:rPr>
                <w:sz w:val="20"/>
              </w:rPr>
              <w:t>ategic goals refer to the Union’</w:t>
            </w:r>
            <w:r w:rsidRPr="0093486E">
              <w:rPr>
                <w:sz w:val="20"/>
              </w:rPr>
              <w:t>s high-level targets to which the objectives contribute, directly or indirectly. These relate to the whole of ITU.</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lastRenderedPageBreak/>
              <w:t>Strategic plan</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Strategic risks</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Strategic risks refer to the uncertainties and untapped opportunities that affect an organization's strategy and strategy execution.</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Strategic risk management (SRM)</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 xml:space="preserve">Strategic </w:t>
            </w:r>
            <w:r>
              <w:rPr>
                <w:sz w:val="20"/>
              </w:rPr>
              <w:t>r</w:t>
            </w:r>
            <w:r w:rsidRPr="0093486E">
              <w:rPr>
                <w:sz w:val="20"/>
              </w:rPr>
              <w:t>isk management is a management practice that identifies and focuses action on uncertainties and untapped opportunities that affect an organization’s ability to deliver on its mission.</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Strategic target</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Strategic targets are the expected results during the period of the strategic plan; they provide an indication as to whether the goal is being achieved. Targets may not always be achieved for reasons that may be beyond the control of the Union.</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Values</w:t>
            </w:r>
          </w:p>
        </w:tc>
        <w:tc>
          <w:tcPr>
            <w:tcW w:w="7887" w:type="dxa"/>
          </w:tcPr>
          <w:p w:rsidR="00F314ED" w:rsidRPr="0093486E" w:rsidRDefault="00F314ED" w:rsidP="000F1506">
            <w:pPr>
              <w:pStyle w:val="Tabletext"/>
              <w:cnfStyle w:val="000000100000" w:firstRow="0" w:lastRow="0" w:firstColumn="0" w:lastColumn="0" w:oddVBand="0" w:evenVBand="0" w:oddHBand="1" w:evenHBand="0" w:firstRowFirstColumn="0" w:firstRowLastColumn="0" w:lastRowFirstColumn="0" w:lastRowLastColumn="0"/>
              <w:rPr>
                <w:sz w:val="20"/>
              </w:rPr>
            </w:pPr>
            <w:r w:rsidRPr="0093486E">
              <w:rPr>
                <w:sz w:val="20"/>
              </w:rPr>
              <w:t>ITU's shared and common beliefs that drive its priorities and guide all decision</w:t>
            </w:r>
            <w:r>
              <w:rPr>
                <w:sz w:val="20"/>
              </w:rPr>
              <w:t>-</w:t>
            </w:r>
            <w:r w:rsidRPr="0093486E">
              <w:rPr>
                <w:sz w:val="20"/>
              </w:rPr>
              <w:t>making processes.</w:t>
            </w:r>
          </w:p>
        </w:tc>
      </w:tr>
      <w:tr w:rsidR="00F314ED" w:rsidRPr="0093486E" w:rsidTr="000F1506">
        <w:trPr>
          <w:cantSplit/>
          <w:jc w:val="center"/>
        </w:trPr>
        <w:tc>
          <w:tcPr>
            <w:cnfStyle w:val="001000000000" w:firstRow="0" w:lastRow="0" w:firstColumn="1" w:lastColumn="0" w:oddVBand="0" w:evenVBand="0" w:oddHBand="0" w:evenHBand="0" w:firstRowFirstColumn="0" w:firstRowLastColumn="0" w:lastRowFirstColumn="0" w:lastRowLastColumn="0"/>
            <w:tcW w:w="1469" w:type="dxa"/>
          </w:tcPr>
          <w:p w:rsidR="00F314ED" w:rsidRPr="0093486E" w:rsidRDefault="00F314ED" w:rsidP="000F1506">
            <w:pPr>
              <w:pStyle w:val="Tabletext"/>
              <w:rPr>
                <w:b w:val="0"/>
                <w:sz w:val="20"/>
              </w:rPr>
            </w:pPr>
            <w:r w:rsidRPr="0093486E">
              <w:rPr>
                <w:b w:val="0"/>
                <w:sz w:val="20"/>
              </w:rPr>
              <w:t>Vision</w:t>
            </w:r>
          </w:p>
        </w:tc>
        <w:tc>
          <w:tcPr>
            <w:tcW w:w="7887" w:type="dxa"/>
          </w:tcPr>
          <w:p w:rsidR="00F314ED" w:rsidRPr="0093486E" w:rsidRDefault="00F314ED" w:rsidP="000F1506">
            <w:pPr>
              <w:pStyle w:val="Tabletext"/>
              <w:cnfStyle w:val="000000000000" w:firstRow="0" w:lastRow="0" w:firstColumn="0" w:lastColumn="0" w:oddVBand="0" w:evenVBand="0" w:oddHBand="0" w:evenHBand="0" w:firstRowFirstColumn="0" w:firstRowLastColumn="0" w:lastRowFirstColumn="0" w:lastRowLastColumn="0"/>
              <w:rPr>
                <w:sz w:val="20"/>
              </w:rPr>
            </w:pPr>
            <w:r w:rsidRPr="0093486E">
              <w:rPr>
                <w:sz w:val="20"/>
              </w:rPr>
              <w:t>The better world ITU wants to see.</w:t>
            </w:r>
          </w:p>
        </w:tc>
      </w:tr>
    </w:tbl>
    <w:p w:rsidR="00F314ED" w:rsidRPr="0093486E" w:rsidRDefault="00F314ED" w:rsidP="00F314ED">
      <w:r w:rsidRPr="0093486E">
        <w:br w:type="page"/>
      </w:r>
    </w:p>
    <w:p w:rsidR="00F314ED" w:rsidRPr="0093486E" w:rsidRDefault="00F314ED" w:rsidP="00560FA1">
      <w:pPr>
        <w:pStyle w:val="AnnexNotitle"/>
        <w:spacing w:after="120"/>
      </w:pPr>
      <w:r w:rsidRPr="0015787D">
        <w:lastRenderedPageBreak/>
        <w:t xml:space="preserve">List of </w:t>
      </w:r>
      <w:r>
        <w:t>t</w:t>
      </w:r>
      <w:r w:rsidRPr="0015787D">
        <w:t xml:space="preserve">erms in all </w:t>
      </w:r>
      <w:r>
        <w:t>six</w:t>
      </w:r>
      <w:r w:rsidRPr="0015787D">
        <w:t xml:space="preserve"> </w:t>
      </w:r>
      <w:r>
        <w:t>o</w:t>
      </w:r>
      <w:r w:rsidRPr="0015787D">
        <w:t xml:space="preserve">fficial </w:t>
      </w:r>
      <w:r>
        <w:t>l</w:t>
      </w:r>
      <w:r w:rsidRPr="0015787D">
        <w:t>anguages</w:t>
      </w:r>
    </w:p>
    <w:tbl>
      <w:tblPr>
        <w:tblStyle w:val="LightList-Accent1"/>
        <w:tblpPr w:leftFromText="180" w:rightFromText="180" w:vertAnchor="text" w:horzAnchor="margin" w:tblpXSpec="center" w:tblpY="4"/>
        <w:tblW w:w="9822" w:type="dxa"/>
        <w:tblLayout w:type="fixed"/>
        <w:tblLook w:val="04A0" w:firstRow="1" w:lastRow="0" w:firstColumn="1" w:lastColumn="0" w:noHBand="0" w:noVBand="1"/>
      </w:tblPr>
      <w:tblGrid>
        <w:gridCol w:w="1309"/>
        <w:gridCol w:w="75"/>
        <w:gridCol w:w="1343"/>
        <w:gridCol w:w="1917"/>
        <w:gridCol w:w="1492"/>
        <w:gridCol w:w="1984"/>
        <w:gridCol w:w="1702"/>
      </w:tblGrid>
      <w:tr w:rsidR="00F314ED" w:rsidRPr="0093486E" w:rsidTr="000F1506">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84" w:type="dxa"/>
            <w:gridSpan w:val="2"/>
            <w:vAlign w:val="center"/>
          </w:tcPr>
          <w:p w:rsidR="00F314ED" w:rsidRPr="0093486E" w:rsidRDefault="00F314ED" w:rsidP="000F1506">
            <w:pPr>
              <w:pStyle w:val="Tablehead"/>
              <w:spacing w:before="40" w:after="40"/>
              <w:rPr>
                <w:b/>
                <w:i/>
                <w:sz w:val="20"/>
              </w:rPr>
            </w:pPr>
            <w:r w:rsidRPr="0093486E">
              <w:rPr>
                <w:sz w:val="20"/>
              </w:rPr>
              <w:t>English</w:t>
            </w:r>
          </w:p>
        </w:tc>
        <w:tc>
          <w:tcPr>
            <w:tcW w:w="1343" w:type="dxa"/>
            <w:vAlign w:val="center"/>
          </w:tcPr>
          <w:p w:rsidR="00F314ED" w:rsidRPr="0093486E" w:rsidRDefault="00F314ED" w:rsidP="000F1506">
            <w:pPr>
              <w:spacing w:before="40" w:after="40"/>
              <w:jc w:val="center"/>
              <w:cnfStyle w:val="100000000000" w:firstRow="1" w:lastRow="0" w:firstColumn="0" w:lastColumn="0" w:oddVBand="0" w:evenVBand="0" w:oddHBand="0" w:evenHBand="0" w:firstRowFirstColumn="0" w:firstRowLastColumn="0" w:lastRowFirstColumn="0" w:lastRowLastColumn="0"/>
              <w:rPr>
                <w:sz w:val="20"/>
              </w:rPr>
            </w:pPr>
            <w:r w:rsidRPr="0093486E">
              <w:rPr>
                <w:sz w:val="20"/>
              </w:rPr>
              <w:t>Arab</w:t>
            </w:r>
            <w:r w:rsidR="00E55EEA">
              <w:rPr>
                <w:sz w:val="20"/>
              </w:rPr>
              <w:t>ic</w:t>
            </w:r>
            <w:bookmarkStart w:id="88" w:name="_GoBack"/>
            <w:bookmarkEnd w:id="88"/>
          </w:p>
        </w:tc>
        <w:tc>
          <w:tcPr>
            <w:tcW w:w="1917" w:type="dxa"/>
            <w:vAlign w:val="center"/>
          </w:tcPr>
          <w:p w:rsidR="00F314ED" w:rsidRPr="0093486E" w:rsidRDefault="00F314ED" w:rsidP="000F1506">
            <w:pPr>
              <w:spacing w:before="40" w:after="40"/>
              <w:jc w:val="center"/>
              <w:cnfStyle w:val="100000000000" w:firstRow="1" w:lastRow="0" w:firstColumn="0" w:lastColumn="0" w:oddVBand="0" w:evenVBand="0" w:oddHBand="0" w:evenHBand="0" w:firstRowFirstColumn="0" w:firstRowLastColumn="0" w:lastRowFirstColumn="0" w:lastRowLastColumn="0"/>
              <w:rPr>
                <w:rFonts w:ascii="Songti SC Bold" w:eastAsia="Songti SC Bold" w:hAnsi="Songti SC Bold"/>
                <w:b w:val="0"/>
                <w:sz w:val="20"/>
              </w:rPr>
            </w:pPr>
            <w:r w:rsidRPr="0093486E">
              <w:rPr>
                <w:rFonts w:ascii="Songti SC Bold" w:eastAsia="Songti SC Bold" w:hAnsi="Songti SC Bold"/>
                <w:b w:val="0"/>
                <w:sz w:val="20"/>
              </w:rPr>
              <w:t>Chinese</w:t>
            </w:r>
          </w:p>
        </w:tc>
        <w:tc>
          <w:tcPr>
            <w:tcW w:w="1492" w:type="dxa"/>
            <w:vAlign w:val="center"/>
          </w:tcPr>
          <w:p w:rsidR="00F314ED" w:rsidRPr="0093486E" w:rsidRDefault="00F314ED" w:rsidP="000F1506">
            <w:pPr>
              <w:spacing w:before="40" w:after="40"/>
              <w:jc w:val="center"/>
              <w:cnfStyle w:val="100000000000" w:firstRow="1" w:lastRow="0" w:firstColumn="0" w:lastColumn="0" w:oddVBand="0" w:evenVBand="0" w:oddHBand="0" w:evenHBand="0" w:firstRowFirstColumn="0" w:firstRowLastColumn="0" w:lastRowFirstColumn="0" w:lastRowLastColumn="0"/>
              <w:rPr>
                <w:sz w:val="20"/>
              </w:rPr>
            </w:pPr>
            <w:r w:rsidRPr="0093486E">
              <w:rPr>
                <w:sz w:val="20"/>
              </w:rPr>
              <w:t>French</w:t>
            </w:r>
          </w:p>
        </w:tc>
        <w:tc>
          <w:tcPr>
            <w:tcW w:w="1984" w:type="dxa"/>
            <w:vAlign w:val="center"/>
          </w:tcPr>
          <w:p w:rsidR="00F314ED" w:rsidRPr="0093486E" w:rsidRDefault="00F314ED" w:rsidP="000F1506">
            <w:pPr>
              <w:spacing w:before="40" w:after="40"/>
              <w:jc w:val="center"/>
              <w:cnfStyle w:val="100000000000" w:firstRow="1" w:lastRow="0" w:firstColumn="0" w:lastColumn="0" w:oddVBand="0" w:evenVBand="0" w:oddHBand="0" w:evenHBand="0" w:firstRowFirstColumn="0" w:firstRowLastColumn="0" w:lastRowFirstColumn="0" w:lastRowLastColumn="0"/>
              <w:rPr>
                <w:sz w:val="20"/>
              </w:rPr>
            </w:pPr>
            <w:r w:rsidRPr="0093486E">
              <w:rPr>
                <w:sz w:val="20"/>
              </w:rPr>
              <w:t>Russian</w:t>
            </w:r>
          </w:p>
        </w:tc>
        <w:tc>
          <w:tcPr>
            <w:tcW w:w="1702" w:type="dxa"/>
            <w:vAlign w:val="center"/>
          </w:tcPr>
          <w:p w:rsidR="00F314ED" w:rsidRPr="0093486E" w:rsidRDefault="00F314ED" w:rsidP="000F1506">
            <w:pPr>
              <w:spacing w:before="40" w:after="40"/>
              <w:jc w:val="center"/>
              <w:cnfStyle w:val="100000000000" w:firstRow="1" w:lastRow="0" w:firstColumn="0" w:lastColumn="0" w:oddVBand="0" w:evenVBand="0" w:oddHBand="0" w:evenHBand="0" w:firstRowFirstColumn="0" w:firstRowLastColumn="0" w:lastRowFirstColumn="0" w:lastRowLastColumn="0"/>
              <w:rPr>
                <w:sz w:val="20"/>
              </w:rPr>
            </w:pPr>
            <w:r w:rsidRPr="0093486E">
              <w:rPr>
                <w:sz w:val="20"/>
              </w:rPr>
              <w:t>Spanish</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lang w:val="en-US"/>
              </w:rPr>
            </w:pPr>
            <w:r w:rsidRPr="0093486E">
              <w:rPr>
                <w:rFonts w:cs="Traditional Arabic"/>
                <w:b w:val="0"/>
                <w:bCs w:val="0"/>
                <w:sz w:val="20"/>
              </w:rPr>
              <w:t>Activities</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tl/>
                <w:lang w:bidi="ar-EG"/>
              </w:rPr>
            </w:pPr>
            <w:r w:rsidRPr="0093486E">
              <w:rPr>
                <w:rFonts w:ascii="Calibri" w:hAnsi="Calibri" w:cs="Traditional Arabic" w:hint="cs"/>
                <w:sz w:val="20"/>
                <w:szCs w:val="20"/>
                <w:rtl/>
              </w:rPr>
              <w:t>الأنشطة</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活动</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Activités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lang w:val="ru-RU"/>
              </w:rPr>
            </w:pPr>
            <w:r w:rsidRPr="0093486E">
              <w:rPr>
                <w:rFonts w:cs="Calibri"/>
                <w:sz w:val="18"/>
                <w:szCs w:val="18"/>
                <w:lang w:val="ru-RU"/>
              </w:rPr>
              <w:t>Виды деятельности</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Actividades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Financial plan</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الخطة</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المالية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财务规划</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Plan financier</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3486E">
              <w:rPr>
                <w:rFonts w:cs="Calibri"/>
                <w:sz w:val="18"/>
                <w:szCs w:val="18"/>
                <w:lang w:val="ru-RU"/>
              </w:rPr>
              <w:t>Финансовый план</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Plan Financiero</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Inputs</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المدخلات</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lang w:eastAsia="zh-CN"/>
              </w:rPr>
            </w:pPr>
            <w:r w:rsidRPr="0093486E">
              <w:rPr>
                <w:rFonts w:ascii="Songti SC Bold" w:eastAsia="Songti SC Bold" w:hAnsi="Songti SC Bold" w:hint="eastAsia"/>
                <w:sz w:val="18"/>
                <w:szCs w:val="18"/>
                <w:lang w:eastAsia="zh-CN"/>
              </w:rPr>
              <w:t>投入，输入意见（取决于上下文）</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Contributions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Исходные ресурсы</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Insumos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i/>
                <w:iCs/>
                <w:sz w:val="20"/>
              </w:rPr>
            </w:pPr>
            <w:r w:rsidRPr="0093486E">
              <w:rPr>
                <w:rFonts w:cs="Traditional Arabic"/>
                <w:b w:val="0"/>
                <w:bCs w:val="0"/>
                <w:sz w:val="20"/>
              </w:rPr>
              <w:t>Mission</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الرسالة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使命</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Mission</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Миссия</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Misión</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Objectives</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tl/>
                <w:lang w:bidi="ar-EG"/>
              </w:rPr>
            </w:pPr>
            <w:r w:rsidRPr="0093486E">
              <w:rPr>
                <w:rFonts w:ascii="Calibri" w:hAnsi="Calibri" w:cs="Traditional Arabic" w:hint="cs"/>
                <w:sz w:val="20"/>
                <w:szCs w:val="20"/>
                <w:rtl/>
              </w:rPr>
              <w:t>الغايات</w:t>
            </w:r>
            <w:r w:rsidRPr="0093486E">
              <w:rPr>
                <w:rFonts w:ascii="Calibri" w:hAnsi="Calibri" w:cs="Traditional Arabic"/>
                <w:sz w:val="20"/>
                <w:szCs w:val="20"/>
                <w:rtl/>
              </w:rPr>
              <w:t xml:space="preserve"> [ / </w:t>
            </w:r>
            <w:r w:rsidRPr="0093486E">
              <w:rPr>
                <w:rFonts w:ascii="Calibri" w:hAnsi="Calibri" w:cs="Traditional Arabic" w:hint="cs"/>
                <w:sz w:val="20"/>
                <w:szCs w:val="20"/>
                <w:rtl/>
              </w:rPr>
              <w:t>أهداف</w:t>
            </w:r>
            <w:r w:rsidRPr="0093486E">
              <w:rPr>
                <w:rFonts w:ascii="Calibri" w:hAnsi="Calibri" w:cs="Traditional Arabic"/>
                <w:sz w:val="20"/>
                <w:szCs w:val="20"/>
                <w:rtl/>
              </w:rPr>
              <w:t>]</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部门目标</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Objectifs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Задачи</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Objetivos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Operational plan</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الخطة</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التشغيلية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运作规划</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Plan opérationnel</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Оперативный план</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Plan Operacional</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Outcomes</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النتائج</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结果</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Résultats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Конечные результаты</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Resultados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i/>
                <w:iCs/>
                <w:sz w:val="20"/>
              </w:rPr>
            </w:pPr>
            <w:r w:rsidRPr="0093486E">
              <w:rPr>
                <w:rFonts w:cs="Traditional Arabic"/>
                <w:b w:val="0"/>
                <w:bCs w:val="0"/>
                <w:sz w:val="20"/>
              </w:rPr>
              <w:t>Outputs</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النواتج</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输出成果</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Produits</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Намеченные результаты деятельности</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Productos</w:t>
            </w:r>
          </w:p>
        </w:tc>
      </w:tr>
      <w:tr w:rsidR="00F314ED" w:rsidRPr="002A54DD"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F314ED" w:rsidRPr="00C45224" w:rsidRDefault="00F314ED" w:rsidP="000F1506">
            <w:pPr>
              <w:pStyle w:val="Tabletext"/>
              <w:rPr>
                <w:rFonts w:cs="Traditional Arabic"/>
                <w:b w:val="0"/>
                <w:bCs w:val="0"/>
                <w:sz w:val="20"/>
              </w:rPr>
            </w:pPr>
            <w:r w:rsidRPr="00C45224">
              <w:rPr>
                <w:rFonts w:cs="Traditional Arabic"/>
                <w:b w:val="0"/>
                <w:bCs w:val="0"/>
                <w:sz w:val="20"/>
              </w:rPr>
              <w:t>Performance Indicators</w:t>
            </w:r>
          </w:p>
        </w:tc>
        <w:tc>
          <w:tcPr>
            <w:tcW w:w="1418" w:type="dxa"/>
            <w:gridSpan w:val="2"/>
          </w:tcPr>
          <w:p w:rsidR="00F314ED" w:rsidRPr="002A54DD"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rtl/>
              </w:rPr>
            </w:pPr>
            <w:r w:rsidRPr="00471206">
              <w:rPr>
                <w:rFonts w:ascii="Traditional Arabic" w:hAnsi="Traditional Arabic" w:cs="Traditional Arabic"/>
                <w:rtl/>
              </w:rPr>
              <w:t>مؤشرات الأداء</w:t>
            </w:r>
          </w:p>
        </w:tc>
        <w:tc>
          <w:tcPr>
            <w:tcW w:w="1917" w:type="dxa"/>
          </w:tcPr>
          <w:p w:rsidR="00F314ED" w:rsidRPr="00680221"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680221">
              <w:rPr>
                <w:rFonts w:ascii="Songti SC Bold" w:eastAsia="Songti SC Bold" w:hAnsi="Songti SC Bold" w:hint="eastAsia"/>
                <w:sz w:val="18"/>
                <w:szCs w:val="18"/>
              </w:rPr>
              <w:t>绩效指标</w:t>
            </w:r>
          </w:p>
        </w:tc>
        <w:tc>
          <w:tcPr>
            <w:tcW w:w="1492" w:type="dxa"/>
          </w:tcPr>
          <w:p w:rsidR="00F314ED" w:rsidRPr="00340D1B"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340D1B">
              <w:rPr>
                <w:sz w:val="18"/>
                <w:szCs w:val="18"/>
                <w:lang w:val="es-ES"/>
              </w:rPr>
              <w:t>Indicateurs de performance</w:t>
            </w:r>
          </w:p>
        </w:tc>
        <w:tc>
          <w:tcPr>
            <w:tcW w:w="1984" w:type="dxa"/>
          </w:tcPr>
          <w:p w:rsidR="00F314ED" w:rsidRPr="00340D1B"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340D1B">
              <w:rPr>
                <w:sz w:val="18"/>
                <w:szCs w:val="18"/>
                <w:lang w:val="es-ES"/>
              </w:rPr>
              <w:t>Показатели деятельности</w:t>
            </w:r>
          </w:p>
        </w:tc>
        <w:tc>
          <w:tcPr>
            <w:tcW w:w="1702" w:type="dxa"/>
          </w:tcPr>
          <w:p w:rsidR="00F314ED" w:rsidRPr="002A54DD"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340D1B">
              <w:rPr>
                <w:sz w:val="18"/>
                <w:szCs w:val="18"/>
                <w:lang w:val="es-ES"/>
              </w:rPr>
              <w:t>Indicadores de Rendimiento</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Processes</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العمليات</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进程</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Processus</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3486E">
              <w:rPr>
                <w:rFonts w:cs="Calibri"/>
                <w:sz w:val="18"/>
                <w:szCs w:val="18"/>
                <w:lang w:val="ru-RU"/>
              </w:rPr>
              <w:t>Процессы</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Procesos</w:t>
            </w:r>
          </w:p>
        </w:tc>
      </w:tr>
      <w:tr w:rsidR="00F314ED" w:rsidRPr="00E55EEA"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Results-based budgeting</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الميزنة</w:t>
            </w:r>
            <w:r w:rsidRPr="0093486E">
              <w:rPr>
                <w:rFonts w:ascii="Calibri" w:hAnsi="Calibri" w:cs="Traditional Arabic"/>
                <w:sz w:val="20"/>
                <w:szCs w:val="20"/>
                <w:rtl/>
              </w:rPr>
              <w:t xml:space="preserve"> </w:t>
            </w:r>
            <w:r w:rsidRPr="0093486E">
              <w:rPr>
                <w:rFonts w:ascii="Calibri" w:hAnsi="Calibri" w:cs="Traditional Arabic" w:hint="cs"/>
                <w:sz w:val="20"/>
                <w:szCs w:val="20"/>
                <w:rtl/>
              </w:rPr>
              <w:t>على</w:t>
            </w:r>
            <w:r w:rsidRPr="0093486E">
              <w:rPr>
                <w:rFonts w:ascii="Calibri" w:hAnsi="Calibri" w:cs="Traditional Arabic"/>
                <w:sz w:val="20"/>
                <w:szCs w:val="20"/>
                <w:rtl/>
              </w:rPr>
              <w:t xml:space="preserve"> </w:t>
            </w:r>
            <w:r w:rsidRPr="0093486E">
              <w:rPr>
                <w:rFonts w:ascii="Calibri" w:hAnsi="Calibri" w:cs="Traditional Arabic" w:hint="cs"/>
                <w:sz w:val="20"/>
                <w:szCs w:val="20"/>
                <w:rtl/>
              </w:rPr>
              <w:t>أساس</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النتائج</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基于结果的预算制定</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fr-CH"/>
              </w:rPr>
            </w:pPr>
            <w:r w:rsidRPr="0093486E">
              <w:rPr>
                <w:sz w:val="18"/>
                <w:szCs w:val="18"/>
                <w:lang w:val="fr-CH"/>
              </w:rPr>
              <w:t>Budgétisation axée sur les résultats</w:t>
            </w:r>
          </w:p>
        </w:tc>
        <w:tc>
          <w:tcPr>
            <w:tcW w:w="1984" w:type="dxa"/>
          </w:tcPr>
          <w:p w:rsidR="00F314ED" w:rsidRPr="0015787D"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lang w:val="ru-RU"/>
              </w:rPr>
            </w:pPr>
            <w:r w:rsidRPr="0093486E">
              <w:rPr>
                <w:rFonts w:cs="Calibri"/>
                <w:sz w:val="18"/>
                <w:szCs w:val="18"/>
                <w:lang w:val="ru-RU"/>
              </w:rPr>
              <w:t>Составление бюджета, ориентированного на результаты</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[Elaboración del] Presupuesto basado en los resultados</w:t>
            </w:r>
          </w:p>
        </w:tc>
      </w:tr>
      <w:tr w:rsidR="00F314ED" w:rsidRPr="00E55EEA"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 xml:space="preserve">Results-based management </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الإدارة</w:t>
            </w:r>
            <w:r w:rsidRPr="0093486E">
              <w:rPr>
                <w:rFonts w:ascii="Calibri" w:hAnsi="Calibri" w:cs="Traditional Arabic"/>
                <w:sz w:val="20"/>
                <w:szCs w:val="20"/>
                <w:rtl/>
              </w:rPr>
              <w:t xml:space="preserve"> </w:t>
            </w:r>
            <w:r w:rsidRPr="0093486E">
              <w:rPr>
                <w:rFonts w:ascii="Calibri" w:hAnsi="Calibri" w:cs="Traditional Arabic" w:hint="cs"/>
                <w:sz w:val="20"/>
                <w:szCs w:val="20"/>
                <w:rtl/>
              </w:rPr>
              <w:t>على</w:t>
            </w:r>
            <w:r w:rsidRPr="0093486E">
              <w:rPr>
                <w:rFonts w:ascii="Calibri" w:hAnsi="Calibri" w:cs="Traditional Arabic"/>
                <w:sz w:val="20"/>
                <w:szCs w:val="20"/>
                <w:rtl/>
              </w:rPr>
              <w:t xml:space="preserve"> </w:t>
            </w:r>
            <w:r w:rsidRPr="0093486E">
              <w:rPr>
                <w:rFonts w:ascii="Calibri" w:hAnsi="Calibri" w:cs="Traditional Arabic" w:hint="cs"/>
                <w:sz w:val="20"/>
                <w:szCs w:val="20"/>
                <w:rtl/>
              </w:rPr>
              <w:t>أساس</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النتائج</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基于结果的管理</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fr-CH"/>
              </w:rPr>
            </w:pPr>
            <w:r w:rsidRPr="0093486E">
              <w:rPr>
                <w:sz w:val="18"/>
                <w:szCs w:val="18"/>
                <w:lang w:val="fr-CH"/>
              </w:rPr>
              <w:t>Gestion axée sur les résultats</w:t>
            </w:r>
          </w:p>
        </w:tc>
        <w:tc>
          <w:tcPr>
            <w:tcW w:w="1984" w:type="dxa"/>
          </w:tcPr>
          <w:p w:rsidR="00F314ED" w:rsidRPr="0015787D"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3486E">
              <w:rPr>
                <w:rFonts w:cs="Calibri"/>
                <w:sz w:val="18"/>
                <w:szCs w:val="18"/>
                <w:lang w:val="ru-RU"/>
              </w:rPr>
              <w:t>Управление, ориентированное на результаты</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Gestión basada en los resultados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Results framework</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tl/>
              </w:rPr>
            </w:pPr>
            <w:r w:rsidRPr="00471206">
              <w:rPr>
                <w:rFonts w:ascii="Traditional Arabic" w:hAnsi="Traditional Arabic" w:cs="Traditional Arabic"/>
                <w:rtl/>
              </w:rPr>
              <w:t>إطار النتائج</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680221">
              <w:rPr>
                <w:rFonts w:ascii="Songti SC Bold" w:eastAsia="Songti SC Bold" w:hAnsi="Songti SC Bold" w:hint="eastAsia"/>
                <w:sz w:val="18"/>
                <w:szCs w:val="18"/>
              </w:rPr>
              <w:t>结果框架</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fr-CH"/>
              </w:rPr>
            </w:pPr>
            <w:r w:rsidRPr="004C6551">
              <w:rPr>
                <w:sz w:val="18"/>
                <w:szCs w:val="18"/>
                <w:lang w:val="fr-CH"/>
              </w:rPr>
              <w:t>Cadre de présentation des résultats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340D1B">
              <w:rPr>
                <w:sz w:val="18"/>
                <w:szCs w:val="18"/>
                <w:lang w:val="es-ES"/>
              </w:rPr>
              <w:t>Структура результатов</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340D1B">
              <w:rPr>
                <w:sz w:val="18"/>
                <w:szCs w:val="18"/>
                <w:lang w:val="es-ES"/>
              </w:rPr>
              <w:t>Marco de resultados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b w:val="0"/>
                <w:sz w:val="20"/>
              </w:rPr>
            </w:pPr>
            <w:r w:rsidRPr="0093486E">
              <w:rPr>
                <w:rFonts w:cs="Traditional Arabic"/>
                <w:b w:val="0"/>
                <w:bCs w:val="0"/>
                <w:sz w:val="20"/>
              </w:rPr>
              <w:t>Strategic goals</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الأهداف</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الاستراتيجية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总体战略目标</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Buts stratégiques</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Стратегические цели</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Metas estratégicas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Strategic plan</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الخطة</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الاستراتيجية</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战略规划</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Plan stratégique</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Стратегический план</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Plan Estratégico</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Strategic risks</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المخاطر</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الاستراتيجية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战略风险</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Risques stratégiques</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Стратегические риски</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Riesgos estratégicos</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 xml:space="preserve">Strategic risk management </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إدارة</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المخاطر</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الاستراتيجية</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战略风险管理</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Gestion des risques stratégiques</w:t>
            </w:r>
          </w:p>
        </w:tc>
        <w:tc>
          <w:tcPr>
            <w:tcW w:w="1984" w:type="dxa"/>
          </w:tcPr>
          <w:p w:rsidR="00F314ED" w:rsidRPr="0015787D"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Управление стратегическими рисками</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Gestión de riesgos estratégicos</w:t>
            </w:r>
          </w:p>
        </w:tc>
      </w:tr>
      <w:tr w:rsidR="00F314ED" w:rsidRPr="0093486E"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Strategic target</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المقاصد</w:t>
            </w:r>
            <w:r w:rsidRPr="0093486E">
              <w:rPr>
                <w:rFonts w:ascii="Calibri" w:hAnsi="Calibri" w:cs="Traditional Arabic"/>
                <w:sz w:val="20"/>
                <w:szCs w:val="20"/>
                <w:rtl/>
              </w:rPr>
              <w:t xml:space="preserve"> </w:t>
            </w:r>
            <w:r w:rsidRPr="0093486E">
              <w:rPr>
                <w:rFonts w:ascii="Calibri" w:hAnsi="Calibri" w:cs="Traditional Arabic" w:hint="cs"/>
                <w:sz w:val="20"/>
                <w:szCs w:val="20"/>
                <w:rtl/>
              </w:rPr>
              <w:t>الاستراتيجية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具体战略目标</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Cible stratégique</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Стратегический целевой показатель</w:t>
            </w:r>
          </w:p>
        </w:tc>
        <w:tc>
          <w:tcPr>
            <w:tcW w:w="170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Finalidad estratégica</w:t>
            </w:r>
          </w:p>
        </w:tc>
      </w:tr>
      <w:tr w:rsidR="00F314ED" w:rsidRPr="0093486E" w:rsidTr="000F15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Values</w:t>
            </w:r>
          </w:p>
        </w:tc>
        <w:tc>
          <w:tcPr>
            <w:tcW w:w="1343" w:type="dxa"/>
          </w:tcPr>
          <w:p w:rsidR="00F314ED" w:rsidRPr="0093486E" w:rsidRDefault="00F314ED" w:rsidP="000F1506">
            <w:pPr>
              <w:bidi/>
              <w:spacing w:before="40" w:after="40" w:line="300" w:lineRule="exact"/>
              <w:cnfStyle w:val="000000100000" w:firstRow="0" w:lastRow="0" w:firstColumn="0" w:lastColumn="0" w:oddVBand="0" w:evenVBand="0" w:oddHBand="1"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القيم</w:t>
            </w:r>
          </w:p>
        </w:tc>
        <w:tc>
          <w:tcPr>
            <w:tcW w:w="1917"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价值</w:t>
            </w:r>
            <w:r w:rsidRPr="0093486E">
              <w:rPr>
                <w:rFonts w:ascii="Songti SC Bold" w:eastAsia="Songti SC Bold" w:hAnsi="Songti SC Bold"/>
                <w:sz w:val="18"/>
                <w:szCs w:val="18"/>
              </w:rPr>
              <w:t>/</w:t>
            </w:r>
            <w:r w:rsidRPr="0093486E">
              <w:rPr>
                <w:rFonts w:ascii="Songti SC Bold" w:eastAsia="Songti SC Bold" w:hAnsi="Songti SC Bold" w:hint="eastAsia"/>
                <w:sz w:val="18"/>
                <w:szCs w:val="18"/>
              </w:rPr>
              <w:t>价值观</w:t>
            </w:r>
          </w:p>
        </w:tc>
        <w:tc>
          <w:tcPr>
            <w:tcW w:w="149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93486E">
              <w:rPr>
                <w:sz w:val="18"/>
                <w:szCs w:val="18"/>
              </w:rPr>
              <w:t>Valeurs</w:t>
            </w:r>
          </w:p>
        </w:tc>
        <w:tc>
          <w:tcPr>
            <w:tcW w:w="1984"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rFonts w:cs="Calibri"/>
                <w:sz w:val="18"/>
                <w:szCs w:val="18"/>
              </w:rPr>
            </w:pPr>
            <w:r w:rsidRPr="0093486E">
              <w:rPr>
                <w:rFonts w:cs="Calibri"/>
                <w:sz w:val="18"/>
                <w:szCs w:val="18"/>
                <w:lang w:val="ru-RU"/>
              </w:rPr>
              <w:t>Ценности</w:t>
            </w:r>
          </w:p>
        </w:tc>
        <w:tc>
          <w:tcPr>
            <w:tcW w:w="1702" w:type="dxa"/>
          </w:tcPr>
          <w:p w:rsidR="00F314ED" w:rsidRPr="0093486E" w:rsidRDefault="00F314ED" w:rsidP="000F1506">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ES"/>
              </w:rPr>
            </w:pPr>
            <w:r w:rsidRPr="0093486E">
              <w:rPr>
                <w:sz w:val="18"/>
                <w:szCs w:val="18"/>
                <w:lang w:val="es-ES"/>
              </w:rPr>
              <w:t>Valores</w:t>
            </w:r>
          </w:p>
        </w:tc>
      </w:tr>
      <w:tr w:rsidR="00F314ED" w:rsidRPr="00993B42" w:rsidTr="000F1506">
        <w:trPr>
          <w:trHeight w:val="284"/>
        </w:trPr>
        <w:tc>
          <w:tcPr>
            <w:cnfStyle w:val="001000000000" w:firstRow="0" w:lastRow="0" w:firstColumn="1" w:lastColumn="0" w:oddVBand="0" w:evenVBand="0" w:oddHBand="0" w:evenHBand="0" w:firstRowFirstColumn="0" w:firstRowLastColumn="0" w:lastRowFirstColumn="0" w:lastRowLastColumn="0"/>
            <w:tcW w:w="1384" w:type="dxa"/>
            <w:gridSpan w:val="2"/>
          </w:tcPr>
          <w:p w:rsidR="00F314ED" w:rsidRPr="0093486E" w:rsidRDefault="00F314ED" w:rsidP="000F1506">
            <w:pPr>
              <w:pStyle w:val="Tabletext"/>
              <w:rPr>
                <w:rFonts w:cs="Traditional Arabic"/>
                <w:b w:val="0"/>
                <w:bCs w:val="0"/>
                <w:sz w:val="20"/>
              </w:rPr>
            </w:pPr>
            <w:r w:rsidRPr="0093486E">
              <w:rPr>
                <w:rFonts w:cs="Traditional Arabic"/>
                <w:b w:val="0"/>
                <w:bCs w:val="0"/>
                <w:sz w:val="20"/>
              </w:rPr>
              <w:t>Vision</w:t>
            </w:r>
          </w:p>
        </w:tc>
        <w:tc>
          <w:tcPr>
            <w:tcW w:w="1343" w:type="dxa"/>
          </w:tcPr>
          <w:p w:rsidR="00F314ED" w:rsidRPr="0093486E" w:rsidRDefault="00F314ED" w:rsidP="000F1506">
            <w:pPr>
              <w:bidi/>
              <w:spacing w:before="40" w:after="40" w:line="300" w:lineRule="exact"/>
              <w:cnfStyle w:val="000000000000" w:firstRow="0" w:lastRow="0" w:firstColumn="0" w:lastColumn="0" w:oddVBand="0" w:evenVBand="0" w:oddHBand="0" w:evenHBand="0" w:firstRowFirstColumn="0" w:firstRowLastColumn="0" w:lastRowFirstColumn="0" w:lastRowLastColumn="0"/>
              <w:rPr>
                <w:rFonts w:ascii="Calibri" w:hAnsi="Calibri" w:cs="Traditional Arabic"/>
                <w:sz w:val="20"/>
                <w:szCs w:val="20"/>
              </w:rPr>
            </w:pPr>
            <w:r w:rsidRPr="0093486E">
              <w:rPr>
                <w:rFonts w:ascii="Calibri" w:hAnsi="Calibri" w:cs="Traditional Arabic" w:hint="cs"/>
                <w:sz w:val="20"/>
                <w:szCs w:val="20"/>
                <w:rtl/>
              </w:rPr>
              <w:t>الرؤية</w:t>
            </w:r>
          </w:p>
        </w:tc>
        <w:tc>
          <w:tcPr>
            <w:tcW w:w="1917"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ascii="Songti SC Bold" w:eastAsia="Songti SC Bold" w:hAnsi="Songti SC Bold"/>
                <w:sz w:val="18"/>
                <w:szCs w:val="18"/>
              </w:rPr>
            </w:pPr>
            <w:r w:rsidRPr="0093486E">
              <w:rPr>
                <w:rFonts w:ascii="Songti SC Bold" w:eastAsia="Songti SC Bold" w:hAnsi="Songti SC Bold" w:hint="eastAsia"/>
                <w:sz w:val="18"/>
                <w:szCs w:val="18"/>
              </w:rPr>
              <w:t>愿景</w:t>
            </w:r>
          </w:p>
        </w:tc>
        <w:tc>
          <w:tcPr>
            <w:tcW w:w="1492"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3486E">
              <w:rPr>
                <w:sz w:val="18"/>
                <w:szCs w:val="18"/>
              </w:rPr>
              <w:t>Vision</w:t>
            </w:r>
          </w:p>
        </w:tc>
        <w:tc>
          <w:tcPr>
            <w:tcW w:w="1984" w:type="dxa"/>
          </w:tcPr>
          <w:p w:rsidR="00F314ED" w:rsidRPr="0093486E"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rFonts w:cs="Calibri"/>
                <w:sz w:val="18"/>
                <w:szCs w:val="18"/>
              </w:rPr>
            </w:pPr>
            <w:r w:rsidRPr="0093486E">
              <w:rPr>
                <w:rFonts w:cs="Calibri"/>
                <w:sz w:val="18"/>
                <w:szCs w:val="18"/>
                <w:lang w:val="ru-RU"/>
              </w:rPr>
              <w:t>Концепция</w:t>
            </w:r>
          </w:p>
        </w:tc>
        <w:tc>
          <w:tcPr>
            <w:tcW w:w="1702" w:type="dxa"/>
          </w:tcPr>
          <w:p w:rsidR="00F314ED" w:rsidRPr="00993B42" w:rsidRDefault="00F314ED" w:rsidP="000F1506">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ES"/>
              </w:rPr>
            </w:pPr>
            <w:r w:rsidRPr="0093486E">
              <w:rPr>
                <w:sz w:val="18"/>
                <w:szCs w:val="18"/>
                <w:lang w:val="es-ES"/>
              </w:rPr>
              <w:t>Visión</w:t>
            </w:r>
          </w:p>
        </w:tc>
      </w:tr>
    </w:tbl>
    <w:p w:rsidR="00F314ED" w:rsidRDefault="00F314ED" w:rsidP="00F314ED">
      <w:pPr>
        <w:rPr>
          <w:lang w:val="en-CA"/>
        </w:rPr>
      </w:pPr>
    </w:p>
    <w:p w:rsidR="00F314ED" w:rsidRDefault="00F314ED" w:rsidP="000F1506">
      <w:pPr>
        <w:pStyle w:val="Reasons"/>
      </w:pPr>
    </w:p>
    <w:p w:rsidR="00F314ED" w:rsidRDefault="00F314ED">
      <w:pPr>
        <w:jc w:val="center"/>
      </w:pPr>
      <w:r>
        <w:t>______________</w:t>
      </w:r>
    </w:p>
    <w:sectPr w:rsidR="00F314ED" w:rsidSect="000F150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D0" w:rsidRDefault="007855D0">
      <w:r>
        <w:separator/>
      </w:r>
    </w:p>
  </w:endnote>
  <w:endnote w:type="continuationSeparator" w:id="0">
    <w:p w:rsidR="007855D0" w:rsidRDefault="0078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ongti SC Bold">
    <w:altName w:val="Arial Unicode MS"/>
    <w:charset w:val="50"/>
    <w:family w:val="auto"/>
    <w:pitch w:val="variable"/>
    <w:sig w:usb0="00000000"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Default="00C82CA9" w:rsidP="00F4245E">
    <w:pPr>
      <w:pStyle w:val="Footer"/>
    </w:pPr>
    <w:fldSimple w:instr=" FILENAME \p  \* MERGEFORMAT ">
      <w:r w:rsidR="006A34C6">
        <w:t>P:\ENG\ITU-R\AG\RAG\RAG14\000\001ADD01E.docx</w:t>
      </w:r>
    </w:fldSimple>
    <w:r w:rsidR="007855D0">
      <w:t xml:space="preserve"> (363822)</w:t>
    </w:r>
    <w:r w:rsidR="007855D0">
      <w:tab/>
    </w:r>
    <w:r w:rsidR="007855D0">
      <w:fldChar w:fldCharType="begin"/>
    </w:r>
    <w:r w:rsidR="007855D0">
      <w:instrText xml:space="preserve"> SAVEDATE \@ DD.MM.YY </w:instrText>
    </w:r>
    <w:r w:rsidR="007855D0">
      <w:fldChar w:fldCharType="separate"/>
    </w:r>
    <w:r w:rsidR="006A34C6">
      <w:t>04.06.14</w:t>
    </w:r>
    <w:r w:rsidR="007855D0">
      <w:fldChar w:fldCharType="end"/>
    </w:r>
    <w:r w:rsidR="007855D0">
      <w:tab/>
    </w:r>
    <w:r w:rsidR="007855D0">
      <w:fldChar w:fldCharType="begin"/>
    </w:r>
    <w:r w:rsidR="007855D0">
      <w:instrText xml:space="preserve"> PRINTDATE \@ DD.MM.YY </w:instrText>
    </w:r>
    <w:r w:rsidR="007855D0">
      <w:fldChar w:fldCharType="separate"/>
    </w:r>
    <w:r w:rsidR="006A34C6">
      <w:t>04.06.14</w:t>
    </w:r>
    <w:r w:rsidR="007855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Default="00C82CA9">
    <w:pPr>
      <w:pStyle w:val="Footer"/>
    </w:pPr>
    <w:fldSimple w:instr=" FILENAME \p  \* MERGEFORMAT ">
      <w:r w:rsidR="006A34C6">
        <w:t>P:\ENG\ITU-R\AG\RAG\RAG14\000\001ADD01E.docx</w:t>
      </w:r>
    </w:fldSimple>
    <w:r w:rsidR="007855D0">
      <w:tab/>
    </w:r>
    <w:r w:rsidR="007855D0">
      <w:fldChar w:fldCharType="begin"/>
    </w:r>
    <w:r w:rsidR="007855D0">
      <w:instrText xml:space="preserve"> SAVEDATE \@ DD.MM.YY </w:instrText>
    </w:r>
    <w:r w:rsidR="007855D0">
      <w:fldChar w:fldCharType="separate"/>
    </w:r>
    <w:r w:rsidR="006A34C6">
      <w:t>04.06.14</w:t>
    </w:r>
    <w:r w:rsidR="007855D0">
      <w:fldChar w:fldCharType="end"/>
    </w:r>
    <w:r w:rsidR="007855D0">
      <w:tab/>
    </w:r>
    <w:r w:rsidR="007855D0">
      <w:fldChar w:fldCharType="begin"/>
    </w:r>
    <w:r w:rsidR="007855D0">
      <w:instrText xml:space="preserve"> PRINTDATE \@ DD.MM.YY </w:instrText>
    </w:r>
    <w:r w:rsidR="007855D0">
      <w:fldChar w:fldCharType="separate"/>
    </w:r>
    <w:r w:rsidR="006A34C6">
      <w:t>04.06.14</w:t>
    </w:r>
    <w:r w:rsidR="007855D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Default="00C82CA9" w:rsidP="00F14C38">
    <w:pPr>
      <w:pStyle w:val="Footer"/>
    </w:pPr>
    <w:fldSimple w:instr=" FILENAME \p  \* MERGEFORMAT ">
      <w:r w:rsidR="006A34C6">
        <w:t>P:\ENG\ITU-R\AG\RAG\RAG14\000\001ADD01E.docx</w:t>
      </w:r>
    </w:fldSimple>
    <w:r w:rsidR="007855D0">
      <w:t xml:space="preserve"> (363822)</w:t>
    </w:r>
    <w:r w:rsidR="007855D0">
      <w:tab/>
    </w:r>
    <w:r w:rsidR="007855D0">
      <w:fldChar w:fldCharType="begin"/>
    </w:r>
    <w:r w:rsidR="007855D0">
      <w:instrText xml:space="preserve"> SAVEDATE \@ DD.MM.YY </w:instrText>
    </w:r>
    <w:r w:rsidR="007855D0">
      <w:fldChar w:fldCharType="separate"/>
    </w:r>
    <w:r w:rsidR="006A34C6">
      <w:t>04.06.14</w:t>
    </w:r>
    <w:r w:rsidR="007855D0">
      <w:fldChar w:fldCharType="end"/>
    </w:r>
    <w:r w:rsidR="007855D0">
      <w:tab/>
    </w:r>
    <w:r w:rsidR="007855D0">
      <w:fldChar w:fldCharType="begin"/>
    </w:r>
    <w:r w:rsidR="007855D0">
      <w:instrText xml:space="preserve"> PRINTDATE \@ DD.MM.YY </w:instrText>
    </w:r>
    <w:r w:rsidR="007855D0">
      <w:fldChar w:fldCharType="separate"/>
    </w:r>
    <w:r w:rsidR="006A34C6">
      <w:t>04.06.14</w:t>
    </w:r>
    <w:r w:rsidR="007855D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Default="00C82CA9">
    <w:pPr>
      <w:pStyle w:val="Footer"/>
    </w:pPr>
    <w:fldSimple w:instr=" FILENAME \p  \* MERGEFORMAT ">
      <w:r w:rsidR="006A34C6">
        <w:t>P:\ENG\ITU-R\AG\RAG\RAG14\000\001ADD01E.docx</w:t>
      </w:r>
    </w:fldSimple>
    <w:r w:rsidR="007855D0">
      <w:t xml:space="preserve"> (363822)</w:t>
    </w:r>
    <w:r w:rsidR="007855D0">
      <w:tab/>
    </w:r>
    <w:r w:rsidR="007855D0">
      <w:fldChar w:fldCharType="begin"/>
    </w:r>
    <w:r w:rsidR="007855D0">
      <w:instrText xml:space="preserve"> SAVEDATE \@ DD.MM.YY </w:instrText>
    </w:r>
    <w:r w:rsidR="007855D0">
      <w:fldChar w:fldCharType="separate"/>
    </w:r>
    <w:r w:rsidR="006A34C6">
      <w:t>04.06.14</w:t>
    </w:r>
    <w:r w:rsidR="007855D0">
      <w:fldChar w:fldCharType="end"/>
    </w:r>
    <w:r w:rsidR="007855D0">
      <w:tab/>
    </w:r>
    <w:r w:rsidR="007855D0">
      <w:fldChar w:fldCharType="begin"/>
    </w:r>
    <w:r w:rsidR="007855D0">
      <w:instrText xml:space="preserve"> PRINTDATE \@ DD.MM.YY </w:instrText>
    </w:r>
    <w:r w:rsidR="007855D0">
      <w:fldChar w:fldCharType="separate"/>
    </w:r>
    <w:r w:rsidR="006A34C6">
      <w:t>04.06.14</w:t>
    </w:r>
    <w:r w:rsidR="007855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D0" w:rsidRDefault="007855D0">
      <w:r>
        <w:t>____________________</w:t>
      </w:r>
    </w:p>
  </w:footnote>
  <w:footnote w:type="continuationSeparator" w:id="0">
    <w:p w:rsidR="007855D0" w:rsidRDefault="007855D0">
      <w:r>
        <w:continuationSeparator/>
      </w:r>
    </w:p>
  </w:footnote>
  <w:footnote w:id="1">
    <w:p w:rsidR="007855D0" w:rsidRDefault="007855D0" w:rsidP="00297A9E">
      <w:pPr>
        <w:pStyle w:val="FootnoteText"/>
      </w:pPr>
      <w:r w:rsidRPr="00EE4A78">
        <w:rPr>
          <w:rStyle w:val="FootnoteReference"/>
          <w:color w:val="000000"/>
          <w:shd w:val="clear" w:color="auto" w:fill="FFFFFF"/>
        </w:rPr>
        <w:footnoteRef/>
      </w:r>
      <w:r>
        <w:tab/>
      </w:r>
      <w:r w:rsidRPr="00EE4A78">
        <w:t>Broadband Commission (2013): The State of Broadband 2013: Universalizing Broadband</w:t>
      </w:r>
      <w:r>
        <w:t>.</w:t>
      </w:r>
    </w:p>
  </w:footnote>
  <w:footnote w:id="2">
    <w:p w:rsidR="007855D0" w:rsidRPr="00EE4A78" w:rsidRDefault="007855D0" w:rsidP="00297A9E">
      <w:pPr>
        <w:pStyle w:val="FootnoteText"/>
      </w:pPr>
      <w:r w:rsidRPr="00A854BC">
        <w:rPr>
          <w:rStyle w:val="FootnoteReference"/>
          <w:szCs w:val="18"/>
        </w:rPr>
        <w:footnoteRef/>
      </w:r>
      <w:r>
        <w:rPr>
          <w:sz w:val="18"/>
          <w:szCs w:val="18"/>
        </w:rPr>
        <w:tab/>
      </w:r>
      <w:r w:rsidRPr="00EE4A78">
        <w:t>ITU management decided to put the strategic plan for 2012-2015 into place as from 2011, by starting to evaluate and report the activities of the Union according to the structure of the new plan.</w:t>
      </w:r>
    </w:p>
  </w:footnote>
  <w:footnote w:id="3">
    <w:p w:rsidR="007855D0" w:rsidRPr="001D4F1D" w:rsidRDefault="007855D0" w:rsidP="00297A9E">
      <w:pPr>
        <w:pStyle w:val="FootnoteText"/>
        <w:rPr>
          <w:sz w:val="18"/>
          <w:szCs w:val="18"/>
        </w:rPr>
      </w:pPr>
      <w:r w:rsidRPr="000B7236">
        <w:rPr>
          <w:rStyle w:val="FootnoteReference"/>
          <w:szCs w:val="18"/>
        </w:rPr>
        <w:footnoteRef/>
      </w:r>
      <w:r>
        <w:rPr>
          <w:sz w:val="18"/>
          <w:szCs w:val="18"/>
        </w:rPr>
        <w:tab/>
      </w:r>
      <w:r w:rsidRPr="00EE4A78">
        <w:t>Ericsson Traffic Mobility Report</w:t>
      </w:r>
      <w:r>
        <w:t>.</w:t>
      </w:r>
    </w:p>
  </w:footnote>
  <w:footnote w:id="4">
    <w:p w:rsidR="007855D0" w:rsidRPr="00C35005" w:rsidRDefault="007855D0" w:rsidP="00297A9E">
      <w:pPr>
        <w:pStyle w:val="FootnoteText"/>
        <w:rPr>
          <w:sz w:val="18"/>
          <w:szCs w:val="18"/>
        </w:rPr>
      </w:pPr>
      <w:r w:rsidRPr="00C35005">
        <w:rPr>
          <w:rStyle w:val="FootnoteReference"/>
          <w:szCs w:val="18"/>
        </w:rPr>
        <w:footnoteRef/>
      </w:r>
      <w:r>
        <w:rPr>
          <w:sz w:val="18"/>
          <w:szCs w:val="18"/>
        </w:rPr>
        <w:tab/>
      </w:r>
      <w:r w:rsidRPr="00EE4A78">
        <w:t>Pyramid Research quarterly mobile data forecast, February 2013</w:t>
      </w:r>
      <w:r>
        <w:t>.</w:t>
      </w:r>
    </w:p>
  </w:footnote>
  <w:footnote w:id="5">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Emeka Obiodu and Jeremy Green (2012): The Future of Voice, OVUM</w:t>
      </w:r>
      <w:r>
        <w:t>.</w:t>
      </w:r>
    </w:p>
  </w:footnote>
  <w:footnote w:id="6">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Saul Berman, Lynn Kesterson-Townes, Anthony Marshall and Robini Srivathsa (2012): The power of Cloud: Driving business model innovation.</w:t>
      </w:r>
      <w:r>
        <w:t xml:space="preserve"> </w:t>
      </w:r>
      <w:r w:rsidRPr="00EE4A78">
        <w:t>IBM Global Business Services</w:t>
      </w:r>
      <w:r>
        <w:t>.</w:t>
      </w:r>
    </w:p>
  </w:footnote>
  <w:footnote w:id="7">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ITU and CISCO Visual networking index (VNI</w:t>
      </w:r>
      <w:r w:rsidRPr="009730D9">
        <w:rPr>
          <w:sz w:val="18"/>
          <w:szCs w:val="18"/>
        </w:rPr>
        <w:t>)</w:t>
      </w:r>
      <w:r>
        <w:rPr>
          <w:sz w:val="18"/>
          <w:szCs w:val="18"/>
        </w:rPr>
        <w:t>.</w:t>
      </w:r>
    </w:p>
  </w:footnote>
  <w:footnote w:id="8">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Cisco Visual Networking Index: Forecast and Methodology, 2011-2016</w:t>
      </w:r>
      <w:r>
        <w:t>.</w:t>
      </w:r>
    </w:p>
  </w:footnote>
  <w:footnote w:id="9">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Sources: McKinsey Global Institute, Twitter, Cisco, Gartner, EMC, SAS, IBM, MEPTEC, QAS</w:t>
      </w:r>
      <w:r>
        <w:t>.</w:t>
      </w:r>
    </w:p>
  </w:footnote>
  <w:footnote w:id="10">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Cisco Visual Networking Index: Forecast and Methodology, 2011-2016</w:t>
      </w:r>
      <w:r>
        <w:t>.</w:t>
      </w:r>
    </w:p>
  </w:footnote>
  <w:footnote w:id="11">
    <w:p w:rsidR="007855D0" w:rsidRPr="00EE4A78" w:rsidRDefault="007855D0" w:rsidP="00297A9E">
      <w:pPr>
        <w:pStyle w:val="FootnoteText"/>
      </w:pPr>
      <w:r w:rsidRPr="009730D9">
        <w:rPr>
          <w:rStyle w:val="FootnoteReference"/>
          <w:szCs w:val="18"/>
        </w:rPr>
        <w:footnoteRef/>
      </w:r>
      <w:r>
        <w:rPr>
          <w:sz w:val="18"/>
          <w:szCs w:val="18"/>
        </w:rPr>
        <w:tab/>
      </w:r>
      <w:r w:rsidRPr="00EE4A78">
        <w:t>Definition by Gartner</w:t>
      </w:r>
      <w:r>
        <w:t>.</w:t>
      </w:r>
    </w:p>
  </w:footnote>
  <w:footnote w:id="12">
    <w:p w:rsidR="007855D0" w:rsidRPr="009730D9" w:rsidRDefault="007855D0" w:rsidP="00297A9E">
      <w:pPr>
        <w:pStyle w:val="FootnoteText"/>
        <w:rPr>
          <w:sz w:val="18"/>
          <w:szCs w:val="18"/>
        </w:rPr>
      </w:pPr>
      <w:r w:rsidRPr="009730D9">
        <w:rPr>
          <w:rStyle w:val="FootnoteReference"/>
          <w:szCs w:val="18"/>
        </w:rPr>
        <w:footnoteRef/>
      </w:r>
      <w:r>
        <w:rPr>
          <w:sz w:val="18"/>
          <w:szCs w:val="18"/>
        </w:rPr>
        <w:tab/>
      </w:r>
      <w:r w:rsidRPr="00EE4A78">
        <w:t>Sources: McKinsey Global Institute, Twitter, Cisco, Gartner, EMC, SAS, IBM, MEPTEC, QAS</w:t>
      </w:r>
      <w:r>
        <w:t>.</w:t>
      </w:r>
    </w:p>
  </w:footnote>
  <w:footnote w:id="13">
    <w:p w:rsidR="007855D0" w:rsidRPr="00595E72" w:rsidRDefault="007855D0" w:rsidP="00297A9E">
      <w:pPr>
        <w:pStyle w:val="FootnoteText"/>
        <w:rPr>
          <w:sz w:val="18"/>
          <w:szCs w:val="18"/>
        </w:rPr>
      </w:pPr>
      <w:r w:rsidRPr="00595E72">
        <w:rPr>
          <w:rStyle w:val="FootnoteReference"/>
          <w:szCs w:val="18"/>
        </w:rPr>
        <w:footnoteRef/>
      </w:r>
      <w:r>
        <w:rPr>
          <w:sz w:val="18"/>
          <w:szCs w:val="18"/>
        </w:rPr>
        <w:tab/>
      </w:r>
      <w:r w:rsidRPr="00EE4A78">
        <w:t>World Trade Organization (2013): World Trade Report 2013</w:t>
      </w:r>
      <w:r>
        <w:t>.</w:t>
      </w:r>
    </w:p>
  </w:footnote>
  <w:footnote w:id="14">
    <w:p w:rsidR="007855D0" w:rsidRPr="00595E72" w:rsidRDefault="007855D0" w:rsidP="00297A9E">
      <w:pPr>
        <w:pStyle w:val="FootnoteText"/>
        <w:rPr>
          <w:sz w:val="18"/>
          <w:szCs w:val="18"/>
        </w:rPr>
      </w:pPr>
      <w:r w:rsidRPr="00595E72">
        <w:rPr>
          <w:rStyle w:val="FootnoteReference"/>
          <w:szCs w:val="18"/>
        </w:rPr>
        <w:footnoteRef/>
      </w:r>
      <w:r>
        <w:rPr>
          <w:sz w:val="18"/>
          <w:szCs w:val="18"/>
        </w:rPr>
        <w:tab/>
      </w:r>
      <w:r w:rsidRPr="00EE4A78">
        <w:t>Qiang (2009), as referred to in World Bank (2009): Information and Communications for Development 2009</w:t>
      </w:r>
      <w:r>
        <w:t>.</w:t>
      </w:r>
    </w:p>
  </w:footnote>
  <w:footnote w:id="15">
    <w:p w:rsidR="007855D0" w:rsidRPr="00EE4A78" w:rsidRDefault="007855D0" w:rsidP="00297A9E">
      <w:pPr>
        <w:pStyle w:val="FootnoteText"/>
      </w:pPr>
      <w:r w:rsidRPr="00595E72">
        <w:rPr>
          <w:rStyle w:val="FootnoteReference"/>
          <w:szCs w:val="18"/>
        </w:rPr>
        <w:footnoteRef/>
      </w:r>
      <w:r>
        <w:rPr>
          <w:sz w:val="18"/>
          <w:szCs w:val="18"/>
        </w:rPr>
        <w:tab/>
      </w:r>
      <w:r w:rsidRPr="00EE4A78">
        <w:t>McKinsey Global Institute (2013): “Disruptive technologies: Advances that will transform life, business, and the global economy”</w:t>
      </w:r>
      <w:r>
        <w:t>.</w:t>
      </w:r>
    </w:p>
  </w:footnote>
  <w:footnote w:id="16">
    <w:p w:rsidR="007855D0" w:rsidRPr="002E11E9" w:rsidRDefault="007855D0" w:rsidP="00297A9E">
      <w:pPr>
        <w:pStyle w:val="FootnoteText"/>
      </w:pPr>
      <w:r w:rsidRPr="00595E72">
        <w:rPr>
          <w:rStyle w:val="FootnoteReference"/>
          <w:szCs w:val="18"/>
        </w:rPr>
        <w:footnoteRef/>
      </w:r>
      <w:r>
        <w:rPr>
          <w:sz w:val="18"/>
          <w:szCs w:val="18"/>
        </w:rPr>
        <w:tab/>
      </w:r>
      <w:r w:rsidRPr="00EE4A78">
        <w:rPr>
          <w:i/>
          <w:iCs/>
        </w:rPr>
        <w:t>Ibid</w:t>
      </w:r>
      <w:r>
        <w:rPr>
          <w:i/>
          <w:iCs/>
        </w:rPr>
        <w:t>.</w:t>
      </w:r>
    </w:p>
  </w:footnote>
  <w:footnote w:id="17">
    <w:p w:rsidR="007855D0" w:rsidRPr="00595E72" w:rsidRDefault="007855D0" w:rsidP="00297A9E">
      <w:pPr>
        <w:pStyle w:val="FootnoteText"/>
        <w:rPr>
          <w:sz w:val="18"/>
          <w:szCs w:val="18"/>
        </w:rPr>
      </w:pPr>
      <w:r w:rsidRPr="00595E72">
        <w:rPr>
          <w:rStyle w:val="FootnoteReference"/>
          <w:szCs w:val="18"/>
        </w:rPr>
        <w:footnoteRef/>
      </w:r>
      <w:r>
        <w:rPr>
          <w:sz w:val="18"/>
          <w:szCs w:val="18"/>
        </w:rPr>
        <w:tab/>
      </w:r>
      <w:r w:rsidRPr="00EE4A78">
        <w:t>Broadband Commission (2013): The State of Broadband 2013: Universalizing Broadband</w:t>
      </w:r>
      <w:r>
        <w:t>.</w:t>
      </w:r>
    </w:p>
  </w:footnote>
  <w:footnote w:id="18">
    <w:p w:rsidR="007855D0" w:rsidRPr="00595E72" w:rsidRDefault="007855D0" w:rsidP="00297A9E">
      <w:pPr>
        <w:pStyle w:val="FootnoteText"/>
        <w:rPr>
          <w:sz w:val="18"/>
          <w:szCs w:val="18"/>
        </w:rPr>
      </w:pPr>
      <w:r w:rsidRPr="00595E72">
        <w:rPr>
          <w:rStyle w:val="FootnoteReference"/>
          <w:szCs w:val="18"/>
        </w:rPr>
        <w:footnoteRef/>
      </w:r>
      <w:r>
        <w:rPr>
          <w:sz w:val="18"/>
          <w:szCs w:val="18"/>
        </w:rPr>
        <w:tab/>
      </w:r>
      <w:r w:rsidRPr="00EE4A78">
        <w:t>GSMA/PwC (2012): Touching Lives through Mobile Health: Assessment of the Global Market Opportunity</w:t>
      </w:r>
      <w:r>
        <w:t>.</w:t>
      </w:r>
    </w:p>
  </w:footnote>
  <w:footnote w:id="19">
    <w:p w:rsidR="007855D0" w:rsidRPr="00EE4A78" w:rsidRDefault="007855D0" w:rsidP="00297A9E">
      <w:pPr>
        <w:pStyle w:val="FootnoteText"/>
      </w:pPr>
      <w:r w:rsidRPr="000B7236">
        <w:rPr>
          <w:rStyle w:val="FootnoteReference"/>
          <w:szCs w:val="18"/>
        </w:rPr>
        <w:footnoteRef/>
      </w:r>
      <w:r>
        <w:rPr>
          <w:sz w:val="18"/>
          <w:szCs w:val="18"/>
        </w:rPr>
        <w:tab/>
      </w:r>
      <w:r w:rsidRPr="00EE4A78">
        <w:t>McKinsey &amp; Company (2009): Mobile broadband for the masses</w:t>
      </w:r>
      <w:r>
        <w:t>.</w:t>
      </w:r>
    </w:p>
  </w:footnote>
  <w:footnote w:id="20">
    <w:p w:rsidR="007855D0" w:rsidRPr="000B7236" w:rsidRDefault="007855D0" w:rsidP="00297A9E">
      <w:pPr>
        <w:pStyle w:val="FootnoteText"/>
        <w:rPr>
          <w:sz w:val="18"/>
          <w:szCs w:val="18"/>
        </w:rPr>
      </w:pPr>
      <w:r w:rsidRPr="000B7236">
        <w:rPr>
          <w:rStyle w:val="FootnoteReference"/>
          <w:szCs w:val="18"/>
        </w:rPr>
        <w:footnoteRef/>
      </w:r>
      <w:r>
        <w:rPr>
          <w:sz w:val="18"/>
          <w:szCs w:val="18"/>
        </w:rPr>
        <w:tab/>
      </w:r>
      <w:r w:rsidRPr="00EE4A78">
        <w:t>The Broadband Commission (2012): The Broadband Bridge: Linking ICT with Climate Action for a Low-Carbon Economy</w:t>
      </w:r>
      <w:r>
        <w:t>.</w:t>
      </w:r>
    </w:p>
  </w:footnote>
  <w:footnote w:id="21">
    <w:p w:rsidR="007855D0" w:rsidRPr="00EE4A78" w:rsidRDefault="007855D0" w:rsidP="00EE4A78">
      <w:pPr>
        <w:pStyle w:val="FootnoteText"/>
      </w:pPr>
      <w:r w:rsidRPr="008131C1">
        <w:rPr>
          <w:rStyle w:val="FootnoteReference"/>
          <w:szCs w:val="18"/>
        </w:rPr>
        <w:footnoteRef/>
      </w:r>
      <w:r>
        <w:rPr>
          <w:sz w:val="18"/>
          <w:szCs w:val="18"/>
        </w:rPr>
        <w:tab/>
      </w:r>
      <w:r w:rsidRPr="00EE4A78">
        <w:t>GSMA/Cherie Blair Foundation for Women (2010)</w:t>
      </w:r>
      <w:r>
        <w:t>.</w:t>
      </w:r>
    </w:p>
  </w:footnote>
  <w:footnote w:id="22">
    <w:p w:rsidR="007855D0" w:rsidRPr="008131C1" w:rsidRDefault="007855D0" w:rsidP="00EE4A78">
      <w:pPr>
        <w:pStyle w:val="FootnoteText"/>
        <w:rPr>
          <w:sz w:val="18"/>
          <w:szCs w:val="18"/>
        </w:rPr>
      </w:pPr>
      <w:r w:rsidRPr="008131C1">
        <w:rPr>
          <w:rStyle w:val="FootnoteReference"/>
          <w:szCs w:val="18"/>
        </w:rPr>
        <w:footnoteRef/>
      </w:r>
      <w:r>
        <w:rPr>
          <w:sz w:val="18"/>
          <w:szCs w:val="18"/>
        </w:rPr>
        <w:tab/>
      </w:r>
      <w:r w:rsidRPr="00EE4A78">
        <w:t>Broadband Commission (2013): The State of Broadband 2013: Universalizing Broadband</w:t>
      </w:r>
      <w:r>
        <w:t>.</w:t>
      </w:r>
    </w:p>
  </w:footnote>
  <w:footnote w:id="23">
    <w:p w:rsidR="007855D0" w:rsidRPr="008131C1" w:rsidRDefault="007855D0" w:rsidP="00EE4A78">
      <w:pPr>
        <w:pStyle w:val="FootnoteText"/>
        <w:rPr>
          <w:sz w:val="18"/>
          <w:szCs w:val="18"/>
        </w:rPr>
      </w:pPr>
      <w:r w:rsidRPr="008131C1">
        <w:rPr>
          <w:rStyle w:val="FootnoteReference"/>
          <w:szCs w:val="18"/>
        </w:rPr>
        <w:footnoteRef/>
      </w:r>
      <w:r>
        <w:rPr>
          <w:sz w:val="18"/>
          <w:szCs w:val="18"/>
        </w:rPr>
        <w:tab/>
      </w:r>
      <w:r w:rsidRPr="00EE4A78">
        <w:t>ITU (2013): ICT Facts and Figures</w:t>
      </w:r>
      <w:r>
        <w:t>.</w:t>
      </w:r>
    </w:p>
  </w:footnote>
  <w:footnote w:id="24">
    <w:p w:rsidR="007855D0" w:rsidRPr="008131C1" w:rsidRDefault="007855D0" w:rsidP="00EE4A78">
      <w:pPr>
        <w:pStyle w:val="FootnoteText"/>
        <w:rPr>
          <w:sz w:val="18"/>
          <w:szCs w:val="18"/>
        </w:rPr>
      </w:pPr>
      <w:r w:rsidRPr="008131C1">
        <w:rPr>
          <w:rStyle w:val="FootnoteReference"/>
          <w:szCs w:val="18"/>
        </w:rPr>
        <w:footnoteRef/>
      </w:r>
      <w:r>
        <w:rPr>
          <w:sz w:val="18"/>
          <w:szCs w:val="18"/>
        </w:rPr>
        <w:tab/>
      </w:r>
      <w:r w:rsidRPr="00EE4A78">
        <w:t>Intel, “Women and the Web” report, January 2013</w:t>
      </w:r>
      <w:r>
        <w:t>.</w:t>
      </w:r>
    </w:p>
  </w:footnote>
  <w:footnote w:id="25">
    <w:p w:rsidR="007855D0" w:rsidRPr="00EE4A78" w:rsidRDefault="007855D0" w:rsidP="00EE4A78">
      <w:pPr>
        <w:pStyle w:val="FootnoteText"/>
      </w:pPr>
      <w:r w:rsidRPr="008131C1">
        <w:rPr>
          <w:rStyle w:val="FootnoteReference"/>
          <w:szCs w:val="18"/>
        </w:rPr>
        <w:footnoteRef/>
      </w:r>
      <w:r>
        <w:rPr>
          <w:sz w:val="18"/>
          <w:szCs w:val="18"/>
        </w:rPr>
        <w:tab/>
      </w:r>
      <w:r w:rsidRPr="00EE4A78">
        <w:t>Synthesis report of the ICT Consultation in support of the High-Level Meeting on Disability and Development of the sixty-eighth session of the UN General Assembly (2013): The ICT Opportunity for a Disability-inclusive Development framework</w:t>
      </w:r>
      <w:r>
        <w:t>.</w:t>
      </w:r>
    </w:p>
  </w:footnote>
  <w:footnote w:id="26">
    <w:p w:rsidR="007855D0" w:rsidRPr="00EE4A78" w:rsidRDefault="007855D0" w:rsidP="00EE4A78">
      <w:pPr>
        <w:pStyle w:val="FootnoteText"/>
      </w:pPr>
      <w:r w:rsidRPr="008131C1">
        <w:rPr>
          <w:rStyle w:val="FootnoteReference"/>
          <w:szCs w:val="18"/>
        </w:rPr>
        <w:footnoteRef/>
      </w:r>
      <w:r>
        <w:rPr>
          <w:sz w:val="18"/>
          <w:szCs w:val="18"/>
        </w:rPr>
        <w:tab/>
      </w:r>
      <w:r w:rsidRPr="00EE4A78">
        <w:t>McAfee, Center for Strategic and International Studies (2013): The economic impact of cybercrime and cyber espionage, July 2013</w:t>
      </w:r>
      <w:r>
        <w:t>.</w:t>
      </w:r>
    </w:p>
  </w:footnote>
  <w:footnote w:id="27">
    <w:p w:rsidR="007855D0" w:rsidRPr="00A854BC" w:rsidRDefault="007855D0" w:rsidP="00EE4A78">
      <w:pPr>
        <w:pStyle w:val="FootnoteText"/>
        <w:rPr>
          <w:sz w:val="18"/>
          <w:szCs w:val="18"/>
        </w:rPr>
      </w:pPr>
      <w:r w:rsidRPr="00A854BC">
        <w:rPr>
          <w:rStyle w:val="FootnoteReference"/>
          <w:szCs w:val="18"/>
        </w:rPr>
        <w:footnoteRef/>
      </w:r>
      <w:r>
        <w:rPr>
          <w:sz w:val="18"/>
          <w:szCs w:val="18"/>
        </w:rPr>
        <w:tab/>
      </w:r>
      <w:r w:rsidRPr="00EE4A78">
        <w:t>World Economic Forum in collaboration with McKinsey &amp; Company: Risk and Responsibility in a Hyperconnected World, January 2014</w:t>
      </w:r>
      <w:r>
        <w:t>.</w:t>
      </w:r>
    </w:p>
  </w:footnote>
  <w:footnote w:id="28">
    <w:p w:rsidR="007855D0" w:rsidRPr="00EE4A78" w:rsidRDefault="007855D0" w:rsidP="00EE4A78">
      <w:pPr>
        <w:pStyle w:val="FootnoteText"/>
      </w:pPr>
      <w:r w:rsidRPr="00A854BC">
        <w:rPr>
          <w:rStyle w:val="FootnoteReference"/>
          <w:szCs w:val="18"/>
        </w:rPr>
        <w:footnoteRef/>
      </w:r>
      <w:r>
        <w:rPr>
          <w:sz w:val="18"/>
          <w:szCs w:val="18"/>
        </w:rPr>
        <w:tab/>
      </w:r>
      <w:r w:rsidRPr="00EE4A78">
        <w:t>Symantec Intelligence Report: January 2013</w:t>
      </w:r>
      <w:r>
        <w:t>.</w:t>
      </w:r>
    </w:p>
  </w:footnote>
  <w:footnote w:id="29">
    <w:p w:rsidR="007855D0" w:rsidRPr="00EE4A78" w:rsidRDefault="007855D0" w:rsidP="00EE4A78">
      <w:pPr>
        <w:pStyle w:val="FootnoteText"/>
      </w:pPr>
      <w:r w:rsidRPr="00A854BC">
        <w:rPr>
          <w:rStyle w:val="FootnoteReference"/>
          <w:szCs w:val="18"/>
        </w:rPr>
        <w:footnoteRef/>
      </w:r>
      <w:r>
        <w:rPr>
          <w:sz w:val="18"/>
          <w:szCs w:val="18"/>
        </w:rPr>
        <w:tab/>
      </w:r>
      <w:r w:rsidRPr="00EE4A78">
        <w:t>World Economic Forum in collaboration with McKinsey &amp; Company: Risk and Responsibility in a Hyperconnected World, January 2014</w:t>
      </w:r>
      <w:r>
        <w:t>.</w:t>
      </w:r>
    </w:p>
  </w:footnote>
  <w:footnote w:id="30">
    <w:p w:rsidR="007855D0" w:rsidRPr="00A854BC" w:rsidRDefault="007855D0" w:rsidP="00EE4A78">
      <w:pPr>
        <w:pStyle w:val="FootnoteText"/>
        <w:rPr>
          <w:sz w:val="18"/>
          <w:szCs w:val="18"/>
        </w:rPr>
      </w:pPr>
      <w:r w:rsidRPr="00A854BC">
        <w:rPr>
          <w:rStyle w:val="FootnoteReference"/>
          <w:szCs w:val="18"/>
        </w:rPr>
        <w:footnoteRef/>
      </w:r>
      <w:r>
        <w:rPr>
          <w:sz w:val="18"/>
          <w:szCs w:val="18"/>
        </w:rPr>
        <w:tab/>
      </w:r>
      <w:r w:rsidRPr="00EE4A78">
        <w:t>ITU (2013): Measuring the Information Society</w:t>
      </w:r>
      <w:r>
        <w:t>.</w:t>
      </w:r>
    </w:p>
  </w:footnote>
  <w:footnote w:id="31">
    <w:p w:rsidR="007855D0" w:rsidRPr="00EE4A78" w:rsidRDefault="007855D0" w:rsidP="00EE4A78">
      <w:pPr>
        <w:pStyle w:val="FootnoteText"/>
      </w:pPr>
      <w:r w:rsidRPr="00A854BC">
        <w:rPr>
          <w:rStyle w:val="FootnoteReference"/>
          <w:szCs w:val="18"/>
        </w:rPr>
        <w:footnoteRef/>
      </w:r>
      <w:r>
        <w:rPr>
          <w:sz w:val="18"/>
          <w:szCs w:val="18"/>
        </w:rPr>
        <w:tab/>
      </w:r>
      <w:r w:rsidRPr="00EE4A78">
        <w:t>Consumer Reports Magazine survey June 2011</w:t>
      </w:r>
      <w:r>
        <w:t>.</w:t>
      </w:r>
    </w:p>
  </w:footnote>
  <w:footnote w:id="32">
    <w:p w:rsidR="007855D0" w:rsidRPr="00A854BC" w:rsidRDefault="007855D0" w:rsidP="00EE4A78">
      <w:pPr>
        <w:pStyle w:val="FootnoteText"/>
        <w:rPr>
          <w:sz w:val="18"/>
          <w:szCs w:val="18"/>
        </w:rPr>
      </w:pPr>
      <w:r w:rsidRPr="00A854BC">
        <w:rPr>
          <w:rStyle w:val="FootnoteReference"/>
          <w:szCs w:val="18"/>
        </w:rPr>
        <w:footnoteRef/>
      </w:r>
      <w:r>
        <w:rPr>
          <w:sz w:val="18"/>
          <w:szCs w:val="18"/>
        </w:rPr>
        <w:tab/>
      </w:r>
      <w:r w:rsidRPr="00EE4A78">
        <w:t>Teen Online &amp; Wireless Safety Survey: Cyberbullying, Sexting and Parental Controls. Cox Communications Teen Online and Wireless Safety Survey in Partnership with the National Center for Missing and Exploited Children, 2009</w:t>
      </w:r>
      <w:r>
        <w:t>.</w:t>
      </w:r>
    </w:p>
  </w:footnote>
  <w:footnote w:id="33">
    <w:p w:rsidR="007855D0" w:rsidRPr="00282CAC" w:rsidRDefault="007855D0" w:rsidP="00EE4A78">
      <w:pPr>
        <w:pStyle w:val="FootnoteText"/>
        <w:rPr>
          <w:sz w:val="18"/>
          <w:szCs w:val="18"/>
        </w:rPr>
      </w:pPr>
      <w:r w:rsidRPr="00A854BC">
        <w:rPr>
          <w:rStyle w:val="FootnoteReference"/>
          <w:szCs w:val="18"/>
        </w:rPr>
        <w:footnoteRef/>
      </w:r>
      <w:r>
        <w:rPr>
          <w:sz w:val="18"/>
          <w:szCs w:val="18"/>
        </w:rPr>
        <w:tab/>
      </w:r>
      <w:r w:rsidRPr="00EE4A78">
        <w:t>National Cyber Security Alliance (NCSA)-MacAfee Online Safety Study, 2011</w:t>
      </w:r>
      <w:r>
        <w:t>.</w:t>
      </w:r>
    </w:p>
  </w:footnote>
  <w:footnote w:id="34">
    <w:p w:rsidR="007855D0" w:rsidRPr="00EE4A78" w:rsidRDefault="007855D0" w:rsidP="00EE4A78">
      <w:pPr>
        <w:pStyle w:val="FootnoteText"/>
      </w:pPr>
      <w:r w:rsidRPr="00D12614">
        <w:rPr>
          <w:rStyle w:val="FootnoteReference"/>
          <w:szCs w:val="18"/>
        </w:rPr>
        <w:footnoteRef/>
      </w:r>
      <w:r>
        <w:rPr>
          <w:sz w:val="18"/>
          <w:szCs w:val="18"/>
        </w:rPr>
        <w:tab/>
      </w:r>
      <w:r w:rsidRPr="00EE4A78">
        <w:t>SMART 2020: Enabling the low carbon economy in the information age</w:t>
      </w:r>
      <w:r>
        <w:t>.</w:t>
      </w:r>
    </w:p>
  </w:footnote>
  <w:footnote w:id="35">
    <w:p w:rsidR="007855D0" w:rsidRPr="00EE4A78" w:rsidRDefault="007855D0" w:rsidP="00EE4A78">
      <w:pPr>
        <w:pStyle w:val="FootnoteText"/>
      </w:pPr>
      <w:r w:rsidRPr="00D12614">
        <w:rPr>
          <w:rStyle w:val="FootnoteReference"/>
          <w:szCs w:val="18"/>
        </w:rPr>
        <w:footnoteRef/>
      </w:r>
      <w:r>
        <w:rPr>
          <w:sz w:val="18"/>
          <w:szCs w:val="18"/>
        </w:rPr>
        <w:tab/>
      </w:r>
      <w:r w:rsidRPr="00EE4A78">
        <w:t>International Energy Agency: Powering down to save energy need not be a turn-off, January 2013</w:t>
      </w:r>
      <w:r>
        <w:t>.</w:t>
      </w:r>
    </w:p>
  </w:footnote>
  <w:footnote w:id="36">
    <w:p w:rsidR="007855D0" w:rsidRPr="00EE4A78" w:rsidRDefault="007855D0" w:rsidP="00EE4A78">
      <w:pPr>
        <w:pStyle w:val="FootnoteText"/>
      </w:pPr>
      <w:r w:rsidRPr="00D12614">
        <w:rPr>
          <w:rStyle w:val="FootnoteReference"/>
          <w:szCs w:val="18"/>
        </w:rPr>
        <w:footnoteRef/>
      </w:r>
      <w:r>
        <w:rPr>
          <w:sz w:val="18"/>
          <w:szCs w:val="18"/>
        </w:rPr>
        <w:tab/>
      </w:r>
      <w:r w:rsidRPr="00EE4A78">
        <w:t>McKinsey Global Institute (2013): Disruptive technologies: Advances that will transform life, business, and the global economy</w:t>
      </w:r>
      <w:r>
        <w:t>.</w:t>
      </w:r>
    </w:p>
  </w:footnote>
  <w:footnote w:id="37">
    <w:p w:rsidR="007855D0" w:rsidRPr="003A3140" w:rsidRDefault="007855D0" w:rsidP="00EE4A78">
      <w:pPr>
        <w:pStyle w:val="FootnoteText"/>
        <w:rPr>
          <w:lang w:val="es-ES_tradnl"/>
        </w:rPr>
      </w:pPr>
      <w:r w:rsidRPr="00D12614">
        <w:rPr>
          <w:rStyle w:val="FootnoteReference"/>
          <w:szCs w:val="18"/>
        </w:rPr>
        <w:footnoteRef/>
      </w:r>
      <w:r>
        <w:rPr>
          <w:sz w:val="18"/>
          <w:szCs w:val="18"/>
          <w:lang w:val="es-ES_tradnl"/>
        </w:rPr>
        <w:tab/>
      </w:r>
      <w:r w:rsidRPr="003A3140">
        <w:rPr>
          <w:lang w:val="es-ES_tradnl"/>
        </w:rPr>
        <w:t>Examples include Chile’s Digital Agenda 2004, Digital Czech Republic 2011, Estrategia Ecuador Digital 2.0 in 2011, France’s Digital Plan 2010, Digital Gabon 2011, Greece’s Digital Strategy 2006, Hungary’s Digital Renewal Action Plan 2010, Italy’s Italia Digitale plan 2010, Mexico’s Digital Agenda 2011, Oman’s Digital Strategy, United Kingdom 2005, Uruguay Digital Agenda 2008-2010.</w:t>
      </w:r>
    </w:p>
  </w:footnote>
  <w:footnote w:id="38">
    <w:p w:rsidR="007855D0" w:rsidRPr="00C02F44" w:rsidRDefault="007855D0" w:rsidP="00EE4A78">
      <w:pPr>
        <w:pStyle w:val="FootnoteText"/>
        <w:rPr>
          <w:sz w:val="18"/>
          <w:szCs w:val="18"/>
        </w:rPr>
      </w:pPr>
      <w:r w:rsidRPr="00C02F44">
        <w:rPr>
          <w:rStyle w:val="FootnoteReference"/>
          <w:szCs w:val="18"/>
        </w:rPr>
        <w:footnoteRef/>
      </w:r>
      <w:r>
        <w:rPr>
          <w:sz w:val="18"/>
          <w:szCs w:val="18"/>
        </w:rPr>
        <w:tab/>
      </w:r>
      <w:r w:rsidRPr="00EE4A78">
        <w:t>ITU (2012): Trends in telecommunication reform 2012: Smart regulation in a broadband world</w:t>
      </w:r>
      <w:r>
        <w:t>.</w:t>
      </w:r>
    </w:p>
  </w:footnote>
  <w:footnote w:id="39">
    <w:p w:rsidR="007855D0" w:rsidRPr="009730D9" w:rsidRDefault="007855D0" w:rsidP="00EE4A78">
      <w:pPr>
        <w:pStyle w:val="FootnoteText"/>
        <w:rPr>
          <w:sz w:val="18"/>
          <w:szCs w:val="18"/>
        </w:rPr>
      </w:pPr>
      <w:r w:rsidRPr="009730D9">
        <w:rPr>
          <w:rStyle w:val="FootnoteReference"/>
          <w:szCs w:val="18"/>
        </w:rPr>
        <w:footnoteRef/>
      </w:r>
      <w:r>
        <w:rPr>
          <w:sz w:val="18"/>
          <w:szCs w:val="18"/>
        </w:rPr>
        <w:tab/>
      </w:r>
      <w:r w:rsidRPr="00EE4A78">
        <w:t>ITU (2013): Regulation and consumer protection in a converging environment</w:t>
      </w:r>
      <w:r>
        <w:t>.</w:t>
      </w:r>
    </w:p>
  </w:footnote>
  <w:footnote w:id="40">
    <w:p w:rsidR="007855D0" w:rsidRPr="00595E72" w:rsidRDefault="007855D0" w:rsidP="00EE4A78">
      <w:pPr>
        <w:pStyle w:val="FootnoteText"/>
        <w:rPr>
          <w:sz w:val="18"/>
          <w:szCs w:val="18"/>
        </w:rPr>
      </w:pPr>
      <w:r w:rsidRPr="00595E72">
        <w:rPr>
          <w:rStyle w:val="FootnoteReference"/>
          <w:szCs w:val="18"/>
        </w:rPr>
        <w:footnoteRef/>
      </w:r>
      <w:r>
        <w:rPr>
          <w:sz w:val="18"/>
          <w:szCs w:val="18"/>
        </w:rPr>
        <w:tab/>
      </w:r>
      <w:r w:rsidRPr="00EE4A78">
        <w:t>The World Bank Group (2012): ICT for Greater Development Impact, Sector Strategy</w:t>
      </w:r>
      <w:r>
        <w:t>.</w:t>
      </w:r>
    </w:p>
  </w:footnote>
  <w:footnote w:id="41">
    <w:p w:rsidR="007855D0" w:rsidRPr="00421A2C" w:rsidRDefault="007855D0" w:rsidP="006A2951">
      <w:pPr>
        <w:pStyle w:val="FootnoteText"/>
      </w:pPr>
      <w:r w:rsidRPr="00421A2C">
        <w:rPr>
          <w:rStyle w:val="FootnoteReference"/>
        </w:rPr>
        <w:footnoteRef/>
      </w:r>
      <w:r>
        <w:tab/>
        <w:t>Cost of ICT services</w:t>
      </w:r>
      <w:r w:rsidRPr="00421A2C">
        <w:t xml:space="preserve"> to be 60% of the 2012 value.</w:t>
      </w:r>
    </w:p>
  </w:footnote>
  <w:footnote w:id="42">
    <w:p w:rsidR="007855D0" w:rsidRPr="00421A2C" w:rsidRDefault="007855D0" w:rsidP="006A2951">
      <w:pPr>
        <w:pStyle w:val="FootnoteText"/>
      </w:pPr>
      <w:r w:rsidRPr="00421A2C">
        <w:rPr>
          <w:rStyle w:val="FootnoteReference"/>
        </w:rPr>
        <w:footnoteRef/>
      </w:r>
      <w:r>
        <w:tab/>
        <w:t xml:space="preserve">Cost of ICT services comparing to </w:t>
      </w:r>
      <w:r w:rsidRPr="00421A2C">
        <w:t>the 2012 value.</w:t>
      </w:r>
    </w:p>
  </w:footnote>
  <w:footnote w:id="43">
    <w:p w:rsidR="007855D0" w:rsidRDefault="007855D0" w:rsidP="006A2951">
      <w:pPr>
        <w:pStyle w:val="FootnoteText"/>
      </w:pPr>
      <w:r>
        <w:rPr>
          <w:rStyle w:val="FootnoteReference"/>
        </w:rPr>
        <w:footnoteRef/>
      </w:r>
      <w:r>
        <w:tab/>
      </w:r>
      <w:r w:rsidRPr="00F23088">
        <w:t>Due to data limitations, currently mobile-broadband signal coverage is considered in determining this target.</w:t>
      </w:r>
    </w:p>
  </w:footnote>
  <w:footnote w:id="44">
    <w:p w:rsidR="007855D0" w:rsidRPr="00421A2C" w:rsidRDefault="007855D0" w:rsidP="006A2951">
      <w:pPr>
        <w:pStyle w:val="FootnoteText"/>
      </w:pPr>
      <w:r w:rsidRPr="00421A2C">
        <w:rPr>
          <w:rStyle w:val="FootnoteReference"/>
        </w:rPr>
        <w:footnoteRef/>
      </w:r>
      <w:r>
        <w:tab/>
      </w:r>
      <w:r w:rsidRPr="00421A2C">
        <w:t>Data being compiled by the Global Cybersecurity Index (GCI).</w:t>
      </w:r>
    </w:p>
  </w:footnote>
  <w:footnote w:id="45">
    <w:p w:rsidR="007855D0" w:rsidRPr="00421A2C" w:rsidRDefault="007855D0" w:rsidP="006A2951">
      <w:pPr>
        <w:pStyle w:val="FootnoteText"/>
      </w:pPr>
      <w:r w:rsidRPr="00421A2C">
        <w:rPr>
          <w:rStyle w:val="FootnoteReference"/>
        </w:rPr>
        <w:footnoteRef/>
      </w:r>
      <w:r>
        <w:tab/>
      </w:r>
      <w:r w:rsidRPr="00421A2C">
        <w:t>Exceptionally to the targets framework, this target needs to be discussed at the ITU-T Study Group 5.</w:t>
      </w:r>
    </w:p>
  </w:footnote>
  <w:footnote w:id="46">
    <w:p w:rsidR="007855D0" w:rsidRPr="00421A2C" w:rsidRDefault="007855D0" w:rsidP="006A2951">
      <w:pPr>
        <w:pStyle w:val="FootnoteText"/>
      </w:pPr>
      <w:r w:rsidRPr="00421A2C">
        <w:rPr>
          <w:rStyle w:val="FootnoteReference"/>
        </w:rPr>
        <w:footnoteRef/>
      </w:r>
      <w:r>
        <w:tab/>
      </w:r>
      <w:r w:rsidRPr="00421A2C">
        <w:t>Exceptionally to the targets framework, this target needs to be discussed at the relevant ITU Study Group.</w:t>
      </w:r>
    </w:p>
  </w:footnote>
  <w:footnote w:id="47">
    <w:p w:rsidR="007855D0" w:rsidRPr="00E04B1D" w:rsidRDefault="007855D0" w:rsidP="006A2951">
      <w:pPr>
        <w:pStyle w:val="FootnoteText"/>
        <w:rPr>
          <w:sz w:val="18"/>
          <w:szCs w:val="18"/>
        </w:rPr>
      </w:pPr>
      <w:r w:rsidRPr="00421A2C">
        <w:rPr>
          <w:rStyle w:val="FootnoteReference"/>
        </w:rPr>
        <w:footnoteRef/>
      </w:r>
      <w:r>
        <w:tab/>
        <w:t>Target</w:t>
      </w:r>
      <w:r w:rsidRPr="00B56F2B">
        <w:t xml:space="preserve"> 4.1 </w:t>
      </w:r>
      <w:r>
        <w:t>is a qualitative target</w:t>
      </w:r>
      <w:r w:rsidRPr="00421A2C">
        <w:t>.</w:t>
      </w:r>
    </w:p>
  </w:footnote>
  <w:footnote w:id="48">
    <w:p w:rsidR="007855D0" w:rsidRPr="00E04B1D" w:rsidRDefault="007855D0" w:rsidP="003A3140">
      <w:pPr>
        <w:pStyle w:val="FootnoteText"/>
        <w:rPr>
          <w:sz w:val="18"/>
          <w:szCs w:val="18"/>
        </w:rPr>
      </w:pPr>
      <w:r w:rsidRPr="00421A2C">
        <w:rPr>
          <w:rStyle w:val="FootnoteReference"/>
        </w:rPr>
        <w:footnoteRef/>
      </w:r>
      <w:r>
        <w:tab/>
        <w:t>Target 4.2</w:t>
      </w:r>
      <w:r w:rsidRPr="00B56F2B">
        <w:t xml:space="preserve"> </w:t>
      </w:r>
      <w:r>
        <w:t>is a qualitative target</w:t>
      </w:r>
      <w:r w:rsidRPr="00421A2C">
        <w:t>.</w:t>
      </w:r>
    </w:p>
  </w:footnote>
  <w:footnote w:id="49">
    <w:p w:rsidR="007855D0" w:rsidRPr="001772BB" w:rsidRDefault="007855D0" w:rsidP="003A3140">
      <w:pPr>
        <w:pStyle w:val="FootnoteText"/>
      </w:pPr>
      <w:r w:rsidRPr="001772BB">
        <w:rPr>
          <w:rStyle w:val="FootnoteReference"/>
        </w:rPr>
        <w:footnoteRef/>
      </w:r>
      <w:r>
        <w:tab/>
      </w:r>
      <w:r w:rsidRPr="001772BB">
        <w:t>Boxes and ticks demonstrate primary and secondary links to goals.</w:t>
      </w:r>
    </w:p>
  </w:footnote>
  <w:footnote w:id="50">
    <w:p w:rsidR="007855D0" w:rsidRDefault="007855D0" w:rsidP="0019433A">
      <w:pPr>
        <w:pStyle w:val="FootnoteText"/>
      </w:pPr>
      <w:r>
        <w:rPr>
          <w:rStyle w:val="FootnoteReference"/>
        </w:rPr>
        <w:footnoteRef/>
      </w:r>
      <w:r>
        <w:tab/>
        <w:t xml:space="preserve">Outcome refers to the mobile-broadband sub-basket of the ITU ICT Price Basket (IPB). For more information please refer to ITU (2013): Measuring the Information Society 2013 report, available at: </w:t>
      </w:r>
      <w:hyperlink r:id="rId1" w:history="1">
        <w:r w:rsidRPr="00702E5D">
          <w:rPr>
            <w:rStyle w:val="Hyperlink"/>
          </w:rPr>
          <w:t>http://www.itu.int/en/ITU-D/Statistics/Documents/publications/mis2013/MIS2013_without_Annex_4.pdf</w:t>
        </w:r>
      </w:hyperlink>
      <w:r>
        <w:t xml:space="preserve"> </w:t>
      </w:r>
    </w:p>
  </w:footnote>
  <w:footnote w:id="51">
    <w:p w:rsidR="007855D0" w:rsidRDefault="007855D0" w:rsidP="0019433A">
      <w:pPr>
        <w:pStyle w:val="FootnoteText"/>
      </w:pPr>
      <w:r>
        <w:rPr>
          <w:rStyle w:val="FootnoteReference"/>
        </w:rPr>
        <w:footnoteRef/>
      </w:r>
      <w:r>
        <w:tab/>
        <w:t>ITU-D outputs and the implementation framework are further detailed in the Dubai Action Plan, endorsed by the World Telecommunication Development Conference 2014</w:t>
      </w:r>
    </w:p>
  </w:footnote>
  <w:footnote w:id="52">
    <w:p w:rsidR="007855D0" w:rsidRDefault="007855D0" w:rsidP="0019433A">
      <w:pPr>
        <w:pStyle w:val="FootnoteText"/>
      </w:pPr>
      <w:r>
        <w:rPr>
          <w:rStyle w:val="FootnoteReference"/>
        </w:rPr>
        <w:footnoteRef/>
      </w:r>
      <w:r>
        <w:tab/>
        <w:t>P</w:t>
      </w:r>
      <w:r w:rsidRPr="005679F6">
        <w:t>eople with specific needs are indigenous peoples, persons with disabilities, including age related disabilities, youth, women and girls</w:t>
      </w:r>
      <w:r>
        <w:t>.</w:t>
      </w:r>
    </w:p>
  </w:footnote>
  <w:footnote w:id="53">
    <w:p w:rsidR="007855D0" w:rsidRPr="00BC52DD" w:rsidRDefault="007855D0" w:rsidP="0019433A">
      <w:pPr>
        <w:pStyle w:val="FootnoteText"/>
      </w:pPr>
      <w:r w:rsidRPr="00BC52DD">
        <w:rPr>
          <w:rStyle w:val="FootnoteReference"/>
        </w:rPr>
        <w:footnoteRef/>
      </w:r>
      <w:r>
        <w:tab/>
      </w:r>
      <w:r w:rsidRPr="00BC52DD">
        <w:t>Pending UN decision to continue the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Pr="00DB3058" w:rsidRDefault="007855D0" w:rsidP="00F4245E">
    <w:pPr>
      <w:pStyle w:val="Header"/>
      <w:rPr>
        <w:lang w:val="en-US"/>
      </w:rPr>
    </w:pPr>
    <w:r>
      <w:fldChar w:fldCharType="begin"/>
    </w:r>
    <w:r>
      <w:instrText xml:space="preserve"> PAGE </w:instrText>
    </w:r>
    <w:r>
      <w:fldChar w:fldCharType="separate"/>
    </w:r>
    <w:r w:rsidR="006A34C6">
      <w:rPr>
        <w:noProof/>
      </w:rPr>
      <w:t>21</w:t>
    </w:r>
    <w:r>
      <w:rPr>
        <w:noProof/>
      </w:rPr>
      <w:fldChar w:fldCharType="end"/>
    </w:r>
  </w:p>
  <w:p w:rsidR="007855D0" w:rsidRPr="00F4245E" w:rsidRDefault="007855D0" w:rsidP="00F4245E">
    <w:pPr>
      <w:pStyle w:val="Header"/>
      <w:rPr>
        <w:lang w:val="en-US"/>
      </w:rPr>
    </w:pPr>
    <w:r w:rsidRPr="00DB3058">
      <w:rPr>
        <w:lang w:val="en-US"/>
      </w:rPr>
      <w:t>RAG14-1</w:t>
    </w:r>
    <w:r>
      <w:rPr>
        <w:lang w:val="en-US"/>
      </w:rPr>
      <w:t>/</w:t>
    </w:r>
    <w:r w:rsidRPr="00DB3058">
      <w:rPr>
        <w:lang w:val="en-US"/>
      </w:rPr>
      <w:t>1(Add.</w:t>
    </w:r>
    <w:r>
      <w:rPr>
        <w:lang w:val="en-US"/>
      </w:rPr>
      <w:t>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D0" w:rsidRPr="00DB3058" w:rsidRDefault="007855D0" w:rsidP="001E41A0">
    <w:pPr>
      <w:pStyle w:val="Header"/>
      <w:rPr>
        <w:lang w:val="en-US"/>
      </w:rPr>
    </w:pPr>
    <w:r>
      <w:fldChar w:fldCharType="begin"/>
    </w:r>
    <w:r>
      <w:instrText xml:space="preserve"> PAGE </w:instrText>
    </w:r>
    <w:r>
      <w:fldChar w:fldCharType="separate"/>
    </w:r>
    <w:r w:rsidR="006A34C6">
      <w:rPr>
        <w:noProof/>
      </w:rPr>
      <w:t>45</w:t>
    </w:r>
    <w:r>
      <w:rPr>
        <w:noProof/>
      </w:rPr>
      <w:fldChar w:fldCharType="end"/>
    </w:r>
  </w:p>
  <w:p w:rsidR="007855D0" w:rsidRPr="00DB3058" w:rsidRDefault="007855D0" w:rsidP="00DB3058">
    <w:pPr>
      <w:pStyle w:val="Header"/>
      <w:rPr>
        <w:lang w:val="en-US"/>
      </w:rPr>
    </w:pPr>
    <w:r w:rsidRPr="00DB3058">
      <w:rPr>
        <w:lang w:val="en-US"/>
      </w:rPr>
      <w:t>RAG14-1</w:t>
    </w:r>
    <w:r>
      <w:rPr>
        <w:lang w:val="en-US"/>
      </w:rPr>
      <w:t>/</w:t>
    </w:r>
    <w:r w:rsidRPr="00DB3058">
      <w:rPr>
        <w:lang w:val="en-US"/>
      </w:rPr>
      <w:t>1(Add.</w:t>
    </w:r>
    <w:r>
      <w:rPr>
        <w:lang w:val="en-US"/>
      </w:rPr>
      <w:t>1)</w:t>
    </w:r>
    <w:r w:rsidRPr="00DB3058">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A61DAC"/>
    <w:multiLevelType w:val="multilevel"/>
    <w:tmpl w:val="0E2E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3740B18"/>
    <w:multiLevelType w:val="hybridMultilevel"/>
    <w:tmpl w:val="AA748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381639F"/>
    <w:multiLevelType w:val="hybridMultilevel"/>
    <w:tmpl w:val="2F6A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50706E"/>
    <w:multiLevelType w:val="hybridMultilevel"/>
    <w:tmpl w:val="DC623D9E"/>
    <w:lvl w:ilvl="0" w:tplc="0E14832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BB2EED"/>
    <w:multiLevelType w:val="hybridMultilevel"/>
    <w:tmpl w:val="AA5AA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nsid w:val="46666CCA"/>
    <w:multiLevelType w:val="hybridMultilevel"/>
    <w:tmpl w:val="8D348932"/>
    <w:lvl w:ilvl="0" w:tplc="EC588400">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897947"/>
    <w:multiLevelType w:val="hybridMultilevel"/>
    <w:tmpl w:val="CD5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3"/>
  </w:num>
  <w:num w:numId="14">
    <w:abstractNumId w:val="18"/>
  </w:num>
  <w:num w:numId="15">
    <w:abstractNumId w:val="22"/>
  </w:num>
  <w:num w:numId="16">
    <w:abstractNumId w:val="12"/>
  </w:num>
  <w:num w:numId="17">
    <w:abstractNumId w:val="19"/>
  </w:num>
  <w:num w:numId="18">
    <w:abstractNumId w:val="16"/>
  </w:num>
  <w:num w:numId="19">
    <w:abstractNumId w:val="14"/>
  </w:num>
  <w:num w:numId="20">
    <w:abstractNumId w:val="17"/>
  </w:num>
  <w:num w:numId="21">
    <w:abstractNumId w:val="22"/>
    <w:lvlOverride w:ilvl="0">
      <w:startOverride w:val="1"/>
    </w:lvlOverride>
  </w:num>
  <w:num w:numId="22">
    <w:abstractNumId w:val="15"/>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BE"/>
    <w:rsid w:val="00093C73"/>
    <w:rsid w:val="000F1506"/>
    <w:rsid w:val="001377D6"/>
    <w:rsid w:val="0019433A"/>
    <w:rsid w:val="001E41A0"/>
    <w:rsid w:val="002774E4"/>
    <w:rsid w:val="00297A9E"/>
    <w:rsid w:val="003A3140"/>
    <w:rsid w:val="003D068D"/>
    <w:rsid w:val="003D17FB"/>
    <w:rsid w:val="004F0848"/>
    <w:rsid w:val="00507DA3"/>
    <w:rsid w:val="0051782D"/>
    <w:rsid w:val="00535B41"/>
    <w:rsid w:val="00560FA1"/>
    <w:rsid w:val="005664C8"/>
    <w:rsid w:val="00597657"/>
    <w:rsid w:val="005B2C58"/>
    <w:rsid w:val="006340E2"/>
    <w:rsid w:val="00662CBE"/>
    <w:rsid w:val="006A2951"/>
    <w:rsid w:val="006A34C6"/>
    <w:rsid w:val="006D2DF4"/>
    <w:rsid w:val="00746923"/>
    <w:rsid w:val="007855D0"/>
    <w:rsid w:val="00806E63"/>
    <w:rsid w:val="00891C76"/>
    <w:rsid w:val="008B3F50"/>
    <w:rsid w:val="0095426A"/>
    <w:rsid w:val="00961411"/>
    <w:rsid w:val="00A16CB2"/>
    <w:rsid w:val="00A420F6"/>
    <w:rsid w:val="00AE7A15"/>
    <w:rsid w:val="00B35BE4"/>
    <w:rsid w:val="00B52992"/>
    <w:rsid w:val="00BF5E14"/>
    <w:rsid w:val="00C82CA9"/>
    <w:rsid w:val="00C84A68"/>
    <w:rsid w:val="00CC1D49"/>
    <w:rsid w:val="00CD4D80"/>
    <w:rsid w:val="00D211BC"/>
    <w:rsid w:val="00DB3058"/>
    <w:rsid w:val="00DD3BF8"/>
    <w:rsid w:val="00E27992"/>
    <w:rsid w:val="00E50D79"/>
    <w:rsid w:val="00E55EEA"/>
    <w:rsid w:val="00EE4A78"/>
    <w:rsid w:val="00F14C38"/>
    <w:rsid w:val="00F314ED"/>
    <w:rsid w:val="00F4245E"/>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uiPriority w:val="9"/>
    <w:qFormat/>
    <w:rsid w:val="00CD4D80"/>
    <w:pPr>
      <w:outlineLvl w:val="4"/>
    </w:pPr>
  </w:style>
  <w:style w:type="paragraph" w:styleId="Heading6">
    <w:name w:val="heading 6"/>
    <w:basedOn w:val="Heading4"/>
    <w:next w:val="Normal"/>
    <w:uiPriority w:val="9"/>
    <w:qFormat/>
    <w:rsid w:val="00CD4D80"/>
    <w:pPr>
      <w:tabs>
        <w:tab w:val="clear" w:pos="1021"/>
        <w:tab w:val="clear" w:pos="1191"/>
      </w:tabs>
      <w:ind w:left="1588" w:hanging="1588"/>
      <w:outlineLvl w:val="5"/>
    </w:pPr>
  </w:style>
  <w:style w:type="paragraph" w:styleId="Heading7">
    <w:name w:val="heading 7"/>
    <w:basedOn w:val="Heading6"/>
    <w:next w:val="Normal"/>
    <w:uiPriority w:val="9"/>
    <w:qFormat/>
    <w:rsid w:val="00CD4D80"/>
    <w:pPr>
      <w:outlineLvl w:val="6"/>
    </w:pPr>
  </w:style>
  <w:style w:type="paragraph" w:styleId="Heading8">
    <w:name w:val="heading 8"/>
    <w:basedOn w:val="Heading6"/>
    <w:next w:val="Normal"/>
    <w:uiPriority w:val="9"/>
    <w:qFormat/>
    <w:rsid w:val="00CD4D80"/>
    <w:pPr>
      <w:outlineLvl w:val="7"/>
    </w:pPr>
  </w:style>
  <w:style w:type="paragraph" w:styleId="Heading9">
    <w:name w:val="heading 9"/>
    <w:basedOn w:val="Heading6"/>
    <w:next w:val="Normal"/>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unhideWhenUsed/>
    <w:rsid w:val="00662CBE"/>
    <w:rPr>
      <w:color w:val="0000FF" w:themeColor="hyperlink"/>
      <w:u w:val="single"/>
    </w:rPr>
  </w:style>
  <w:style w:type="paragraph" w:styleId="ListParagraph">
    <w:name w:val="List Paragraph"/>
    <w:basedOn w:val="Normal"/>
    <w:uiPriority w:val="34"/>
    <w:qFormat/>
    <w:rsid w:val="00662CBE"/>
    <w:pPr>
      <w:ind w:left="720"/>
      <w:contextualSpacing/>
    </w:pPr>
  </w:style>
  <w:style w:type="character" w:customStyle="1" w:styleId="Heading1Char">
    <w:name w:val="Heading 1 Char"/>
    <w:basedOn w:val="DefaultParagraphFont"/>
    <w:link w:val="Heading1"/>
    <w:uiPriority w:val="9"/>
    <w:rsid w:val="00F14C38"/>
    <w:rPr>
      <w:rFonts w:ascii="Times New Roman" w:hAnsi="Times New Roman"/>
      <w:b/>
      <w:sz w:val="24"/>
      <w:lang w:val="en-GB" w:eastAsia="en-US"/>
    </w:rPr>
  </w:style>
  <w:style w:type="character" w:customStyle="1" w:styleId="Heading2Char">
    <w:name w:val="Heading 2 Char"/>
    <w:basedOn w:val="DefaultParagraphFont"/>
    <w:link w:val="Heading2"/>
    <w:uiPriority w:val="9"/>
    <w:rsid w:val="00F14C38"/>
    <w:rPr>
      <w:rFonts w:ascii="Times New Roman" w:hAnsi="Times New Roman"/>
      <w:b/>
      <w:sz w:val="24"/>
      <w:lang w:val="en-GB" w:eastAsia="en-US"/>
    </w:rPr>
  </w:style>
  <w:style w:type="character" w:customStyle="1" w:styleId="Heading3Char">
    <w:name w:val="Heading 3 Char"/>
    <w:basedOn w:val="DefaultParagraphFont"/>
    <w:link w:val="Heading3"/>
    <w:uiPriority w:val="9"/>
    <w:rsid w:val="00F14C38"/>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4C38"/>
    <w:rPr>
      <w:rFonts w:ascii="Times New Roman" w:hAnsi="Times New Roman"/>
      <w:b/>
      <w:sz w:val="24"/>
      <w:lang w:val="en-GB" w:eastAsia="en-US"/>
    </w:rPr>
  </w:style>
  <w:style w:type="paragraph" w:customStyle="1" w:styleId="SimpleHeading">
    <w:name w:val="Simple Heading"/>
    <w:basedOn w:val="Normal"/>
    <w:link w:val="SimpleHeadingChar"/>
    <w:qFormat/>
    <w:rsid w:val="00F14C3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Theme="minorHAnsi" w:hAnsi="Calibri Light" w:cstheme="minorBidi"/>
      <w:b/>
      <w:i/>
      <w:sz w:val="22"/>
      <w:szCs w:val="22"/>
      <w:lang w:val="en-US"/>
    </w:rPr>
  </w:style>
  <w:style w:type="character" w:customStyle="1" w:styleId="SimpleHeadingChar">
    <w:name w:val="Simple Heading Char"/>
    <w:basedOn w:val="DefaultParagraphFont"/>
    <w:link w:val="SimpleHeading"/>
    <w:rsid w:val="00F14C38"/>
    <w:rPr>
      <w:rFonts w:ascii="Calibri Light" w:eastAsiaTheme="minorHAnsi" w:hAnsi="Calibri Light" w:cstheme="minorBidi"/>
      <w:b/>
      <w:i/>
      <w:sz w:val="22"/>
      <w:szCs w:val="22"/>
      <w:lang w:eastAsia="en-US"/>
    </w:rPr>
  </w:style>
  <w:style w:type="table" w:styleId="TableGrid">
    <w:name w:val="Table Grid"/>
    <w:basedOn w:val="TableNormal"/>
    <w:uiPriority w:val="59"/>
    <w:rsid w:val="00F14C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14C38"/>
    <w:pPr>
      <w:keepNext/>
      <w:tabs>
        <w:tab w:val="clear" w:pos="794"/>
        <w:tab w:val="clear" w:pos="1191"/>
        <w:tab w:val="clear" w:pos="1588"/>
        <w:tab w:val="clear" w:pos="1985"/>
      </w:tabs>
      <w:overflowPunct/>
      <w:autoSpaceDE/>
      <w:autoSpaceDN/>
      <w:adjustRightInd/>
      <w:spacing w:before="0" w:after="60"/>
      <w:jc w:val="center"/>
      <w:textAlignment w:val="auto"/>
    </w:pPr>
    <w:rPr>
      <w:rFonts w:asciiTheme="minorHAnsi" w:eastAsiaTheme="minorHAnsi" w:hAnsiTheme="minorHAnsi" w:cstheme="minorBidi"/>
      <w:i/>
      <w:iCs/>
      <w:sz w:val="18"/>
      <w:szCs w:val="18"/>
      <w:lang w:val="en-US"/>
    </w:rPr>
  </w:style>
  <w:style w:type="paragraph" w:customStyle="1" w:styleId="Listhighlighted">
    <w:name w:val="List highlighted"/>
    <w:basedOn w:val="SimpleHeading"/>
    <w:link w:val="ListhighlightedChar"/>
    <w:qFormat/>
    <w:rsid w:val="00F14C38"/>
    <w:pPr>
      <w:numPr>
        <w:numId w:val="12"/>
      </w:numPr>
      <w:tabs>
        <w:tab w:val="num" w:pos="926"/>
      </w:tabs>
      <w:spacing w:after="0"/>
      <w:ind w:left="227" w:hanging="227"/>
    </w:pPr>
    <w:rPr>
      <w:rFonts w:asciiTheme="minorHAnsi" w:hAnsiTheme="minorHAnsi"/>
      <w:lang w:val="en-GB"/>
    </w:rPr>
  </w:style>
  <w:style w:type="paragraph" w:styleId="TOCHeading">
    <w:name w:val="TOC Heading"/>
    <w:basedOn w:val="Heading1"/>
    <w:next w:val="Normal"/>
    <w:uiPriority w:val="39"/>
    <w:semiHidden/>
    <w:unhideWhenUsed/>
    <w:qFormat/>
    <w:rsid w:val="00DB3058"/>
    <w:pPr>
      <w:spacing w:before="480"/>
      <w:ind w:left="0" w:firstLine="0"/>
      <w:outlineLvl w:val="9"/>
    </w:pPr>
    <w:rPr>
      <w:rFonts w:asciiTheme="majorHAnsi" w:eastAsiaTheme="majorEastAsia" w:hAnsiTheme="majorHAnsi" w:cstheme="majorBidi"/>
      <w:bCs/>
      <w:color w:val="365F91" w:themeColor="accent1" w:themeShade="BF"/>
      <w:sz w:val="28"/>
      <w:szCs w:val="28"/>
    </w:rPr>
  </w:style>
  <w:style w:type="character" w:customStyle="1" w:styleId="ListhighlightedChar">
    <w:name w:val="List highlighted Char"/>
    <w:basedOn w:val="SimpleHeadingChar"/>
    <w:link w:val="Listhighlighted"/>
    <w:rsid w:val="00DB3058"/>
    <w:rPr>
      <w:rFonts w:asciiTheme="minorHAnsi" w:eastAsiaTheme="minorHAnsi" w:hAnsiTheme="minorHAnsi" w:cstheme="minorBidi"/>
      <w:b/>
      <w:i/>
      <w:sz w:val="22"/>
      <w:szCs w:val="22"/>
      <w:lang w:val="en-GB" w:eastAsia="en-US"/>
    </w:rPr>
  </w:style>
  <w:style w:type="table" w:customStyle="1" w:styleId="PlainTable21">
    <w:name w:val="Plain Table 21"/>
    <w:basedOn w:val="TableNormal"/>
    <w:uiPriority w:val="42"/>
    <w:rsid w:val="00DB305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F314ED"/>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nextitle">
    <w:name w:val="Annex_title"/>
    <w:basedOn w:val="Normal"/>
    <w:next w:val="Normal"/>
    <w:rsid w:val="00F314ED"/>
    <w:pPr>
      <w:keepNext/>
      <w:keepLines/>
      <w:spacing w:before="240" w:after="280"/>
      <w:jc w:val="center"/>
    </w:pPr>
    <w:rPr>
      <w:rFonts w:asciiTheme="minorHAnsi" w:hAnsiTheme="minorHAnsi"/>
      <w:b/>
      <w:sz w:val="28"/>
    </w:rPr>
  </w:style>
  <w:style w:type="paragraph" w:customStyle="1" w:styleId="Reasons">
    <w:name w:val="Reasons"/>
    <w:basedOn w:val="Normal"/>
    <w:qFormat/>
    <w:rsid w:val="00F314E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uiPriority w:val="9"/>
    <w:qFormat/>
    <w:rsid w:val="00CD4D80"/>
    <w:pPr>
      <w:outlineLvl w:val="4"/>
    </w:pPr>
  </w:style>
  <w:style w:type="paragraph" w:styleId="Heading6">
    <w:name w:val="heading 6"/>
    <w:basedOn w:val="Heading4"/>
    <w:next w:val="Normal"/>
    <w:uiPriority w:val="9"/>
    <w:qFormat/>
    <w:rsid w:val="00CD4D80"/>
    <w:pPr>
      <w:tabs>
        <w:tab w:val="clear" w:pos="1021"/>
        <w:tab w:val="clear" w:pos="1191"/>
      </w:tabs>
      <w:ind w:left="1588" w:hanging="1588"/>
      <w:outlineLvl w:val="5"/>
    </w:pPr>
  </w:style>
  <w:style w:type="paragraph" w:styleId="Heading7">
    <w:name w:val="heading 7"/>
    <w:basedOn w:val="Heading6"/>
    <w:next w:val="Normal"/>
    <w:uiPriority w:val="9"/>
    <w:qFormat/>
    <w:rsid w:val="00CD4D80"/>
    <w:pPr>
      <w:outlineLvl w:val="6"/>
    </w:pPr>
  </w:style>
  <w:style w:type="paragraph" w:styleId="Heading8">
    <w:name w:val="heading 8"/>
    <w:basedOn w:val="Heading6"/>
    <w:next w:val="Normal"/>
    <w:uiPriority w:val="9"/>
    <w:qFormat/>
    <w:rsid w:val="00CD4D80"/>
    <w:pPr>
      <w:outlineLvl w:val="7"/>
    </w:pPr>
  </w:style>
  <w:style w:type="paragraph" w:styleId="Heading9">
    <w:name w:val="heading 9"/>
    <w:basedOn w:val="Heading6"/>
    <w:next w:val="Normal"/>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unhideWhenUsed/>
    <w:rsid w:val="00662CBE"/>
    <w:rPr>
      <w:color w:val="0000FF" w:themeColor="hyperlink"/>
      <w:u w:val="single"/>
    </w:rPr>
  </w:style>
  <w:style w:type="paragraph" w:styleId="ListParagraph">
    <w:name w:val="List Paragraph"/>
    <w:basedOn w:val="Normal"/>
    <w:uiPriority w:val="34"/>
    <w:qFormat/>
    <w:rsid w:val="00662CBE"/>
    <w:pPr>
      <w:ind w:left="720"/>
      <w:contextualSpacing/>
    </w:pPr>
  </w:style>
  <w:style w:type="character" w:customStyle="1" w:styleId="Heading1Char">
    <w:name w:val="Heading 1 Char"/>
    <w:basedOn w:val="DefaultParagraphFont"/>
    <w:link w:val="Heading1"/>
    <w:uiPriority w:val="9"/>
    <w:rsid w:val="00F14C38"/>
    <w:rPr>
      <w:rFonts w:ascii="Times New Roman" w:hAnsi="Times New Roman"/>
      <w:b/>
      <w:sz w:val="24"/>
      <w:lang w:val="en-GB" w:eastAsia="en-US"/>
    </w:rPr>
  </w:style>
  <w:style w:type="character" w:customStyle="1" w:styleId="Heading2Char">
    <w:name w:val="Heading 2 Char"/>
    <w:basedOn w:val="DefaultParagraphFont"/>
    <w:link w:val="Heading2"/>
    <w:uiPriority w:val="9"/>
    <w:rsid w:val="00F14C38"/>
    <w:rPr>
      <w:rFonts w:ascii="Times New Roman" w:hAnsi="Times New Roman"/>
      <w:b/>
      <w:sz w:val="24"/>
      <w:lang w:val="en-GB" w:eastAsia="en-US"/>
    </w:rPr>
  </w:style>
  <w:style w:type="character" w:customStyle="1" w:styleId="Heading3Char">
    <w:name w:val="Heading 3 Char"/>
    <w:basedOn w:val="DefaultParagraphFont"/>
    <w:link w:val="Heading3"/>
    <w:uiPriority w:val="9"/>
    <w:rsid w:val="00F14C38"/>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4C38"/>
    <w:rPr>
      <w:rFonts w:ascii="Times New Roman" w:hAnsi="Times New Roman"/>
      <w:b/>
      <w:sz w:val="24"/>
      <w:lang w:val="en-GB" w:eastAsia="en-US"/>
    </w:rPr>
  </w:style>
  <w:style w:type="paragraph" w:customStyle="1" w:styleId="SimpleHeading">
    <w:name w:val="Simple Heading"/>
    <w:basedOn w:val="Normal"/>
    <w:link w:val="SimpleHeadingChar"/>
    <w:qFormat/>
    <w:rsid w:val="00F14C3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Theme="minorHAnsi" w:hAnsi="Calibri Light" w:cstheme="minorBidi"/>
      <w:b/>
      <w:i/>
      <w:sz w:val="22"/>
      <w:szCs w:val="22"/>
      <w:lang w:val="en-US"/>
    </w:rPr>
  </w:style>
  <w:style w:type="character" w:customStyle="1" w:styleId="SimpleHeadingChar">
    <w:name w:val="Simple Heading Char"/>
    <w:basedOn w:val="DefaultParagraphFont"/>
    <w:link w:val="SimpleHeading"/>
    <w:rsid w:val="00F14C38"/>
    <w:rPr>
      <w:rFonts w:ascii="Calibri Light" w:eastAsiaTheme="minorHAnsi" w:hAnsi="Calibri Light" w:cstheme="minorBidi"/>
      <w:b/>
      <w:i/>
      <w:sz w:val="22"/>
      <w:szCs w:val="22"/>
      <w:lang w:eastAsia="en-US"/>
    </w:rPr>
  </w:style>
  <w:style w:type="table" w:styleId="TableGrid">
    <w:name w:val="Table Grid"/>
    <w:basedOn w:val="TableNormal"/>
    <w:uiPriority w:val="59"/>
    <w:rsid w:val="00F14C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14C38"/>
    <w:pPr>
      <w:keepNext/>
      <w:tabs>
        <w:tab w:val="clear" w:pos="794"/>
        <w:tab w:val="clear" w:pos="1191"/>
        <w:tab w:val="clear" w:pos="1588"/>
        <w:tab w:val="clear" w:pos="1985"/>
      </w:tabs>
      <w:overflowPunct/>
      <w:autoSpaceDE/>
      <w:autoSpaceDN/>
      <w:adjustRightInd/>
      <w:spacing w:before="0" w:after="60"/>
      <w:jc w:val="center"/>
      <w:textAlignment w:val="auto"/>
    </w:pPr>
    <w:rPr>
      <w:rFonts w:asciiTheme="minorHAnsi" w:eastAsiaTheme="minorHAnsi" w:hAnsiTheme="minorHAnsi" w:cstheme="minorBidi"/>
      <w:i/>
      <w:iCs/>
      <w:sz w:val="18"/>
      <w:szCs w:val="18"/>
      <w:lang w:val="en-US"/>
    </w:rPr>
  </w:style>
  <w:style w:type="paragraph" w:customStyle="1" w:styleId="Listhighlighted">
    <w:name w:val="List highlighted"/>
    <w:basedOn w:val="SimpleHeading"/>
    <w:link w:val="ListhighlightedChar"/>
    <w:qFormat/>
    <w:rsid w:val="00F14C38"/>
    <w:pPr>
      <w:numPr>
        <w:numId w:val="12"/>
      </w:numPr>
      <w:tabs>
        <w:tab w:val="num" w:pos="926"/>
      </w:tabs>
      <w:spacing w:after="0"/>
      <w:ind w:left="227" w:hanging="227"/>
    </w:pPr>
    <w:rPr>
      <w:rFonts w:asciiTheme="minorHAnsi" w:hAnsiTheme="minorHAnsi"/>
      <w:lang w:val="en-GB"/>
    </w:rPr>
  </w:style>
  <w:style w:type="paragraph" w:styleId="TOCHeading">
    <w:name w:val="TOC Heading"/>
    <w:basedOn w:val="Heading1"/>
    <w:next w:val="Normal"/>
    <w:uiPriority w:val="39"/>
    <w:semiHidden/>
    <w:unhideWhenUsed/>
    <w:qFormat/>
    <w:rsid w:val="00DB3058"/>
    <w:pPr>
      <w:spacing w:before="480"/>
      <w:ind w:left="0" w:firstLine="0"/>
      <w:outlineLvl w:val="9"/>
    </w:pPr>
    <w:rPr>
      <w:rFonts w:asciiTheme="majorHAnsi" w:eastAsiaTheme="majorEastAsia" w:hAnsiTheme="majorHAnsi" w:cstheme="majorBidi"/>
      <w:bCs/>
      <w:color w:val="365F91" w:themeColor="accent1" w:themeShade="BF"/>
      <w:sz w:val="28"/>
      <w:szCs w:val="28"/>
    </w:rPr>
  </w:style>
  <w:style w:type="character" w:customStyle="1" w:styleId="ListhighlightedChar">
    <w:name w:val="List highlighted Char"/>
    <w:basedOn w:val="SimpleHeadingChar"/>
    <w:link w:val="Listhighlighted"/>
    <w:rsid w:val="00DB3058"/>
    <w:rPr>
      <w:rFonts w:asciiTheme="minorHAnsi" w:eastAsiaTheme="minorHAnsi" w:hAnsiTheme="minorHAnsi" w:cstheme="minorBidi"/>
      <w:b/>
      <w:i/>
      <w:sz w:val="22"/>
      <w:szCs w:val="22"/>
      <w:lang w:val="en-GB" w:eastAsia="en-US"/>
    </w:rPr>
  </w:style>
  <w:style w:type="table" w:customStyle="1" w:styleId="PlainTable21">
    <w:name w:val="Plain Table 21"/>
    <w:basedOn w:val="TableNormal"/>
    <w:uiPriority w:val="42"/>
    <w:rsid w:val="00DB305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F314ED"/>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nextitle">
    <w:name w:val="Annex_title"/>
    <w:basedOn w:val="Normal"/>
    <w:next w:val="Normal"/>
    <w:rsid w:val="00F314ED"/>
    <w:pPr>
      <w:keepNext/>
      <w:keepLines/>
      <w:spacing w:before="240" w:after="280"/>
      <w:jc w:val="center"/>
    </w:pPr>
    <w:rPr>
      <w:rFonts w:asciiTheme="minorHAnsi" w:hAnsiTheme="minorHAnsi"/>
      <w:b/>
      <w:sz w:val="28"/>
    </w:rPr>
  </w:style>
  <w:style w:type="paragraph" w:customStyle="1" w:styleId="Reasons">
    <w:name w:val="Reasons"/>
    <w:basedOn w:val="Normal"/>
    <w:qFormat/>
    <w:rsid w:val="00F314E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md/S14-CL-C-0043/e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0D0D-7084-4803-BFDC-5494ECCC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176</TotalTime>
  <Pages>45</Pages>
  <Words>15655</Words>
  <Characters>97738</Characters>
  <Application>Microsoft Office Word</Application>
  <DocSecurity>0</DocSecurity>
  <Lines>814</Lines>
  <Paragraphs>226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Neal, Sharon</cp:lastModifiedBy>
  <cp:revision>15</cp:revision>
  <cp:lastPrinted>2014-06-04T10:02:00Z</cp:lastPrinted>
  <dcterms:created xsi:type="dcterms:W3CDTF">2014-06-02T07:54:00Z</dcterms:created>
  <dcterms:modified xsi:type="dcterms:W3CDTF">2014-06-04T10:04:00Z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