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709"/>
        <w:gridCol w:w="2976"/>
        <w:gridCol w:w="142"/>
      </w:tblGrid>
      <w:tr w:rsidR="0051782D" w:rsidRPr="00D872CB">
        <w:trPr>
          <w:cantSplit/>
        </w:trPr>
        <w:tc>
          <w:tcPr>
            <w:tcW w:w="6771" w:type="dxa"/>
            <w:gridSpan w:val="2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3104E5" w:rsidRPr="003104E5">
              <w:rPr>
                <w:rFonts w:ascii="Verdana" w:hAnsi="Verdana" w:cs="Times New Roman Bold"/>
                <w:b/>
                <w:bCs/>
                <w:sz w:val="20"/>
              </w:rPr>
              <w:t>Geneva, 22-24 May 2013</w:t>
            </w:r>
          </w:p>
        </w:tc>
        <w:tc>
          <w:tcPr>
            <w:tcW w:w="3118" w:type="dxa"/>
            <w:gridSpan w:val="2"/>
          </w:tcPr>
          <w:p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DF3B272" wp14:editId="79119A3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>
        <w:trPr>
          <w:cantSplit/>
        </w:trPr>
        <w:tc>
          <w:tcPr>
            <w:tcW w:w="6771" w:type="dxa"/>
            <w:gridSpan w:val="2"/>
          </w:tcPr>
          <w:p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2"/>
          </w:tcPr>
          <w:p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 w:rsidTr="0052494C">
        <w:trPr>
          <w:gridAfter w:val="1"/>
          <w:wAfter w:w="142" w:type="dxa"/>
          <w:cantSplit/>
        </w:trPr>
        <w:tc>
          <w:tcPr>
            <w:tcW w:w="6062" w:type="dxa"/>
            <w:vMerge w:val="restart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  <w:gridSpan w:val="2"/>
          </w:tcPr>
          <w:p w:rsidR="0051782D" w:rsidRPr="00D872CB" w:rsidRDefault="00BD7223" w:rsidP="0052494C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tLeast"/>
              <w:ind w:left="-108" w:right="-109" w:firstLine="1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C30D90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52494C">
              <w:rPr>
                <w:rFonts w:ascii="Verdana" w:hAnsi="Verdana"/>
                <w:b/>
                <w:sz w:val="20"/>
              </w:rPr>
              <w:t>TEMP/1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:rsidTr="0052494C">
        <w:trPr>
          <w:gridAfter w:val="1"/>
          <w:wAfter w:w="142" w:type="dxa"/>
          <w:cantSplit/>
        </w:trPr>
        <w:tc>
          <w:tcPr>
            <w:tcW w:w="6062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  <w:gridSpan w:val="2"/>
          </w:tcPr>
          <w:p w:rsidR="0051782D" w:rsidRPr="00D872CB" w:rsidRDefault="0052494C" w:rsidP="0052494C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tLeast"/>
              <w:ind w:left="-108" w:right="-109" w:firstLine="1"/>
              <w:rPr>
                <w:rFonts w:ascii="Verdana" w:hAnsi="Verdana"/>
                <w:sz w:val="20"/>
                <w:lang w:eastAsia="ko-KR"/>
              </w:rPr>
            </w:pPr>
            <w:r>
              <w:rPr>
                <w:rFonts w:ascii="Verdana" w:hAnsi="Verdana"/>
                <w:b/>
                <w:sz w:val="20"/>
                <w:lang w:eastAsia="ko-KR"/>
              </w:rPr>
              <w:t>23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May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3104E5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</w:p>
        </w:tc>
      </w:tr>
      <w:tr w:rsidR="0051782D" w:rsidRPr="00D872CB" w:rsidTr="0052494C">
        <w:trPr>
          <w:gridAfter w:val="1"/>
          <w:wAfter w:w="142" w:type="dxa"/>
          <w:cantSplit/>
        </w:trPr>
        <w:tc>
          <w:tcPr>
            <w:tcW w:w="6062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  <w:gridSpan w:val="2"/>
          </w:tcPr>
          <w:p w:rsidR="0051782D" w:rsidRPr="00D872CB" w:rsidRDefault="00BD7223" w:rsidP="0052494C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 w:line="240" w:lineRule="atLeast"/>
              <w:ind w:left="-108" w:right="-109" w:firstLine="1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  <w:r w:rsidR="0052494C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bookmarkEnd w:id="2"/>
    </w:tbl>
    <w:p w:rsidR="00AB3B15" w:rsidRDefault="00AB3B15" w:rsidP="00AB3B15">
      <w:pPr>
        <w:jc w:val="center"/>
      </w:pPr>
    </w:p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45474" w:rsidTr="00B35BE4">
        <w:trPr>
          <w:cantSplit/>
        </w:trPr>
        <w:tc>
          <w:tcPr>
            <w:tcW w:w="9889" w:type="dxa"/>
          </w:tcPr>
          <w:p w:rsidR="00A45474" w:rsidRDefault="00A45474" w:rsidP="00A45474">
            <w:pPr>
              <w:pStyle w:val="Source"/>
              <w:rPr>
                <w:lang w:val="en-US" w:eastAsia="zh-CN"/>
              </w:rPr>
            </w:pPr>
            <w:bookmarkStart w:id="3" w:name="dsource" w:colFirst="0" w:colLast="0"/>
          </w:p>
          <w:p w:rsidR="00A45474" w:rsidRDefault="00A45474" w:rsidP="00A45474">
            <w:pPr>
              <w:pStyle w:val="Source"/>
              <w:rPr>
                <w:lang w:val="en-US" w:eastAsia="zh-CN"/>
              </w:rPr>
            </w:pPr>
          </w:p>
          <w:p w:rsidR="00A45474" w:rsidRDefault="00A45474" w:rsidP="00A45474">
            <w:pPr>
              <w:pStyle w:val="Source"/>
              <w:rPr>
                <w:lang w:val="en-US" w:eastAsia="zh-CN"/>
              </w:rPr>
            </w:pPr>
          </w:p>
          <w:p w:rsidR="00A45474" w:rsidRDefault="00A45474" w:rsidP="00A45474">
            <w:pPr>
              <w:pStyle w:val="Source"/>
            </w:pPr>
            <w:proofErr w:type="spellStart"/>
            <w:r w:rsidRPr="0089716F">
              <w:rPr>
                <w:lang w:val="en-US" w:eastAsia="zh-CN"/>
              </w:rPr>
              <w:t>Radiocommunication</w:t>
            </w:r>
            <w:proofErr w:type="spellEnd"/>
            <w:r w:rsidRPr="0089716F">
              <w:rPr>
                <w:lang w:val="en-US" w:eastAsia="zh-CN"/>
              </w:rPr>
              <w:t xml:space="preserve"> Advisory Group </w:t>
            </w:r>
          </w:p>
        </w:tc>
      </w:tr>
      <w:tr w:rsidR="00A45474" w:rsidTr="00B35BE4">
        <w:trPr>
          <w:cantSplit/>
        </w:trPr>
        <w:tc>
          <w:tcPr>
            <w:tcW w:w="9889" w:type="dxa"/>
          </w:tcPr>
          <w:p w:rsidR="00A45474" w:rsidRDefault="00A45474" w:rsidP="00A45474">
            <w:pPr>
              <w:pStyle w:val="Title1"/>
            </w:pPr>
            <w:bookmarkStart w:id="4" w:name="dtitle1" w:colFirst="0" w:colLast="0"/>
            <w:bookmarkEnd w:id="3"/>
            <w:r>
              <w:t xml:space="preserve">Draft report of the </w:t>
            </w:r>
            <w:r w:rsidRPr="0089716F">
              <w:rPr>
                <w:lang w:val="en-US" w:eastAsia="zh-CN"/>
              </w:rPr>
              <w:t xml:space="preserve"> Radiocommunication Advisory Group </w:t>
            </w:r>
            <w:r>
              <w:rPr>
                <w:lang w:val="en-US" w:eastAsia="zh-CN"/>
              </w:rPr>
              <w:br/>
            </w:r>
            <w:r>
              <w:t>on Itu</w:t>
            </w:r>
            <w:r>
              <w:noBreakHyphen/>
              <w:t>r strategic plan for the 2016-2019 period</w:t>
            </w:r>
          </w:p>
        </w:tc>
      </w:tr>
      <w:bookmarkEnd w:id="4"/>
    </w:tbl>
    <w:p w:rsidR="0052494C" w:rsidRDefault="0052494C" w:rsidP="00991EEE">
      <w:pPr>
        <w:rPr>
          <w:szCs w:val="24"/>
        </w:rPr>
      </w:pPr>
    </w:p>
    <w:p w:rsidR="0052494C" w:rsidRPr="00694368" w:rsidRDefault="0052494C" w:rsidP="002D5DC0">
      <w:pPr>
        <w:rPr>
          <w:b/>
          <w:szCs w:val="24"/>
        </w:rPr>
      </w:pPr>
      <w:r w:rsidRPr="00694368">
        <w:rPr>
          <w:b/>
          <w:szCs w:val="24"/>
        </w:rPr>
        <w:t>1</w:t>
      </w:r>
      <w:r w:rsidRPr="00694368">
        <w:rPr>
          <w:b/>
          <w:szCs w:val="24"/>
        </w:rPr>
        <w:tab/>
        <w:t>Introduction</w:t>
      </w:r>
    </w:p>
    <w:p w:rsidR="0052494C" w:rsidRDefault="0052494C" w:rsidP="00A45474">
      <w:pPr>
        <w:spacing w:after="120"/>
      </w:pPr>
      <w:r>
        <w:rPr>
          <w:lang w:val="en-US"/>
        </w:rPr>
        <w:t>At its 18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Meeting, in 2011, the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Advisory Group (RAG) established a Correspondence Group on ITU-R Strategic Plan. </w:t>
      </w:r>
      <w:r>
        <w:t>At its 19</w:t>
      </w:r>
      <w:r w:rsidRPr="00391B46">
        <w:rPr>
          <w:vertAlign w:val="superscript"/>
        </w:rPr>
        <w:t>th</w:t>
      </w:r>
      <w:r>
        <w:t xml:space="preserve"> Meeting, in 2012, the </w:t>
      </w:r>
      <w:r w:rsidRPr="005A5A1F">
        <w:t>RAG concluded that</w:t>
      </w:r>
      <w:r>
        <w:t xml:space="preserve"> </w:t>
      </w:r>
      <w:r w:rsidRPr="005A5A1F">
        <w:t>the work of the C</w:t>
      </w:r>
      <w:r>
        <w:t xml:space="preserve">orrespondence </w:t>
      </w:r>
      <w:r w:rsidRPr="005A5A1F">
        <w:t>G</w:t>
      </w:r>
      <w:r>
        <w:t>roup</w:t>
      </w:r>
      <w:r w:rsidRPr="005A5A1F">
        <w:t xml:space="preserve"> should </w:t>
      </w:r>
      <w:r>
        <w:t>continue</w:t>
      </w:r>
      <w:r w:rsidRPr="005A5A1F">
        <w:t xml:space="preserve">. </w:t>
      </w:r>
      <w:r>
        <w:t xml:space="preserve">The </w:t>
      </w:r>
      <w:r w:rsidRPr="005A5A1F">
        <w:t xml:space="preserve">RAG also </w:t>
      </w:r>
      <w:r>
        <w:t xml:space="preserve">held </w:t>
      </w:r>
      <w:r w:rsidRPr="005A5A1F">
        <w:t xml:space="preserve">a face-to-face meeting of RAG participants </w:t>
      </w:r>
      <w:r>
        <w:t xml:space="preserve">and meetings of a drafting group </w:t>
      </w:r>
      <w:r w:rsidRPr="005A5A1F">
        <w:t>in conjunction with the session of the RAG in 2013 to discuss issues related to the ITU</w:t>
      </w:r>
      <w:r w:rsidRPr="005A5A1F">
        <w:noBreakHyphen/>
        <w:t>R Strategic Plan</w:t>
      </w:r>
      <w:r>
        <w:t>, 2016-2019</w:t>
      </w:r>
      <w:r w:rsidRPr="005A5A1F">
        <w:t xml:space="preserve">. </w:t>
      </w:r>
    </w:p>
    <w:p w:rsidR="0052494C" w:rsidRDefault="0052494C" w:rsidP="00A45474">
      <w:pPr>
        <w:spacing w:after="120"/>
        <w:rPr>
          <w:szCs w:val="24"/>
        </w:rPr>
      </w:pPr>
      <w:r>
        <w:rPr>
          <w:bCs/>
        </w:rPr>
        <w:t xml:space="preserve">The RAG assumed that, in accordance with </w:t>
      </w:r>
      <w:r>
        <w:rPr>
          <w:szCs w:val="24"/>
        </w:rPr>
        <w:t>the ITU Convention (No. </w:t>
      </w:r>
      <w:r w:rsidRPr="006A3055">
        <w:rPr>
          <w:szCs w:val="24"/>
        </w:rPr>
        <w:t xml:space="preserve">62A), the 2013 </w:t>
      </w:r>
      <w:r>
        <w:rPr>
          <w:szCs w:val="24"/>
        </w:rPr>
        <w:t>s</w:t>
      </w:r>
      <w:r w:rsidRPr="006A3055">
        <w:rPr>
          <w:szCs w:val="24"/>
        </w:rPr>
        <w:t xml:space="preserve">ession of Council </w:t>
      </w:r>
      <w:r>
        <w:rPr>
          <w:szCs w:val="24"/>
        </w:rPr>
        <w:t xml:space="preserve">will </w:t>
      </w:r>
      <w:r w:rsidRPr="006A3055">
        <w:rPr>
          <w:szCs w:val="24"/>
        </w:rPr>
        <w:t>establish a Council Working Group (CWG) for the elaboration of the draft Strategic Plan</w:t>
      </w:r>
      <w:r>
        <w:rPr>
          <w:szCs w:val="24"/>
        </w:rPr>
        <w:t xml:space="preserve"> for the period</w:t>
      </w:r>
      <w:r w:rsidRPr="006A3055">
        <w:rPr>
          <w:szCs w:val="24"/>
        </w:rPr>
        <w:t xml:space="preserve"> 2016-2019. This CWG is to draw on input from Member States, Sector Members, and from the Sector advisory groups. A coordinated draft new strategic plan must be endorsed by Council 2014</w:t>
      </w:r>
      <w:r>
        <w:rPr>
          <w:szCs w:val="24"/>
        </w:rPr>
        <w:t xml:space="preserve">, and </w:t>
      </w:r>
      <w:r w:rsidRPr="006A3055">
        <w:rPr>
          <w:szCs w:val="24"/>
        </w:rPr>
        <w:t>be posted to the PP-14 website at least four months before P</w:t>
      </w:r>
      <w:r>
        <w:rPr>
          <w:szCs w:val="24"/>
        </w:rPr>
        <w:t>P-14 is convened.</w:t>
      </w:r>
    </w:p>
    <w:p w:rsidR="0052494C" w:rsidRDefault="0052494C" w:rsidP="00A45474">
      <w:pPr>
        <w:spacing w:after="120"/>
        <w:rPr>
          <w:bCs/>
        </w:rPr>
      </w:pPr>
      <w:r>
        <w:rPr>
          <w:bCs/>
        </w:rPr>
        <w:t>Based on this understanding and in view of the proposals and suggestions contained in Documents</w:t>
      </w:r>
      <w:r>
        <w:rPr>
          <w:lang w:val="en-US"/>
        </w:rPr>
        <w:t xml:space="preserve"> </w:t>
      </w:r>
      <w:r w:rsidRPr="00AE7D84">
        <w:rPr>
          <w:lang w:val="en-US"/>
        </w:rPr>
        <w:t>RAG13-1</w:t>
      </w:r>
      <w:r>
        <w:rPr>
          <w:lang w:val="en-US"/>
        </w:rPr>
        <w:t>/13, 15 and 17 that were received by the 20</w:t>
      </w:r>
      <w:r w:rsidRPr="00AE7D84">
        <w:rPr>
          <w:vertAlign w:val="superscript"/>
          <w:lang w:val="en-US"/>
        </w:rPr>
        <w:t>th</w:t>
      </w:r>
      <w:r>
        <w:rPr>
          <w:lang w:val="en-US"/>
        </w:rPr>
        <w:t xml:space="preserve"> Meeting of the RAG, t</w:t>
      </w:r>
      <w:r>
        <w:rPr>
          <w:bCs/>
        </w:rPr>
        <w:t>he RAG forwards its conclusions on this issue to the Council for its consideration.</w:t>
      </w:r>
    </w:p>
    <w:p w:rsidR="0052494C" w:rsidRDefault="0052494C" w:rsidP="00A45474">
      <w:pPr>
        <w:spacing w:after="120"/>
        <w:rPr>
          <w:bCs/>
        </w:rPr>
      </w:pPr>
      <w:r>
        <w:rPr>
          <w:bCs/>
        </w:rPr>
        <w:t xml:space="preserve">This document presents these conclusions according to the following general principles: </w:t>
      </w:r>
    </w:p>
    <w:p w:rsidR="0052494C" w:rsidRPr="00E82B61" w:rsidRDefault="0052494C" w:rsidP="00A45474">
      <w:pPr>
        <w:spacing w:after="120"/>
        <w:ind w:left="720" w:hanging="720"/>
        <w:rPr>
          <w:bCs/>
        </w:rPr>
      </w:pPr>
      <w:r>
        <w:rPr>
          <w:bCs/>
        </w:rPr>
        <w:t>–</w:t>
      </w:r>
      <w:r w:rsidRPr="00E82B61">
        <w:rPr>
          <w:bCs/>
        </w:rPr>
        <w:tab/>
      </w:r>
      <w:r w:rsidRPr="00C15319">
        <w:rPr>
          <w:b/>
          <w:bCs/>
        </w:rPr>
        <w:t>Scope of the ITU-R Strategic Plan</w:t>
      </w:r>
      <w:r>
        <w:rPr>
          <w:bCs/>
        </w:rPr>
        <w:t xml:space="preserve">: the Plan should be designed </w:t>
      </w:r>
      <w:r w:rsidRPr="00E82B61">
        <w:rPr>
          <w:bCs/>
        </w:rPr>
        <w:t xml:space="preserve">for the entire </w:t>
      </w:r>
      <w:proofErr w:type="spellStart"/>
      <w:r w:rsidRPr="00E82B61">
        <w:rPr>
          <w:bCs/>
        </w:rPr>
        <w:t>Radiocommunication</w:t>
      </w:r>
      <w:proofErr w:type="spellEnd"/>
      <w:r w:rsidRPr="00E82B61">
        <w:rPr>
          <w:bCs/>
        </w:rPr>
        <w:t xml:space="preserve"> Sector</w:t>
      </w:r>
      <w:r>
        <w:rPr>
          <w:bCs/>
        </w:rPr>
        <w:t xml:space="preserve"> and</w:t>
      </w:r>
      <w:r w:rsidRPr="00E82B61">
        <w:rPr>
          <w:bCs/>
        </w:rPr>
        <w:t xml:space="preserve"> the </w:t>
      </w:r>
      <w:r>
        <w:rPr>
          <w:bCs/>
        </w:rPr>
        <w:t xml:space="preserve">parts related to the </w:t>
      </w:r>
      <w:proofErr w:type="spellStart"/>
      <w:r w:rsidRPr="00E82B61">
        <w:rPr>
          <w:bCs/>
        </w:rPr>
        <w:t>Radiocommunication</w:t>
      </w:r>
      <w:proofErr w:type="spellEnd"/>
      <w:r w:rsidRPr="00E82B61">
        <w:rPr>
          <w:bCs/>
        </w:rPr>
        <w:t xml:space="preserve"> Bureau</w:t>
      </w:r>
      <w:r>
        <w:rPr>
          <w:bCs/>
        </w:rPr>
        <w:t xml:space="preserve"> (BR) should be clearly identified</w:t>
      </w:r>
      <w:r w:rsidRPr="00E82B61">
        <w:rPr>
          <w:bCs/>
        </w:rPr>
        <w:t>,</w:t>
      </w:r>
    </w:p>
    <w:p w:rsidR="0052494C" w:rsidRDefault="0052494C" w:rsidP="00A45474">
      <w:pPr>
        <w:spacing w:after="120"/>
        <w:ind w:left="720" w:hanging="720"/>
        <w:rPr>
          <w:bCs/>
        </w:rPr>
      </w:pPr>
      <w:r>
        <w:rPr>
          <w:bCs/>
        </w:rPr>
        <w:t>–</w:t>
      </w:r>
      <w:r w:rsidRPr="00E82B61">
        <w:rPr>
          <w:bCs/>
        </w:rPr>
        <w:tab/>
      </w:r>
      <w:r w:rsidRPr="00C15319">
        <w:rPr>
          <w:b/>
          <w:bCs/>
        </w:rPr>
        <w:t>Structure of the ITU-R Strategic Plan</w:t>
      </w:r>
      <w:r>
        <w:rPr>
          <w:bCs/>
        </w:rPr>
        <w:t xml:space="preserve">: the current Strategic Plan should be </w:t>
      </w:r>
      <w:r w:rsidRPr="00E82B61">
        <w:rPr>
          <w:bCs/>
        </w:rPr>
        <w:t>restructur</w:t>
      </w:r>
      <w:r>
        <w:rPr>
          <w:bCs/>
        </w:rPr>
        <w:t>ed</w:t>
      </w:r>
      <w:r w:rsidRPr="00E82B61">
        <w:rPr>
          <w:bCs/>
        </w:rPr>
        <w:t xml:space="preserve"> to </w:t>
      </w:r>
      <w:r>
        <w:rPr>
          <w:bCs/>
        </w:rPr>
        <w:t>simplify and articulate its different parts in a more logical manner</w:t>
      </w:r>
      <w:r w:rsidRPr="00E82B61">
        <w:rPr>
          <w:bCs/>
        </w:rPr>
        <w:t xml:space="preserve">, </w:t>
      </w:r>
    </w:p>
    <w:p w:rsidR="0052494C" w:rsidRPr="00630ACF" w:rsidRDefault="0052494C" w:rsidP="00A45474">
      <w:pPr>
        <w:spacing w:after="120"/>
        <w:ind w:left="720" w:hanging="720"/>
        <w:rPr>
          <w:szCs w:val="24"/>
        </w:rPr>
      </w:pPr>
      <w:r>
        <w:rPr>
          <w:bCs/>
        </w:rPr>
        <w:t>–</w:t>
      </w:r>
      <w:r w:rsidRPr="00E82B61">
        <w:rPr>
          <w:bCs/>
        </w:rPr>
        <w:tab/>
      </w:r>
      <w:r w:rsidRPr="00630ACF">
        <w:rPr>
          <w:b/>
          <w:bCs/>
        </w:rPr>
        <w:t>Description of the ITU-R Strategic Plan</w:t>
      </w:r>
      <w:r>
        <w:rPr>
          <w:bCs/>
        </w:rPr>
        <w:t xml:space="preserve">: </w:t>
      </w:r>
      <w:r>
        <w:rPr>
          <w:szCs w:val="24"/>
        </w:rPr>
        <w:t xml:space="preserve">the </w:t>
      </w:r>
      <w:r w:rsidRPr="006A3055">
        <w:rPr>
          <w:szCs w:val="24"/>
        </w:rPr>
        <w:t xml:space="preserve">description of the </w:t>
      </w:r>
      <w:r>
        <w:rPr>
          <w:szCs w:val="24"/>
        </w:rPr>
        <w:t>S</w:t>
      </w:r>
      <w:r w:rsidRPr="006A3055">
        <w:rPr>
          <w:szCs w:val="24"/>
        </w:rPr>
        <w:t xml:space="preserve">trategic </w:t>
      </w:r>
      <w:r>
        <w:rPr>
          <w:szCs w:val="24"/>
        </w:rPr>
        <w:t>P</w:t>
      </w:r>
      <w:r w:rsidRPr="006A3055">
        <w:rPr>
          <w:szCs w:val="24"/>
        </w:rPr>
        <w:t>lan could be improved to more coherently and consistently describe</w:t>
      </w:r>
      <w:r>
        <w:rPr>
          <w:szCs w:val="24"/>
        </w:rPr>
        <w:t>, but also more clearly distinguish,</w:t>
      </w:r>
      <w:r w:rsidRPr="006A3055">
        <w:rPr>
          <w:szCs w:val="24"/>
        </w:rPr>
        <w:t xml:space="preserve"> the strategic objectives, processes, activities and outputs.</w:t>
      </w:r>
      <w:r>
        <w:rPr>
          <w:szCs w:val="24"/>
        </w:rPr>
        <w:t xml:space="preserve"> </w:t>
      </w:r>
      <w:r w:rsidRPr="006A3055">
        <w:rPr>
          <w:szCs w:val="24"/>
        </w:rPr>
        <w:t xml:space="preserve">This would help </w:t>
      </w:r>
      <w:r>
        <w:rPr>
          <w:szCs w:val="24"/>
        </w:rPr>
        <w:t xml:space="preserve">ensure </w:t>
      </w:r>
      <w:r w:rsidRPr="006A3055">
        <w:rPr>
          <w:szCs w:val="24"/>
        </w:rPr>
        <w:t xml:space="preserve">that there </w:t>
      </w:r>
      <w:r w:rsidRPr="006A3055">
        <w:rPr>
          <w:szCs w:val="24"/>
        </w:rPr>
        <w:lastRenderedPageBreak/>
        <w:t>are appropriate linkages of the processes and activities of the BR to the strategic objectives of the ITU-R</w:t>
      </w:r>
      <w:r>
        <w:rPr>
          <w:szCs w:val="24"/>
        </w:rPr>
        <w:t xml:space="preserve">, </w:t>
      </w:r>
    </w:p>
    <w:p w:rsidR="0052494C" w:rsidRPr="003115C8" w:rsidRDefault="0052494C" w:rsidP="00A45474">
      <w:pPr>
        <w:spacing w:after="120"/>
        <w:ind w:left="720" w:hanging="720"/>
        <w:rPr>
          <w:bCs/>
        </w:rPr>
      </w:pPr>
      <w:r>
        <w:rPr>
          <w:bCs/>
        </w:rPr>
        <w:t>–</w:t>
      </w:r>
      <w:r w:rsidRPr="00E82B61">
        <w:rPr>
          <w:bCs/>
        </w:rPr>
        <w:tab/>
      </w:r>
      <w:r>
        <w:rPr>
          <w:b/>
          <w:bCs/>
        </w:rPr>
        <w:t>Terminology</w:t>
      </w:r>
      <w:r>
        <w:rPr>
          <w:bCs/>
        </w:rPr>
        <w:t xml:space="preserve">: the key concepts should be simplified, clarified and defined in the ITU-R Strategic Plan, especially to avoid using terms, which have similar meanings (e.g. objective and goal), and </w:t>
      </w:r>
    </w:p>
    <w:p w:rsidR="0052494C" w:rsidRDefault="0052494C" w:rsidP="00A45474">
      <w:pPr>
        <w:spacing w:after="120"/>
        <w:ind w:left="720" w:hanging="720"/>
        <w:rPr>
          <w:szCs w:val="24"/>
        </w:rPr>
      </w:pPr>
      <w:r>
        <w:rPr>
          <w:bCs/>
        </w:rPr>
        <w:t>–</w:t>
      </w:r>
      <w:r w:rsidRPr="00E82B61">
        <w:rPr>
          <w:bCs/>
        </w:rPr>
        <w:tab/>
      </w:r>
      <w:r>
        <w:rPr>
          <w:b/>
          <w:szCs w:val="24"/>
        </w:rPr>
        <w:t>H</w:t>
      </w:r>
      <w:r w:rsidRPr="00630ACF">
        <w:rPr>
          <w:b/>
          <w:szCs w:val="24"/>
        </w:rPr>
        <w:t>ighlight</w:t>
      </w:r>
      <w:r>
        <w:rPr>
          <w:b/>
          <w:szCs w:val="24"/>
        </w:rPr>
        <w:t>ing</w:t>
      </w:r>
      <w:r w:rsidRPr="00630ACF">
        <w:rPr>
          <w:b/>
          <w:szCs w:val="24"/>
        </w:rPr>
        <w:t xml:space="preserve"> ITU-R priorities</w:t>
      </w:r>
      <w:r>
        <w:rPr>
          <w:b/>
          <w:szCs w:val="24"/>
        </w:rPr>
        <w:t xml:space="preserve"> in </w:t>
      </w:r>
      <w:r w:rsidRPr="00630ACF">
        <w:rPr>
          <w:b/>
          <w:bCs/>
        </w:rPr>
        <w:t>the ITU-R Strategic Plan</w:t>
      </w:r>
      <w:r>
        <w:rPr>
          <w:szCs w:val="24"/>
        </w:rPr>
        <w:t>:</w:t>
      </w:r>
      <w:r w:rsidRPr="006A3055">
        <w:rPr>
          <w:szCs w:val="24"/>
        </w:rPr>
        <w:t xml:space="preserve"> </w:t>
      </w:r>
      <w:r>
        <w:rPr>
          <w:szCs w:val="24"/>
        </w:rPr>
        <w:t xml:space="preserve">the </w:t>
      </w:r>
      <w:r w:rsidRPr="006A3055">
        <w:rPr>
          <w:szCs w:val="24"/>
        </w:rPr>
        <w:t>W</w:t>
      </w:r>
      <w:r>
        <w:rPr>
          <w:szCs w:val="24"/>
        </w:rPr>
        <w:t xml:space="preserve">orld </w:t>
      </w:r>
      <w:proofErr w:type="spellStart"/>
      <w:r w:rsidRPr="006A3055">
        <w:rPr>
          <w:szCs w:val="24"/>
        </w:rPr>
        <w:t>R</w:t>
      </w:r>
      <w:r>
        <w:rPr>
          <w:szCs w:val="24"/>
        </w:rPr>
        <w:t>adiocommunication</w:t>
      </w:r>
      <w:proofErr w:type="spellEnd"/>
      <w:r>
        <w:rPr>
          <w:szCs w:val="24"/>
        </w:rPr>
        <w:t xml:space="preserve"> </w:t>
      </w:r>
      <w:r w:rsidRPr="006A3055">
        <w:rPr>
          <w:szCs w:val="24"/>
        </w:rPr>
        <w:t>C</w:t>
      </w:r>
      <w:r>
        <w:rPr>
          <w:szCs w:val="24"/>
        </w:rPr>
        <w:t>onferences (WRC)</w:t>
      </w:r>
      <w:r w:rsidRPr="006A3055">
        <w:rPr>
          <w:szCs w:val="24"/>
        </w:rPr>
        <w:t xml:space="preserve"> should be shown to be a central and priority activity of the ITU-R. As the strategic plan is linked to the financial and operational plans of the sector, the identification of WRC</w:t>
      </w:r>
      <w:r>
        <w:rPr>
          <w:szCs w:val="24"/>
        </w:rPr>
        <w:t>s</w:t>
      </w:r>
      <w:r w:rsidRPr="006A3055">
        <w:rPr>
          <w:szCs w:val="24"/>
        </w:rPr>
        <w:t xml:space="preserve"> as a strategic priority will help to ensure their functioning and timely convening.</w:t>
      </w:r>
    </w:p>
    <w:p w:rsidR="0052494C" w:rsidRDefault="0052494C" w:rsidP="00A45474">
      <w:pPr>
        <w:spacing w:after="120"/>
        <w:rPr>
          <w:szCs w:val="24"/>
        </w:rPr>
      </w:pPr>
      <w:r>
        <w:rPr>
          <w:szCs w:val="24"/>
        </w:rPr>
        <w:t xml:space="preserve">The RAG also noted that the Strategic Plan and the associated terminology should be consistent across the three Sectors and the General Secretariat. </w:t>
      </w:r>
    </w:p>
    <w:p w:rsidR="0052494C" w:rsidRDefault="0052494C" w:rsidP="00A45474">
      <w:pPr>
        <w:spacing w:after="120"/>
        <w:rPr>
          <w:szCs w:val="24"/>
        </w:rPr>
      </w:pPr>
      <w:r>
        <w:rPr>
          <w:szCs w:val="24"/>
        </w:rPr>
        <w:t>Finally, c</w:t>
      </w:r>
      <w:r w:rsidRPr="00894B66">
        <w:rPr>
          <w:szCs w:val="24"/>
        </w:rPr>
        <w:t xml:space="preserve">onsideration </w:t>
      </w:r>
      <w:r>
        <w:rPr>
          <w:szCs w:val="24"/>
        </w:rPr>
        <w:t>sh</w:t>
      </w:r>
      <w:r w:rsidRPr="00894B66">
        <w:rPr>
          <w:szCs w:val="24"/>
        </w:rPr>
        <w:t xml:space="preserve">ould </w:t>
      </w:r>
      <w:r>
        <w:rPr>
          <w:szCs w:val="24"/>
        </w:rPr>
        <w:t xml:space="preserve">also </w:t>
      </w:r>
      <w:r w:rsidRPr="00894B66">
        <w:rPr>
          <w:szCs w:val="24"/>
        </w:rPr>
        <w:t>be given to</w:t>
      </w:r>
      <w:r>
        <w:rPr>
          <w:szCs w:val="24"/>
        </w:rPr>
        <w:t xml:space="preserve"> streamlining the </w:t>
      </w:r>
      <w:r w:rsidRPr="00894B66">
        <w:rPr>
          <w:szCs w:val="24"/>
        </w:rPr>
        <w:t xml:space="preserve">presentation of the parts of the Strategic Plan applicable to the Sectors and the General Secretariat with a view to eliminating possible redundancies (e.g. the same information reflected in goals and objectives), as well as transferring some information to the </w:t>
      </w:r>
      <w:r>
        <w:rPr>
          <w:szCs w:val="24"/>
        </w:rPr>
        <w:t>O</w:t>
      </w:r>
      <w:r w:rsidRPr="00894B66">
        <w:rPr>
          <w:szCs w:val="24"/>
        </w:rPr>
        <w:t xml:space="preserve">perational </w:t>
      </w:r>
      <w:r>
        <w:rPr>
          <w:szCs w:val="24"/>
        </w:rPr>
        <w:t>P</w:t>
      </w:r>
      <w:r w:rsidRPr="00894B66">
        <w:rPr>
          <w:szCs w:val="24"/>
        </w:rPr>
        <w:t>lans.</w:t>
      </w:r>
    </w:p>
    <w:p w:rsidR="0052494C" w:rsidRDefault="0052494C" w:rsidP="002D5DC0">
      <w:pPr>
        <w:pStyle w:val="Heading1"/>
      </w:pPr>
      <w:r w:rsidRPr="001E4C9B">
        <w:t>2</w:t>
      </w:r>
      <w:r w:rsidRPr="001E4C9B">
        <w:tab/>
        <w:t>Scope of the ITU-R Strategic Plan: a Plan for the</w:t>
      </w:r>
      <w:r>
        <w:t xml:space="preserve"> entire</w:t>
      </w:r>
      <w:r w:rsidRPr="001E4C9B">
        <w:t xml:space="preserve"> </w:t>
      </w:r>
      <w:proofErr w:type="spellStart"/>
      <w:r w:rsidRPr="001E4C9B">
        <w:t>Radiocommunication</w:t>
      </w:r>
      <w:proofErr w:type="spellEnd"/>
      <w:r w:rsidRPr="001E4C9B">
        <w:t xml:space="preserve"> Sector</w:t>
      </w:r>
    </w:p>
    <w:p w:rsidR="0052494C" w:rsidRDefault="0052494C" w:rsidP="002D5DC0">
      <w:r>
        <w:t>As described in Article 12 of the Constitution (notably Nos. 86-88), t</w:t>
      </w:r>
      <w:r w:rsidRPr="00113374">
        <w:t xml:space="preserve">he </w:t>
      </w:r>
      <w:proofErr w:type="spellStart"/>
      <w:r w:rsidRPr="00113374">
        <w:t>Radiocommunication</w:t>
      </w:r>
      <w:proofErr w:type="spellEnd"/>
      <w:r w:rsidRPr="00113374">
        <w:t xml:space="preserve"> Sector</w:t>
      </w:r>
      <w:r>
        <w:t xml:space="preserve"> comprises the Member States (No. 87) and the Sector Members (No.88). Moreover, Nos.</w:t>
      </w:r>
      <w:r w:rsidR="002D5DC0">
        <w:t> </w:t>
      </w:r>
      <w:r>
        <w:t>80</w:t>
      </w:r>
      <w:r w:rsidR="002D5DC0">
        <w:noBreakHyphen/>
      </w:r>
      <w:r>
        <w:t xml:space="preserve">85 explain that the Sector works through world and regional </w:t>
      </w:r>
      <w:proofErr w:type="spellStart"/>
      <w:r>
        <w:t>radiocommunication</w:t>
      </w:r>
      <w:proofErr w:type="spellEnd"/>
      <w:r>
        <w:t xml:space="preserve"> conferences (WRC and RRC) (No. 81), the Radio Regulations Board (RRB) (No. 82), </w:t>
      </w:r>
      <w:proofErr w:type="spellStart"/>
      <w:r>
        <w:t>Radiocommunication</w:t>
      </w:r>
      <w:proofErr w:type="spellEnd"/>
      <w:r>
        <w:t xml:space="preserve"> assemblies (No. 83), </w:t>
      </w:r>
      <w:proofErr w:type="spellStart"/>
      <w:r>
        <w:t>Radiocommunication</w:t>
      </w:r>
      <w:proofErr w:type="spellEnd"/>
      <w:r>
        <w:t xml:space="preserve"> study groups (No. 84), the </w:t>
      </w:r>
      <w:proofErr w:type="spellStart"/>
      <w:r>
        <w:t>Radiocommunication</w:t>
      </w:r>
      <w:proofErr w:type="spellEnd"/>
      <w:r>
        <w:t xml:space="preserve"> Advisory Group (No. 84A) and the </w:t>
      </w:r>
      <w:proofErr w:type="spellStart"/>
      <w:r>
        <w:t>Radiocommunication</w:t>
      </w:r>
      <w:proofErr w:type="spellEnd"/>
      <w:r>
        <w:t xml:space="preserve"> Bureau, headed by the elected Director (No. 85). </w:t>
      </w:r>
    </w:p>
    <w:p w:rsidR="0052494C" w:rsidRDefault="0052494C" w:rsidP="004F4B53">
      <w:pPr>
        <w:rPr>
          <w:szCs w:val="24"/>
        </w:rPr>
      </w:pPr>
      <w:r w:rsidRPr="006A3055">
        <w:rPr>
          <w:szCs w:val="24"/>
        </w:rPr>
        <w:t xml:space="preserve">The draft </w:t>
      </w:r>
      <w:r>
        <w:rPr>
          <w:szCs w:val="24"/>
        </w:rPr>
        <w:t>S</w:t>
      </w:r>
      <w:r w:rsidRPr="006A3055">
        <w:rPr>
          <w:szCs w:val="24"/>
        </w:rPr>
        <w:t xml:space="preserve">trategic </w:t>
      </w:r>
      <w:r>
        <w:rPr>
          <w:szCs w:val="24"/>
        </w:rPr>
        <w:t>P</w:t>
      </w:r>
      <w:r w:rsidRPr="006A3055">
        <w:rPr>
          <w:szCs w:val="24"/>
        </w:rPr>
        <w:t>lan should therefore</w:t>
      </w:r>
      <w:r>
        <w:rPr>
          <w:szCs w:val="24"/>
        </w:rPr>
        <w:t xml:space="preserve"> clearly identify:</w:t>
      </w:r>
      <w:r w:rsidRPr="006A3055">
        <w:rPr>
          <w:szCs w:val="24"/>
        </w:rPr>
        <w:t xml:space="preserve"> </w:t>
      </w:r>
    </w:p>
    <w:p w:rsidR="0052494C" w:rsidRPr="00FD2E59" w:rsidRDefault="0052494C" w:rsidP="0052494C">
      <w:pPr>
        <w:pStyle w:val="ListParagraph"/>
        <w:numPr>
          <w:ilvl w:val="0"/>
          <w:numId w:val="7"/>
        </w:numPr>
        <w:jc w:val="left"/>
        <w:textAlignment w:val="baseline"/>
        <w:rPr>
          <w:szCs w:val="24"/>
        </w:rPr>
      </w:pPr>
      <w:r w:rsidRPr="00FD2E59">
        <w:rPr>
          <w:szCs w:val="24"/>
        </w:rPr>
        <w:t xml:space="preserve">the role, responsibilities and activities of the </w:t>
      </w:r>
      <w:proofErr w:type="spellStart"/>
      <w:r w:rsidRPr="00FD2E59">
        <w:rPr>
          <w:szCs w:val="24"/>
        </w:rPr>
        <w:t>Radiocommunication</w:t>
      </w:r>
      <w:proofErr w:type="spellEnd"/>
      <w:r w:rsidRPr="00FD2E59">
        <w:rPr>
          <w:szCs w:val="24"/>
        </w:rPr>
        <w:t xml:space="preserve"> Bureau and other ITU-R entities, which are </w:t>
      </w:r>
      <w:r>
        <w:t xml:space="preserve">designed to support the ITU-R membership, </w:t>
      </w:r>
      <w:r w:rsidRPr="00FD2E59">
        <w:rPr>
          <w:szCs w:val="24"/>
        </w:rPr>
        <w:t xml:space="preserve">and </w:t>
      </w:r>
    </w:p>
    <w:p w:rsidR="0052494C" w:rsidRDefault="0052494C" w:rsidP="002D5DC0">
      <w:pPr>
        <w:pStyle w:val="ListParagraph"/>
        <w:numPr>
          <w:ilvl w:val="0"/>
          <w:numId w:val="7"/>
        </w:numPr>
        <w:spacing w:after="360"/>
        <w:ind w:left="714" w:hanging="357"/>
        <w:jc w:val="left"/>
        <w:textAlignment w:val="baseline"/>
        <w:rPr>
          <w:szCs w:val="24"/>
        </w:rPr>
      </w:pPr>
      <w:r w:rsidRPr="00FD2E59">
        <w:rPr>
          <w:szCs w:val="24"/>
        </w:rPr>
        <w:t>the role, responsibilities and activities of Member States and Sector Members (including,</w:t>
      </w:r>
      <w:r>
        <w:t xml:space="preserve"> </w:t>
      </w:r>
      <w:r w:rsidRPr="00FD2E59">
        <w:rPr>
          <w:i/>
        </w:rPr>
        <w:t>inter alia</w:t>
      </w:r>
      <w:r>
        <w:t xml:space="preserve">, </w:t>
      </w:r>
      <w:r w:rsidRPr="00FD2E59">
        <w:rPr>
          <w:szCs w:val="24"/>
        </w:rPr>
        <w:t>Regional Telecommunications Organizations).</w:t>
      </w:r>
    </w:p>
    <w:p w:rsidR="0052494C" w:rsidRPr="00630ACF" w:rsidRDefault="0052494C" w:rsidP="0063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30ACF">
        <w:rPr>
          <w:b/>
          <w:bCs/>
        </w:rPr>
        <w:t>The RAG therefore proposes that the Draft Strategic Plan of the Union for the 2016-2019 period</w:t>
      </w:r>
      <w:r>
        <w:rPr>
          <w:b/>
          <w:bCs/>
        </w:rPr>
        <w:t xml:space="preserve"> </w:t>
      </w:r>
      <w:r w:rsidRPr="00630ACF">
        <w:rPr>
          <w:b/>
          <w:bCs/>
        </w:rPr>
        <w:t xml:space="preserve">should be prepared with a view to encompassing the functions of the entire </w:t>
      </w:r>
      <w:proofErr w:type="spellStart"/>
      <w:r w:rsidRPr="00630ACF">
        <w:rPr>
          <w:b/>
          <w:bCs/>
        </w:rPr>
        <w:t>Radiocommunication</w:t>
      </w:r>
      <w:proofErr w:type="spellEnd"/>
      <w:r w:rsidRPr="00630ACF">
        <w:rPr>
          <w:b/>
          <w:bCs/>
        </w:rPr>
        <w:t xml:space="preserve"> Sector</w:t>
      </w:r>
      <w:r>
        <w:rPr>
          <w:b/>
          <w:bCs/>
        </w:rPr>
        <w:t>.</w:t>
      </w:r>
      <w:r w:rsidRPr="00630ACF">
        <w:rPr>
          <w:b/>
          <w:bCs/>
        </w:rPr>
        <w:t xml:space="preserve"> </w:t>
      </w:r>
      <w:r>
        <w:rPr>
          <w:b/>
          <w:bCs/>
        </w:rPr>
        <w:t xml:space="preserve">In particular, </w:t>
      </w:r>
      <w:r w:rsidRPr="00630ACF">
        <w:rPr>
          <w:b/>
          <w:bCs/>
        </w:rPr>
        <w:t xml:space="preserve">the </w:t>
      </w:r>
      <w:r>
        <w:rPr>
          <w:b/>
          <w:bCs/>
        </w:rPr>
        <w:t xml:space="preserve">role and </w:t>
      </w:r>
      <w:r w:rsidRPr="00630ACF">
        <w:rPr>
          <w:b/>
          <w:bCs/>
        </w:rPr>
        <w:t xml:space="preserve">tasks of the </w:t>
      </w:r>
      <w:proofErr w:type="spellStart"/>
      <w:r w:rsidRPr="00630ACF">
        <w:rPr>
          <w:b/>
          <w:bCs/>
        </w:rPr>
        <w:t>Radiocommunication</w:t>
      </w:r>
      <w:proofErr w:type="spellEnd"/>
      <w:r w:rsidRPr="00630ACF">
        <w:rPr>
          <w:b/>
          <w:bCs/>
        </w:rPr>
        <w:t xml:space="preserve"> Bureau</w:t>
      </w:r>
      <w:r>
        <w:rPr>
          <w:b/>
          <w:bCs/>
        </w:rPr>
        <w:t xml:space="preserve"> should be clearly identified</w:t>
      </w:r>
      <w:r w:rsidRPr="00630ACF">
        <w:rPr>
          <w:b/>
          <w:bCs/>
        </w:rPr>
        <w:t xml:space="preserve">. </w:t>
      </w:r>
    </w:p>
    <w:p w:rsidR="0052494C" w:rsidRPr="00737BFE" w:rsidRDefault="0052494C" w:rsidP="002D5DC0">
      <w:pPr>
        <w:pStyle w:val="Heading1"/>
      </w:pPr>
      <w:r w:rsidRPr="00737BFE">
        <w:t>3</w:t>
      </w:r>
      <w:r w:rsidRPr="00737BFE">
        <w:tab/>
      </w:r>
      <w:r>
        <w:t>Res</w:t>
      </w:r>
      <w:r w:rsidRPr="00737BFE">
        <w:t>tructur</w:t>
      </w:r>
      <w:r>
        <w:t xml:space="preserve">ing the current </w:t>
      </w:r>
      <w:r w:rsidRPr="00737BFE">
        <w:t xml:space="preserve">ITU-R Strategic Plan </w:t>
      </w:r>
    </w:p>
    <w:p w:rsidR="0052494C" w:rsidRDefault="0052494C" w:rsidP="004F4B53">
      <w:r>
        <w:t>Similarly to the Strategic Plans of the two other Sectors, t</w:t>
      </w:r>
      <w:r w:rsidRPr="00B4497C">
        <w:t>he curren</w:t>
      </w:r>
      <w:r>
        <w:t xml:space="preserve">t Strategic Plan of the </w:t>
      </w:r>
      <w:proofErr w:type="spellStart"/>
      <w:r>
        <w:t>Radiocommunication</w:t>
      </w:r>
      <w:proofErr w:type="spellEnd"/>
      <w:r>
        <w:t xml:space="preserve"> Sector, as contained in Section 4 of Resolution 71 (</w:t>
      </w:r>
      <w:r w:rsidRPr="0053530B">
        <w:t>Rev. Guadalajara, 2010</w:t>
      </w:r>
      <w:r>
        <w:t xml:space="preserve">), comprises five parts and two tables, as follows: </w:t>
      </w:r>
    </w:p>
    <w:p w:rsidR="0052494C" w:rsidRPr="00B4497C" w:rsidRDefault="0052494C" w:rsidP="004F4B53">
      <w:r>
        <w:tab/>
      </w:r>
      <w:r w:rsidRPr="00B4497C">
        <w:t>“4.1</w:t>
      </w:r>
      <w:r w:rsidRPr="00B4497C">
        <w:tab/>
        <w:t>Situational analysis</w:t>
      </w:r>
    </w:p>
    <w:p w:rsidR="0052494C" w:rsidRPr="00B4497C" w:rsidRDefault="0052494C" w:rsidP="004F4B53">
      <w:r>
        <w:tab/>
      </w:r>
      <w:r w:rsidRPr="00B4497C">
        <w:t>4.2</w:t>
      </w:r>
      <w:r w:rsidRPr="00B4497C">
        <w:tab/>
        <w:t>Vision</w:t>
      </w:r>
    </w:p>
    <w:p w:rsidR="0052494C" w:rsidRPr="00B4497C" w:rsidRDefault="0052494C" w:rsidP="004F4B53">
      <w:r>
        <w:tab/>
      </w:r>
      <w:r w:rsidRPr="00B4497C">
        <w:t>4.3</w:t>
      </w:r>
      <w:r w:rsidRPr="00B4497C">
        <w:tab/>
        <w:t xml:space="preserve">Mission </w:t>
      </w:r>
    </w:p>
    <w:p w:rsidR="0052494C" w:rsidRPr="00B4497C" w:rsidRDefault="0052494C" w:rsidP="004F4B53">
      <w:r>
        <w:tab/>
      </w:r>
      <w:r w:rsidRPr="00B4497C">
        <w:t>4.4</w:t>
      </w:r>
      <w:r w:rsidRPr="00B4497C">
        <w:tab/>
        <w:t xml:space="preserve">Strategic goal </w:t>
      </w:r>
    </w:p>
    <w:p w:rsidR="0052494C" w:rsidRPr="00B4497C" w:rsidRDefault="0052494C" w:rsidP="002D5DC0">
      <w:pPr>
        <w:spacing w:after="120"/>
      </w:pPr>
      <w:r>
        <w:lastRenderedPageBreak/>
        <w:tab/>
      </w:r>
      <w:r w:rsidRPr="00B4497C">
        <w:t>4.5</w:t>
      </w:r>
      <w:r w:rsidRPr="00B4497C">
        <w:tab/>
        <w:t>Objectives</w:t>
      </w:r>
    </w:p>
    <w:p w:rsidR="0052494C" w:rsidRPr="00B4497C" w:rsidRDefault="0052494C" w:rsidP="002D5DC0">
      <w:pPr>
        <w:spacing w:after="120"/>
      </w:pPr>
      <w:r>
        <w:tab/>
      </w:r>
      <w:r w:rsidRPr="00B4497C">
        <w:t>Table 4.1 – ITU-R Outputs and Objectives</w:t>
      </w:r>
    </w:p>
    <w:p w:rsidR="0052494C" w:rsidRPr="00B4497C" w:rsidRDefault="0052494C" w:rsidP="002D5DC0">
      <w:pPr>
        <w:spacing w:after="120"/>
      </w:pPr>
      <w:r>
        <w:tab/>
      </w:r>
      <w:r w:rsidRPr="00B4497C">
        <w:t>Table 4.2 – Objectives, outputs, expected results and key performance indicators of ITU-R”</w:t>
      </w:r>
    </w:p>
    <w:p w:rsidR="0052494C" w:rsidRDefault="0052494C" w:rsidP="002D5DC0">
      <w:pPr>
        <w:spacing w:after="120"/>
      </w:pPr>
      <w:r>
        <w:t xml:space="preserve">Part “4.1 Situational analysis” is the necessary introduction to a definition of a strategy for the </w:t>
      </w:r>
      <w:proofErr w:type="spellStart"/>
      <w:r>
        <w:t>Radiocommunication</w:t>
      </w:r>
      <w:proofErr w:type="spellEnd"/>
      <w:r>
        <w:t xml:space="preserve"> Sector. However, Part 4.2 seems to be a summary of the various elements forming Part “4.1 Situational analysis”. </w:t>
      </w:r>
    </w:p>
    <w:p w:rsidR="0052494C" w:rsidRDefault="0052494C" w:rsidP="00B8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19BE">
        <w:rPr>
          <w:b/>
        </w:rPr>
        <w:t>The RAG therefore proposes that</w:t>
      </w:r>
      <w:r>
        <w:t xml:space="preserve"> </w:t>
      </w:r>
      <w:r w:rsidRPr="008B799F">
        <w:rPr>
          <w:b/>
        </w:rPr>
        <w:t>Part 4.2 should be merged with Part 4.1 to become the summary and conclusion of the situational analysis.</w:t>
      </w:r>
    </w:p>
    <w:p w:rsidR="0052494C" w:rsidRDefault="0052494C" w:rsidP="002D5DC0">
      <w:pPr>
        <w:spacing w:after="120"/>
      </w:pPr>
      <w:r>
        <w:t xml:space="preserve">Part “4.3 Mission” appears to be a rewording of No. 78 of Article 12 of the Constitution, which defines the functions of the </w:t>
      </w:r>
      <w:proofErr w:type="spellStart"/>
      <w:r>
        <w:t>Radiocommunication</w:t>
      </w:r>
      <w:proofErr w:type="spellEnd"/>
      <w:r>
        <w:t xml:space="preserve"> Sector. While it may be desirable to recall the provisions set forth by No. 78 of the Constitution in Resolution 71, it is suggested that a simple reference to this provision would be preferable to its rewording in order to avoid misalignment or mistakes. </w:t>
      </w:r>
    </w:p>
    <w:p w:rsidR="0052494C" w:rsidRDefault="0052494C" w:rsidP="00B8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19BE">
        <w:rPr>
          <w:b/>
        </w:rPr>
        <w:t>The RAG therefore proposes that</w:t>
      </w:r>
      <w:r w:rsidRPr="008B799F">
        <w:rPr>
          <w:b/>
        </w:rPr>
        <w:t xml:space="preserve"> Part “4.3 Mission” could be replaced by a reference to No. 78 of the Constitution at the beginning of Part 4.4</w:t>
      </w:r>
      <w:r>
        <w:t>.</w:t>
      </w:r>
    </w:p>
    <w:p w:rsidR="0052494C" w:rsidRDefault="0052494C" w:rsidP="00267D60">
      <w:r>
        <w:t>Part “4.4 Strategic goal” is the core of the ITU-R Strategic Plan since it defines the three main goals of the Sector. Part “4.5 Objectives” provides details on the various activities carried out by the ITU</w:t>
      </w:r>
      <w:r w:rsidR="00267D60">
        <w:noBreakHyphen/>
      </w:r>
      <w:r>
        <w:t xml:space="preserve">R to meet the strategic goals contained in Part 4.4. In order to avoid ambiguity between a “Strategic goal” and “Objectives” designed to meet it, the terminology of these two Parts should be clarified. </w:t>
      </w:r>
    </w:p>
    <w:p w:rsidR="0052494C" w:rsidRDefault="0052494C" w:rsidP="008A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19BE">
        <w:rPr>
          <w:b/>
        </w:rPr>
        <w:t>The RAG therefore proposes that</w:t>
      </w:r>
      <w:r w:rsidRPr="008B799F">
        <w:rPr>
          <w:b/>
        </w:rPr>
        <w:t xml:space="preserve"> </w:t>
      </w:r>
      <w:r>
        <w:rPr>
          <w:b/>
        </w:rPr>
        <w:t>Part “</w:t>
      </w:r>
      <w:r w:rsidRPr="008A69E9">
        <w:rPr>
          <w:b/>
        </w:rPr>
        <w:t>4.4 Strategic goal</w:t>
      </w:r>
      <w:r w:rsidRPr="008B799F">
        <w:rPr>
          <w:b/>
        </w:rPr>
        <w:t xml:space="preserve">” could be </w:t>
      </w:r>
      <w:r w:rsidRPr="008A69E9">
        <w:rPr>
          <w:b/>
        </w:rPr>
        <w:t xml:space="preserve">renamed “Strategic </w:t>
      </w:r>
      <w:r>
        <w:rPr>
          <w:b/>
        </w:rPr>
        <w:t>objectives</w:t>
      </w:r>
      <w:r w:rsidRPr="008A69E9">
        <w:rPr>
          <w:b/>
        </w:rPr>
        <w:t>”</w:t>
      </w:r>
      <w:r>
        <w:rPr>
          <w:b/>
        </w:rPr>
        <w:t xml:space="preserve"> and Part “4.5 Objectives” renamed “ITU-R Processes”. </w:t>
      </w:r>
    </w:p>
    <w:p w:rsidR="0052494C" w:rsidRDefault="0052494C" w:rsidP="004F4B53">
      <w:r w:rsidRPr="00FD2E59">
        <w:t>Note:</w:t>
      </w:r>
      <w:r>
        <w:rPr>
          <w:b/>
        </w:rPr>
        <w:t xml:space="preserve"> </w:t>
      </w:r>
      <w:r w:rsidRPr="006B305B">
        <w:t xml:space="preserve">There may be a need to </w:t>
      </w:r>
      <w:r>
        <w:t xml:space="preserve">review, and possibly </w:t>
      </w:r>
      <w:r w:rsidRPr="006B305B">
        <w:t>amend</w:t>
      </w:r>
      <w:r>
        <w:t>,</w:t>
      </w:r>
      <w:r w:rsidRPr="006B305B">
        <w:t xml:space="preserve"> these objectives once a satisfactory description of the activities of the ITU-R has been </w:t>
      </w:r>
      <w:r>
        <w:t>agreed</w:t>
      </w:r>
      <w:r w:rsidRPr="006B305B">
        <w:t>.</w:t>
      </w:r>
    </w:p>
    <w:p w:rsidR="0052494C" w:rsidRPr="00737BFE" w:rsidRDefault="0052494C" w:rsidP="002D5DC0">
      <w:pPr>
        <w:pStyle w:val="Heading1"/>
      </w:pPr>
      <w:r>
        <w:t>4</w:t>
      </w:r>
      <w:r w:rsidRPr="00291EE0">
        <w:tab/>
      </w:r>
      <w:r>
        <w:t>Description of the ITU-R Strategic Plan</w:t>
      </w:r>
      <w:r w:rsidRPr="00737BFE">
        <w:t xml:space="preserve"> </w:t>
      </w:r>
    </w:p>
    <w:p w:rsidR="0052494C" w:rsidRDefault="0052494C" w:rsidP="002D5D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hAnsiTheme="majorBidi" w:cstheme="majorBidi"/>
          <w:bCs/>
        </w:rPr>
        <w:t xml:space="preserve">Part </w:t>
      </w:r>
      <w:r w:rsidRPr="009D3D9D">
        <w:rPr>
          <w:rFonts w:asciiTheme="majorBidi" w:hAnsiTheme="majorBidi" w:cstheme="majorBidi"/>
          <w:bCs/>
        </w:rPr>
        <w:t>4.5 of Annex 1 to Resolution 71 (Rev. Guadalajara, 2010) groups the activities of the ITU-R in five processes</w:t>
      </w:r>
      <w:r>
        <w:rPr>
          <w:rFonts w:asciiTheme="majorBidi" w:hAnsiTheme="majorBidi" w:cstheme="majorBidi"/>
          <w:bCs/>
        </w:rPr>
        <w:t xml:space="preserve"> (called “Objectives” in the current version of Resolution 71)</w:t>
      </w:r>
      <w:r w:rsidRPr="009D3D9D">
        <w:rPr>
          <w:rFonts w:asciiTheme="majorBidi" w:hAnsiTheme="majorBidi" w:cstheme="majorBidi"/>
          <w:bCs/>
        </w:rPr>
        <w:t xml:space="preserve">, which are aimed at achieving </w:t>
      </w:r>
      <w:r>
        <w:rPr>
          <w:rFonts w:asciiTheme="majorBidi" w:hAnsiTheme="majorBidi" w:cstheme="majorBidi"/>
          <w:bCs/>
        </w:rPr>
        <w:t>the strategic goal</w:t>
      </w:r>
      <w:r w:rsidRPr="009D3D9D">
        <w:rPr>
          <w:rFonts w:asciiTheme="majorBidi" w:hAnsiTheme="majorBidi" w:cstheme="majorBidi"/>
          <w:bCs/>
        </w:rPr>
        <w:t>:</w:t>
      </w:r>
      <w:r>
        <w:rPr>
          <w:rFonts w:asciiTheme="majorBidi" w:hAnsiTheme="majorBidi" w:cstheme="majorBidi"/>
          <w:bCs/>
        </w:rPr>
        <w:t xml:space="preserve">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Coordinating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Processing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Producing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Informing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and A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ssisting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. </w:t>
      </w:r>
    </w:p>
    <w:p w:rsidR="0052494C" w:rsidRPr="009D3D9D" w:rsidRDefault="0052494C" w:rsidP="00267D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 w:rsidRPr="009D3D9D">
        <w:rPr>
          <w:rFonts w:asciiTheme="majorBidi" w:eastAsia="SimSun" w:hAnsiTheme="majorBidi" w:cstheme="majorBidi"/>
          <w:szCs w:val="24"/>
          <w:lang w:val="en-US" w:eastAsia="zh-CN"/>
        </w:rPr>
        <w:t xml:space="preserve">There are several difficulties with </w:t>
      </w:r>
      <w:r>
        <w:rPr>
          <w:rFonts w:asciiTheme="majorBidi" w:eastAsia="SimSun" w:hAnsiTheme="majorBidi" w:cstheme="majorBidi"/>
          <w:szCs w:val="24"/>
          <w:lang w:val="en-US" w:eastAsia="zh-CN"/>
        </w:rPr>
        <w:t>the description of these five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eastAsia="SimSun" w:hAnsiTheme="majorBidi" w:cstheme="majorBidi"/>
          <w:szCs w:val="24"/>
          <w:lang w:val="en-US" w:eastAsia="zh-CN"/>
        </w:rPr>
        <w:t>“O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bjectives</w:t>
      </w:r>
      <w:r>
        <w:rPr>
          <w:rFonts w:asciiTheme="majorBidi" w:eastAsia="SimSun" w:hAnsiTheme="majorBidi" w:cstheme="majorBidi"/>
          <w:szCs w:val="24"/>
          <w:lang w:val="en-US" w:eastAsia="zh-CN"/>
        </w:rPr>
        <w:t>”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. In particular, in Table</w:t>
      </w:r>
      <w:r w:rsidR="00267D60">
        <w:rPr>
          <w:rFonts w:asciiTheme="majorBidi" w:eastAsia="SimSun" w:hAnsiTheme="majorBidi" w:cstheme="majorBidi"/>
          <w:szCs w:val="24"/>
          <w:lang w:val="en-US" w:eastAsia="zh-CN"/>
        </w:rPr>
        <w:t> 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 xml:space="preserve">4.2, the description of expected results and key indicators shows, for every process, what relates to the BR and not the ITU-R.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Furthermore, activities, outputs and expected results are not clearly distinguished. </w:t>
      </w:r>
    </w:p>
    <w:p w:rsidR="0052494C" w:rsidRDefault="0052494C" w:rsidP="002D5D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A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 xml:space="preserve">possible way to resolve these difficulties and to be more consistent with the terminology used in todays’ management concepts would be to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describe ITU-R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processes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as follow</w:t>
      </w:r>
      <w:r>
        <w:rPr>
          <w:rFonts w:asciiTheme="majorBidi" w:eastAsia="SimSun" w:hAnsiTheme="majorBidi" w:cstheme="majorBidi"/>
          <w:szCs w:val="24"/>
          <w:lang w:val="en-US" w:eastAsia="zh-CN"/>
        </w:rPr>
        <w:t>s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:</w:t>
      </w:r>
    </w:p>
    <w:p w:rsidR="0052494C" w:rsidRPr="00AA1CAA" w:rsidRDefault="0052494C" w:rsidP="002D5D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ajorBidi" w:eastAsia="SimSun" w:hAnsiTheme="majorBidi" w:cstheme="majorBidi"/>
          <w:b/>
          <w:szCs w:val="24"/>
          <w:lang w:eastAsia="zh-CN"/>
        </w:rPr>
      </w:pP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Proposed Process 1 (current Objective 1):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To e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stablish and update international regulations on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the use of the radio-frequency spectrum and satellite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orbits</w:t>
      </w:r>
    </w:p>
    <w:p w:rsidR="0052494C" w:rsidRPr="00AA1CAA" w:rsidRDefault="0052494C" w:rsidP="00CC1737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Input</w:t>
      </w:r>
      <w:r>
        <w:rPr>
          <w:rFonts w:asciiTheme="majorBidi" w:eastAsia="SimSun" w:hAnsiTheme="majorBidi" w:cstheme="majorBidi"/>
          <w:szCs w:val="24"/>
          <w:lang w:val="en-US" w:eastAsia="zh-CN"/>
        </w:rPr>
        <w:t>s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are: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proposals from administrations,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report from the Conference Preparatory Meeting (CPM),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reports from the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BR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Director</w:t>
      </w:r>
      <w:r>
        <w:rPr>
          <w:rFonts w:asciiTheme="majorBidi" w:eastAsia="SimSun" w:hAnsiTheme="majorBidi" w:cstheme="majorBidi"/>
          <w:szCs w:val="24"/>
          <w:lang w:val="en-US" w:eastAsia="zh-CN"/>
        </w:rPr>
        <w:t>, ITU-R Recommendations.</w:t>
      </w:r>
    </w:p>
    <w:p w:rsidR="0052494C" w:rsidRPr="00FD2E59" w:rsidRDefault="0052494C" w:rsidP="00CC1737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FD2E59">
        <w:rPr>
          <w:rFonts w:asciiTheme="majorBidi" w:eastAsia="SimSun" w:hAnsiTheme="majorBidi" w:cstheme="majorBidi"/>
          <w:szCs w:val="24"/>
          <w:lang w:val="en-US" w:eastAsia="zh-CN"/>
        </w:rPr>
        <w:t xml:space="preserve">Activities are: preparatory activities by administrations and regional groups, WRC and RRC discussions, RRB activities relating to Rules of Procedure. </w:t>
      </w:r>
    </w:p>
    <w:p w:rsidR="0052494C" w:rsidRPr="00FD2E59" w:rsidRDefault="0052494C" w:rsidP="00CC1737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FD2E59">
        <w:rPr>
          <w:rFonts w:asciiTheme="majorBidi" w:eastAsia="SimSun" w:hAnsiTheme="majorBidi" w:cstheme="majorBidi"/>
          <w:szCs w:val="24"/>
          <w:lang w:val="en-US" w:eastAsia="zh-CN"/>
        </w:rPr>
        <w:t>The BR activities relating to this process pertain to the Support process (see below).</w:t>
      </w:r>
    </w:p>
    <w:p w:rsidR="0052494C" w:rsidRPr="00AA1CAA" w:rsidRDefault="0052494C" w:rsidP="00CC1737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lastRenderedPageBreak/>
        <w:t>Output</w:t>
      </w:r>
      <w:r>
        <w:rPr>
          <w:rFonts w:asciiTheme="majorBidi" w:eastAsia="SimSun" w:hAnsiTheme="majorBidi" w:cstheme="majorBidi"/>
          <w:szCs w:val="24"/>
          <w:lang w:val="en-US" w:eastAsia="zh-CN"/>
        </w:rPr>
        <w:t>s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of this process </w:t>
      </w:r>
      <w:r>
        <w:rPr>
          <w:rFonts w:asciiTheme="majorBidi" w:eastAsia="SimSun" w:hAnsiTheme="majorBidi" w:cstheme="majorBidi"/>
          <w:szCs w:val="24"/>
          <w:lang w:val="en-US" w:eastAsia="zh-CN"/>
        </w:rPr>
        <w:t>are: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the Final Acts of WRC and RRC, updated Radio Regulations, Rules of </w:t>
      </w:r>
      <w:r>
        <w:rPr>
          <w:rFonts w:asciiTheme="majorBidi" w:eastAsia="SimSun" w:hAnsiTheme="majorBidi" w:cstheme="majorBidi"/>
          <w:szCs w:val="24"/>
          <w:lang w:val="en-US" w:eastAsia="zh-CN"/>
        </w:rPr>
        <w:t>P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rocedure </w:t>
      </w:r>
      <w:r w:rsidRPr="00FD2E59">
        <w:rPr>
          <w:rFonts w:asciiTheme="majorBidi" w:eastAsia="SimSun" w:hAnsiTheme="majorBidi" w:cstheme="majorBidi"/>
          <w:szCs w:val="24"/>
          <w:lang w:val="en-US" w:eastAsia="zh-CN"/>
        </w:rPr>
        <w:t>approved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by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the RRB</w:t>
      </w:r>
      <w:r>
        <w:rPr>
          <w:rFonts w:asciiTheme="majorBidi" w:eastAsia="SimSun" w:hAnsiTheme="majorBidi" w:cstheme="majorBidi"/>
          <w:szCs w:val="24"/>
          <w:lang w:val="en-US" w:eastAsia="zh-CN"/>
        </w:rPr>
        <w:t>.</w:t>
      </w:r>
    </w:p>
    <w:p w:rsidR="0052494C" w:rsidRPr="009D3D9D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Proposed Process 2 (current Objective 2):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To</w:t>
      </w:r>
      <w:r w:rsidRPr="003D5437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>implement and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a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pply international regulations on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the use of the radio-frequency spectrum and satellite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orbits</w:t>
      </w:r>
    </w:p>
    <w:p w:rsidR="0052494C" w:rsidRPr="00AA1CAA" w:rsidRDefault="0052494C" w:rsidP="00CC173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Inputs are the notices from administrations on intended use of spectrum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and satellite orbits.</w:t>
      </w:r>
    </w:p>
    <w:p w:rsidR="0052494C" w:rsidRDefault="0052494C" w:rsidP="00CC173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76" w:lineRule="auto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Activities are: </w:t>
      </w:r>
    </w:p>
    <w:p w:rsidR="0052494C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76" w:lineRule="auto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>the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actions taken by the administrations and operators in coordinating frequencies</w:t>
      </w:r>
      <w:r>
        <w:rPr>
          <w:rFonts w:asciiTheme="majorBidi" w:eastAsia="SimSun" w:hAnsiTheme="majorBidi" w:cstheme="majorBidi"/>
          <w:szCs w:val="24"/>
          <w:lang w:val="en-US" w:eastAsia="zh-CN"/>
        </w:rPr>
        <w:t>,</w:t>
      </w:r>
    </w:p>
    <w:p w:rsidR="0052494C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76" w:lineRule="auto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exchanging information with the BR, </w:t>
      </w:r>
    </w:p>
    <w:p w:rsidR="0052494C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76" w:lineRule="auto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FD2E59">
        <w:rPr>
          <w:rFonts w:asciiTheme="majorBidi" w:eastAsia="SimSun" w:hAnsiTheme="majorBidi" w:cstheme="majorBidi"/>
          <w:szCs w:val="24"/>
          <w:lang w:val="en-US" w:eastAsia="zh-CN"/>
        </w:rPr>
        <w:t>BR activities described in the Radio Regulations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Regional Agreements </w:t>
      </w:r>
      <w:r w:rsidRPr="00FD2E59">
        <w:rPr>
          <w:rFonts w:asciiTheme="majorBidi" w:eastAsia="SimSun" w:hAnsiTheme="majorBidi" w:cstheme="majorBidi"/>
          <w:szCs w:val="24"/>
          <w:lang w:val="en-US" w:eastAsia="zh-CN"/>
        </w:rPr>
        <w:t>and the Rules of Procedure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</w:t>
      </w:r>
      <w:r w:rsidRPr="00FD2E59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</w:p>
    <w:p w:rsidR="0052494C" w:rsidRPr="00AA1CAA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76" w:lineRule="auto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the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actions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of the R</w:t>
      </w:r>
      <w:r>
        <w:rPr>
          <w:rFonts w:asciiTheme="majorBidi" w:eastAsia="SimSun" w:hAnsiTheme="majorBidi" w:cstheme="majorBidi"/>
          <w:szCs w:val="24"/>
          <w:lang w:val="en-US" w:eastAsia="zh-CN"/>
        </w:rPr>
        <w:t>RB not related to the adoption of the Rules of Procedure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.</w:t>
      </w:r>
    </w:p>
    <w:p w:rsidR="0052494C" w:rsidRDefault="0052494C" w:rsidP="00CC173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Outputs are</w:t>
      </w:r>
      <w:r>
        <w:rPr>
          <w:rFonts w:asciiTheme="majorBidi" w:eastAsia="SimSun" w:hAnsiTheme="majorBidi" w:cstheme="majorBidi"/>
          <w:szCs w:val="24"/>
          <w:lang w:val="en-US" w:eastAsia="zh-CN"/>
        </w:rPr>
        <w:t>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</w:p>
    <w:p w:rsidR="0052494C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updated </w:t>
      </w:r>
      <w:r w:rsidRPr="00AD6388">
        <w:rPr>
          <w:rFonts w:asciiTheme="majorBidi" w:eastAsia="SimSun" w:hAnsiTheme="majorBidi" w:cstheme="majorBidi"/>
          <w:szCs w:val="24"/>
          <w:lang w:val="en-US" w:eastAsia="zh-CN"/>
        </w:rPr>
        <w:t>Master International Frequency Register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(</w:t>
      </w:r>
      <w:r w:rsidRPr="00AD6388">
        <w:rPr>
          <w:rFonts w:asciiTheme="majorBidi" w:eastAsia="SimSun" w:hAnsiTheme="majorBidi" w:cstheme="majorBidi"/>
          <w:szCs w:val="24"/>
          <w:lang w:val="en-US" w:eastAsia="zh-CN"/>
        </w:rPr>
        <w:t>MIFR</w:t>
      </w:r>
      <w:r>
        <w:rPr>
          <w:rFonts w:asciiTheme="majorBidi" w:eastAsia="SimSun" w:hAnsiTheme="majorBidi" w:cstheme="majorBidi"/>
          <w:szCs w:val="24"/>
          <w:lang w:val="en-US" w:eastAsia="zh-CN"/>
        </w:rPr>
        <w:t>)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and </w:t>
      </w:r>
      <w:r>
        <w:rPr>
          <w:rFonts w:asciiTheme="majorBidi" w:eastAsia="SimSun" w:hAnsiTheme="majorBidi" w:cstheme="majorBidi"/>
          <w:szCs w:val="24"/>
          <w:lang w:val="en-US" w:eastAsia="zh-CN"/>
        </w:rPr>
        <w:t>assignment and/or allotment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Plans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and Lists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by recording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,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suppression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or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modifications of assignments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and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allotments</w:t>
      </w:r>
    </w:p>
    <w:p w:rsidR="0052494C" w:rsidRPr="00AA1CAA" w:rsidRDefault="0052494C" w:rsidP="00CC1737">
      <w:pPr>
        <w:pStyle w:val="ListParagraph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associated publications (BR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IFIC, </w:t>
      </w:r>
      <w:r>
        <w:rPr>
          <w:rFonts w:asciiTheme="majorBidi" w:eastAsia="SimSun" w:hAnsiTheme="majorBidi" w:cstheme="majorBidi"/>
          <w:szCs w:val="24"/>
          <w:lang w:val="en-US" w:eastAsia="zh-CN"/>
        </w:rPr>
        <w:t>Lists of Maritime publications).</w:t>
      </w: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>Proposed Process 3 (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current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Objective 3):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To establish and update worldwide R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ecommendations,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R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eports and Handbooks for the most efficient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use of the radio-frequency spectrum and satellite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  <w:r w:rsidRPr="002A4B57">
        <w:rPr>
          <w:rFonts w:asciiTheme="majorBidi" w:eastAsia="SimSun" w:hAnsiTheme="majorBidi" w:cstheme="majorBidi"/>
          <w:b/>
          <w:szCs w:val="24"/>
          <w:lang w:val="en-US" w:eastAsia="zh-CN"/>
        </w:rPr>
        <w:t>orbits</w:t>
      </w:r>
      <w:r w:rsidRPr="00AA1CAA" w:rsidDel="006F7F4F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</w:p>
    <w:p w:rsidR="0052494C" w:rsidRPr="00AA1CAA" w:rsidRDefault="0052494C" w:rsidP="00CC173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Inputs are contributions by the ITU-R membership.</w:t>
      </w:r>
    </w:p>
    <w:p w:rsidR="0052494C" w:rsidRDefault="0052494C" w:rsidP="00CC173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Activities are</w:t>
      </w:r>
      <w:r>
        <w:rPr>
          <w:rFonts w:asciiTheme="majorBidi" w:eastAsia="SimSun" w:hAnsiTheme="majorBidi" w:cstheme="majorBidi"/>
          <w:szCs w:val="24"/>
          <w:lang w:val="en-US" w:eastAsia="zh-CN"/>
        </w:rPr>
        <w:t>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the technical, operational and regulatory studies within the ITU-R </w:t>
      </w:r>
      <w:r>
        <w:rPr>
          <w:rFonts w:asciiTheme="majorBidi" w:eastAsia="SimSun" w:hAnsiTheme="majorBidi" w:cstheme="majorBidi"/>
          <w:szCs w:val="24"/>
          <w:lang w:val="en-US" w:eastAsia="zh-CN"/>
        </w:rPr>
        <w:t>S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tudy </w:t>
      </w:r>
      <w:r>
        <w:rPr>
          <w:rFonts w:asciiTheme="majorBidi" w:eastAsia="SimSun" w:hAnsiTheme="majorBidi" w:cstheme="majorBidi"/>
          <w:szCs w:val="24"/>
          <w:lang w:val="en-US" w:eastAsia="zh-CN"/>
        </w:rPr>
        <w:t>G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roups, S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pecial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C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ommittee of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R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egulatory and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P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rocedural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M</w:t>
      </w:r>
      <w:r>
        <w:rPr>
          <w:rFonts w:asciiTheme="majorBidi" w:eastAsia="SimSun" w:hAnsiTheme="majorBidi" w:cstheme="majorBidi"/>
          <w:szCs w:val="24"/>
          <w:lang w:val="en-US" w:eastAsia="zh-CN"/>
        </w:rPr>
        <w:t>atters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and CPM</w:t>
      </w:r>
      <w:r>
        <w:rPr>
          <w:rFonts w:asciiTheme="majorBidi" w:eastAsia="SimSun" w:hAnsiTheme="majorBidi" w:cstheme="majorBidi"/>
          <w:szCs w:val="24"/>
          <w:lang w:val="en-US" w:eastAsia="zh-CN"/>
        </w:rPr>
        <w:t>.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</w:p>
    <w:p w:rsidR="0052494C" w:rsidRPr="00A65953" w:rsidRDefault="0052494C" w:rsidP="00CC173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65953">
        <w:rPr>
          <w:rFonts w:asciiTheme="majorBidi" w:eastAsia="SimSun" w:hAnsiTheme="majorBidi" w:cstheme="majorBidi"/>
          <w:szCs w:val="24"/>
          <w:lang w:val="en-US" w:eastAsia="zh-CN"/>
        </w:rPr>
        <w:t>The BR activities relating to this process pertain to the Support process (see below).</w:t>
      </w:r>
    </w:p>
    <w:p w:rsidR="0052494C" w:rsidRPr="00FD2E59" w:rsidRDefault="0052494C" w:rsidP="00CC173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FD2E59">
        <w:rPr>
          <w:rFonts w:asciiTheme="majorBidi" w:eastAsia="SimSun" w:hAnsiTheme="majorBidi" w:cstheme="majorBidi"/>
          <w:szCs w:val="24"/>
          <w:lang w:val="en-US" w:eastAsia="zh-CN"/>
        </w:rPr>
        <w:t xml:space="preserve">Outputs are: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ITU-R </w:t>
      </w:r>
      <w:r w:rsidRPr="00FD2E59">
        <w:rPr>
          <w:rFonts w:asciiTheme="majorBidi" w:eastAsia="SimSun" w:hAnsiTheme="majorBidi" w:cstheme="majorBidi"/>
          <w:szCs w:val="24"/>
          <w:lang w:val="en-US" w:eastAsia="zh-CN"/>
        </w:rPr>
        <w:t>Recommendations, Reports (including the CPM report) and Handbooks.</w:t>
      </w: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</w:p>
    <w:p w:rsidR="0052494C" w:rsidRPr="00AA1CAA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>Proposed Process 4 (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current 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Objectives 4 and 5):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To inform and assist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the ITU-R 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membership in </w:t>
      </w:r>
      <w:proofErr w:type="spellStart"/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>radiocommunication</w:t>
      </w:r>
      <w:proofErr w:type="spellEnd"/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matters</w:t>
      </w:r>
    </w:p>
    <w:p w:rsidR="0052494C" w:rsidRPr="00AA1CAA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The activities relating to informing administrations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may be diffic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ult to separate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f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rom those relating to assisting.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Therefore, these activities have been combined into one process.</w:t>
      </w:r>
    </w:p>
    <w:p w:rsidR="0052494C" w:rsidRDefault="0052494C" w:rsidP="00CC1737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Inputs are</w:t>
      </w:r>
      <w:r>
        <w:rPr>
          <w:rFonts w:asciiTheme="majorBidi" w:eastAsia="SimSun" w:hAnsiTheme="majorBidi" w:cstheme="majorBidi"/>
          <w:szCs w:val="24"/>
          <w:lang w:val="en-US" w:eastAsia="zh-CN"/>
        </w:rPr>
        <w:t>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requests for assistance from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ITU-R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membership, request for fellowship for participation in conferences and meetings, </w:t>
      </w:r>
    </w:p>
    <w:p w:rsidR="0052494C" w:rsidRPr="00AA1CAA" w:rsidRDefault="0052494C" w:rsidP="00CC1737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Activities are</w:t>
      </w:r>
      <w:r>
        <w:rPr>
          <w:rFonts w:asciiTheme="majorBidi" w:eastAsia="SimSun" w:hAnsiTheme="majorBidi" w:cstheme="majorBidi"/>
          <w:szCs w:val="24"/>
          <w:lang w:val="en-US" w:eastAsia="zh-CN"/>
        </w:rPr>
        <w:t>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dissemination of information related to frequency assignments,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preparation of material for presentations, tutorials, and all other associated activities by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ITU-R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membership and BR relating to the preparation and the holding of workshops, events, conferences and seminars. </w:t>
      </w:r>
    </w:p>
    <w:p w:rsidR="0052494C" w:rsidRDefault="0052494C" w:rsidP="00CC1737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14" w:hanging="357"/>
        <w:jc w:val="left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Output</w:t>
      </w:r>
      <w:r>
        <w:rPr>
          <w:rFonts w:asciiTheme="majorBidi" w:eastAsia="SimSun" w:hAnsiTheme="majorBidi" w:cstheme="majorBidi"/>
          <w:szCs w:val="24"/>
          <w:lang w:val="en-US" w:eastAsia="zh-CN"/>
        </w:rPr>
        <w:t>s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are</w:t>
      </w:r>
      <w:r>
        <w:rPr>
          <w:rFonts w:asciiTheme="majorBidi" w:eastAsia="SimSun" w:hAnsiTheme="majorBidi" w:cstheme="majorBidi"/>
          <w:szCs w:val="24"/>
          <w:lang w:val="en-US" w:eastAsia="zh-CN"/>
        </w:rPr>
        <w:t>: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eastAsia="SimSun" w:hAnsiTheme="majorBidi" w:cstheme="majorBidi"/>
          <w:szCs w:val="24"/>
          <w:lang w:val="en-US" w:eastAsia="zh-CN"/>
        </w:rPr>
        <w:t>dissemination of information,</w:t>
      </w:r>
      <w:r w:rsidRPr="001252CC"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including seminars, conferen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ces, workshops and other events,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rendering 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of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assistance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. </w:t>
      </w:r>
    </w:p>
    <w:p w:rsidR="0052494C" w:rsidRPr="00AA1CAA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</w:p>
    <w:p w:rsidR="0052494C" w:rsidRPr="00AA1CAA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Proposed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Piloting 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Process </w:t>
      </w:r>
    </w:p>
    <w:p w:rsidR="0052494C" w:rsidRPr="00AA1CAA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 w:rsidRPr="00AA1CAA">
        <w:rPr>
          <w:rFonts w:asciiTheme="majorBidi" w:eastAsia="SimSun" w:hAnsiTheme="majorBidi" w:cstheme="majorBidi"/>
          <w:szCs w:val="24"/>
          <w:lang w:val="en-US" w:eastAsia="zh-CN"/>
        </w:rPr>
        <w:t xml:space="preserve">The activities of the </w:t>
      </w:r>
      <w:proofErr w:type="spellStart"/>
      <w:r>
        <w:rPr>
          <w:rFonts w:asciiTheme="majorBidi" w:eastAsia="SimSun" w:hAnsiTheme="majorBidi" w:cstheme="majorBidi"/>
          <w:szCs w:val="24"/>
          <w:lang w:val="en-US" w:eastAsia="zh-CN"/>
        </w:rPr>
        <w:t>Radiocommunication</w:t>
      </w:r>
      <w:proofErr w:type="spellEnd"/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Assembly related to the adoption of ITU-R Resolutions, as well as those of the RAG 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are part of the process of piloting the IT</w:t>
      </w:r>
      <w:r>
        <w:rPr>
          <w:rFonts w:asciiTheme="majorBidi" w:eastAsia="SimSun" w:hAnsiTheme="majorBidi" w:cstheme="majorBidi"/>
          <w:szCs w:val="24"/>
          <w:lang w:val="en-US" w:eastAsia="zh-CN"/>
        </w:rPr>
        <w:t>U-R</w:t>
      </w:r>
      <w:r w:rsidRPr="00AA1CAA">
        <w:rPr>
          <w:rFonts w:asciiTheme="majorBidi" w:eastAsia="SimSun" w:hAnsiTheme="majorBidi" w:cstheme="majorBidi"/>
          <w:szCs w:val="24"/>
          <w:lang w:val="en-US" w:eastAsia="zh-CN"/>
        </w:rPr>
        <w:t>.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contextualSpacing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</w:p>
    <w:p w:rsidR="0052494C" w:rsidRDefault="0052494C" w:rsidP="00267D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bookmarkStart w:id="5" w:name="_GoBack"/>
      <w:bookmarkEnd w:id="5"/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Proposed </w:t>
      </w:r>
      <w:r>
        <w:rPr>
          <w:rFonts w:asciiTheme="majorBidi" w:eastAsia="SimSun" w:hAnsiTheme="majorBidi" w:cstheme="majorBidi"/>
          <w:b/>
          <w:szCs w:val="24"/>
          <w:lang w:val="en-US" w:eastAsia="zh-CN"/>
        </w:rPr>
        <w:t>Support</w:t>
      </w:r>
      <w:r w:rsidRPr="00AA1CAA">
        <w:rPr>
          <w:rFonts w:asciiTheme="majorBidi" w:eastAsia="SimSun" w:hAnsiTheme="majorBidi" w:cstheme="majorBidi"/>
          <w:b/>
          <w:szCs w:val="24"/>
          <w:lang w:val="en-US" w:eastAsia="zh-CN"/>
        </w:rPr>
        <w:t xml:space="preserve"> Process </w:t>
      </w: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Some of the BR activities are not related to the previous processes. They should be categorized in the supporting process. </w:t>
      </w:r>
    </w:p>
    <w:p w:rsidR="0052494C" w:rsidRDefault="0052494C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Figure 1 below </w:t>
      </w:r>
      <w:proofErr w:type="spellStart"/>
      <w:r w:rsidRPr="009D3D9D">
        <w:rPr>
          <w:rFonts w:asciiTheme="majorBidi" w:eastAsia="SimSun" w:hAnsiTheme="majorBidi" w:cstheme="majorBidi"/>
          <w:szCs w:val="24"/>
          <w:lang w:val="en-US" w:eastAsia="zh-CN"/>
        </w:rPr>
        <w:t>summari</w:t>
      </w:r>
      <w:r>
        <w:rPr>
          <w:rFonts w:asciiTheme="majorBidi" w:eastAsia="SimSun" w:hAnsiTheme="majorBidi" w:cstheme="majorBidi"/>
          <w:szCs w:val="24"/>
          <w:lang w:val="en-US" w:eastAsia="zh-CN"/>
        </w:rPr>
        <w:t>ses</w:t>
      </w:r>
      <w:proofErr w:type="spellEnd"/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the proposed description of ITU-R processes and associated activities.</w:t>
      </w:r>
      <w:r>
        <w:rPr>
          <w:rFonts w:asciiTheme="majorBidi" w:eastAsia="SimSun" w:hAnsiTheme="majorBidi" w:cstheme="majorBidi"/>
          <w:szCs w:val="24"/>
          <w:lang w:val="en-US" w:eastAsia="zh-CN"/>
        </w:rPr>
        <w:t xml:space="preserve"> Figures providing more details of each of the four possible processes are contained in pages 5 to 7 of </w:t>
      </w:r>
      <w:hyperlink r:id="rId13" w:history="1">
        <w:r w:rsidRPr="008A69E9">
          <w:rPr>
            <w:rStyle w:val="Hyperlink"/>
            <w:rFonts w:asciiTheme="majorBidi" w:eastAsia="SimSun" w:hAnsiTheme="majorBidi" w:cstheme="majorBidi"/>
            <w:szCs w:val="24"/>
            <w:lang w:val="en-US" w:eastAsia="zh-CN"/>
          </w:rPr>
          <w:t>Document RAG13-1/13</w:t>
        </w:r>
      </w:hyperlink>
      <w:r>
        <w:rPr>
          <w:rFonts w:asciiTheme="majorBidi" w:eastAsia="SimSun" w:hAnsiTheme="majorBidi" w:cstheme="majorBidi"/>
          <w:szCs w:val="24"/>
          <w:lang w:val="en-US" w:eastAsia="zh-CN"/>
        </w:rPr>
        <w:t xml:space="preserve">. </w:t>
      </w:r>
    </w:p>
    <w:p w:rsidR="002D5DC0" w:rsidRPr="00FD2E59" w:rsidRDefault="002D5DC0" w:rsidP="00FD2E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eastAsia="SimSun" w:hAnsiTheme="majorBidi" w:cstheme="majorBidi"/>
          <w:b/>
          <w:szCs w:val="24"/>
          <w:lang w:val="en-US" w:eastAsia="zh-CN"/>
        </w:rPr>
      </w:pPr>
    </w:p>
    <w:p w:rsidR="0052494C" w:rsidRPr="0068409F" w:rsidRDefault="0052494C" w:rsidP="006B305B">
      <w:pPr>
        <w:pStyle w:val="FigureNo"/>
      </w:pPr>
      <w:r w:rsidRPr="0068409F">
        <w:t>Figure 1</w:t>
      </w:r>
    </w:p>
    <w:p w:rsidR="0052494C" w:rsidRDefault="0052494C" w:rsidP="00FD2E59">
      <w:pPr>
        <w:pStyle w:val="Figuretitle"/>
        <w:rPr>
          <w:rFonts w:asciiTheme="majorBidi" w:eastAsia="SimSun" w:hAnsiTheme="majorBidi" w:cstheme="majorBidi"/>
          <w:szCs w:val="24"/>
          <w:lang w:val="en-US" w:eastAsia="zh-CN"/>
        </w:rPr>
      </w:pPr>
      <w:r>
        <w:rPr>
          <w:rFonts w:asciiTheme="majorBidi" w:eastAsia="SimSun" w:hAnsiTheme="majorBidi" w:cstheme="majorBidi"/>
          <w:szCs w:val="24"/>
          <w:lang w:val="en-US" w:eastAsia="zh-CN"/>
        </w:rPr>
        <w:t>Possible d</w:t>
      </w:r>
      <w:r w:rsidRPr="009D3D9D">
        <w:rPr>
          <w:rFonts w:asciiTheme="majorBidi" w:eastAsia="SimSun" w:hAnsiTheme="majorBidi" w:cstheme="majorBidi"/>
          <w:szCs w:val="24"/>
          <w:lang w:val="en-US" w:eastAsia="zh-CN"/>
        </w:rPr>
        <w:t>escription of ITU-R processes and associated activities</w:t>
      </w:r>
    </w:p>
    <w:p w:rsidR="0052494C" w:rsidRPr="00942E3D" w:rsidRDefault="0052494C" w:rsidP="00FD2E59">
      <w:pPr>
        <w:pStyle w:val="Figuretitle"/>
        <w:rPr>
          <w:rFonts w:ascii="Calibri" w:eastAsia="SimSun" w:hAnsi="Calibri" w:cs="Arial"/>
          <w:szCs w:val="24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FDF168E" wp14:editId="4C7112D6">
            <wp:extent cx="5520452" cy="3760470"/>
            <wp:effectExtent l="0" t="0" r="444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82" cy="376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D5DC0" w:rsidRDefault="002D5DC0" w:rsidP="00FD2E59">
      <w:pPr>
        <w:jc w:val="center"/>
      </w:pPr>
    </w:p>
    <w:p w:rsidR="0052494C" w:rsidRDefault="0052494C" w:rsidP="00FD2E59">
      <w:pPr>
        <w:jc w:val="center"/>
      </w:pPr>
      <w:r>
        <w:t>___________</w:t>
      </w:r>
    </w:p>
    <w:p w:rsidR="0052494C" w:rsidRPr="00881DFA" w:rsidRDefault="0052494C" w:rsidP="00AB3B15">
      <w:pPr>
        <w:jc w:val="center"/>
      </w:pPr>
    </w:p>
    <w:sectPr w:rsidR="0052494C" w:rsidRPr="00881DFA" w:rsidSect="00D80829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1F" w:rsidRDefault="00ED211F">
      <w:r>
        <w:separator/>
      </w:r>
    </w:p>
  </w:endnote>
  <w:endnote w:type="continuationSeparator" w:id="0">
    <w:p w:rsidR="00ED211F" w:rsidRDefault="00ED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4C" w:rsidRDefault="0052494C" w:rsidP="0052494C">
    <w:pPr>
      <w:pStyle w:val="Footer"/>
    </w:pPr>
    <w:fldSimple w:instr=" FILENAME \p \* MERGEFORMAT ">
      <w:r w:rsidRPr="0052494C">
        <w:rPr>
          <w:lang w:val="en-US"/>
        </w:rPr>
        <w:t>M</w:t>
      </w:r>
      <w:r>
        <w:t>:\BRIAP\STAFF\Millet\RAG\RAG13\TEMP\001E.docx</w:t>
      </w:r>
    </w:fldSimple>
  </w:p>
  <w:p w:rsidR="005C5DD3" w:rsidRDefault="005C5DD3" w:rsidP="004A728A">
    <w:pPr>
      <w:pStyle w:val="Footer"/>
      <w:tabs>
        <w:tab w:val="clear" w:pos="5954"/>
        <w:tab w:val="clear" w:pos="9639"/>
        <w:tab w:val="left" w:pos="268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D3" w:rsidRDefault="00CC1737">
    <w:pPr>
      <w:pStyle w:val="Footer"/>
    </w:pPr>
    <w:fldSimple w:instr=" FILENAME \p \* MERGEFORMAT ">
      <w:r w:rsidR="0052494C" w:rsidRPr="0052494C">
        <w:rPr>
          <w:lang w:val="en-US"/>
        </w:rPr>
        <w:t>M</w:t>
      </w:r>
      <w:r w:rsidR="0052494C">
        <w:t>:\BRIAP\STAFF\Millet\RAG\RAG13\TEMP\001E.docx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1F" w:rsidRDefault="00ED211F">
      <w:r>
        <w:t>____________________</w:t>
      </w:r>
    </w:p>
  </w:footnote>
  <w:footnote w:type="continuationSeparator" w:id="0">
    <w:p w:rsidR="00ED211F" w:rsidRDefault="00ED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12" w:rsidRDefault="00DF4712" w:rsidP="00DF4712">
    <w:pPr>
      <w:pStyle w:val="Header"/>
      <w:rPr>
        <w:lang w:val="es-ES"/>
      </w:rPr>
    </w:pPr>
    <w:r>
      <w:rPr>
        <w:lang w:val="es-ES"/>
      </w:rPr>
      <w:t xml:space="preserve">- </w:t>
    </w:r>
    <w:r w:rsidR="00FC3069">
      <w:fldChar w:fldCharType="begin"/>
    </w:r>
    <w:r>
      <w:instrText xml:space="preserve"> PAGE </w:instrText>
    </w:r>
    <w:r w:rsidR="00FC3069">
      <w:fldChar w:fldCharType="separate"/>
    </w:r>
    <w:r w:rsidR="00267D60">
      <w:rPr>
        <w:noProof/>
      </w:rPr>
      <w:t>5</w:t>
    </w:r>
    <w:r w:rsidR="00FC3069">
      <w:rPr>
        <w:noProof/>
      </w:rPr>
      <w:fldChar w:fldCharType="end"/>
    </w:r>
    <w:r>
      <w:rPr>
        <w:lang w:val="es-ES"/>
      </w:rPr>
      <w:t xml:space="preserve"> -</w:t>
    </w:r>
  </w:p>
  <w:p w:rsidR="00DF4712" w:rsidRDefault="00DF4712" w:rsidP="0052494C">
    <w:pPr>
      <w:pStyle w:val="Header"/>
      <w:rPr>
        <w:lang w:val="es-ES"/>
      </w:rPr>
    </w:pPr>
    <w:r>
      <w:rPr>
        <w:lang w:val="es-ES"/>
      </w:rPr>
      <w:t>RAG1</w:t>
    </w:r>
    <w:r w:rsidR="00245295">
      <w:rPr>
        <w:rFonts w:hint="eastAsia"/>
        <w:lang w:val="es-ES" w:eastAsia="ko-KR"/>
      </w:rPr>
      <w:t>3</w:t>
    </w:r>
    <w:r>
      <w:rPr>
        <w:lang w:val="es-ES"/>
      </w:rPr>
      <w:t>-</w:t>
    </w:r>
    <w:r w:rsidR="0052494C">
      <w:rPr>
        <w:lang w:val="es-ES"/>
      </w:rPr>
      <w:t>1</w:t>
    </w:r>
    <w:r>
      <w:rPr>
        <w:lang w:val="es-ES"/>
      </w:rPr>
      <w:t>/</w:t>
    </w:r>
    <w:r w:rsidR="0052494C">
      <w:rPr>
        <w:lang w:val="es-ES"/>
      </w:rPr>
      <w:t>TEMP/1</w:t>
    </w:r>
    <w:r>
      <w:rPr>
        <w:lang w:val="es-ES"/>
      </w:rPr>
      <w:t>-E</w:t>
    </w:r>
  </w:p>
  <w:p w:rsidR="005C5DD3" w:rsidRDefault="005C5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7F4"/>
    <w:multiLevelType w:val="hybridMultilevel"/>
    <w:tmpl w:val="F66886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4423B7"/>
    <w:multiLevelType w:val="hybridMultilevel"/>
    <w:tmpl w:val="BD062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5023"/>
    <w:multiLevelType w:val="hybridMultilevel"/>
    <w:tmpl w:val="198A0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16FB"/>
    <w:multiLevelType w:val="hybridMultilevel"/>
    <w:tmpl w:val="976EE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07F6743"/>
    <w:multiLevelType w:val="hybridMultilevel"/>
    <w:tmpl w:val="36FA8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13AC5"/>
    <w:multiLevelType w:val="hybridMultilevel"/>
    <w:tmpl w:val="C464C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ko-KR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99C"/>
    <w:rsid w:val="00001087"/>
    <w:rsid w:val="0000329A"/>
    <w:rsid w:val="0000543A"/>
    <w:rsid w:val="000149CD"/>
    <w:rsid w:val="00020106"/>
    <w:rsid w:val="0002033D"/>
    <w:rsid w:val="00021007"/>
    <w:rsid w:val="000232E6"/>
    <w:rsid w:val="0004059F"/>
    <w:rsid w:val="000447A6"/>
    <w:rsid w:val="00051F57"/>
    <w:rsid w:val="00053779"/>
    <w:rsid w:val="000542D9"/>
    <w:rsid w:val="000576C4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A62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2C54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3D5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2FB4"/>
    <w:rsid w:val="001E44BD"/>
    <w:rsid w:val="001E5A76"/>
    <w:rsid w:val="001E692F"/>
    <w:rsid w:val="001E73F1"/>
    <w:rsid w:val="001F1A03"/>
    <w:rsid w:val="001F3536"/>
    <w:rsid w:val="001F4646"/>
    <w:rsid w:val="001F73BE"/>
    <w:rsid w:val="00201590"/>
    <w:rsid w:val="00205C2C"/>
    <w:rsid w:val="00221986"/>
    <w:rsid w:val="00233A76"/>
    <w:rsid w:val="00233B6E"/>
    <w:rsid w:val="002359BE"/>
    <w:rsid w:val="00245295"/>
    <w:rsid w:val="00250E1D"/>
    <w:rsid w:val="00252B08"/>
    <w:rsid w:val="00254085"/>
    <w:rsid w:val="0025580E"/>
    <w:rsid w:val="00255D7B"/>
    <w:rsid w:val="00261F8A"/>
    <w:rsid w:val="0026346E"/>
    <w:rsid w:val="00266190"/>
    <w:rsid w:val="00267D60"/>
    <w:rsid w:val="0027133E"/>
    <w:rsid w:val="00272B16"/>
    <w:rsid w:val="00273854"/>
    <w:rsid w:val="00282A04"/>
    <w:rsid w:val="00283232"/>
    <w:rsid w:val="00284FBF"/>
    <w:rsid w:val="00290C20"/>
    <w:rsid w:val="0029482E"/>
    <w:rsid w:val="00295593"/>
    <w:rsid w:val="00295E27"/>
    <w:rsid w:val="002A2D54"/>
    <w:rsid w:val="002A32DF"/>
    <w:rsid w:val="002A6FC3"/>
    <w:rsid w:val="002B224F"/>
    <w:rsid w:val="002B3506"/>
    <w:rsid w:val="002B6B71"/>
    <w:rsid w:val="002C7683"/>
    <w:rsid w:val="002D064F"/>
    <w:rsid w:val="002D16A7"/>
    <w:rsid w:val="002D5DC0"/>
    <w:rsid w:val="002E363D"/>
    <w:rsid w:val="002E3C9E"/>
    <w:rsid w:val="002E6592"/>
    <w:rsid w:val="002F340E"/>
    <w:rsid w:val="002F4558"/>
    <w:rsid w:val="002F63C5"/>
    <w:rsid w:val="00303349"/>
    <w:rsid w:val="00304AB0"/>
    <w:rsid w:val="003065AC"/>
    <w:rsid w:val="003102C3"/>
    <w:rsid w:val="003104E5"/>
    <w:rsid w:val="0031077A"/>
    <w:rsid w:val="003221F3"/>
    <w:rsid w:val="00323E85"/>
    <w:rsid w:val="0033041D"/>
    <w:rsid w:val="0034074E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B6E6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16E86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572F6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A728A"/>
    <w:rsid w:val="004B2ADF"/>
    <w:rsid w:val="004B468C"/>
    <w:rsid w:val="004B4881"/>
    <w:rsid w:val="004B6338"/>
    <w:rsid w:val="004C0543"/>
    <w:rsid w:val="004C4FD8"/>
    <w:rsid w:val="004C6B98"/>
    <w:rsid w:val="004D780F"/>
    <w:rsid w:val="004E0CB1"/>
    <w:rsid w:val="004E0EA8"/>
    <w:rsid w:val="004E4C4E"/>
    <w:rsid w:val="004E505A"/>
    <w:rsid w:val="004E563F"/>
    <w:rsid w:val="004E5A6D"/>
    <w:rsid w:val="0050169F"/>
    <w:rsid w:val="005034E8"/>
    <w:rsid w:val="00504017"/>
    <w:rsid w:val="00507305"/>
    <w:rsid w:val="00513737"/>
    <w:rsid w:val="00513BEA"/>
    <w:rsid w:val="0051648F"/>
    <w:rsid w:val="0051782D"/>
    <w:rsid w:val="00520332"/>
    <w:rsid w:val="0052494C"/>
    <w:rsid w:val="00534555"/>
    <w:rsid w:val="0053462E"/>
    <w:rsid w:val="00547DF9"/>
    <w:rsid w:val="00551870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0C"/>
    <w:rsid w:val="00591E9F"/>
    <w:rsid w:val="005927C9"/>
    <w:rsid w:val="00593033"/>
    <w:rsid w:val="00594405"/>
    <w:rsid w:val="005A1189"/>
    <w:rsid w:val="005A2A7A"/>
    <w:rsid w:val="005A4D54"/>
    <w:rsid w:val="005A59BA"/>
    <w:rsid w:val="005A6914"/>
    <w:rsid w:val="005B0868"/>
    <w:rsid w:val="005B264D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E6E3F"/>
    <w:rsid w:val="005F2407"/>
    <w:rsid w:val="005F4448"/>
    <w:rsid w:val="005F4A85"/>
    <w:rsid w:val="005F504B"/>
    <w:rsid w:val="005F5447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3464E"/>
    <w:rsid w:val="00642FB8"/>
    <w:rsid w:val="00643ACC"/>
    <w:rsid w:val="006442A5"/>
    <w:rsid w:val="00645051"/>
    <w:rsid w:val="00646F21"/>
    <w:rsid w:val="0064700F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EEF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1BA7"/>
    <w:rsid w:val="006E59F5"/>
    <w:rsid w:val="006E6364"/>
    <w:rsid w:val="006E6D69"/>
    <w:rsid w:val="006F04EE"/>
    <w:rsid w:val="006F1DDB"/>
    <w:rsid w:val="007013A7"/>
    <w:rsid w:val="007029A5"/>
    <w:rsid w:val="00704EA2"/>
    <w:rsid w:val="00706BF3"/>
    <w:rsid w:val="00710C80"/>
    <w:rsid w:val="00712178"/>
    <w:rsid w:val="00714C03"/>
    <w:rsid w:val="007156C7"/>
    <w:rsid w:val="00720214"/>
    <w:rsid w:val="007208F2"/>
    <w:rsid w:val="00723667"/>
    <w:rsid w:val="00724C3D"/>
    <w:rsid w:val="00725BEA"/>
    <w:rsid w:val="007266DA"/>
    <w:rsid w:val="00727B6E"/>
    <w:rsid w:val="007319CB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1DF4"/>
    <w:rsid w:val="007632FB"/>
    <w:rsid w:val="00782670"/>
    <w:rsid w:val="00791B04"/>
    <w:rsid w:val="007945EA"/>
    <w:rsid w:val="007A064F"/>
    <w:rsid w:val="007A12CF"/>
    <w:rsid w:val="007A299C"/>
    <w:rsid w:val="007B0F50"/>
    <w:rsid w:val="007C4823"/>
    <w:rsid w:val="007C4F8B"/>
    <w:rsid w:val="007D62B9"/>
    <w:rsid w:val="007E28CA"/>
    <w:rsid w:val="007E5CD1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1EEC"/>
    <w:rsid w:val="008558A1"/>
    <w:rsid w:val="00855B4C"/>
    <w:rsid w:val="008600BD"/>
    <w:rsid w:val="00861C2D"/>
    <w:rsid w:val="0087115D"/>
    <w:rsid w:val="0087161B"/>
    <w:rsid w:val="00881DFA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B7D28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288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227C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0ED2"/>
    <w:rsid w:val="00931C34"/>
    <w:rsid w:val="00937B03"/>
    <w:rsid w:val="0094383F"/>
    <w:rsid w:val="009456BE"/>
    <w:rsid w:val="00945B61"/>
    <w:rsid w:val="00952396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17FE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3F37"/>
    <w:rsid w:val="00A3696F"/>
    <w:rsid w:val="00A43ACF"/>
    <w:rsid w:val="00A44D41"/>
    <w:rsid w:val="00A451C9"/>
    <w:rsid w:val="00A45474"/>
    <w:rsid w:val="00A46F45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954C1"/>
    <w:rsid w:val="00AA1300"/>
    <w:rsid w:val="00AA26F8"/>
    <w:rsid w:val="00AA32BF"/>
    <w:rsid w:val="00AA4B90"/>
    <w:rsid w:val="00AA5E79"/>
    <w:rsid w:val="00AB1309"/>
    <w:rsid w:val="00AB3B15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AE7DFB"/>
    <w:rsid w:val="00AF0228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0505"/>
    <w:rsid w:val="00B25A3A"/>
    <w:rsid w:val="00B35251"/>
    <w:rsid w:val="00B35D47"/>
    <w:rsid w:val="00B43520"/>
    <w:rsid w:val="00B473B5"/>
    <w:rsid w:val="00B5075D"/>
    <w:rsid w:val="00B52992"/>
    <w:rsid w:val="00B57898"/>
    <w:rsid w:val="00B618EF"/>
    <w:rsid w:val="00B65E00"/>
    <w:rsid w:val="00B72B8A"/>
    <w:rsid w:val="00B75A60"/>
    <w:rsid w:val="00B76772"/>
    <w:rsid w:val="00B90E72"/>
    <w:rsid w:val="00B90F36"/>
    <w:rsid w:val="00B91AC7"/>
    <w:rsid w:val="00B9375D"/>
    <w:rsid w:val="00BA15EF"/>
    <w:rsid w:val="00BA7F01"/>
    <w:rsid w:val="00BB2A02"/>
    <w:rsid w:val="00BB4ADA"/>
    <w:rsid w:val="00BB5AA4"/>
    <w:rsid w:val="00BB764C"/>
    <w:rsid w:val="00BC075A"/>
    <w:rsid w:val="00BC1D54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0D90"/>
    <w:rsid w:val="00C3355F"/>
    <w:rsid w:val="00C338B1"/>
    <w:rsid w:val="00C3399E"/>
    <w:rsid w:val="00C3425F"/>
    <w:rsid w:val="00C376B5"/>
    <w:rsid w:val="00C37890"/>
    <w:rsid w:val="00C43AEE"/>
    <w:rsid w:val="00C43AF7"/>
    <w:rsid w:val="00C468E2"/>
    <w:rsid w:val="00C57C4D"/>
    <w:rsid w:val="00C636D1"/>
    <w:rsid w:val="00C63AE5"/>
    <w:rsid w:val="00C67CEE"/>
    <w:rsid w:val="00C7177D"/>
    <w:rsid w:val="00C72550"/>
    <w:rsid w:val="00C74DD6"/>
    <w:rsid w:val="00C75078"/>
    <w:rsid w:val="00C845CC"/>
    <w:rsid w:val="00C92A87"/>
    <w:rsid w:val="00C933B3"/>
    <w:rsid w:val="00CA3135"/>
    <w:rsid w:val="00CA60B0"/>
    <w:rsid w:val="00CA723D"/>
    <w:rsid w:val="00CA7899"/>
    <w:rsid w:val="00CB0F3A"/>
    <w:rsid w:val="00CB7F4E"/>
    <w:rsid w:val="00CC0FE5"/>
    <w:rsid w:val="00CC1737"/>
    <w:rsid w:val="00CC2D20"/>
    <w:rsid w:val="00CC5313"/>
    <w:rsid w:val="00CD0023"/>
    <w:rsid w:val="00CD0335"/>
    <w:rsid w:val="00CD26D3"/>
    <w:rsid w:val="00CD2B21"/>
    <w:rsid w:val="00CD5F38"/>
    <w:rsid w:val="00CE1A23"/>
    <w:rsid w:val="00CE1C53"/>
    <w:rsid w:val="00CE1DEC"/>
    <w:rsid w:val="00CE20C1"/>
    <w:rsid w:val="00CE2404"/>
    <w:rsid w:val="00CE62B2"/>
    <w:rsid w:val="00CE65B5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5CBA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409C"/>
    <w:rsid w:val="00DC47A9"/>
    <w:rsid w:val="00DC4893"/>
    <w:rsid w:val="00DC4D21"/>
    <w:rsid w:val="00DC66EF"/>
    <w:rsid w:val="00DC77EE"/>
    <w:rsid w:val="00DC7FA4"/>
    <w:rsid w:val="00DD52BA"/>
    <w:rsid w:val="00DE7415"/>
    <w:rsid w:val="00DF3D87"/>
    <w:rsid w:val="00DF4712"/>
    <w:rsid w:val="00E11865"/>
    <w:rsid w:val="00E12EC0"/>
    <w:rsid w:val="00E169AC"/>
    <w:rsid w:val="00E22B52"/>
    <w:rsid w:val="00E24E62"/>
    <w:rsid w:val="00E27750"/>
    <w:rsid w:val="00E301FE"/>
    <w:rsid w:val="00E30921"/>
    <w:rsid w:val="00E3144D"/>
    <w:rsid w:val="00E32DE7"/>
    <w:rsid w:val="00E332FA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5654F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A7C1D"/>
    <w:rsid w:val="00EC45CF"/>
    <w:rsid w:val="00EC6ACC"/>
    <w:rsid w:val="00ED0A23"/>
    <w:rsid w:val="00ED13A2"/>
    <w:rsid w:val="00ED211F"/>
    <w:rsid w:val="00ED5D96"/>
    <w:rsid w:val="00EE0585"/>
    <w:rsid w:val="00EE4121"/>
    <w:rsid w:val="00EE44D4"/>
    <w:rsid w:val="00EF0D10"/>
    <w:rsid w:val="00EF27F5"/>
    <w:rsid w:val="00EF67F5"/>
    <w:rsid w:val="00EF6D34"/>
    <w:rsid w:val="00F00EBD"/>
    <w:rsid w:val="00F028C1"/>
    <w:rsid w:val="00F02B8C"/>
    <w:rsid w:val="00F06849"/>
    <w:rsid w:val="00F220B5"/>
    <w:rsid w:val="00F26670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069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5249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link w:val="FigureNo"/>
    <w:uiPriority w:val="99"/>
    <w:locked/>
    <w:rsid w:val="0052494C"/>
    <w:rPr>
      <w:rFonts w:ascii="Times New Roman" w:eastAsia="Times New Roman" w:hAnsi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uiPriority w:val="99"/>
    <w:rsid w:val="005249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="Times New Roman" w:hAnsi="Times New Roman Bold"/>
      <w:b/>
      <w:sz w:val="20"/>
    </w:rPr>
  </w:style>
  <w:style w:type="character" w:customStyle="1" w:styleId="FiguretitleChar">
    <w:name w:val="Figure_title Char"/>
    <w:link w:val="Figuretitle"/>
    <w:uiPriority w:val="99"/>
    <w:locked/>
    <w:rsid w:val="0052494C"/>
    <w:rPr>
      <w:rFonts w:ascii="Times New Roman Bold" w:eastAsia="Times New Roman" w:hAnsi="Times New Roman Bold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제목 3 Char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각주 텍스트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부제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본문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바닥글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머리글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3-RAG13-C-0013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E91D1-C0F4-4170-A290-4E24A2BC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13</TotalTime>
  <Pages>5</Pages>
  <Words>1677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11282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13</cp:revision>
  <cp:lastPrinted>2012-04-27T11:10:00Z</cp:lastPrinted>
  <dcterms:created xsi:type="dcterms:W3CDTF">2013-04-19T05:54:00Z</dcterms:created>
  <dcterms:modified xsi:type="dcterms:W3CDTF">2013-05-23T12:40:00Z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