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B35BE4">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B35BE4">
              <w:rPr>
                <w:rFonts w:ascii="Verdana" w:hAnsi="Verdana" w:cs="Times New Roman Bold"/>
                <w:b/>
                <w:bCs/>
                <w:sz w:val="20"/>
              </w:rPr>
              <w:t>2</w:t>
            </w:r>
            <w:r>
              <w:rPr>
                <w:rFonts w:ascii="Verdana" w:hAnsi="Verdana" w:cs="Times New Roman Bold"/>
                <w:b/>
                <w:bCs/>
                <w:sz w:val="20"/>
              </w:rPr>
              <w:t>-</w:t>
            </w:r>
            <w:r w:rsidR="00D211BC">
              <w:rPr>
                <w:rFonts w:ascii="Verdana" w:hAnsi="Verdana" w:cs="Times New Roman Bold"/>
                <w:b/>
                <w:bCs/>
                <w:sz w:val="20"/>
              </w:rPr>
              <w:t>2</w:t>
            </w:r>
            <w:r w:rsidR="00B35BE4">
              <w:rPr>
                <w:rFonts w:ascii="Verdana" w:hAnsi="Verdana" w:cs="Times New Roman Bold"/>
                <w:b/>
                <w:bCs/>
                <w:sz w:val="20"/>
              </w:rPr>
              <w:t>4</w:t>
            </w:r>
            <w:r>
              <w:rPr>
                <w:rFonts w:ascii="Verdana" w:hAnsi="Verdana" w:cs="Times New Roman Bold"/>
                <w:b/>
                <w:bCs/>
                <w:sz w:val="20"/>
              </w:rPr>
              <w:t xml:space="preserve"> </w:t>
            </w:r>
            <w:r w:rsidR="00B35BE4">
              <w:rPr>
                <w:rFonts w:ascii="Verdana" w:hAnsi="Verdana" w:cs="Times New Roman Bold"/>
                <w:b/>
                <w:bCs/>
                <w:sz w:val="20"/>
              </w:rPr>
              <w:t>May</w:t>
            </w:r>
            <w:r>
              <w:rPr>
                <w:rFonts w:ascii="Verdana" w:hAnsi="Verdana" w:cs="Times New Roman Bold"/>
                <w:b/>
                <w:bCs/>
                <w:sz w:val="20"/>
              </w:rPr>
              <w:t xml:space="preserve"> 20</w:t>
            </w:r>
            <w:r w:rsidR="00DD3BF8">
              <w:rPr>
                <w:rFonts w:ascii="Verdana" w:hAnsi="Verdana" w:cs="Times New Roman Bold"/>
                <w:b/>
                <w:bCs/>
                <w:sz w:val="20"/>
              </w:rPr>
              <w:t>1</w:t>
            </w:r>
            <w:r w:rsidR="00B35BE4">
              <w:rPr>
                <w:rFonts w:ascii="Verdana" w:hAnsi="Verdana" w:cs="Times New Roman Bold"/>
                <w:b/>
                <w:bCs/>
                <w:sz w:val="20"/>
              </w:rPr>
              <w:t>3</w:t>
            </w:r>
          </w:p>
        </w:tc>
        <w:tc>
          <w:tcPr>
            <w:tcW w:w="3402" w:type="dxa"/>
          </w:tcPr>
          <w:p w:rsidR="0051782D" w:rsidRDefault="00FC1E29" w:rsidP="00B35BE4">
            <w:pPr>
              <w:shd w:val="solid" w:color="FFFFFF" w:fill="FFFFFF"/>
              <w:spacing w:before="0" w:line="240" w:lineRule="atLeast"/>
            </w:pPr>
            <w:r>
              <w:rPr>
                <w:noProof/>
                <w:lang w:val="en-US" w:eastAsia="zh-CN"/>
              </w:rPr>
              <w:drawing>
                <wp:inline distT="0" distB="0" distL="0" distR="0" wp14:anchorId="36C7FC70" wp14:editId="312C1A4C">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9B1CBB" w:rsidRDefault="009B1CBB" w:rsidP="009B1CBB">
            <w:pPr>
              <w:shd w:val="solid" w:color="FFFFFF" w:fill="FFFFFF"/>
              <w:spacing w:before="0" w:line="240" w:lineRule="atLeast"/>
              <w:rPr>
                <w:rFonts w:ascii="Verdana" w:hAnsi="Verdana"/>
                <w:sz w:val="20"/>
              </w:rPr>
            </w:pPr>
            <w:r>
              <w:rPr>
                <w:rFonts w:ascii="Verdana" w:hAnsi="Verdana"/>
                <w:b/>
                <w:sz w:val="20"/>
              </w:rPr>
              <w:t>Document RAG13-1/18-E</w:t>
            </w:r>
          </w:p>
        </w:tc>
      </w:tr>
      <w:tr w:rsidR="0051782D" w:rsidTr="00B35BE4">
        <w:trPr>
          <w:cantSplit/>
        </w:trPr>
        <w:tc>
          <w:tcPr>
            <w:tcW w:w="6487" w:type="dxa"/>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9B1CBB" w:rsidRDefault="009B1CBB" w:rsidP="009B1CBB">
            <w:pPr>
              <w:shd w:val="solid" w:color="FFFFFF" w:fill="FFFFFF"/>
              <w:spacing w:before="0" w:line="240" w:lineRule="atLeast"/>
              <w:rPr>
                <w:rFonts w:ascii="Verdana" w:hAnsi="Verdana"/>
                <w:sz w:val="20"/>
              </w:rPr>
            </w:pPr>
            <w:r>
              <w:rPr>
                <w:rFonts w:ascii="Verdana" w:hAnsi="Verdana"/>
                <w:b/>
                <w:sz w:val="20"/>
              </w:rPr>
              <w:t>15 May 2013</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9B1CBB" w:rsidRDefault="009B1CBB" w:rsidP="009B1CBB">
            <w:pPr>
              <w:shd w:val="solid" w:color="FFFFFF" w:fill="FFFFFF"/>
              <w:spacing w:before="0" w:after="120" w:line="240" w:lineRule="atLeast"/>
              <w:rPr>
                <w:rFonts w:ascii="Verdana" w:hAnsi="Verdana"/>
                <w:sz w:val="20"/>
              </w:rPr>
            </w:pPr>
            <w:r>
              <w:rPr>
                <w:rFonts w:ascii="Verdana" w:hAnsi="Verdana"/>
                <w:b/>
                <w:sz w:val="20"/>
              </w:rPr>
              <w:t>English only</w:t>
            </w:r>
          </w:p>
        </w:tc>
      </w:tr>
      <w:tr w:rsidR="009B1CBB" w:rsidTr="00B35BE4">
        <w:trPr>
          <w:cantSplit/>
        </w:trPr>
        <w:tc>
          <w:tcPr>
            <w:tcW w:w="9889" w:type="dxa"/>
            <w:gridSpan w:val="2"/>
          </w:tcPr>
          <w:p w:rsidR="009B1CBB" w:rsidRPr="006F3E38" w:rsidRDefault="009B1CBB" w:rsidP="009B1CBB">
            <w:pPr>
              <w:pStyle w:val="Source"/>
            </w:pPr>
            <w:bookmarkStart w:id="3" w:name="dsource" w:colFirst="0" w:colLast="0"/>
            <w:bookmarkEnd w:id="2"/>
            <w:r w:rsidRPr="006F3E38">
              <w:t>France</w:t>
            </w:r>
          </w:p>
        </w:tc>
      </w:tr>
      <w:tr w:rsidR="009B1CBB" w:rsidTr="00B35BE4">
        <w:trPr>
          <w:cantSplit/>
        </w:trPr>
        <w:tc>
          <w:tcPr>
            <w:tcW w:w="9889" w:type="dxa"/>
            <w:gridSpan w:val="2"/>
          </w:tcPr>
          <w:p w:rsidR="009B1CBB" w:rsidRPr="009B1CBB" w:rsidRDefault="009B1CBB" w:rsidP="009B1CBB">
            <w:pPr>
              <w:pStyle w:val="Title1"/>
            </w:pPr>
            <w:bookmarkStart w:id="4" w:name="dtitle1" w:colFirst="0" w:colLast="0"/>
            <w:bookmarkEnd w:id="3"/>
            <w:r w:rsidRPr="009B1CBB">
              <w:t>Items for discussion before revising Resolution ITU-R 1-6</w:t>
            </w:r>
          </w:p>
        </w:tc>
      </w:tr>
    </w:tbl>
    <w:bookmarkEnd w:id="4"/>
    <w:p w:rsidR="009B1CBB" w:rsidRPr="006F3E38" w:rsidRDefault="009B1CBB" w:rsidP="009B1CBB">
      <w:pPr>
        <w:pStyle w:val="Heading1"/>
      </w:pPr>
      <w:r w:rsidRPr="006F3E38">
        <w:t>1</w:t>
      </w:r>
      <w:r w:rsidRPr="006F3E38">
        <w:tab/>
        <w:t>Introduction</w:t>
      </w:r>
    </w:p>
    <w:p w:rsidR="009B1CBB" w:rsidRPr="006F3E38" w:rsidRDefault="009B1CBB" w:rsidP="009B1CBB">
      <w:r w:rsidRPr="006F3E38">
        <w:t xml:space="preserve">At its 2012 meeting, the Radiocommunication Advisory Group </w:t>
      </w:r>
      <w:r>
        <w:t xml:space="preserve">(RAG) </w:t>
      </w:r>
      <w:r w:rsidRPr="006F3E38">
        <w:t xml:space="preserve">established a correspondence group on the revision of the structure Resolution ITU-R 1-6. Its terms of reference are contained in Annex 2 to Administrative Circular </w:t>
      </w:r>
      <w:hyperlink r:id="rId9" w:history="1">
        <w:r w:rsidRPr="006F3E38">
          <w:rPr>
            <w:rStyle w:val="Hyperlink"/>
            <w:szCs w:val="24"/>
          </w:rPr>
          <w:t>CA/206</w:t>
        </w:r>
      </w:hyperlink>
      <w:r w:rsidRPr="006F3E38">
        <w:t xml:space="preserve">. </w:t>
      </w:r>
    </w:p>
    <w:p w:rsidR="009B1CBB" w:rsidRPr="006F3E38" w:rsidRDefault="009B1CBB" w:rsidP="009B1CBB">
      <w:r w:rsidRPr="006F3E38">
        <w:t xml:space="preserve">This document develops proposals related to the first item of the terms of reference of the correspondence group: “in accordance with § 1.7 of Resolution ITU-R 1-6 and Resolution ITU-R 52, prepare a draft revision of Resolution ITU-R 1-6 for consideration by the RAG and subsequent submission to the Radiocommunication Assembly 2015, taking into account the structure provided in Attachment 2 of </w:t>
      </w:r>
      <w:hyperlink r:id="rId10" w:history="1">
        <w:r w:rsidRPr="006F3E38">
          <w:rPr>
            <w:rStyle w:val="Hyperlink"/>
            <w:szCs w:val="24"/>
          </w:rPr>
          <w:t>Document RA12/PLEN/16</w:t>
        </w:r>
      </w:hyperlink>
      <w:r w:rsidRPr="006F3E38">
        <w:t>”.</w:t>
      </w:r>
    </w:p>
    <w:p w:rsidR="009B1CBB" w:rsidRDefault="009B1CBB" w:rsidP="009B1CBB">
      <w:r w:rsidRPr="006F3E38">
        <w:t xml:space="preserve">This document proposes that the RAG discusses in more details the structure provided in Attachment 2 of Document RA12/PLEN/16, in order to </w:t>
      </w:r>
      <w:r>
        <w:t xml:space="preserve">reach a consensus on the approach to follow for restructuring Resolution ITU-R 1. It also provides a summary table containing the existing provisions regarding ITU-R </w:t>
      </w:r>
      <w:r w:rsidRPr="004619FF">
        <w:t>Resolutions</w:t>
      </w:r>
      <w:r>
        <w:t xml:space="preserve">, </w:t>
      </w:r>
      <w:r w:rsidRPr="004619FF">
        <w:t>Questions</w:t>
      </w:r>
      <w:r>
        <w:t xml:space="preserve">, </w:t>
      </w:r>
      <w:r w:rsidRPr="004619FF">
        <w:t>Recommendations</w:t>
      </w:r>
      <w:r>
        <w:t xml:space="preserve">, Reports, </w:t>
      </w:r>
      <w:r w:rsidRPr="004619FF">
        <w:t>Handbooks</w:t>
      </w:r>
      <w:r>
        <w:t xml:space="preserve">, </w:t>
      </w:r>
      <w:r w:rsidRPr="004619FF">
        <w:t>Decisions</w:t>
      </w:r>
      <w:r>
        <w:t xml:space="preserve"> and </w:t>
      </w:r>
      <w:r w:rsidRPr="004619FF">
        <w:t>Opinions</w:t>
      </w:r>
      <w:r>
        <w:t xml:space="preserve"> and suggests discussing if missing elements should be added. </w:t>
      </w:r>
    </w:p>
    <w:p w:rsidR="009B1CBB" w:rsidRPr="009B1CBB" w:rsidRDefault="009B1CBB" w:rsidP="009B1CBB">
      <w:pPr>
        <w:pStyle w:val="Heading1"/>
      </w:pPr>
      <w:r w:rsidRPr="009B1CBB">
        <w:t>2</w:t>
      </w:r>
      <w:r w:rsidRPr="009B1CBB">
        <w:tab/>
        <w:t>Possible new structure of Resolution ITU-R 1</w:t>
      </w:r>
    </w:p>
    <w:p w:rsidR="009B1CBB" w:rsidRDefault="009B1CBB" w:rsidP="009B1CBB">
      <w:r w:rsidRPr="006F3E38">
        <w:t xml:space="preserve">As mentioned in the terms of reference of the correspondence group, the structure provided in Attachment 2 of </w:t>
      </w:r>
      <w:r w:rsidRPr="00064F3F">
        <w:t>Document RA12/PLEN/16</w:t>
      </w:r>
      <w:r w:rsidRPr="006F3E38">
        <w:t xml:space="preserve"> </w:t>
      </w:r>
      <w:r>
        <w:t xml:space="preserve">provides a </w:t>
      </w:r>
      <w:r w:rsidRPr="006F3E38">
        <w:t xml:space="preserve">basis for the proposed </w:t>
      </w:r>
      <w:r>
        <w:t>restructuring</w:t>
      </w:r>
      <w:r w:rsidRPr="006F3E38">
        <w:t xml:space="preserve">. </w:t>
      </w:r>
      <w:r>
        <w:t xml:space="preserve">Attachment 1 to this document further elaborates on this proposed new structure, by creating sub-items. Before adopting this new structure, RAG should agree on certain more substantial matters. </w:t>
      </w:r>
    </w:p>
    <w:p w:rsidR="009B1CBB" w:rsidRDefault="009B1CBB" w:rsidP="009B1CBB">
      <w:r>
        <w:t xml:space="preserve">First, </w:t>
      </w:r>
      <w:r w:rsidRPr="006F3E38">
        <w:t xml:space="preserve">Attachment 2 of </w:t>
      </w:r>
      <w:r w:rsidRPr="00D97896">
        <w:t>Document RA12/PLEN/16</w:t>
      </w:r>
      <w:r>
        <w:t xml:space="preserve"> includes in the proposed new Part 1 of Resolution 1, which would be dedicated to the working methods, the Conference Preparatory Meeting (already covered by Resolution ITU-R 2), the Coordination Committee for Vocabulary (already covered by Resolution ITU-R 36) and the Special Committee for regulatory and procedural matters (already covered by Resolution ITU-R 38) in addition to the Radiocommunication Assembly, the </w:t>
      </w:r>
      <w:r w:rsidRPr="00D97896">
        <w:t>Radiocommunication Study Groups</w:t>
      </w:r>
      <w:r>
        <w:t xml:space="preserve"> and the Radiocommunication Advisory Group. </w:t>
      </w:r>
    </w:p>
    <w:p w:rsidR="009B1CBB" w:rsidRPr="00D97896" w:rsidRDefault="009B1CBB" w:rsidP="009B1CBB">
      <w:pPr>
        <w:rPr>
          <w:b/>
        </w:rPr>
      </w:pPr>
      <w:r w:rsidRPr="00D97896">
        <w:rPr>
          <w:b/>
        </w:rPr>
        <w:t xml:space="preserve">The RAG is invited to </w:t>
      </w:r>
      <w:r>
        <w:rPr>
          <w:b/>
        </w:rPr>
        <w:t>provide guidance</w:t>
      </w:r>
      <w:r w:rsidRPr="00D97896">
        <w:rPr>
          <w:b/>
        </w:rPr>
        <w:t xml:space="preserve"> on the appropriateness to include provisions concerning the Conference Preparatory Meeting, the Coordination Committee for Vocabulary and the Special Committee for regulatory and procedural matters in Resolution ITU-R 1. </w:t>
      </w:r>
      <w:r>
        <w:rPr>
          <w:b/>
        </w:rPr>
        <w:t xml:space="preserve">Should it be the case, it would imply merging </w:t>
      </w:r>
      <w:r w:rsidRPr="00D97896">
        <w:rPr>
          <w:b/>
        </w:rPr>
        <w:t>Resolution</w:t>
      </w:r>
      <w:r>
        <w:rPr>
          <w:b/>
        </w:rPr>
        <w:t>s</w:t>
      </w:r>
      <w:r w:rsidRPr="00D97896">
        <w:rPr>
          <w:b/>
        </w:rPr>
        <w:t xml:space="preserve"> ITU-R 2</w:t>
      </w:r>
      <w:r>
        <w:rPr>
          <w:b/>
        </w:rPr>
        <w:t xml:space="preserve">, 36 and 38 into Resolution ITU-R 1. </w:t>
      </w:r>
    </w:p>
    <w:p w:rsidR="009B1CBB" w:rsidRPr="009979B0" w:rsidRDefault="009B1CBB" w:rsidP="009B1CBB">
      <w:r>
        <w:lastRenderedPageBreak/>
        <w:t>Second, the title of Resolution ITU-R 1-6 (“</w:t>
      </w:r>
      <w:r w:rsidRPr="009979B0">
        <w:t>Working methods for the Radiocommunication Assembly, the Radiocommunication Study Groups, and the</w:t>
      </w:r>
      <w:r>
        <w:t xml:space="preserve"> </w:t>
      </w:r>
      <w:r w:rsidRPr="009979B0">
        <w:t>Radiocommunication Advisory Group</w:t>
      </w:r>
      <w:r>
        <w:t xml:space="preserve">”) clearly encompasses the RAG, however it should be highlighted that note 1 to the </w:t>
      </w:r>
      <w:r>
        <w:rPr>
          <w:i/>
        </w:rPr>
        <w:t>resolves</w:t>
      </w:r>
      <w:r>
        <w:t xml:space="preserve"> of this Resolution (“In accordance with No. 160G of the Convention, the Radiocommunication Advisory Group also adopts its own working procedures compatible with those adopted by the Radiocommunication Assembly.”) tends to indicate that the working procedures of the RAG are contained in a separate document (indeed, Resolution ITU-R 1 contains no specific provisions to the RAG, except two brief provisions concerning the assignment of tasks and delegated powers from the Radiocommunication Assembly (see Nos. 1.7 and 1.8 of Resolution ITU-R 1-6). Resolution ITU-R 52 contains the tasks and powers delegated by the Assembly to the RAG, but it seems that no document contains a more detailed description of the functions and working methods of the RAG than the relevant provisions of the Convention. </w:t>
      </w:r>
    </w:p>
    <w:p w:rsidR="009B1CBB" w:rsidRDefault="009B1CBB" w:rsidP="009B1CBB">
      <w:r w:rsidRPr="00D97896">
        <w:rPr>
          <w:b/>
        </w:rPr>
        <w:t xml:space="preserve">The RAG is invited to </w:t>
      </w:r>
      <w:r>
        <w:rPr>
          <w:b/>
        </w:rPr>
        <w:t xml:space="preserve">provide guidance </w:t>
      </w:r>
      <w:r w:rsidRPr="00D97896">
        <w:rPr>
          <w:b/>
        </w:rPr>
        <w:t xml:space="preserve">on the appropriateness to include </w:t>
      </w:r>
      <w:r>
        <w:rPr>
          <w:b/>
        </w:rPr>
        <w:t xml:space="preserve">more detailed </w:t>
      </w:r>
      <w:r w:rsidRPr="00D97896">
        <w:rPr>
          <w:b/>
        </w:rPr>
        <w:t xml:space="preserve">provisions concerning the </w:t>
      </w:r>
      <w:r>
        <w:rPr>
          <w:b/>
        </w:rPr>
        <w:t>Radiocommunication Advisory Group</w:t>
      </w:r>
      <w:r w:rsidRPr="00D97896">
        <w:rPr>
          <w:b/>
        </w:rPr>
        <w:t xml:space="preserve"> in Resolution ITU-R 1. </w:t>
      </w:r>
      <w:r>
        <w:rPr>
          <w:b/>
        </w:rPr>
        <w:t xml:space="preserve">Should it be the case, it may imply merging </w:t>
      </w:r>
      <w:r w:rsidRPr="00D97896">
        <w:rPr>
          <w:b/>
        </w:rPr>
        <w:t xml:space="preserve">Resolution ITU-R </w:t>
      </w:r>
      <w:r>
        <w:rPr>
          <w:b/>
        </w:rPr>
        <w:t>52 into Resolution ITU-R 1.</w:t>
      </w:r>
    </w:p>
    <w:p w:rsidR="009B1CBB" w:rsidRDefault="009B1CBB" w:rsidP="009B1CBB">
      <w:r>
        <w:t xml:space="preserve">Third, an essential function of the Radiocommunication Assembly is to select Chairmen and Vice-Chairmen for a number of groups. Therefore it would be quite logical to include provisions related to this selection process in the sub-part of Resolution ITU-R 1 related to the Radiocommunication Assembly. However, these provisions are currently contained in Resolution ITU-R 15-5. </w:t>
      </w:r>
    </w:p>
    <w:p w:rsidR="009B1CBB" w:rsidRDefault="009B1CBB" w:rsidP="00686043">
      <w:r w:rsidRPr="00D97896">
        <w:rPr>
          <w:b/>
        </w:rPr>
        <w:t xml:space="preserve">The RAG is invited to </w:t>
      </w:r>
      <w:r>
        <w:rPr>
          <w:b/>
        </w:rPr>
        <w:t xml:space="preserve">provide guidance </w:t>
      </w:r>
      <w:r w:rsidRPr="00D97896">
        <w:rPr>
          <w:b/>
        </w:rPr>
        <w:t xml:space="preserve">on the appropriateness to </w:t>
      </w:r>
      <w:r>
        <w:rPr>
          <w:b/>
        </w:rPr>
        <w:t>retain a separate Resolution dealing with the a</w:t>
      </w:r>
      <w:r w:rsidRPr="00807E35">
        <w:rPr>
          <w:b/>
        </w:rPr>
        <w:t>ppointment and maximum term of office for Chairmen and Vice</w:t>
      </w:r>
      <w:r w:rsidR="00686043">
        <w:rPr>
          <w:b/>
        </w:rPr>
        <w:t>-</w:t>
      </w:r>
      <w:bookmarkStart w:id="5" w:name="_GoBack"/>
      <w:bookmarkEnd w:id="5"/>
      <w:r w:rsidRPr="00807E35">
        <w:rPr>
          <w:b/>
        </w:rPr>
        <w:t>Chairmen of Radiocommunication Study Groups, the Coordination Committee for Vocabulary and of the Radiocommunication Advisory Group</w:t>
      </w:r>
      <w:r>
        <w:rPr>
          <w:b/>
        </w:rPr>
        <w:t xml:space="preserve"> (as per the current Resolution ITU-R 15-5)</w:t>
      </w:r>
      <w:r w:rsidRPr="00D97896">
        <w:rPr>
          <w:b/>
        </w:rPr>
        <w:t xml:space="preserve">. </w:t>
      </w:r>
      <w:r>
        <w:rPr>
          <w:b/>
        </w:rPr>
        <w:t xml:space="preserve">Should it not be the case, it may imply merging </w:t>
      </w:r>
      <w:r w:rsidRPr="00D97896">
        <w:rPr>
          <w:b/>
        </w:rPr>
        <w:t xml:space="preserve">Resolution ITU-R </w:t>
      </w:r>
      <w:r>
        <w:rPr>
          <w:b/>
        </w:rPr>
        <w:t>15 into Resolution ITU-R 1.</w:t>
      </w:r>
    </w:p>
    <w:p w:rsidR="009B1CBB" w:rsidRPr="009B1CBB" w:rsidRDefault="009B1CBB" w:rsidP="009B1CBB">
      <w:pPr>
        <w:pStyle w:val="Heading1"/>
      </w:pPr>
      <w:r>
        <w:t>3</w:t>
      </w:r>
      <w:r w:rsidRPr="009B1CBB">
        <w:tab/>
        <w:t>Overview of the proposed new part of Resolution ITU-R 1 related to the ITU-R documentation</w:t>
      </w:r>
    </w:p>
    <w:p w:rsidR="009B1CBB" w:rsidRDefault="009B1CBB" w:rsidP="009B1CBB">
      <w:pPr>
        <w:rPr>
          <w:szCs w:val="24"/>
        </w:rPr>
      </w:pPr>
      <w:r>
        <w:t>In order to clarify and improve the readability of the provisions of Resolution ITU-R 1 concerning the procedures for developing, adopting, approving, revising and suppressing some ITU-R documents (</w:t>
      </w:r>
      <w:r>
        <w:rPr>
          <w:szCs w:val="24"/>
        </w:rPr>
        <w:t xml:space="preserve">ITU-R </w:t>
      </w:r>
      <w:r w:rsidRPr="004619FF">
        <w:rPr>
          <w:szCs w:val="24"/>
        </w:rPr>
        <w:t>Resolutions</w:t>
      </w:r>
      <w:r>
        <w:rPr>
          <w:szCs w:val="24"/>
        </w:rPr>
        <w:t xml:space="preserve">, </w:t>
      </w:r>
      <w:r w:rsidRPr="004619FF">
        <w:rPr>
          <w:szCs w:val="24"/>
        </w:rPr>
        <w:t>Questions</w:t>
      </w:r>
      <w:r>
        <w:rPr>
          <w:szCs w:val="24"/>
        </w:rPr>
        <w:t xml:space="preserve">, </w:t>
      </w:r>
      <w:r w:rsidRPr="004619FF">
        <w:rPr>
          <w:szCs w:val="24"/>
        </w:rPr>
        <w:t>Recommendations</w:t>
      </w:r>
      <w:r>
        <w:rPr>
          <w:szCs w:val="24"/>
        </w:rPr>
        <w:t xml:space="preserve">, Reports, </w:t>
      </w:r>
      <w:r w:rsidRPr="004619FF">
        <w:rPr>
          <w:szCs w:val="24"/>
        </w:rPr>
        <w:t>Handbooks</w:t>
      </w:r>
      <w:r>
        <w:rPr>
          <w:szCs w:val="24"/>
        </w:rPr>
        <w:t xml:space="preserve">, </w:t>
      </w:r>
      <w:r w:rsidRPr="004619FF">
        <w:rPr>
          <w:szCs w:val="24"/>
        </w:rPr>
        <w:t>Decisions</w:t>
      </w:r>
      <w:r>
        <w:rPr>
          <w:szCs w:val="24"/>
        </w:rPr>
        <w:t xml:space="preserve"> and </w:t>
      </w:r>
      <w:r w:rsidRPr="004619FF">
        <w:rPr>
          <w:szCs w:val="24"/>
        </w:rPr>
        <w:t>Opinions</w:t>
      </w:r>
      <w:r>
        <w:t xml:space="preserve">), </w:t>
      </w:r>
      <w:r w:rsidRPr="006F3E38">
        <w:rPr>
          <w:szCs w:val="24"/>
        </w:rPr>
        <w:t xml:space="preserve">Attachment 2 of </w:t>
      </w:r>
      <w:r w:rsidRPr="00064F3F">
        <w:rPr>
          <w:szCs w:val="24"/>
        </w:rPr>
        <w:t>Document RA12/PLEN/16</w:t>
      </w:r>
      <w:r>
        <w:rPr>
          <w:szCs w:val="24"/>
        </w:rPr>
        <w:t xml:space="preserve"> proposes to create a specific sub-section for each type of documents and to use the same structure for each of the sub-sections so that each sub-section would be self-sufficient in terms of procedures related to one type of document. Even if it may introduce repetitions in Resolution ITU-R 1, it was felt that such an approach would be easier for the readers, who would not have to pick various provisions at various places of the Resolution to understand the process from the initiation of the work on a topic to the approval of a document on this topic, its subsequent revisions and sometimes its suppression. </w:t>
      </w:r>
    </w:p>
    <w:p w:rsidR="009B1CBB" w:rsidRDefault="009B1CBB" w:rsidP="00686043">
      <w:pPr>
        <w:rPr>
          <w:szCs w:val="24"/>
        </w:rPr>
      </w:pPr>
      <w:r>
        <w:rPr>
          <w:szCs w:val="24"/>
        </w:rPr>
        <w:t xml:space="preserve">On the basis of the structure contained in </w:t>
      </w:r>
      <w:r w:rsidRPr="006F3E38">
        <w:rPr>
          <w:szCs w:val="24"/>
        </w:rPr>
        <w:t xml:space="preserve">Attachment 2 of </w:t>
      </w:r>
      <w:r w:rsidRPr="00064F3F">
        <w:rPr>
          <w:szCs w:val="24"/>
        </w:rPr>
        <w:t>Document RA12/PLEN/16</w:t>
      </w:r>
      <w:r>
        <w:rPr>
          <w:szCs w:val="24"/>
        </w:rPr>
        <w:t>, Table 1 below provides an attempt to organise a common structure for the sub-sections dealing with each type of documents. It also provides a first mapping with the existing provisions of Resolution ITU</w:t>
      </w:r>
      <w:r w:rsidR="00686043">
        <w:rPr>
          <w:szCs w:val="24"/>
        </w:rPr>
        <w:noBreakHyphen/>
      </w:r>
      <w:r>
        <w:rPr>
          <w:szCs w:val="24"/>
        </w:rPr>
        <w:t xml:space="preserve">R 1-6. It can be seen that some boxes are currently empty. </w:t>
      </w:r>
    </w:p>
    <w:p w:rsidR="009B1CBB" w:rsidRDefault="009B1CBB" w:rsidP="009B1CBB">
      <w:pPr>
        <w:rPr>
          <w:szCs w:val="24"/>
        </w:rPr>
      </w:pPr>
      <w:r w:rsidRPr="00D97896">
        <w:rPr>
          <w:b/>
          <w:szCs w:val="24"/>
        </w:rPr>
        <w:t xml:space="preserve">The RAG is invited to </w:t>
      </w:r>
      <w:r>
        <w:rPr>
          <w:b/>
          <w:szCs w:val="24"/>
        </w:rPr>
        <w:t xml:space="preserve">provide guidance </w:t>
      </w:r>
      <w:r w:rsidRPr="00D97896">
        <w:rPr>
          <w:b/>
          <w:szCs w:val="24"/>
        </w:rPr>
        <w:t>on the appropriateness</w:t>
      </w:r>
      <w:r>
        <w:rPr>
          <w:b/>
          <w:szCs w:val="24"/>
        </w:rPr>
        <w:t xml:space="preserve"> of the proposed structure and its agreement to develop suggested text for some of the missing elements (boxes filled with (?)). </w:t>
      </w:r>
    </w:p>
    <w:p w:rsidR="009B1CBB" w:rsidRPr="006F3E38" w:rsidRDefault="009B1CBB" w:rsidP="00064F3F">
      <w:pPr>
        <w:jc w:val="both"/>
        <w:sectPr w:rsidR="009B1CBB" w:rsidRPr="006F3E38" w:rsidSect="00E51F0D">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1418" w:left="1134" w:header="720" w:footer="720" w:gutter="0"/>
          <w:paperSrc w:first="15" w:other="15"/>
          <w:cols w:space="720"/>
          <w:titlePg/>
        </w:sectPr>
      </w:pPr>
    </w:p>
    <w:p w:rsidR="009B1CBB" w:rsidRDefault="009B1CBB" w:rsidP="00460B57">
      <w:pPr>
        <w:pStyle w:val="TableNo"/>
        <w:spacing w:before="360"/>
      </w:pPr>
      <w:r>
        <w:lastRenderedPageBreak/>
        <w:t>Table 1</w:t>
      </w:r>
    </w:p>
    <w:p w:rsidR="009B1CBB" w:rsidRDefault="009B1CBB" w:rsidP="00460B57">
      <w:pPr>
        <w:pStyle w:val="Tabletitle"/>
      </w:pPr>
      <w:r>
        <w:t>Possible sub-structure of Part 2 – Documentation and mapping with current provisions</w:t>
      </w:r>
    </w:p>
    <w:p w:rsidR="009B1CBB" w:rsidRPr="006F3E38" w:rsidRDefault="009B1CBB" w:rsidP="009437A9">
      <w:pPr>
        <w:tabs>
          <w:tab w:val="clear" w:pos="794"/>
          <w:tab w:val="clear" w:pos="1191"/>
          <w:tab w:val="clear" w:pos="1588"/>
          <w:tab w:val="clear" w:pos="1985"/>
        </w:tabs>
        <w:overflowPunct/>
        <w:autoSpaceDE/>
        <w:autoSpaceDN/>
        <w:adjustRightInd/>
        <w:spacing w:before="0"/>
        <w:textAlignment w:val="auto"/>
      </w:pPr>
    </w:p>
    <w:tbl>
      <w:tblPr>
        <w:tblStyle w:val="TableGrid"/>
        <w:tblW w:w="14235" w:type="dxa"/>
        <w:jc w:val="center"/>
        <w:tblInd w:w="686" w:type="dxa"/>
        <w:tblLook w:val="04A0" w:firstRow="1" w:lastRow="0" w:firstColumn="1" w:lastColumn="0" w:noHBand="0" w:noVBand="1"/>
      </w:tblPr>
      <w:tblGrid>
        <w:gridCol w:w="2030"/>
        <w:gridCol w:w="1676"/>
        <w:gridCol w:w="1740"/>
        <w:gridCol w:w="2410"/>
        <w:gridCol w:w="1701"/>
        <w:gridCol w:w="1559"/>
        <w:gridCol w:w="1560"/>
        <w:gridCol w:w="1559"/>
      </w:tblGrid>
      <w:tr w:rsidR="009B1CBB" w:rsidRPr="006F3E38" w:rsidTr="009B1CBB">
        <w:trPr>
          <w:jc w:val="center"/>
        </w:trPr>
        <w:tc>
          <w:tcPr>
            <w:tcW w:w="2030" w:type="dxa"/>
            <w:shd w:val="clear" w:color="auto" w:fill="auto"/>
            <w:vAlign w:val="center"/>
          </w:tcPr>
          <w:p w:rsidR="009B1CBB" w:rsidRPr="006F3E38" w:rsidRDefault="009B1CBB" w:rsidP="009B1CBB">
            <w:pPr>
              <w:pStyle w:val="Tabletext"/>
            </w:pPr>
          </w:p>
        </w:tc>
        <w:tc>
          <w:tcPr>
            <w:tcW w:w="1676" w:type="dxa"/>
            <w:shd w:val="clear" w:color="auto" w:fill="auto"/>
            <w:vAlign w:val="center"/>
          </w:tcPr>
          <w:p w:rsidR="009B1CBB" w:rsidRPr="006F3E38" w:rsidRDefault="009B1CBB" w:rsidP="009B1CBB">
            <w:pPr>
              <w:pStyle w:val="Tablehead"/>
            </w:pPr>
            <w:r w:rsidRPr="006F3E38">
              <w:t>Resolutions</w:t>
            </w:r>
          </w:p>
        </w:tc>
        <w:tc>
          <w:tcPr>
            <w:tcW w:w="1740" w:type="dxa"/>
            <w:shd w:val="clear" w:color="auto" w:fill="auto"/>
            <w:vAlign w:val="center"/>
          </w:tcPr>
          <w:p w:rsidR="009B1CBB" w:rsidRPr="006F3E38" w:rsidRDefault="009B1CBB" w:rsidP="009B1CBB">
            <w:pPr>
              <w:pStyle w:val="Tablehead"/>
            </w:pPr>
            <w:r w:rsidRPr="006F3E38">
              <w:t>Questions</w:t>
            </w:r>
          </w:p>
        </w:tc>
        <w:tc>
          <w:tcPr>
            <w:tcW w:w="2410" w:type="dxa"/>
            <w:shd w:val="clear" w:color="auto" w:fill="auto"/>
            <w:vAlign w:val="center"/>
          </w:tcPr>
          <w:p w:rsidR="009B1CBB" w:rsidRPr="006F3E38" w:rsidRDefault="009B1CBB" w:rsidP="009B1CBB">
            <w:pPr>
              <w:pStyle w:val="Tablehead"/>
            </w:pPr>
            <w:r w:rsidRPr="006F3E38">
              <w:t>Recommendations</w:t>
            </w:r>
          </w:p>
        </w:tc>
        <w:tc>
          <w:tcPr>
            <w:tcW w:w="1701" w:type="dxa"/>
            <w:shd w:val="clear" w:color="auto" w:fill="auto"/>
            <w:vAlign w:val="center"/>
          </w:tcPr>
          <w:p w:rsidR="009B1CBB" w:rsidRPr="006F3E38" w:rsidRDefault="009B1CBB" w:rsidP="009B1CBB">
            <w:pPr>
              <w:pStyle w:val="Tablehead"/>
            </w:pPr>
            <w:r w:rsidRPr="006F3E38">
              <w:t>Reports</w:t>
            </w:r>
          </w:p>
        </w:tc>
        <w:tc>
          <w:tcPr>
            <w:tcW w:w="1559" w:type="dxa"/>
            <w:shd w:val="clear" w:color="auto" w:fill="auto"/>
            <w:vAlign w:val="center"/>
          </w:tcPr>
          <w:p w:rsidR="009B1CBB" w:rsidRPr="006F3E38" w:rsidRDefault="009B1CBB" w:rsidP="009B1CBB">
            <w:pPr>
              <w:pStyle w:val="Tablehead"/>
            </w:pPr>
            <w:r w:rsidRPr="006F3E38">
              <w:t>Handbooks</w:t>
            </w:r>
          </w:p>
        </w:tc>
        <w:tc>
          <w:tcPr>
            <w:tcW w:w="1560" w:type="dxa"/>
            <w:shd w:val="clear" w:color="auto" w:fill="auto"/>
            <w:vAlign w:val="center"/>
          </w:tcPr>
          <w:p w:rsidR="009B1CBB" w:rsidRPr="006F3E38" w:rsidRDefault="009B1CBB" w:rsidP="009B1CBB">
            <w:pPr>
              <w:pStyle w:val="Tablehead"/>
            </w:pPr>
            <w:r w:rsidRPr="006F3E38">
              <w:t>Decisions</w:t>
            </w:r>
          </w:p>
        </w:tc>
        <w:tc>
          <w:tcPr>
            <w:tcW w:w="1559" w:type="dxa"/>
            <w:shd w:val="clear" w:color="auto" w:fill="auto"/>
            <w:vAlign w:val="center"/>
          </w:tcPr>
          <w:p w:rsidR="009B1CBB" w:rsidRPr="006F3E38" w:rsidRDefault="009B1CBB" w:rsidP="009B1CBB">
            <w:pPr>
              <w:pStyle w:val="Tablehead"/>
            </w:pPr>
            <w:r w:rsidRPr="006F3E38">
              <w:t>Opinions</w:t>
            </w:r>
          </w:p>
        </w:tc>
      </w:tr>
      <w:tr w:rsidR="009B1CBB" w:rsidRPr="006F3E38" w:rsidTr="009B1CBB">
        <w:trPr>
          <w:jc w:val="center"/>
        </w:trPr>
        <w:tc>
          <w:tcPr>
            <w:tcW w:w="2030" w:type="dxa"/>
            <w:shd w:val="clear" w:color="auto" w:fill="auto"/>
            <w:vAlign w:val="center"/>
          </w:tcPr>
          <w:p w:rsidR="009B1CBB" w:rsidRPr="006F3E38" w:rsidRDefault="009B1CBB" w:rsidP="009B1CBB">
            <w:pPr>
              <w:pStyle w:val="Tabletext"/>
              <w:rPr>
                <w:iCs/>
              </w:rPr>
            </w:pPr>
            <w:r w:rsidRPr="006F3E38">
              <w:rPr>
                <w:iCs/>
              </w:rPr>
              <w:t>Description</w:t>
            </w:r>
          </w:p>
        </w:tc>
        <w:tc>
          <w:tcPr>
            <w:tcW w:w="1676" w:type="dxa"/>
            <w:shd w:val="clear" w:color="auto" w:fill="auto"/>
            <w:vAlign w:val="center"/>
          </w:tcPr>
          <w:p w:rsidR="009B1CBB" w:rsidRPr="006F3E38" w:rsidRDefault="009B1CBB" w:rsidP="009B1CBB">
            <w:pPr>
              <w:pStyle w:val="Tabletext"/>
              <w:jc w:val="center"/>
            </w:pPr>
            <w:r w:rsidRPr="006F3E38">
              <w:t>§6.1.3</w:t>
            </w:r>
          </w:p>
        </w:tc>
        <w:tc>
          <w:tcPr>
            <w:tcW w:w="1740" w:type="dxa"/>
            <w:shd w:val="clear" w:color="auto" w:fill="auto"/>
            <w:vAlign w:val="center"/>
          </w:tcPr>
          <w:p w:rsidR="009B1CBB" w:rsidRPr="006F3E38" w:rsidRDefault="009B1CBB" w:rsidP="009B1CBB">
            <w:pPr>
              <w:pStyle w:val="Tabletext"/>
              <w:jc w:val="center"/>
            </w:pPr>
            <w:r w:rsidRPr="006F3E38">
              <w:t>§6.1.1</w:t>
            </w:r>
          </w:p>
        </w:tc>
        <w:tc>
          <w:tcPr>
            <w:tcW w:w="2410" w:type="dxa"/>
            <w:shd w:val="clear" w:color="auto" w:fill="auto"/>
            <w:vAlign w:val="center"/>
          </w:tcPr>
          <w:p w:rsidR="009B1CBB" w:rsidRPr="006F3E38" w:rsidRDefault="009B1CBB" w:rsidP="009B1CBB">
            <w:pPr>
              <w:pStyle w:val="Tabletext"/>
              <w:jc w:val="center"/>
            </w:pPr>
            <w:r w:rsidRPr="006F3E38">
              <w:t>§6.1.2</w:t>
            </w:r>
          </w:p>
        </w:tc>
        <w:tc>
          <w:tcPr>
            <w:tcW w:w="1701" w:type="dxa"/>
            <w:shd w:val="clear" w:color="auto" w:fill="auto"/>
            <w:vAlign w:val="center"/>
          </w:tcPr>
          <w:p w:rsidR="009B1CBB" w:rsidRPr="006F3E38" w:rsidRDefault="009B1CBB" w:rsidP="009B1CBB">
            <w:pPr>
              <w:pStyle w:val="Tabletext"/>
              <w:jc w:val="center"/>
            </w:pPr>
            <w:r w:rsidRPr="006F3E38">
              <w:t>§6.1.6</w:t>
            </w:r>
          </w:p>
        </w:tc>
        <w:tc>
          <w:tcPr>
            <w:tcW w:w="1559" w:type="dxa"/>
            <w:shd w:val="clear" w:color="auto" w:fill="auto"/>
            <w:vAlign w:val="center"/>
          </w:tcPr>
          <w:p w:rsidR="009B1CBB" w:rsidRPr="006F3E38" w:rsidRDefault="009B1CBB" w:rsidP="009B1CBB">
            <w:pPr>
              <w:pStyle w:val="Tabletext"/>
              <w:jc w:val="center"/>
            </w:pPr>
            <w:r w:rsidRPr="006F3E38">
              <w:t>§6.1.7</w:t>
            </w:r>
          </w:p>
        </w:tc>
        <w:tc>
          <w:tcPr>
            <w:tcW w:w="1560" w:type="dxa"/>
            <w:shd w:val="clear" w:color="auto" w:fill="auto"/>
            <w:vAlign w:val="center"/>
          </w:tcPr>
          <w:p w:rsidR="009B1CBB" w:rsidRPr="006F3E38" w:rsidRDefault="009B1CBB" w:rsidP="009B1CBB">
            <w:pPr>
              <w:pStyle w:val="Tabletext"/>
              <w:jc w:val="center"/>
            </w:pPr>
            <w:r w:rsidRPr="006F3E38">
              <w:t>§6.1.5</w:t>
            </w:r>
          </w:p>
        </w:tc>
        <w:tc>
          <w:tcPr>
            <w:tcW w:w="1559" w:type="dxa"/>
            <w:shd w:val="clear" w:color="auto" w:fill="auto"/>
            <w:vAlign w:val="center"/>
          </w:tcPr>
          <w:p w:rsidR="009B1CBB" w:rsidRPr="006F3E38" w:rsidRDefault="009B1CBB" w:rsidP="009B1CBB">
            <w:pPr>
              <w:pStyle w:val="Tabletext"/>
              <w:jc w:val="center"/>
            </w:pPr>
            <w:r w:rsidRPr="006F3E38">
              <w:t>§6.1.4</w:t>
            </w:r>
          </w:p>
        </w:tc>
      </w:tr>
      <w:tr w:rsidR="009B1CBB" w:rsidRPr="006F3E38" w:rsidTr="009B1CBB">
        <w:trPr>
          <w:jc w:val="center"/>
        </w:trPr>
        <w:tc>
          <w:tcPr>
            <w:tcW w:w="2030" w:type="dxa"/>
            <w:shd w:val="clear" w:color="auto" w:fill="auto"/>
            <w:vAlign w:val="center"/>
          </w:tcPr>
          <w:p w:rsidR="009B1CBB" w:rsidRPr="006F3E38" w:rsidRDefault="009B1CBB" w:rsidP="009B1CBB">
            <w:pPr>
              <w:pStyle w:val="Tabletext"/>
              <w:rPr>
                <w:iCs/>
              </w:rPr>
            </w:pPr>
            <w:r w:rsidRPr="006F3E38">
              <w:rPr>
                <w:iCs/>
              </w:rPr>
              <w:t>Development</w:t>
            </w:r>
          </w:p>
        </w:tc>
        <w:tc>
          <w:tcPr>
            <w:tcW w:w="1676" w:type="dxa"/>
            <w:shd w:val="clear" w:color="auto" w:fill="auto"/>
            <w:vAlign w:val="center"/>
          </w:tcPr>
          <w:p w:rsidR="009B1CBB" w:rsidRPr="006F3E38" w:rsidRDefault="009B1CBB" w:rsidP="009B1CBB">
            <w:pPr>
              <w:pStyle w:val="Tabletext"/>
              <w:jc w:val="center"/>
            </w:pPr>
            <w:r w:rsidRPr="006F3E38">
              <w:t>(?)</w:t>
            </w:r>
          </w:p>
        </w:tc>
        <w:tc>
          <w:tcPr>
            <w:tcW w:w="1740" w:type="dxa"/>
            <w:shd w:val="clear" w:color="auto" w:fill="auto"/>
            <w:vAlign w:val="center"/>
          </w:tcPr>
          <w:p w:rsidR="009B1CBB" w:rsidRPr="006F3E38" w:rsidRDefault="009B1CBB" w:rsidP="009B1CBB">
            <w:pPr>
              <w:pStyle w:val="Tabletext"/>
              <w:jc w:val="center"/>
            </w:pPr>
            <w:r w:rsidRPr="006F3E38">
              <w:t>(?)</w:t>
            </w:r>
          </w:p>
        </w:tc>
        <w:tc>
          <w:tcPr>
            <w:tcW w:w="2410" w:type="dxa"/>
            <w:shd w:val="clear" w:color="auto" w:fill="auto"/>
            <w:vAlign w:val="center"/>
          </w:tcPr>
          <w:p w:rsidR="009B1CBB" w:rsidRPr="006F3E38" w:rsidRDefault="009B1CBB" w:rsidP="009B1CBB">
            <w:pPr>
              <w:pStyle w:val="Tabletext"/>
              <w:jc w:val="center"/>
            </w:pPr>
            <w:r w:rsidRPr="006F3E38">
              <w:t>§§10.1.1-10.1.3</w:t>
            </w:r>
          </w:p>
        </w:tc>
        <w:tc>
          <w:tcPr>
            <w:tcW w:w="1701" w:type="dxa"/>
            <w:shd w:val="clear" w:color="auto" w:fill="auto"/>
            <w:vAlign w:val="center"/>
          </w:tcPr>
          <w:p w:rsidR="009B1CBB" w:rsidRPr="006F3E38" w:rsidRDefault="009B1CBB" w:rsidP="009B1CBB">
            <w:pPr>
              <w:pStyle w:val="Tabletext"/>
              <w:jc w:val="center"/>
            </w:pPr>
            <w:r w:rsidRPr="006F3E38">
              <w:t>(?)</w:t>
            </w:r>
          </w:p>
        </w:tc>
        <w:tc>
          <w:tcPr>
            <w:tcW w:w="1559" w:type="dxa"/>
            <w:shd w:val="clear" w:color="auto" w:fill="auto"/>
            <w:vAlign w:val="center"/>
          </w:tcPr>
          <w:p w:rsidR="009B1CBB" w:rsidRPr="006F3E38" w:rsidRDefault="009B1CBB" w:rsidP="009B1CBB">
            <w:pPr>
              <w:pStyle w:val="Tabletext"/>
              <w:jc w:val="center"/>
            </w:pPr>
            <w:r w:rsidRPr="006F3E38">
              <w:t>(?)</w:t>
            </w:r>
          </w:p>
        </w:tc>
        <w:tc>
          <w:tcPr>
            <w:tcW w:w="1560" w:type="dxa"/>
            <w:shd w:val="clear" w:color="auto" w:fill="auto"/>
            <w:vAlign w:val="center"/>
          </w:tcPr>
          <w:p w:rsidR="009B1CBB" w:rsidRPr="006F3E38" w:rsidRDefault="009B1CBB" w:rsidP="009B1CBB">
            <w:pPr>
              <w:pStyle w:val="Tabletext"/>
              <w:jc w:val="center"/>
            </w:pPr>
            <w:r w:rsidRPr="006F3E38">
              <w:t>(?)</w:t>
            </w:r>
          </w:p>
        </w:tc>
        <w:tc>
          <w:tcPr>
            <w:tcW w:w="1559" w:type="dxa"/>
            <w:shd w:val="clear" w:color="auto" w:fill="auto"/>
            <w:vAlign w:val="center"/>
          </w:tcPr>
          <w:p w:rsidR="009B1CBB" w:rsidRPr="006F3E38" w:rsidRDefault="009B1CBB" w:rsidP="009B1CBB">
            <w:pPr>
              <w:pStyle w:val="Tabletext"/>
              <w:jc w:val="center"/>
            </w:pPr>
            <w:r w:rsidRPr="006F3E38">
              <w:t>(?)</w:t>
            </w:r>
          </w:p>
        </w:tc>
      </w:tr>
      <w:tr w:rsidR="009B1CBB" w:rsidRPr="006F3E38" w:rsidTr="009B1CBB">
        <w:trPr>
          <w:jc w:val="center"/>
        </w:trPr>
        <w:tc>
          <w:tcPr>
            <w:tcW w:w="2030" w:type="dxa"/>
            <w:shd w:val="clear" w:color="auto" w:fill="auto"/>
            <w:vAlign w:val="center"/>
          </w:tcPr>
          <w:p w:rsidR="009B1CBB" w:rsidRPr="006F3E38" w:rsidRDefault="009B1CBB" w:rsidP="009B1CBB">
            <w:pPr>
              <w:pStyle w:val="Tabletext"/>
              <w:rPr>
                <w:iCs/>
              </w:rPr>
            </w:pPr>
            <w:r w:rsidRPr="006F3E38">
              <w:rPr>
                <w:iCs/>
              </w:rPr>
              <w:t>Simultaneous Adoption and Approval</w:t>
            </w:r>
          </w:p>
        </w:tc>
        <w:tc>
          <w:tcPr>
            <w:tcW w:w="1676" w:type="dxa"/>
            <w:shd w:val="clear" w:color="auto" w:fill="auto"/>
            <w:vAlign w:val="center"/>
          </w:tcPr>
          <w:p w:rsidR="009B1CBB" w:rsidRPr="006F3E38" w:rsidRDefault="009B1CBB" w:rsidP="009B1CBB">
            <w:pPr>
              <w:pStyle w:val="Tabletext"/>
              <w:jc w:val="center"/>
            </w:pPr>
            <w:r w:rsidRPr="006F3E38">
              <w:t>(not foreseen)</w:t>
            </w:r>
          </w:p>
        </w:tc>
        <w:tc>
          <w:tcPr>
            <w:tcW w:w="1740" w:type="dxa"/>
            <w:shd w:val="clear" w:color="auto" w:fill="auto"/>
            <w:vAlign w:val="center"/>
          </w:tcPr>
          <w:p w:rsidR="009B1CBB" w:rsidRPr="006F3E38" w:rsidRDefault="009B1CBB" w:rsidP="009B1CBB">
            <w:pPr>
              <w:pStyle w:val="Tabletext"/>
              <w:jc w:val="center"/>
            </w:pPr>
            <w:r w:rsidRPr="006F3E38">
              <w:t>(not foreseen)</w:t>
            </w:r>
          </w:p>
        </w:tc>
        <w:tc>
          <w:tcPr>
            <w:tcW w:w="2410" w:type="dxa"/>
            <w:shd w:val="clear" w:color="auto" w:fill="auto"/>
            <w:vAlign w:val="center"/>
          </w:tcPr>
          <w:p w:rsidR="009B1CBB" w:rsidRPr="006F3E38" w:rsidRDefault="009B1CBB" w:rsidP="009B1CBB">
            <w:pPr>
              <w:pStyle w:val="Tabletext"/>
              <w:jc w:val="center"/>
            </w:pPr>
            <w:r w:rsidRPr="006F3E38">
              <w:t>§§10.1.1, 10.3</w:t>
            </w:r>
          </w:p>
        </w:tc>
        <w:tc>
          <w:tcPr>
            <w:tcW w:w="1701" w:type="dxa"/>
            <w:shd w:val="clear" w:color="auto" w:fill="auto"/>
            <w:vAlign w:val="center"/>
          </w:tcPr>
          <w:p w:rsidR="009B1CBB" w:rsidRPr="006F3E38" w:rsidRDefault="009B1CBB" w:rsidP="009B1CBB">
            <w:pPr>
              <w:pStyle w:val="Tabletext"/>
              <w:jc w:val="center"/>
            </w:pPr>
            <w:r w:rsidRPr="006F3E38">
              <w:t>(not foreseen)</w:t>
            </w:r>
          </w:p>
        </w:tc>
        <w:tc>
          <w:tcPr>
            <w:tcW w:w="1559" w:type="dxa"/>
            <w:shd w:val="clear" w:color="auto" w:fill="auto"/>
            <w:vAlign w:val="center"/>
          </w:tcPr>
          <w:p w:rsidR="009B1CBB" w:rsidRPr="006F3E38" w:rsidRDefault="009B1CBB" w:rsidP="009B1CBB">
            <w:pPr>
              <w:pStyle w:val="Tabletext"/>
              <w:jc w:val="center"/>
            </w:pPr>
            <w:r w:rsidRPr="006F3E38">
              <w:t>(not foreseen)</w:t>
            </w:r>
          </w:p>
        </w:tc>
        <w:tc>
          <w:tcPr>
            <w:tcW w:w="1560" w:type="dxa"/>
            <w:shd w:val="clear" w:color="auto" w:fill="auto"/>
            <w:vAlign w:val="center"/>
          </w:tcPr>
          <w:p w:rsidR="009B1CBB" w:rsidRPr="006F3E38" w:rsidRDefault="009B1CBB" w:rsidP="009B1CBB">
            <w:pPr>
              <w:pStyle w:val="Tabletext"/>
              <w:jc w:val="center"/>
            </w:pPr>
            <w:r w:rsidRPr="006F3E38">
              <w:t>(not foreseen)</w:t>
            </w:r>
          </w:p>
        </w:tc>
        <w:tc>
          <w:tcPr>
            <w:tcW w:w="1559" w:type="dxa"/>
            <w:shd w:val="clear" w:color="auto" w:fill="auto"/>
            <w:vAlign w:val="center"/>
          </w:tcPr>
          <w:p w:rsidR="009B1CBB" w:rsidRPr="006F3E38" w:rsidRDefault="009B1CBB" w:rsidP="009B1CBB">
            <w:pPr>
              <w:pStyle w:val="Tabletext"/>
              <w:jc w:val="center"/>
            </w:pPr>
            <w:r w:rsidRPr="006F3E38">
              <w:t>(not foreseen)</w:t>
            </w:r>
          </w:p>
        </w:tc>
      </w:tr>
      <w:tr w:rsidR="009B1CBB" w:rsidRPr="006F3E38" w:rsidTr="009B1CBB">
        <w:trPr>
          <w:jc w:val="center"/>
        </w:trPr>
        <w:tc>
          <w:tcPr>
            <w:tcW w:w="2030" w:type="dxa"/>
            <w:shd w:val="clear" w:color="auto" w:fill="auto"/>
            <w:vAlign w:val="center"/>
          </w:tcPr>
          <w:p w:rsidR="009B1CBB" w:rsidRPr="006F3E38" w:rsidRDefault="009B1CBB" w:rsidP="009B1CBB">
            <w:pPr>
              <w:pStyle w:val="Tabletext"/>
              <w:rPr>
                <w:iCs/>
              </w:rPr>
            </w:pPr>
            <w:r w:rsidRPr="006F3E38">
              <w:rPr>
                <w:iCs/>
              </w:rPr>
              <w:t>Adoption</w:t>
            </w:r>
          </w:p>
        </w:tc>
        <w:tc>
          <w:tcPr>
            <w:tcW w:w="1676" w:type="dxa"/>
            <w:shd w:val="clear" w:color="auto" w:fill="auto"/>
            <w:vAlign w:val="center"/>
          </w:tcPr>
          <w:p w:rsidR="009B1CBB" w:rsidRPr="006F3E38" w:rsidRDefault="009B1CBB" w:rsidP="009B1CBB">
            <w:pPr>
              <w:pStyle w:val="Tabletext"/>
              <w:jc w:val="center"/>
            </w:pPr>
            <w:r w:rsidRPr="006F3E38">
              <w:t>§2.29</w:t>
            </w:r>
          </w:p>
        </w:tc>
        <w:tc>
          <w:tcPr>
            <w:tcW w:w="1740" w:type="dxa"/>
            <w:shd w:val="clear" w:color="auto" w:fill="auto"/>
            <w:vAlign w:val="center"/>
          </w:tcPr>
          <w:p w:rsidR="009B1CBB" w:rsidRPr="006F3E38" w:rsidRDefault="009B1CBB" w:rsidP="009B1CBB">
            <w:pPr>
              <w:pStyle w:val="Tabletext"/>
              <w:jc w:val="center"/>
            </w:pPr>
            <w:r w:rsidRPr="006F3E38">
              <w:t>§§2.28</w:t>
            </w:r>
            <w:r>
              <w:t>-2.28quater</w:t>
            </w:r>
            <w:r w:rsidRPr="006F3E38">
              <w:t>, 3.1.2, 10.2</w:t>
            </w:r>
          </w:p>
        </w:tc>
        <w:tc>
          <w:tcPr>
            <w:tcW w:w="2410" w:type="dxa"/>
            <w:shd w:val="clear" w:color="auto" w:fill="auto"/>
            <w:vAlign w:val="center"/>
          </w:tcPr>
          <w:p w:rsidR="009B1CBB" w:rsidRPr="006F3E38" w:rsidRDefault="009B1CBB" w:rsidP="009B1CBB">
            <w:pPr>
              <w:pStyle w:val="Tabletext"/>
              <w:jc w:val="center"/>
            </w:pPr>
            <w:r w:rsidRPr="006F3E38">
              <w:t>§§2.27, 10.2</w:t>
            </w:r>
          </w:p>
        </w:tc>
        <w:tc>
          <w:tcPr>
            <w:tcW w:w="1701" w:type="dxa"/>
            <w:shd w:val="clear" w:color="auto" w:fill="auto"/>
            <w:vAlign w:val="center"/>
          </w:tcPr>
          <w:p w:rsidR="009B1CBB" w:rsidRPr="006F3E38" w:rsidRDefault="009B1CBB" w:rsidP="009B1CBB">
            <w:pPr>
              <w:pStyle w:val="Tabletext"/>
              <w:jc w:val="center"/>
            </w:pPr>
            <w:r w:rsidRPr="006F3E38">
              <w:t>(not foreseen)</w:t>
            </w:r>
          </w:p>
        </w:tc>
        <w:tc>
          <w:tcPr>
            <w:tcW w:w="1559" w:type="dxa"/>
            <w:shd w:val="clear" w:color="auto" w:fill="auto"/>
            <w:vAlign w:val="center"/>
          </w:tcPr>
          <w:p w:rsidR="009B1CBB" w:rsidRPr="006F3E38" w:rsidRDefault="009B1CBB" w:rsidP="009B1CBB">
            <w:pPr>
              <w:pStyle w:val="Tabletext"/>
              <w:jc w:val="center"/>
            </w:pPr>
            <w:r w:rsidRPr="006F3E38">
              <w:t>(not foreseen)</w:t>
            </w:r>
          </w:p>
        </w:tc>
        <w:tc>
          <w:tcPr>
            <w:tcW w:w="1560" w:type="dxa"/>
            <w:shd w:val="clear" w:color="auto" w:fill="auto"/>
            <w:vAlign w:val="center"/>
          </w:tcPr>
          <w:p w:rsidR="009B1CBB" w:rsidRPr="006F3E38" w:rsidRDefault="009B1CBB" w:rsidP="009B1CBB">
            <w:pPr>
              <w:pStyle w:val="Tabletext"/>
              <w:jc w:val="center"/>
            </w:pPr>
            <w:r w:rsidRPr="006F3E38">
              <w:t>(not foreseen)</w:t>
            </w:r>
          </w:p>
        </w:tc>
        <w:tc>
          <w:tcPr>
            <w:tcW w:w="1559" w:type="dxa"/>
            <w:shd w:val="clear" w:color="auto" w:fill="auto"/>
            <w:vAlign w:val="center"/>
          </w:tcPr>
          <w:p w:rsidR="009B1CBB" w:rsidRPr="006F3E38" w:rsidRDefault="009B1CBB" w:rsidP="009B1CBB">
            <w:pPr>
              <w:pStyle w:val="Tabletext"/>
              <w:jc w:val="center"/>
            </w:pPr>
            <w:r w:rsidRPr="006F3E38">
              <w:t>(not foreseen)</w:t>
            </w:r>
          </w:p>
        </w:tc>
      </w:tr>
      <w:tr w:rsidR="009B1CBB" w:rsidRPr="006F3E38" w:rsidTr="009B1CBB">
        <w:trPr>
          <w:jc w:val="center"/>
        </w:trPr>
        <w:tc>
          <w:tcPr>
            <w:tcW w:w="2030" w:type="dxa"/>
            <w:shd w:val="clear" w:color="auto" w:fill="auto"/>
            <w:vAlign w:val="center"/>
          </w:tcPr>
          <w:p w:rsidR="009B1CBB" w:rsidRPr="006F3E38" w:rsidRDefault="009B1CBB" w:rsidP="009B1CBB">
            <w:pPr>
              <w:pStyle w:val="Tabletext"/>
              <w:rPr>
                <w:iCs/>
              </w:rPr>
            </w:pPr>
            <w:r w:rsidRPr="006F3E38">
              <w:rPr>
                <w:iCs/>
              </w:rPr>
              <w:t>Approval</w:t>
            </w:r>
          </w:p>
        </w:tc>
        <w:tc>
          <w:tcPr>
            <w:tcW w:w="1676" w:type="dxa"/>
            <w:shd w:val="clear" w:color="auto" w:fill="auto"/>
            <w:vAlign w:val="center"/>
          </w:tcPr>
          <w:p w:rsidR="009B1CBB" w:rsidRPr="006F3E38" w:rsidRDefault="009B1CBB" w:rsidP="009B1CBB">
            <w:pPr>
              <w:pStyle w:val="Tabletext"/>
              <w:jc w:val="center"/>
            </w:pPr>
            <w:r w:rsidRPr="006F3E38">
              <w:t>§1.6</w:t>
            </w:r>
          </w:p>
        </w:tc>
        <w:tc>
          <w:tcPr>
            <w:tcW w:w="1740" w:type="dxa"/>
            <w:shd w:val="clear" w:color="auto" w:fill="auto"/>
            <w:vAlign w:val="center"/>
          </w:tcPr>
          <w:p w:rsidR="009B1CBB" w:rsidRPr="006F3E38" w:rsidRDefault="009B1CBB" w:rsidP="009B1CBB">
            <w:pPr>
              <w:pStyle w:val="Tabletext"/>
              <w:jc w:val="center"/>
            </w:pPr>
            <w:r w:rsidRPr="006F3E38">
              <w:t>§§3.1.1, 3.1.2, 10.4</w:t>
            </w:r>
          </w:p>
        </w:tc>
        <w:tc>
          <w:tcPr>
            <w:tcW w:w="2410" w:type="dxa"/>
            <w:shd w:val="clear" w:color="auto" w:fill="auto"/>
            <w:vAlign w:val="center"/>
          </w:tcPr>
          <w:p w:rsidR="009B1CBB" w:rsidRPr="006F3E38" w:rsidRDefault="009B1CBB" w:rsidP="009B1CBB">
            <w:pPr>
              <w:pStyle w:val="Tabletext"/>
              <w:jc w:val="center"/>
            </w:pPr>
            <w:r w:rsidRPr="006F3E38">
              <w:t>§§1.6, 10.1.4, 10.1.5, 10.4</w:t>
            </w:r>
          </w:p>
        </w:tc>
        <w:tc>
          <w:tcPr>
            <w:tcW w:w="1701" w:type="dxa"/>
            <w:shd w:val="clear" w:color="auto" w:fill="auto"/>
            <w:vAlign w:val="center"/>
          </w:tcPr>
          <w:p w:rsidR="009B1CBB" w:rsidRPr="006F3E38" w:rsidRDefault="009B1CBB" w:rsidP="009B1CBB">
            <w:pPr>
              <w:pStyle w:val="Tabletext"/>
              <w:jc w:val="center"/>
            </w:pPr>
            <w:r w:rsidRPr="006F3E38">
              <w:t>§2.30</w:t>
            </w:r>
          </w:p>
        </w:tc>
        <w:tc>
          <w:tcPr>
            <w:tcW w:w="1559" w:type="dxa"/>
            <w:shd w:val="clear" w:color="auto" w:fill="auto"/>
            <w:vAlign w:val="center"/>
          </w:tcPr>
          <w:p w:rsidR="009B1CBB" w:rsidRPr="006F3E38" w:rsidRDefault="009B1CBB" w:rsidP="009B1CBB">
            <w:pPr>
              <w:pStyle w:val="Tabletext"/>
              <w:jc w:val="center"/>
            </w:pPr>
            <w:r w:rsidRPr="006F3E38">
              <w:t>§2.30</w:t>
            </w:r>
          </w:p>
        </w:tc>
        <w:tc>
          <w:tcPr>
            <w:tcW w:w="1560" w:type="dxa"/>
            <w:shd w:val="clear" w:color="auto" w:fill="auto"/>
            <w:vAlign w:val="center"/>
          </w:tcPr>
          <w:p w:rsidR="009B1CBB" w:rsidRPr="006F3E38" w:rsidRDefault="009B1CBB" w:rsidP="009B1CBB">
            <w:pPr>
              <w:pStyle w:val="Tabletext"/>
              <w:jc w:val="center"/>
            </w:pPr>
            <w:r w:rsidRPr="006F3E38">
              <w:t>§2.30</w:t>
            </w:r>
          </w:p>
        </w:tc>
        <w:tc>
          <w:tcPr>
            <w:tcW w:w="1559" w:type="dxa"/>
            <w:shd w:val="clear" w:color="auto" w:fill="auto"/>
            <w:vAlign w:val="center"/>
          </w:tcPr>
          <w:p w:rsidR="009B1CBB" w:rsidRPr="006F3E38" w:rsidRDefault="009B1CBB" w:rsidP="009B1CBB">
            <w:pPr>
              <w:pStyle w:val="Tabletext"/>
              <w:jc w:val="center"/>
            </w:pPr>
            <w:r w:rsidRPr="006F3E38">
              <w:t>§2.30</w:t>
            </w:r>
          </w:p>
        </w:tc>
      </w:tr>
      <w:tr w:rsidR="009B1CBB" w:rsidRPr="006F3E38" w:rsidTr="009B1CBB">
        <w:trPr>
          <w:jc w:val="center"/>
        </w:trPr>
        <w:tc>
          <w:tcPr>
            <w:tcW w:w="2030" w:type="dxa"/>
            <w:shd w:val="clear" w:color="auto" w:fill="auto"/>
            <w:vAlign w:val="center"/>
          </w:tcPr>
          <w:p w:rsidR="009B1CBB" w:rsidRPr="006F3E38" w:rsidRDefault="009B1CBB" w:rsidP="009B1CBB">
            <w:pPr>
              <w:pStyle w:val="Tabletext"/>
              <w:rPr>
                <w:iCs/>
              </w:rPr>
            </w:pPr>
            <w:r w:rsidRPr="006F3E38">
              <w:rPr>
                <w:iCs/>
              </w:rPr>
              <w:t>Application</w:t>
            </w:r>
          </w:p>
        </w:tc>
        <w:tc>
          <w:tcPr>
            <w:tcW w:w="1676" w:type="dxa"/>
            <w:shd w:val="clear" w:color="auto" w:fill="auto"/>
            <w:vAlign w:val="center"/>
          </w:tcPr>
          <w:p w:rsidR="009B1CBB" w:rsidRPr="006F3E38" w:rsidRDefault="009B1CBB" w:rsidP="009B1CBB">
            <w:pPr>
              <w:pStyle w:val="Tabletext"/>
              <w:jc w:val="center"/>
            </w:pPr>
            <w:r w:rsidRPr="006F3E38">
              <w:t>(?)</w:t>
            </w:r>
          </w:p>
        </w:tc>
        <w:tc>
          <w:tcPr>
            <w:tcW w:w="1740" w:type="dxa"/>
            <w:shd w:val="clear" w:color="auto" w:fill="auto"/>
            <w:vAlign w:val="center"/>
          </w:tcPr>
          <w:p w:rsidR="009B1CBB" w:rsidRPr="006F3E38" w:rsidRDefault="009B1CBB" w:rsidP="009B1CBB">
            <w:pPr>
              <w:pStyle w:val="Tabletext"/>
              <w:jc w:val="center"/>
            </w:pPr>
            <w:r w:rsidRPr="006F3E38">
              <w:t>§§3.2-3.5</w:t>
            </w:r>
          </w:p>
        </w:tc>
        <w:tc>
          <w:tcPr>
            <w:tcW w:w="2410" w:type="dxa"/>
            <w:shd w:val="clear" w:color="auto" w:fill="auto"/>
            <w:vAlign w:val="center"/>
          </w:tcPr>
          <w:p w:rsidR="009B1CBB" w:rsidRPr="006F3E38" w:rsidRDefault="009B1CBB" w:rsidP="009B1CBB">
            <w:pPr>
              <w:pStyle w:val="Tabletext"/>
              <w:jc w:val="center"/>
            </w:pPr>
            <w:r w:rsidRPr="006F3E38">
              <w:t>§§10.1.8, 10.1.9</w:t>
            </w:r>
            <w:r>
              <w:br/>
            </w:r>
            <w:r w:rsidRPr="006F3E38">
              <w:t>(=10.4.8, 10.4.9)</w:t>
            </w:r>
          </w:p>
        </w:tc>
        <w:tc>
          <w:tcPr>
            <w:tcW w:w="1701" w:type="dxa"/>
            <w:shd w:val="clear" w:color="auto" w:fill="auto"/>
            <w:vAlign w:val="center"/>
          </w:tcPr>
          <w:p w:rsidR="009B1CBB" w:rsidRPr="006F3E38" w:rsidRDefault="009B1CBB" w:rsidP="009B1CBB">
            <w:pPr>
              <w:pStyle w:val="Tabletext"/>
              <w:jc w:val="center"/>
            </w:pPr>
            <w:r w:rsidRPr="006F3E38">
              <w:t>(?)</w:t>
            </w:r>
          </w:p>
        </w:tc>
        <w:tc>
          <w:tcPr>
            <w:tcW w:w="1559" w:type="dxa"/>
            <w:shd w:val="clear" w:color="auto" w:fill="auto"/>
            <w:vAlign w:val="center"/>
          </w:tcPr>
          <w:p w:rsidR="009B1CBB" w:rsidRPr="006F3E38" w:rsidRDefault="009B1CBB" w:rsidP="009B1CBB">
            <w:pPr>
              <w:pStyle w:val="Tabletext"/>
              <w:jc w:val="center"/>
            </w:pPr>
            <w:r w:rsidRPr="006F3E38">
              <w:t>(?)</w:t>
            </w:r>
          </w:p>
        </w:tc>
        <w:tc>
          <w:tcPr>
            <w:tcW w:w="1560" w:type="dxa"/>
            <w:shd w:val="clear" w:color="auto" w:fill="auto"/>
            <w:vAlign w:val="center"/>
          </w:tcPr>
          <w:p w:rsidR="009B1CBB" w:rsidRPr="006F3E38" w:rsidRDefault="009B1CBB" w:rsidP="009B1CBB">
            <w:pPr>
              <w:pStyle w:val="Tabletext"/>
              <w:jc w:val="center"/>
            </w:pPr>
            <w:r w:rsidRPr="006F3E38">
              <w:t>(?)</w:t>
            </w:r>
          </w:p>
        </w:tc>
        <w:tc>
          <w:tcPr>
            <w:tcW w:w="1559" w:type="dxa"/>
            <w:shd w:val="clear" w:color="auto" w:fill="auto"/>
            <w:vAlign w:val="center"/>
          </w:tcPr>
          <w:p w:rsidR="009B1CBB" w:rsidRPr="006F3E38" w:rsidRDefault="009B1CBB" w:rsidP="009B1CBB">
            <w:pPr>
              <w:pStyle w:val="Tabletext"/>
              <w:jc w:val="center"/>
            </w:pPr>
            <w:r w:rsidRPr="006F3E38">
              <w:t>(?)</w:t>
            </w:r>
          </w:p>
        </w:tc>
      </w:tr>
      <w:tr w:rsidR="009B1CBB" w:rsidRPr="006F3E38" w:rsidTr="009B1CBB">
        <w:trPr>
          <w:jc w:val="center"/>
        </w:trPr>
        <w:tc>
          <w:tcPr>
            <w:tcW w:w="2030" w:type="dxa"/>
            <w:shd w:val="clear" w:color="auto" w:fill="auto"/>
            <w:vAlign w:val="center"/>
          </w:tcPr>
          <w:p w:rsidR="009B1CBB" w:rsidRPr="006F3E38" w:rsidRDefault="009B1CBB" w:rsidP="009B1CBB">
            <w:pPr>
              <w:pStyle w:val="Tabletext"/>
              <w:rPr>
                <w:iCs/>
              </w:rPr>
            </w:pPr>
            <w:r w:rsidRPr="006F3E38">
              <w:rPr>
                <w:iCs/>
              </w:rPr>
              <w:t>Publication</w:t>
            </w:r>
          </w:p>
        </w:tc>
        <w:tc>
          <w:tcPr>
            <w:tcW w:w="1676" w:type="dxa"/>
            <w:shd w:val="clear" w:color="auto" w:fill="auto"/>
            <w:vAlign w:val="center"/>
          </w:tcPr>
          <w:p w:rsidR="009B1CBB" w:rsidRPr="006F3E38" w:rsidRDefault="009B1CBB" w:rsidP="009B1CBB">
            <w:pPr>
              <w:pStyle w:val="Tabletext"/>
              <w:jc w:val="center"/>
            </w:pPr>
            <w:r w:rsidRPr="006F3E38">
              <w:t>§6.3</w:t>
            </w:r>
          </w:p>
        </w:tc>
        <w:tc>
          <w:tcPr>
            <w:tcW w:w="1740" w:type="dxa"/>
            <w:shd w:val="clear" w:color="auto" w:fill="auto"/>
            <w:vAlign w:val="center"/>
          </w:tcPr>
          <w:p w:rsidR="009B1CBB" w:rsidRPr="006F3E38" w:rsidRDefault="009B1CBB" w:rsidP="009B1CBB">
            <w:pPr>
              <w:pStyle w:val="Tabletext"/>
              <w:jc w:val="center"/>
            </w:pPr>
            <w:r w:rsidRPr="006F3E38">
              <w:t>§6.3</w:t>
            </w:r>
          </w:p>
        </w:tc>
        <w:tc>
          <w:tcPr>
            <w:tcW w:w="2410" w:type="dxa"/>
            <w:shd w:val="clear" w:color="auto" w:fill="auto"/>
            <w:vAlign w:val="center"/>
          </w:tcPr>
          <w:p w:rsidR="009B1CBB" w:rsidRPr="006F3E38" w:rsidRDefault="009B1CBB" w:rsidP="009B1CBB">
            <w:pPr>
              <w:pStyle w:val="Tabletext"/>
              <w:jc w:val="center"/>
            </w:pPr>
            <w:r w:rsidRPr="006F3E38">
              <w:t>§§6.3, 10.1.7 (=10.4.7)</w:t>
            </w:r>
          </w:p>
        </w:tc>
        <w:tc>
          <w:tcPr>
            <w:tcW w:w="1701" w:type="dxa"/>
            <w:shd w:val="clear" w:color="auto" w:fill="auto"/>
            <w:vAlign w:val="center"/>
          </w:tcPr>
          <w:p w:rsidR="009B1CBB" w:rsidRPr="006F3E38" w:rsidRDefault="009B1CBB" w:rsidP="009B1CBB">
            <w:pPr>
              <w:pStyle w:val="Tabletext"/>
              <w:jc w:val="center"/>
            </w:pPr>
            <w:r w:rsidRPr="006F3E38">
              <w:t>§6.3</w:t>
            </w:r>
          </w:p>
        </w:tc>
        <w:tc>
          <w:tcPr>
            <w:tcW w:w="1559" w:type="dxa"/>
            <w:shd w:val="clear" w:color="auto" w:fill="auto"/>
            <w:vAlign w:val="center"/>
          </w:tcPr>
          <w:p w:rsidR="009B1CBB" w:rsidRPr="006F3E38" w:rsidRDefault="009B1CBB" w:rsidP="009B1CBB">
            <w:pPr>
              <w:pStyle w:val="Tabletext"/>
              <w:jc w:val="center"/>
            </w:pPr>
            <w:r w:rsidRPr="006F3E38">
              <w:t>§6.3</w:t>
            </w:r>
          </w:p>
        </w:tc>
        <w:tc>
          <w:tcPr>
            <w:tcW w:w="1560" w:type="dxa"/>
            <w:shd w:val="clear" w:color="auto" w:fill="auto"/>
            <w:vAlign w:val="center"/>
          </w:tcPr>
          <w:p w:rsidR="009B1CBB" w:rsidRPr="006F3E38" w:rsidRDefault="009B1CBB" w:rsidP="009B1CBB">
            <w:pPr>
              <w:pStyle w:val="Tabletext"/>
              <w:jc w:val="center"/>
            </w:pPr>
            <w:r w:rsidRPr="006F3E38">
              <w:t>(?)</w:t>
            </w:r>
          </w:p>
        </w:tc>
        <w:tc>
          <w:tcPr>
            <w:tcW w:w="1559" w:type="dxa"/>
            <w:shd w:val="clear" w:color="auto" w:fill="auto"/>
            <w:vAlign w:val="center"/>
          </w:tcPr>
          <w:p w:rsidR="009B1CBB" w:rsidRPr="006F3E38" w:rsidRDefault="009B1CBB" w:rsidP="009B1CBB">
            <w:pPr>
              <w:pStyle w:val="Tabletext"/>
              <w:jc w:val="center"/>
            </w:pPr>
            <w:r w:rsidRPr="006F3E38">
              <w:t>§6.3</w:t>
            </w:r>
          </w:p>
        </w:tc>
      </w:tr>
      <w:tr w:rsidR="009B1CBB" w:rsidRPr="006F3E38" w:rsidTr="009B1CBB">
        <w:trPr>
          <w:jc w:val="center"/>
        </w:trPr>
        <w:tc>
          <w:tcPr>
            <w:tcW w:w="2030" w:type="dxa"/>
            <w:shd w:val="clear" w:color="auto" w:fill="auto"/>
            <w:vAlign w:val="center"/>
          </w:tcPr>
          <w:p w:rsidR="009B1CBB" w:rsidRPr="006F3E38" w:rsidRDefault="009B1CBB" w:rsidP="009B1CBB">
            <w:pPr>
              <w:pStyle w:val="Tabletext"/>
              <w:rPr>
                <w:iCs/>
              </w:rPr>
            </w:pPr>
            <w:r w:rsidRPr="006F3E38">
              <w:rPr>
                <w:iCs/>
              </w:rPr>
              <w:t>Review and Revision</w:t>
            </w:r>
          </w:p>
        </w:tc>
        <w:tc>
          <w:tcPr>
            <w:tcW w:w="1676" w:type="dxa"/>
            <w:shd w:val="clear" w:color="auto" w:fill="auto"/>
            <w:vAlign w:val="center"/>
          </w:tcPr>
          <w:p w:rsidR="009B1CBB" w:rsidRPr="006F3E38" w:rsidRDefault="009B1CBB" w:rsidP="009B1CBB">
            <w:pPr>
              <w:pStyle w:val="Tabletext"/>
              <w:jc w:val="center"/>
            </w:pPr>
            <w:r w:rsidRPr="006F3E38">
              <w:t>(?)</w:t>
            </w:r>
          </w:p>
        </w:tc>
        <w:tc>
          <w:tcPr>
            <w:tcW w:w="1740" w:type="dxa"/>
            <w:shd w:val="clear" w:color="auto" w:fill="auto"/>
            <w:vAlign w:val="center"/>
          </w:tcPr>
          <w:p w:rsidR="009B1CBB" w:rsidRPr="006F3E38" w:rsidRDefault="009B1CBB" w:rsidP="009B1CBB">
            <w:pPr>
              <w:pStyle w:val="Tabletext"/>
              <w:jc w:val="center"/>
            </w:pPr>
            <w:r w:rsidRPr="006F3E38">
              <w:t>§§11.1-11.3</w:t>
            </w:r>
          </w:p>
        </w:tc>
        <w:tc>
          <w:tcPr>
            <w:tcW w:w="2410" w:type="dxa"/>
            <w:shd w:val="clear" w:color="auto" w:fill="auto"/>
            <w:vAlign w:val="center"/>
          </w:tcPr>
          <w:p w:rsidR="009B1CBB" w:rsidRPr="006F3E38" w:rsidRDefault="009B1CBB" w:rsidP="009B1CBB">
            <w:pPr>
              <w:pStyle w:val="Tabletext"/>
              <w:jc w:val="center"/>
            </w:pPr>
            <w:r w:rsidRPr="006F3E38">
              <w:t>§§10.1.6, 11.1-11.3</w:t>
            </w:r>
          </w:p>
        </w:tc>
        <w:tc>
          <w:tcPr>
            <w:tcW w:w="1701" w:type="dxa"/>
            <w:shd w:val="clear" w:color="auto" w:fill="auto"/>
            <w:vAlign w:val="center"/>
          </w:tcPr>
          <w:p w:rsidR="009B1CBB" w:rsidRPr="006F3E38" w:rsidRDefault="009B1CBB" w:rsidP="009B1CBB">
            <w:pPr>
              <w:pStyle w:val="Tabletext"/>
              <w:jc w:val="center"/>
            </w:pPr>
            <w:r w:rsidRPr="006F3E38">
              <w:t>(?)</w:t>
            </w:r>
          </w:p>
        </w:tc>
        <w:tc>
          <w:tcPr>
            <w:tcW w:w="1559" w:type="dxa"/>
            <w:shd w:val="clear" w:color="auto" w:fill="auto"/>
            <w:vAlign w:val="center"/>
          </w:tcPr>
          <w:p w:rsidR="009B1CBB" w:rsidRPr="006F3E38" w:rsidRDefault="009B1CBB" w:rsidP="009B1CBB">
            <w:pPr>
              <w:pStyle w:val="Tabletext"/>
              <w:jc w:val="center"/>
            </w:pPr>
            <w:r w:rsidRPr="006F3E38">
              <w:t>(?)</w:t>
            </w:r>
          </w:p>
        </w:tc>
        <w:tc>
          <w:tcPr>
            <w:tcW w:w="1560" w:type="dxa"/>
            <w:shd w:val="clear" w:color="auto" w:fill="auto"/>
            <w:vAlign w:val="center"/>
          </w:tcPr>
          <w:p w:rsidR="009B1CBB" w:rsidRPr="006F3E38" w:rsidRDefault="009B1CBB" w:rsidP="009B1CBB">
            <w:pPr>
              <w:pStyle w:val="Tabletext"/>
              <w:jc w:val="center"/>
            </w:pPr>
            <w:r w:rsidRPr="006F3E38">
              <w:t>(?)</w:t>
            </w:r>
          </w:p>
        </w:tc>
        <w:tc>
          <w:tcPr>
            <w:tcW w:w="1559" w:type="dxa"/>
            <w:shd w:val="clear" w:color="auto" w:fill="auto"/>
            <w:vAlign w:val="center"/>
          </w:tcPr>
          <w:p w:rsidR="009B1CBB" w:rsidRPr="006F3E38" w:rsidRDefault="009B1CBB" w:rsidP="009B1CBB">
            <w:pPr>
              <w:pStyle w:val="Tabletext"/>
              <w:jc w:val="center"/>
            </w:pPr>
            <w:r w:rsidRPr="006F3E38">
              <w:t>(?)</w:t>
            </w:r>
          </w:p>
        </w:tc>
      </w:tr>
      <w:tr w:rsidR="009B1CBB" w:rsidRPr="006F3E38" w:rsidTr="009B1CBB">
        <w:trPr>
          <w:jc w:val="center"/>
        </w:trPr>
        <w:tc>
          <w:tcPr>
            <w:tcW w:w="2030" w:type="dxa"/>
            <w:shd w:val="clear" w:color="auto" w:fill="auto"/>
            <w:vAlign w:val="center"/>
          </w:tcPr>
          <w:p w:rsidR="009B1CBB" w:rsidRPr="006F3E38" w:rsidRDefault="009B1CBB" w:rsidP="009B1CBB">
            <w:pPr>
              <w:pStyle w:val="Tabletext"/>
              <w:rPr>
                <w:iCs/>
              </w:rPr>
            </w:pPr>
            <w:r w:rsidRPr="006F3E38">
              <w:rPr>
                <w:iCs/>
              </w:rPr>
              <w:t>Editorial Revision</w:t>
            </w:r>
          </w:p>
        </w:tc>
        <w:tc>
          <w:tcPr>
            <w:tcW w:w="1676" w:type="dxa"/>
            <w:shd w:val="clear" w:color="auto" w:fill="auto"/>
            <w:vAlign w:val="center"/>
          </w:tcPr>
          <w:p w:rsidR="009B1CBB" w:rsidRPr="006F3E38" w:rsidRDefault="009B1CBB" w:rsidP="009B1CBB">
            <w:pPr>
              <w:pStyle w:val="Tabletext"/>
              <w:jc w:val="center"/>
            </w:pPr>
            <w:r w:rsidRPr="006F3E38">
              <w:t>(not foreseen)</w:t>
            </w:r>
          </w:p>
        </w:tc>
        <w:tc>
          <w:tcPr>
            <w:tcW w:w="1740" w:type="dxa"/>
            <w:shd w:val="clear" w:color="auto" w:fill="auto"/>
            <w:vAlign w:val="center"/>
          </w:tcPr>
          <w:p w:rsidR="009B1CBB" w:rsidRPr="006F3E38" w:rsidRDefault="009B1CBB" w:rsidP="009B1CBB">
            <w:pPr>
              <w:pStyle w:val="Tabletext"/>
              <w:jc w:val="center"/>
            </w:pPr>
            <w:r w:rsidRPr="006F3E38">
              <w:t>§11.4</w:t>
            </w:r>
          </w:p>
        </w:tc>
        <w:tc>
          <w:tcPr>
            <w:tcW w:w="2410" w:type="dxa"/>
            <w:shd w:val="clear" w:color="auto" w:fill="auto"/>
            <w:vAlign w:val="center"/>
          </w:tcPr>
          <w:p w:rsidR="009B1CBB" w:rsidRPr="006F3E38" w:rsidRDefault="009B1CBB" w:rsidP="009B1CBB">
            <w:pPr>
              <w:pStyle w:val="Tabletext"/>
              <w:jc w:val="center"/>
            </w:pPr>
            <w:r w:rsidRPr="006F3E38">
              <w:t>§§2.30, 11.4-11.6</w:t>
            </w:r>
          </w:p>
        </w:tc>
        <w:tc>
          <w:tcPr>
            <w:tcW w:w="1701" w:type="dxa"/>
            <w:shd w:val="clear" w:color="auto" w:fill="auto"/>
            <w:vAlign w:val="center"/>
          </w:tcPr>
          <w:p w:rsidR="009B1CBB" w:rsidRPr="006F3E38" w:rsidRDefault="009B1CBB" w:rsidP="009B1CBB">
            <w:pPr>
              <w:pStyle w:val="Tabletext"/>
              <w:jc w:val="center"/>
            </w:pPr>
            <w:r w:rsidRPr="006F3E38">
              <w:t>(not foreseen)</w:t>
            </w:r>
          </w:p>
        </w:tc>
        <w:tc>
          <w:tcPr>
            <w:tcW w:w="1559" w:type="dxa"/>
            <w:shd w:val="clear" w:color="auto" w:fill="auto"/>
            <w:vAlign w:val="center"/>
          </w:tcPr>
          <w:p w:rsidR="009B1CBB" w:rsidRPr="006F3E38" w:rsidRDefault="009B1CBB" w:rsidP="009B1CBB">
            <w:pPr>
              <w:pStyle w:val="Tabletext"/>
              <w:jc w:val="center"/>
            </w:pPr>
            <w:r w:rsidRPr="006F3E38">
              <w:t>(not foreseen)</w:t>
            </w:r>
          </w:p>
        </w:tc>
        <w:tc>
          <w:tcPr>
            <w:tcW w:w="1560" w:type="dxa"/>
            <w:shd w:val="clear" w:color="auto" w:fill="auto"/>
            <w:vAlign w:val="center"/>
          </w:tcPr>
          <w:p w:rsidR="009B1CBB" w:rsidRPr="006F3E38" w:rsidRDefault="009B1CBB" w:rsidP="009B1CBB">
            <w:pPr>
              <w:pStyle w:val="Tabletext"/>
              <w:jc w:val="center"/>
            </w:pPr>
            <w:r w:rsidRPr="006F3E38">
              <w:t>(not foreseen)</w:t>
            </w:r>
          </w:p>
        </w:tc>
        <w:tc>
          <w:tcPr>
            <w:tcW w:w="1559" w:type="dxa"/>
            <w:shd w:val="clear" w:color="auto" w:fill="auto"/>
            <w:vAlign w:val="center"/>
          </w:tcPr>
          <w:p w:rsidR="009B1CBB" w:rsidRPr="006F3E38" w:rsidRDefault="009B1CBB" w:rsidP="009B1CBB">
            <w:pPr>
              <w:pStyle w:val="Tabletext"/>
              <w:jc w:val="center"/>
            </w:pPr>
            <w:r w:rsidRPr="006F3E38">
              <w:t>(not foreseen)</w:t>
            </w:r>
          </w:p>
        </w:tc>
      </w:tr>
      <w:tr w:rsidR="009B1CBB" w:rsidRPr="006F3E38" w:rsidTr="009B1CBB">
        <w:trPr>
          <w:jc w:val="center"/>
        </w:trPr>
        <w:tc>
          <w:tcPr>
            <w:tcW w:w="2030" w:type="dxa"/>
            <w:tcBorders>
              <w:bottom w:val="single" w:sz="4" w:space="0" w:color="auto"/>
            </w:tcBorders>
            <w:shd w:val="clear" w:color="auto" w:fill="auto"/>
            <w:vAlign w:val="center"/>
          </w:tcPr>
          <w:p w:rsidR="009B1CBB" w:rsidRPr="006F3E38" w:rsidRDefault="009B1CBB" w:rsidP="009B1CBB">
            <w:pPr>
              <w:pStyle w:val="Tabletext"/>
              <w:rPr>
                <w:iCs/>
              </w:rPr>
            </w:pPr>
            <w:r w:rsidRPr="006F3E38">
              <w:rPr>
                <w:iCs/>
              </w:rPr>
              <w:t>Suppression</w:t>
            </w:r>
          </w:p>
        </w:tc>
        <w:tc>
          <w:tcPr>
            <w:tcW w:w="1676" w:type="dxa"/>
            <w:tcBorders>
              <w:bottom w:val="single" w:sz="4" w:space="0" w:color="auto"/>
            </w:tcBorders>
            <w:shd w:val="clear" w:color="auto" w:fill="auto"/>
            <w:vAlign w:val="center"/>
          </w:tcPr>
          <w:p w:rsidR="009B1CBB" w:rsidRPr="006F3E38" w:rsidRDefault="009B1CBB" w:rsidP="009B1CBB">
            <w:pPr>
              <w:pStyle w:val="Tabletext"/>
              <w:jc w:val="center"/>
            </w:pPr>
            <w:r w:rsidRPr="006F3E38">
              <w:t>§1.6</w:t>
            </w:r>
          </w:p>
        </w:tc>
        <w:tc>
          <w:tcPr>
            <w:tcW w:w="1740" w:type="dxa"/>
            <w:tcBorders>
              <w:bottom w:val="single" w:sz="4" w:space="0" w:color="auto"/>
            </w:tcBorders>
            <w:shd w:val="clear" w:color="auto" w:fill="auto"/>
            <w:vAlign w:val="center"/>
          </w:tcPr>
          <w:p w:rsidR="009B1CBB" w:rsidRPr="006F3E38" w:rsidRDefault="009B1CBB" w:rsidP="009B1CBB">
            <w:pPr>
              <w:pStyle w:val="Tabletext"/>
              <w:jc w:val="center"/>
            </w:pPr>
            <w:r w:rsidRPr="006F3E38">
              <w:t>§§3.6, 11.7, 11.8</w:t>
            </w:r>
          </w:p>
        </w:tc>
        <w:tc>
          <w:tcPr>
            <w:tcW w:w="2410" w:type="dxa"/>
            <w:tcBorders>
              <w:bottom w:val="single" w:sz="4" w:space="0" w:color="auto"/>
            </w:tcBorders>
            <w:shd w:val="clear" w:color="auto" w:fill="auto"/>
            <w:vAlign w:val="center"/>
          </w:tcPr>
          <w:p w:rsidR="009B1CBB" w:rsidRPr="006F3E38" w:rsidRDefault="009B1CBB" w:rsidP="009B1CBB">
            <w:pPr>
              <w:pStyle w:val="Tabletext"/>
              <w:jc w:val="center"/>
            </w:pPr>
            <w:r w:rsidRPr="006F3E38">
              <w:t>§§11.7, 11.8</w:t>
            </w:r>
          </w:p>
        </w:tc>
        <w:tc>
          <w:tcPr>
            <w:tcW w:w="1701" w:type="dxa"/>
            <w:tcBorders>
              <w:bottom w:val="single" w:sz="4" w:space="0" w:color="auto"/>
            </w:tcBorders>
            <w:shd w:val="clear" w:color="auto" w:fill="auto"/>
            <w:vAlign w:val="center"/>
          </w:tcPr>
          <w:p w:rsidR="009B1CBB" w:rsidRPr="006F3E38" w:rsidRDefault="009B1CBB" w:rsidP="009B1CBB">
            <w:pPr>
              <w:pStyle w:val="Tabletext"/>
              <w:jc w:val="center"/>
            </w:pPr>
            <w:r w:rsidRPr="006F3E38">
              <w:t>(?)</w:t>
            </w:r>
          </w:p>
        </w:tc>
        <w:tc>
          <w:tcPr>
            <w:tcW w:w="1559" w:type="dxa"/>
            <w:tcBorders>
              <w:bottom w:val="single" w:sz="4" w:space="0" w:color="auto"/>
            </w:tcBorders>
            <w:shd w:val="clear" w:color="auto" w:fill="auto"/>
            <w:vAlign w:val="center"/>
          </w:tcPr>
          <w:p w:rsidR="009B1CBB" w:rsidRPr="006F3E38" w:rsidRDefault="009B1CBB" w:rsidP="009B1CBB">
            <w:pPr>
              <w:pStyle w:val="Tabletext"/>
              <w:jc w:val="center"/>
            </w:pPr>
            <w:r w:rsidRPr="006F3E38">
              <w:t>(?)</w:t>
            </w:r>
          </w:p>
        </w:tc>
        <w:tc>
          <w:tcPr>
            <w:tcW w:w="1560" w:type="dxa"/>
            <w:tcBorders>
              <w:bottom w:val="single" w:sz="4" w:space="0" w:color="auto"/>
            </w:tcBorders>
            <w:shd w:val="clear" w:color="auto" w:fill="auto"/>
            <w:vAlign w:val="center"/>
          </w:tcPr>
          <w:p w:rsidR="009B1CBB" w:rsidRPr="006F3E38" w:rsidRDefault="009B1CBB" w:rsidP="009B1CBB">
            <w:pPr>
              <w:pStyle w:val="Tabletext"/>
              <w:jc w:val="center"/>
            </w:pPr>
            <w:r w:rsidRPr="006F3E38">
              <w:t>(?)</w:t>
            </w:r>
          </w:p>
        </w:tc>
        <w:tc>
          <w:tcPr>
            <w:tcW w:w="1559" w:type="dxa"/>
            <w:tcBorders>
              <w:bottom w:val="single" w:sz="4" w:space="0" w:color="auto"/>
            </w:tcBorders>
            <w:shd w:val="clear" w:color="auto" w:fill="auto"/>
            <w:vAlign w:val="center"/>
          </w:tcPr>
          <w:p w:rsidR="009B1CBB" w:rsidRPr="006F3E38" w:rsidRDefault="009B1CBB" w:rsidP="009B1CBB">
            <w:pPr>
              <w:pStyle w:val="Tabletext"/>
              <w:jc w:val="center"/>
            </w:pPr>
            <w:r w:rsidRPr="006F3E38">
              <w:t>(?)</w:t>
            </w:r>
          </w:p>
        </w:tc>
      </w:tr>
      <w:tr w:rsidR="009B1CBB" w:rsidRPr="006F3E38" w:rsidTr="009B1CBB">
        <w:trPr>
          <w:jc w:val="center"/>
        </w:trPr>
        <w:tc>
          <w:tcPr>
            <w:tcW w:w="14235" w:type="dxa"/>
            <w:gridSpan w:val="8"/>
            <w:tcBorders>
              <w:left w:val="nil"/>
              <w:bottom w:val="nil"/>
              <w:right w:val="nil"/>
            </w:tcBorders>
            <w:shd w:val="clear" w:color="auto" w:fill="auto"/>
            <w:vAlign w:val="center"/>
          </w:tcPr>
          <w:p w:rsidR="009B1CBB" w:rsidRDefault="009B1CBB" w:rsidP="009B1CBB">
            <w:pPr>
              <w:pStyle w:val="Tabletext"/>
            </w:pPr>
            <w:r>
              <w:t>NOTE 1: (?) indicates instances where no text, corresponding to the item listed in the associated row, has been found in Resolution ITU-R 1-6.</w:t>
            </w:r>
          </w:p>
          <w:p w:rsidR="009B1CBB" w:rsidRPr="006F3E38" w:rsidRDefault="009B1CBB" w:rsidP="00877B13">
            <w:pPr>
              <w:pStyle w:val="Tabletext"/>
            </w:pPr>
            <w:r>
              <w:t xml:space="preserve">NOTE 2: (not foreseen) indicates instances where this possibility has not been envisioned, when devising the specific procedure listed in the associated row. </w:t>
            </w:r>
          </w:p>
        </w:tc>
      </w:tr>
    </w:tbl>
    <w:p w:rsidR="009B1CBB" w:rsidRDefault="009B1CBB" w:rsidP="009B1CBB">
      <w:pPr>
        <w:pStyle w:val="Heading1"/>
        <w:sectPr w:rsidR="009B1CBB" w:rsidSect="00D40FC5">
          <w:pgSz w:w="16834" w:h="11907" w:orient="landscape"/>
          <w:pgMar w:top="1134" w:right="1418" w:bottom="1134" w:left="1418" w:header="720" w:footer="720" w:gutter="0"/>
          <w:paperSrc w:first="15" w:other="15"/>
          <w:cols w:space="720"/>
          <w:docGrid w:linePitch="326"/>
        </w:sectPr>
      </w:pPr>
    </w:p>
    <w:p w:rsidR="009B1CBB" w:rsidRPr="009B1CBB" w:rsidRDefault="009B1CBB" w:rsidP="009B1CBB">
      <w:pPr>
        <w:pStyle w:val="Heading1"/>
      </w:pPr>
      <w:r>
        <w:lastRenderedPageBreak/>
        <w:t>4</w:t>
      </w:r>
      <w:r w:rsidRPr="009B1CBB">
        <w:tab/>
        <w:t>Conclusion</w:t>
      </w:r>
    </w:p>
    <w:p w:rsidR="009B1CBB" w:rsidRDefault="009B1CBB" w:rsidP="00D14D67">
      <w:pPr>
        <w:tabs>
          <w:tab w:val="clear" w:pos="794"/>
          <w:tab w:val="left" w:pos="720"/>
        </w:tabs>
        <w:spacing w:before="240"/>
        <w:rPr>
          <w:szCs w:val="24"/>
        </w:rPr>
      </w:pPr>
      <w:r>
        <w:rPr>
          <w:szCs w:val="24"/>
        </w:rPr>
        <w:t>This document proposes to discuss several items, and hopefully obtain a certain consensus on them, related to the restructuring of Resolution ITU-R 1. The RAG could also decide to maintain its correspondence group on this Resolution to prepare a new version of Resolution ITU-R 1-6, with the possible h</w:t>
      </w:r>
      <w:r w:rsidRPr="00D14D67">
        <w:rPr>
          <w:szCs w:val="24"/>
        </w:rPr>
        <w:t xml:space="preserve">elp </w:t>
      </w:r>
      <w:r>
        <w:rPr>
          <w:szCs w:val="24"/>
        </w:rPr>
        <w:t xml:space="preserve">from the Study Group Department of the Bureau. Informal correspondence activities between interested participants should also be encouraged. </w:t>
      </w:r>
    </w:p>
    <w:p w:rsidR="009B1CBB" w:rsidRDefault="009B1CBB" w:rsidP="00D14D67">
      <w:pPr>
        <w:tabs>
          <w:tab w:val="clear" w:pos="794"/>
          <w:tab w:val="left" w:pos="720"/>
        </w:tabs>
        <w:spacing w:before="240"/>
        <w:rPr>
          <w:szCs w:val="24"/>
        </w:rPr>
      </w:pPr>
    </w:p>
    <w:p w:rsidR="009B1CBB" w:rsidRDefault="009B1CBB" w:rsidP="00D14D67">
      <w:pPr>
        <w:tabs>
          <w:tab w:val="clear" w:pos="794"/>
          <w:tab w:val="left" w:pos="720"/>
        </w:tabs>
        <w:spacing w:before="240"/>
        <w:rPr>
          <w:szCs w:val="24"/>
        </w:rPr>
      </w:pPr>
    </w:p>
    <w:p w:rsidR="009B1CBB" w:rsidRDefault="009B1CBB" w:rsidP="00D14D67">
      <w:pPr>
        <w:tabs>
          <w:tab w:val="clear" w:pos="794"/>
          <w:tab w:val="left" w:pos="720"/>
        </w:tabs>
        <w:spacing w:before="240"/>
        <w:rPr>
          <w:szCs w:val="24"/>
        </w:rPr>
      </w:pPr>
    </w:p>
    <w:p w:rsidR="00D40FC5" w:rsidRDefault="00D40FC5" w:rsidP="0032202E">
      <w:pPr>
        <w:pStyle w:val="Reasons"/>
      </w:pPr>
    </w:p>
    <w:p w:rsidR="00D40FC5" w:rsidRDefault="00D40FC5" w:rsidP="00D14D67">
      <w:pPr>
        <w:tabs>
          <w:tab w:val="clear" w:pos="794"/>
          <w:tab w:val="left" w:pos="720"/>
        </w:tabs>
        <w:spacing w:before="240"/>
        <w:rPr>
          <w:szCs w:val="24"/>
        </w:rPr>
      </w:pPr>
    </w:p>
    <w:p w:rsidR="00D40FC5" w:rsidRDefault="00D40FC5" w:rsidP="00D14D67">
      <w:pPr>
        <w:tabs>
          <w:tab w:val="clear" w:pos="794"/>
          <w:tab w:val="left" w:pos="720"/>
        </w:tabs>
        <w:spacing w:before="240"/>
        <w:rPr>
          <w:szCs w:val="24"/>
        </w:rPr>
      </w:pPr>
    </w:p>
    <w:p w:rsidR="00D40FC5" w:rsidRDefault="00D40FC5" w:rsidP="00D14D67">
      <w:pPr>
        <w:tabs>
          <w:tab w:val="clear" w:pos="794"/>
          <w:tab w:val="left" w:pos="720"/>
        </w:tabs>
        <w:spacing w:before="240"/>
        <w:rPr>
          <w:szCs w:val="24"/>
        </w:rPr>
      </w:pPr>
    </w:p>
    <w:p w:rsidR="00D40FC5" w:rsidRDefault="00D40FC5" w:rsidP="00D14D67">
      <w:pPr>
        <w:tabs>
          <w:tab w:val="clear" w:pos="794"/>
          <w:tab w:val="left" w:pos="720"/>
        </w:tabs>
        <w:spacing w:before="240"/>
        <w:rPr>
          <w:szCs w:val="24"/>
        </w:rPr>
      </w:pPr>
    </w:p>
    <w:p w:rsidR="009B1CBB" w:rsidRDefault="009B1CBB" w:rsidP="00D14D67">
      <w:pPr>
        <w:tabs>
          <w:tab w:val="clear" w:pos="794"/>
          <w:tab w:val="left" w:pos="720"/>
        </w:tabs>
        <w:spacing w:before="240"/>
        <w:rPr>
          <w:szCs w:val="24"/>
        </w:rPr>
      </w:pPr>
    </w:p>
    <w:p w:rsidR="009B1CBB" w:rsidRDefault="009B1CBB" w:rsidP="00D14D67">
      <w:pPr>
        <w:tabs>
          <w:tab w:val="clear" w:pos="794"/>
          <w:tab w:val="left" w:pos="720"/>
        </w:tabs>
        <w:spacing w:before="240"/>
        <w:rPr>
          <w:szCs w:val="24"/>
        </w:rPr>
      </w:pPr>
    </w:p>
    <w:p w:rsidR="009B1CBB" w:rsidRPr="00D14D67" w:rsidRDefault="009B1CBB" w:rsidP="00D14D67">
      <w:pPr>
        <w:tabs>
          <w:tab w:val="clear" w:pos="794"/>
          <w:tab w:val="left" w:pos="720"/>
        </w:tabs>
        <w:spacing w:before="240"/>
        <w:rPr>
          <w:szCs w:val="24"/>
        </w:rPr>
      </w:pPr>
    </w:p>
    <w:p w:rsidR="009B1CBB" w:rsidRDefault="009B1CBB" w:rsidP="009437A9">
      <w:pPr>
        <w:spacing w:after="200"/>
      </w:pPr>
      <w:r w:rsidRPr="00460B57">
        <w:rPr>
          <w:b/>
        </w:rPr>
        <w:t>Attachment:</w:t>
      </w:r>
      <w:r>
        <w:t xml:space="preserve"> 1</w:t>
      </w:r>
    </w:p>
    <w:p w:rsidR="009B1CBB" w:rsidRPr="006F3E38" w:rsidRDefault="009B1CBB" w:rsidP="009437A9">
      <w:pPr>
        <w:spacing w:after="200"/>
        <w:sectPr w:rsidR="009B1CBB" w:rsidRPr="006F3E38" w:rsidSect="00D40FC5">
          <w:headerReference w:type="default" r:id="rId17"/>
          <w:pgSz w:w="11907" w:h="16834"/>
          <w:pgMar w:top="1418" w:right="1134" w:bottom="1418" w:left="1134" w:header="720" w:footer="720" w:gutter="0"/>
          <w:paperSrc w:first="15" w:other="15"/>
          <w:cols w:space="720"/>
          <w:docGrid w:linePitch="326"/>
        </w:sectPr>
      </w:pPr>
    </w:p>
    <w:p w:rsidR="009B1CBB" w:rsidRPr="006F3E38" w:rsidRDefault="009B1CBB" w:rsidP="0049020D">
      <w:pPr>
        <w:pStyle w:val="AnnexNo"/>
      </w:pPr>
      <w:r w:rsidRPr="006F3E38">
        <w:lastRenderedPageBreak/>
        <w:t>ATTACHMENT 1</w:t>
      </w:r>
    </w:p>
    <w:p w:rsidR="009B1CBB" w:rsidRPr="006F3E38" w:rsidRDefault="009B1CBB" w:rsidP="0049020D">
      <w:pPr>
        <w:pStyle w:val="Annextitle"/>
      </w:pPr>
      <w:r w:rsidRPr="006F3E38">
        <w:t xml:space="preserve">Outline of </w:t>
      </w:r>
      <w:r>
        <w:t xml:space="preserve">the </w:t>
      </w:r>
      <w:r w:rsidRPr="006F3E38">
        <w:t xml:space="preserve">proposed </w:t>
      </w:r>
      <w:r>
        <w:t xml:space="preserve">structure of the Annexes of </w:t>
      </w:r>
      <w:r w:rsidRPr="006F3E38">
        <w:t xml:space="preserve">Resolution ITU-R 1 </w:t>
      </w:r>
    </w:p>
    <w:p w:rsidR="009B1CBB" w:rsidRPr="001D4C4B" w:rsidRDefault="009B1CBB" w:rsidP="001D4C4B">
      <w:pPr>
        <w:pStyle w:val="enumlev2"/>
        <w:ind w:left="0" w:firstLine="0"/>
        <w:rPr>
          <w:i/>
          <w:iCs/>
        </w:rPr>
      </w:pPr>
      <w:r w:rsidRPr="001D4C4B">
        <w:rPr>
          <w:i/>
          <w:iCs/>
        </w:rPr>
        <w:t>[</w:t>
      </w:r>
      <w:r>
        <w:rPr>
          <w:i/>
          <w:iCs/>
        </w:rPr>
        <w:t>N</w:t>
      </w:r>
      <w:r w:rsidRPr="001D4C4B">
        <w:rPr>
          <w:i/>
          <w:iCs/>
        </w:rPr>
        <w:t>ote</w:t>
      </w:r>
      <w:r>
        <w:rPr>
          <w:i/>
          <w:iCs/>
        </w:rPr>
        <w:t>: in order to provide the reader with preliminary information on the mapping between Resolution ITU-R 1-6 and the proposed new structure of Resolution ITU-R 1, references to current provisions of Resolution ITU-R 1-6 are included in parenthesis after the various proposed items. When a reference is made to a paragraph, it refers to a paragraph of Resolution ITU-R 1-6, otherwise reference is given to other ITU-R Resolutions.]</w:t>
      </w:r>
    </w:p>
    <w:p w:rsidR="009B1CBB" w:rsidRPr="006F3E38" w:rsidRDefault="009B1CBB" w:rsidP="0049020D">
      <w:pPr>
        <w:pStyle w:val="AnnexNo"/>
      </w:pPr>
      <w:r w:rsidRPr="006F3E38">
        <w:t>Annex 1</w:t>
      </w:r>
    </w:p>
    <w:p w:rsidR="009B1CBB" w:rsidRPr="006F3E38" w:rsidRDefault="009B1CBB" w:rsidP="0049020D">
      <w:pPr>
        <w:pStyle w:val="Annextitle"/>
      </w:pPr>
      <w:r w:rsidRPr="006F3E38">
        <w:t>Working Methods and Documentation of the ITU</w:t>
      </w:r>
      <w:r w:rsidRPr="006F3E38">
        <w:noBreakHyphen/>
        <w:t>R</w:t>
      </w:r>
    </w:p>
    <w:p w:rsidR="009B1CBB" w:rsidRPr="006F3E38" w:rsidRDefault="009B1CBB" w:rsidP="0049020D">
      <w:pPr>
        <w:pStyle w:val="PartNo"/>
      </w:pPr>
      <w:r w:rsidRPr="006F3E38">
        <w:t>PART 1</w:t>
      </w:r>
    </w:p>
    <w:p w:rsidR="009B1CBB" w:rsidRPr="006F3E38" w:rsidRDefault="009B1CBB" w:rsidP="0049020D">
      <w:pPr>
        <w:pStyle w:val="Parttitle"/>
      </w:pPr>
      <w:r w:rsidRPr="006F3E38">
        <w:t>Working methods</w:t>
      </w:r>
    </w:p>
    <w:p w:rsidR="009B1CBB" w:rsidRPr="006F3E38" w:rsidRDefault="009B1CBB" w:rsidP="0049020D">
      <w:pPr>
        <w:pStyle w:val="Heading2"/>
      </w:pPr>
      <w:r w:rsidRPr="006F3E38">
        <w:t>1</w:t>
      </w:r>
      <w:r w:rsidRPr="006F3E38">
        <w:tab/>
        <w:t>General</w:t>
      </w:r>
    </w:p>
    <w:p w:rsidR="009B1CBB" w:rsidRPr="006F3E38" w:rsidRDefault="009B1CBB" w:rsidP="0049020D">
      <w:pPr>
        <w:pStyle w:val="enumlev2"/>
        <w:ind w:left="1134" w:firstLine="0"/>
        <w:rPr>
          <w:i/>
          <w:iCs/>
        </w:rPr>
      </w:pPr>
      <w:r w:rsidRPr="006F3E38">
        <w:rPr>
          <w:i/>
          <w:iCs/>
        </w:rPr>
        <w:t>Director’s Guidelines (§§ 2.11, 8.1 and 8.2)</w:t>
      </w:r>
    </w:p>
    <w:p w:rsidR="009B1CBB" w:rsidRPr="006F3E38" w:rsidRDefault="009B1CBB" w:rsidP="0049020D">
      <w:pPr>
        <w:pStyle w:val="enumlev2"/>
        <w:ind w:left="1134" w:firstLine="0"/>
        <w:rPr>
          <w:b/>
          <w:i/>
          <w:iCs/>
        </w:rPr>
      </w:pPr>
      <w:r w:rsidRPr="006F3E38">
        <w:rPr>
          <w:i/>
          <w:iCs/>
        </w:rPr>
        <w:t>Coordination within the ITU-R, between ITU sectors and with other international organizations</w:t>
      </w:r>
      <w:r>
        <w:rPr>
          <w:i/>
          <w:iCs/>
        </w:rPr>
        <w:t xml:space="preserve"> (§§5.1-5.4)</w:t>
      </w:r>
    </w:p>
    <w:p w:rsidR="009B1CBB" w:rsidRPr="006F3E38" w:rsidRDefault="009B1CBB" w:rsidP="0049020D">
      <w:pPr>
        <w:pStyle w:val="Heading2"/>
      </w:pPr>
      <w:r w:rsidRPr="006F3E38">
        <w:t>2</w:t>
      </w:r>
      <w:r w:rsidRPr="006F3E38">
        <w:tab/>
        <w:t>The Radiocommunication Assembly</w:t>
      </w:r>
    </w:p>
    <w:p w:rsidR="009B1CBB" w:rsidRPr="006F3E38" w:rsidRDefault="009B1CBB" w:rsidP="00C50C67">
      <w:pPr>
        <w:pStyle w:val="enumlev2"/>
        <w:rPr>
          <w:i/>
          <w:iCs/>
        </w:rPr>
      </w:pPr>
      <w:r w:rsidRPr="006F3E38">
        <w:rPr>
          <w:i/>
          <w:iCs/>
        </w:rPr>
        <w:t>Functions</w:t>
      </w:r>
      <w:r>
        <w:rPr>
          <w:i/>
          <w:iCs/>
        </w:rPr>
        <w:t xml:space="preserve"> (§§1.1, 1.3, 1.6, 1.7-1.10)</w:t>
      </w:r>
    </w:p>
    <w:p w:rsidR="009B1CBB" w:rsidRDefault="009B1CBB" w:rsidP="0049020D">
      <w:pPr>
        <w:pStyle w:val="enumlev2"/>
        <w:rPr>
          <w:i/>
          <w:iCs/>
        </w:rPr>
      </w:pPr>
      <w:r w:rsidRPr="006F3E38">
        <w:rPr>
          <w:i/>
          <w:iCs/>
        </w:rPr>
        <w:t>Structure</w:t>
      </w:r>
    </w:p>
    <w:p w:rsidR="009B1CBB" w:rsidRDefault="009B1CBB" w:rsidP="0049020D">
      <w:pPr>
        <w:pStyle w:val="enumlev2"/>
        <w:rPr>
          <w:i/>
          <w:iCs/>
        </w:rPr>
      </w:pPr>
      <w:r>
        <w:rPr>
          <w:i/>
          <w:iCs/>
        </w:rPr>
        <w:tab/>
        <w:t>Committees (§§1.1, 1.4)</w:t>
      </w:r>
    </w:p>
    <w:p w:rsidR="009B1CBB" w:rsidRDefault="009B1CBB" w:rsidP="003843FB">
      <w:pPr>
        <w:pStyle w:val="enumlev2"/>
        <w:ind w:left="1588"/>
        <w:rPr>
          <w:i/>
          <w:iCs/>
        </w:rPr>
      </w:pPr>
      <w:r>
        <w:rPr>
          <w:i/>
          <w:iCs/>
        </w:rPr>
        <w:tab/>
        <w:t>Steering Committee (§§1.2, 1.4)</w:t>
      </w:r>
    </w:p>
    <w:p w:rsidR="009B1CBB" w:rsidRDefault="009B1CBB" w:rsidP="003843FB">
      <w:pPr>
        <w:pStyle w:val="enumlev2"/>
        <w:ind w:left="1588"/>
        <w:rPr>
          <w:i/>
          <w:iCs/>
        </w:rPr>
      </w:pPr>
      <w:r>
        <w:rPr>
          <w:i/>
          <w:iCs/>
        </w:rPr>
        <w:tab/>
        <w:t>Budgetary Committee (§§1.1, 1.4)</w:t>
      </w:r>
    </w:p>
    <w:p w:rsidR="009B1CBB" w:rsidRDefault="009B1CBB" w:rsidP="003843FB">
      <w:pPr>
        <w:pStyle w:val="enumlev2"/>
        <w:ind w:left="1588"/>
        <w:rPr>
          <w:i/>
          <w:iCs/>
        </w:rPr>
      </w:pPr>
      <w:r>
        <w:rPr>
          <w:i/>
          <w:iCs/>
        </w:rPr>
        <w:tab/>
        <w:t>Editorial Committee (§§1.1, 1.4)</w:t>
      </w:r>
    </w:p>
    <w:p w:rsidR="009B1CBB" w:rsidRDefault="009B1CBB" w:rsidP="003843FB">
      <w:pPr>
        <w:pStyle w:val="enumlev2"/>
        <w:ind w:left="1588"/>
        <w:rPr>
          <w:i/>
          <w:iCs/>
        </w:rPr>
      </w:pPr>
      <w:r>
        <w:rPr>
          <w:i/>
          <w:iCs/>
        </w:rPr>
        <w:tab/>
        <w:t>Others (§1.5)</w:t>
      </w:r>
    </w:p>
    <w:p w:rsidR="009B1CBB" w:rsidRPr="006F3E38" w:rsidRDefault="009B1CBB" w:rsidP="0049020D">
      <w:pPr>
        <w:pStyle w:val="Heading2"/>
      </w:pPr>
      <w:r w:rsidRPr="006F3E38">
        <w:t>3</w:t>
      </w:r>
      <w:r w:rsidRPr="006F3E38">
        <w:tab/>
        <w:t>Radiocommunication Study Groups</w:t>
      </w:r>
    </w:p>
    <w:p w:rsidR="009B1CBB" w:rsidRPr="006F3E38" w:rsidRDefault="009B1CBB" w:rsidP="00C50C67">
      <w:pPr>
        <w:pStyle w:val="enumlev2"/>
        <w:rPr>
          <w:i/>
          <w:iCs/>
        </w:rPr>
      </w:pPr>
      <w:r w:rsidRPr="006F3E38">
        <w:rPr>
          <w:i/>
          <w:iCs/>
        </w:rPr>
        <w:t>Functions</w:t>
      </w:r>
      <w:r>
        <w:rPr>
          <w:i/>
          <w:iCs/>
        </w:rPr>
        <w:t xml:space="preserve"> (§§2.1-2.4, 2.9, 2.10, 2.12, 2.18, 2.21-2.26, 9.1)</w:t>
      </w:r>
    </w:p>
    <w:p w:rsidR="009B1CBB" w:rsidRPr="006F3E38" w:rsidRDefault="009B1CBB" w:rsidP="0049020D">
      <w:pPr>
        <w:pStyle w:val="enumlev2"/>
        <w:rPr>
          <w:i/>
          <w:iCs/>
        </w:rPr>
      </w:pPr>
      <w:r w:rsidRPr="006F3E38">
        <w:rPr>
          <w:i/>
          <w:iCs/>
        </w:rPr>
        <w:t>Structure</w:t>
      </w:r>
    </w:p>
    <w:p w:rsidR="009B1CBB" w:rsidRDefault="009B1CBB" w:rsidP="006B4BD0">
      <w:pPr>
        <w:pStyle w:val="enumlev2"/>
        <w:rPr>
          <w:i/>
          <w:iCs/>
        </w:rPr>
      </w:pPr>
      <w:r>
        <w:rPr>
          <w:i/>
          <w:iCs/>
        </w:rPr>
        <w:tab/>
        <w:t>Steering Committee (§2.20)</w:t>
      </w:r>
    </w:p>
    <w:p w:rsidR="009B1CBB" w:rsidRDefault="009B1CBB" w:rsidP="006B4BD0">
      <w:pPr>
        <w:pStyle w:val="enumlev2"/>
        <w:rPr>
          <w:i/>
          <w:iCs/>
        </w:rPr>
      </w:pPr>
      <w:r>
        <w:rPr>
          <w:i/>
          <w:iCs/>
        </w:rPr>
        <w:tab/>
        <w:t>Working Parties (§2.5)</w:t>
      </w:r>
    </w:p>
    <w:p w:rsidR="009B1CBB" w:rsidRDefault="009B1CBB" w:rsidP="006B4BD0">
      <w:pPr>
        <w:pStyle w:val="enumlev2"/>
        <w:rPr>
          <w:i/>
          <w:iCs/>
        </w:rPr>
      </w:pPr>
      <w:r>
        <w:rPr>
          <w:i/>
          <w:iCs/>
        </w:rPr>
        <w:tab/>
        <w:t>Task Groups (§§2.6-2.7)</w:t>
      </w:r>
    </w:p>
    <w:p w:rsidR="009B1CBB" w:rsidRDefault="009B1CBB" w:rsidP="006B4BD0">
      <w:pPr>
        <w:pStyle w:val="enumlev2"/>
        <w:rPr>
          <w:i/>
          <w:iCs/>
        </w:rPr>
      </w:pPr>
      <w:r>
        <w:rPr>
          <w:i/>
          <w:iCs/>
        </w:rPr>
        <w:tab/>
        <w:t>Joint Working Parties or Joint Task Groups (§2.8)</w:t>
      </w:r>
    </w:p>
    <w:p w:rsidR="009B1CBB" w:rsidRDefault="009B1CBB" w:rsidP="006B4BD0">
      <w:pPr>
        <w:pStyle w:val="enumlev2"/>
        <w:rPr>
          <w:i/>
          <w:iCs/>
          <w:lang w:val="fr-FR"/>
        </w:rPr>
      </w:pPr>
      <w:r>
        <w:rPr>
          <w:i/>
          <w:iCs/>
        </w:rPr>
        <w:tab/>
      </w:r>
      <w:r w:rsidRPr="006B4BD0">
        <w:rPr>
          <w:i/>
          <w:iCs/>
          <w:lang w:val="fr-FR"/>
        </w:rPr>
        <w:t>Rapporteurs (§2.13)</w:t>
      </w:r>
    </w:p>
    <w:p w:rsidR="009B1CBB" w:rsidRPr="006B4BD0" w:rsidRDefault="009B1CBB" w:rsidP="006B4BD0">
      <w:pPr>
        <w:pStyle w:val="enumlev2"/>
        <w:rPr>
          <w:i/>
          <w:iCs/>
          <w:lang w:val="fr-FR"/>
        </w:rPr>
      </w:pPr>
      <w:r w:rsidRPr="006B4BD0">
        <w:rPr>
          <w:i/>
          <w:iCs/>
          <w:lang w:val="fr-FR"/>
        </w:rPr>
        <w:tab/>
        <w:t>Rapporteur Groups (§</w:t>
      </w:r>
      <w:r>
        <w:rPr>
          <w:i/>
          <w:iCs/>
          <w:lang w:val="fr-FR"/>
        </w:rPr>
        <w:t>§</w:t>
      </w:r>
      <w:r w:rsidRPr="006B4BD0">
        <w:rPr>
          <w:i/>
          <w:iCs/>
          <w:lang w:val="fr-FR"/>
        </w:rPr>
        <w:t>2.14</w:t>
      </w:r>
      <w:r>
        <w:rPr>
          <w:i/>
          <w:iCs/>
          <w:lang w:val="fr-FR"/>
        </w:rPr>
        <w:t>, 2.17</w:t>
      </w:r>
      <w:r w:rsidRPr="006B4BD0">
        <w:rPr>
          <w:i/>
          <w:iCs/>
          <w:lang w:val="fr-FR"/>
        </w:rPr>
        <w:t>)</w:t>
      </w:r>
    </w:p>
    <w:p w:rsidR="009B1CBB" w:rsidRPr="006B4BD0" w:rsidRDefault="009B1CBB" w:rsidP="006B4BD0">
      <w:pPr>
        <w:pStyle w:val="enumlev2"/>
        <w:rPr>
          <w:i/>
          <w:iCs/>
          <w:lang w:val="fr-FR"/>
        </w:rPr>
      </w:pPr>
      <w:r w:rsidRPr="006B4BD0">
        <w:rPr>
          <w:i/>
          <w:iCs/>
          <w:lang w:val="fr-FR"/>
        </w:rPr>
        <w:tab/>
        <w:t>Joint Rapporteur Groups (§</w:t>
      </w:r>
      <w:r>
        <w:rPr>
          <w:i/>
          <w:iCs/>
          <w:lang w:val="fr-FR"/>
        </w:rPr>
        <w:t>§</w:t>
      </w:r>
      <w:r w:rsidRPr="006B4BD0">
        <w:rPr>
          <w:i/>
          <w:iCs/>
          <w:lang w:val="fr-FR"/>
        </w:rPr>
        <w:t>2.15</w:t>
      </w:r>
      <w:r>
        <w:rPr>
          <w:i/>
          <w:iCs/>
          <w:lang w:val="fr-FR"/>
        </w:rPr>
        <w:t>, [2.17]</w:t>
      </w:r>
      <w:r w:rsidRPr="006B4BD0">
        <w:rPr>
          <w:i/>
          <w:iCs/>
          <w:lang w:val="fr-FR"/>
        </w:rPr>
        <w:t>)</w:t>
      </w:r>
    </w:p>
    <w:p w:rsidR="009B1CBB" w:rsidRDefault="009B1CBB" w:rsidP="006B4BD0">
      <w:pPr>
        <w:pStyle w:val="enumlev2"/>
        <w:rPr>
          <w:i/>
          <w:iCs/>
        </w:rPr>
      </w:pPr>
      <w:r w:rsidRPr="006B4BD0">
        <w:rPr>
          <w:i/>
          <w:iCs/>
          <w:lang w:val="fr-FR"/>
        </w:rPr>
        <w:lastRenderedPageBreak/>
        <w:tab/>
      </w:r>
      <w:r>
        <w:rPr>
          <w:i/>
          <w:iCs/>
        </w:rPr>
        <w:t>Correspondence Groups (§§2.16, 2.17)</w:t>
      </w:r>
    </w:p>
    <w:p w:rsidR="009B1CBB" w:rsidRDefault="009B1CBB" w:rsidP="006B4BD0">
      <w:pPr>
        <w:pStyle w:val="enumlev2"/>
        <w:rPr>
          <w:i/>
          <w:iCs/>
        </w:rPr>
      </w:pPr>
      <w:r>
        <w:rPr>
          <w:i/>
          <w:iCs/>
        </w:rPr>
        <w:tab/>
        <w:t>Editorial Groups (§2.19)</w:t>
      </w:r>
    </w:p>
    <w:p w:rsidR="009B1CBB" w:rsidRPr="006F3E38" w:rsidRDefault="009B1CBB" w:rsidP="0049020D">
      <w:pPr>
        <w:pStyle w:val="Heading2"/>
      </w:pPr>
      <w:r>
        <w:t>4</w:t>
      </w:r>
      <w:r w:rsidRPr="006F3E38">
        <w:tab/>
        <w:t>The Radiocommunication Advisory Group</w:t>
      </w:r>
    </w:p>
    <w:p w:rsidR="009B1CBB" w:rsidRDefault="009B1CBB" w:rsidP="00C50C67">
      <w:pPr>
        <w:pStyle w:val="enumlev2"/>
        <w:rPr>
          <w:i/>
          <w:iCs/>
        </w:rPr>
      </w:pPr>
      <w:r w:rsidRPr="006F3E38">
        <w:rPr>
          <w:i/>
          <w:iCs/>
        </w:rPr>
        <w:t>Functions</w:t>
      </w:r>
      <w:r>
        <w:rPr>
          <w:i/>
          <w:iCs/>
        </w:rPr>
        <w:t xml:space="preserve"> (note 1 to resolves, §§1.7, 1.8)</w:t>
      </w:r>
    </w:p>
    <w:p w:rsidR="009B1CBB" w:rsidRDefault="009B1CBB" w:rsidP="0049020D">
      <w:pPr>
        <w:pStyle w:val="enumlev2"/>
        <w:rPr>
          <w:i/>
          <w:iCs/>
        </w:rPr>
      </w:pPr>
      <w:r w:rsidRPr="006F3E38">
        <w:rPr>
          <w:i/>
          <w:iCs/>
        </w:rPr>
        <w:t>Structure</w:t>
      </w:r>
    </w:p>
    <w:p w:rsidR="009B1CBB" w:rsidRPr="006F3E38" w:rsidRDefault="009B1CBB" w:rsidP="009909D3">
      <w:pPr>
        <w:pStyle w:val="Heading2"/>
      </w:pPr>
      <w:r>
        <w:t xml:space="preserve"> [</w:t>
      </w:r>
      <w:r w:rsidRPr="006F3E38">
        <w:t>5</w:t>
      </w:r>
      <w:r w:rsidRPr="006F3E38">
        <w:tab/>
        <w:t>The Conference Preparatory Meeting</w:t>
      </w:r>
      <w:r>
        <w:t xml:space="preserve"> (§4 and Resolution ITU-R 2)</w:t>
      </w:r>
    </w:p>
    <w:p w:rsidR="009B1CBB" w:rsidRPr="006F3E38" w:rsidRDefault="009B1CBB" w:rsidP="00C50C67">
      <w:pPr>
        <w:pStyle w:val="enumlev2"/>
        <w:rPr>
          <w:i/>
          <w:iCs/>
        </w:rPr>
      </w:pPr>
      <w:r w:rsidRPr="006F3E38">
        <w:rPr>
          <w:i/>
          <w:iCs/>
        </w:rPr>
        <w:t>Functions</w:t>
      </w:r>
    </w:p>
    <w:p w:rsidR="009B1CBB" w:rsidRPr="006F3E38" w:rsidRDefault="009B1CBB" w:rsidP="00C17CAA">
      <w:pPr>
        <w:pStyle w:val="enumlev2"/>
        <w:rPr>
          <w:i/>
          <w:iCs/>
        </w:rPr>
      </w:pPr>
      <w:r w:rsidRPr="006F3E38">
        <w:rPr>
          <w:i/>
          <w:iCs/>
        </w:rPr>
        <w:t>Structure</w:t>
      </w:r>
    </w:p>
    <w:p w:rsidR="009B1CBB" w:rsidRPr="006F3E38" w:rsidRDefault="009B1CBB" w:rsidP="009909D3">
      <w:pPr>
        <w:pStyle w:val="Heading2"/>
      </w:pPr>
      <w:r>
        <w:t>6</w:t>
      </w:r>
      <w:r w:rsidRPr="006F3E38">
        <w:tab/>
      </w:r>
      <w:r>
        <w:t>T</w:t>
      </w:r>
      <w:r w:rsidRPr="006F3E38">
        <w:t>he Special Committee for Regulatory and Procedural Matters</w:t>
      </w:r>
      <w:r>
        <w:t xml:space="preserve"> (Resolution ITU-R 38)</w:t>
      </w:r>
    </w:p>
    <w:p w:rsidR="009B1CBB" w:rsidRDefault="009B1CBB" w:rsidP="009909D3">
      <w:pPr>
        <w:pStyle w:val="enumlev2"/>
        <w:rPr>
          <w:i/>
          <w:iCs/>
        </w:rPr>
      </w:pPr>
      <w:r w:rsidRPr="006F3E38">
        <w:rPr>
          <w:i/>
          <w:iCs/>
        </w:rPr>
        <w:t>Functions</w:t>
      </w:r>
    </w:p>
    <w:p w:rsidR="009B1CBB" w:rsidRPr="006F3E38" w:rsidRDefault="009B1CBB" w:rsidP="009909D3">
      <w:pPr>
        <w:pStyle w:val="enumlev2"/>
        <w:rPr>
          <w:i/>
          <w:iCs/>
        </w:rPr>
      </w:pPr>
      <w:r w:rsidRPr="006F3E38">
        <w:rPr>
          <w:i/>
          <w:iCs/>
        </w:rPr>
        <w:t>Structure</w:t>
      </w:r>
    </w:p>
    <w:p w:rsidR="009B1CBB" w:rsidRDefault="009B1CBB" w:rsidP="006B4BD0">
      <w:pPr>
        <w:pStyle w:val="Heading2"/>
        <w:ind w:left="0" w:firstLine="0"/>
      </w:pPr>
      <w:r>
        <w:t>7</w:t>
      </w:r>
      <w:r>
        <w:tab/>
      </w:r>
      <w:r w:rsidRPr="006F3E38">
        <w:t>The Coordinatio</w:t>
      </w:r>
      <w:r>
        <w:t>n Committee for Vocabulary (Resolution ITU-R 36)</w:t>
      </w:r>
    </w:p>
    <w:p w:rsidR="009B1CBB" w:rsidRPr="009B1CBB" w:rsidRDefault="009B1CBB" w:rsidP="00C50C67">
      <w:pPr>
        <w:pStyle w:val="enumlev2"/>
        <w:rPr>
          <w:i/>
          <w:iCs/>
          <w:lang w:val="fr-CH"/>
        </w:rPr>
      </w:pPr>
      <w:r w:rsidRPr="009B1CBB">
        <w:rPr>
          <w:i/>
          <w:iCs/>
          <w:lang w:val="fr-CH"/>
        </w:rPr>
        <w:t>Functions</w:t>
      </w:r>
    </w:p>
    <w:p w:rsidR="009B1CBB" w:rsidRPr="009B1CBB" w:rsidRDefault="009B1CBB" w:rsidP="006B4BD0">
      <w:pPr>
        <w:pStyle w:val="enumlev2"/>
        <w:rPr>
          <w:iCs/>
          <w:lang w:val="fr-CH"/>
        </w:rPr>
      </w:pPr>
      <w:r w:rsidRPr="009B1CBB">
        <w:rPr>
          <w:i/>
          <w:iCs/>
          <w:lang w:val="fr-CH"/>
        </w:rPr>
        <w:t>Structure</w:t>
      </w:r>
      <w:r w:rsidRPr="009B1CBB">
        <w:rPr>
          <w:iCs/>
          <w:lang w:val="fr-CH"/>
        </w:rPr>
        <w:t>]</w:t>
      </w:r>
    </w:p>
    <w:p w:rsidR="009B1CBB" w:rsidRPr="009B1CBB" w:rsidRDefault="009B1CBB" w:rsidP="0049020D">
      <w:pPr>
        <w:pStyle w:val="PartNo"/>
        <w:rPr>
          <w:lang w:val="fr-CH"/>
        </w:rPr>
      </w:pPr>
      <w:r w:rsidRPr="009B1CBB">
        <w:rPr>
          <w:lang w:val="fr-CH"/>
        </w:rPr>
        <w:t>PART 2</w:t>
      </w:r>
    </w:p>
    <w:p w:rsidR="009B1CBB" w:rsidRPr="009B1CBB" w:rsidRDefault="009B1CBB" w:rsidP="0049020D">
      <w:pPr>
        <w:pStyle w:val="Parttitle"/>
        <w:rPr>
          <w:lang w:val="fr-CH"/>
        </w:rPr>
      </w:pPr>
      <w:r w:rsidRPr="009B1CBB">
        <w:rPr>
          <w:lang w:val="fr-CH"/>
        </w:rPr>
        <w:t>Documentation</w:t>
      </w:r>
    </w:p>
    <w:p w:rsidR="009B1CBB" w:rsidRPr="009B1CBB" w:rsidRDefault="009B1CBB" w:rsidP="0049020D">
      <w:pPr>
        <w:pStyle w:val="Heading2"/>
        <w:rPr>
          <w:lang w:val="fr-CH"/>
        </w:rPr>
      </w:pPr>
      <w:r w:rsidRPr="009B1CBB">
        <w:rPr>
          <w:lang w:val="fr-CH"/>
        </w:rPr>
        <w:t>7</w:t>
      </w:r>
      <w:r w:rsidRPr="009B1CBB">
        <w:rPr>
          <w:lang w:val="fr-CH"/>
        </w:rPr>
        <w:tab/>
        <w:t>General Principles</w:t>
      </w:r>
    </w:p>
    <w:p w:rsidR="009B1CBB" w:rsidRPr="00CE64E4" w:rsidRDefault="009B1CBB" w:rsidP="00CE64E4">
      <w:pPr>
        <w:pStyle w:val="enumlev2"/>
        <w:rPr>
          <w:i/>
          <w:iCs/>
        </w:rPr>
      </w:pPr>
      <w:r w:rsidRPr="00CE64E4">
        <w:rPr>
          <w:i/>
          <w:iCs/>
        </w:rPr>
        <w:t>(§§ 6.2, 9)</w:t>
      </w:r>
    </w:p>
    <w:p w:rsidR="009B1CBB" w:rsidRPr="006F3E38" w:rsidRDefault="009B1CBB" w:rsidP="003843FB">
      <w:pPr>
        <w:pStyle w:val="Heading2"/>
      </w:pPr>
      <w:r w:rsidRPr="006F3E38">
        <w:t>8</w:t>
      </w:r>
      <w:r w:rsidRPr="006F3E38">
        <w:tab/>
      </w:r>
      <w:r w:rsidRPr="003843FB">
        <w:t>Preparatory documentation</w:t>
      </w:r>
      <w:r>
        <w:t xml:space="preserve"> and c</w:t>
      </w:r>
      <w:r w:rsidRPr="003843FB">
        <w:t>ontributions</w:t>
      </w:r>
    </w:p>
    <w:p w:rsidR="009B1CBB" w:rsidRPr="00CE64E4" w:rsidRDefault="009B1CBB" w:rsidP="00CE64E4">
      <w:pPr>
        <w:pStyle w:val="enumlev2"/>
        <w:rPr>
          <w:i/>
          <w:iCs/>
        </w:rPr>
      </w:pPr>
      <w:r w:rsidRPr="00CE64E4">
        <w:rPr>
          <w:i/>
          <w:iCs/>
        </w:rPr>
        <w:t>(§§ 7 and 8)</w:t>
      </w:r>
    </w:p>
    <w:p w:rsidR="009B1CBB" w:rsidRPr="006F3E38" w:rsidRDefault="009B1CBB" w:rsidP="0049020D">
      <w:pPr>
        <w:pStyle w:val="Heading2"/>
      </w:pPr>
      <w:r>
        <w:t>9</w:t>
      </w:r>
      <w:r w:rsidRPr="006F3E38">
        <w:tab/>
        <w:t>ITU-R Resolutions</w:t>
      </w:r>
    </w:p>
    <w:p w:rsidR="009B1CBB" w:rsidRPr="006F3E38" w:rsidRDefault="009B1CBB" w:rsidP="0049020D">
      <w:pPr>
        <w:pStyle w:val="enumlev2"/>
        <w:rPr>
          <w:i/>
          <w:iCs/>
        </w:rPr>
      </w:pPr>
      <w:r>
        <w:rPr>
          <w:i/>
          <w:iCs/>
        </w:rPr>
        <w:t>(the structure of this section should be based on an agreed version of Table 1)</w:t>
      </w:r>
    </w:p>
    <w:p w:rsidR="009B1CBB" w:rsidRPr="006F3E38" w:rsidRDefault="009B1CBB" w:rsidP="0049020D">
      <w:pPr>
        <w:pStyle w:val="Heading2"/>
      </w:pPr>
      <w:r>
        <w:t>10</w:t>
      </w:r>
      <w:r w:rsidRPr="006F3E38">
        <w:tab/>
        <w:t>ITU-R Questions</w:t>
      </w:r>
    </w:p>
    <w:p w:rsidR="009B1CBB" w:rsidRPr="006F3E38" w:rsidRDefault="009B1CBB" w:rsidP="00CE64E4">
      <w:pPr>
        <w:pStyle w:val="enumlev2"/>
        <w:rPr>
          <w:i/>
          <w:iCs/>
        </w:rPr>
      </w:pPr>
      <w:r>
        <w:rPr>
          <w:i/>
          <w:iCs/>
        </w:rPr>
        <w:t>(the structure of this section should be based on an agreed version of Table 1)</w:t>
      </w:r>
    </w:p>
    <w:p w:rsidR="009B1CBB" w:rsidRPr="006F3E38" w:rsidRDefault="009B1CBB" w:rsidP="0049020D">
      <w:pPr>
        <w:pStyle w:val="Heading2"/>
      </w:pPr>
      <w:r w:rsidRPr="006F3E38">
        <w:t>1</w:t>
      </w:r>
      <w:r>
        <w:t>1</w:t>
      </w:r>
      <w:r w:rsidRPr="006F3E38">
        <w:tab/>
        <w:t>ITU-R Recommendations</w:t>
      </w:r>
    </w:p>
    <w:p w:rsidR="009B1CBB" w:rsidRPr="006F3E38" w:rsidRDefault="009B1CBB" w:rsidP="00CE64E4">
      <w:pPr>
        <w:pStyle w:val="enumlev2"/>
        <w:rPr>
          <w:i/>
          <w:iCs/>
        </w:rPr>
      </w:pPr>
      <w:r>
        <w:rPr>
          <w:i/>
          <w:iCs/>
        </w:rPr>
        <w:t>(the structure of this section should be based on an agreed version of Table 1)</w:t>
      </w:r>
    </w:p>
    <w:p w:rsidR="009B1CBB" w:rsidRPr="006F3E38" w:rsidRDefault="009B1CBB" w:rsidP="0049020D">
      <w:pPr>
        <w:pStyle w:val="Heading2"/>
      </w:pPr>
      <w:r w:rsidRPr="006F3E38">
        <w:t>1</w:t>
      </w:r>
      <w:r>
        <w:t>2</w:t>
      </w:r>
      <w:r w:rsidRPr="006F3E38">
        <w:tab/>
        <w:t>ITU-R Reports</w:t>
      </w:r>
    </w:p>
    <w:p w:rsidR="009B1CBB" w:rsidRPr="006F3E38" w:rsidRDefault="009B1CBB" w:rsidP="00CE64E4">
      <w:pPr>
        <w:pStyle w:val="enumlev2"/>
        <w:rPr>
          <w:i/>
          <w:iCs/>
        </w:rPr>
      </w:pPr>
      <w:r>
        <w:rPr>
          <w:i/>
          <w:iCs/>
        </w:rPr>
        <w:t>(the structure of this section should be based on an agreed version of Table 1)</w:t>
      </w:r>
    </w:p>
    <w:p w:rsidR="009B1CBB" w:rsidRPr="006F3E38" w:rsidRDefault="009B1CBB" w:rsidP="0049020D">
      <w:pPr>
        <w:pStyle w:val="Heading2"/>
      </w:pPr>
      <w:r w:rsidRPr="006F3E38">
        <w:t>1</w:t>
      </w:r>
      <w:r>
        <w:t>3</w:t>
      </w:r>
      <w:r w:rsidRPr="006F3E38">
        <w:tab/>
        <w:t>ITU-R Handbooks</w:t>
      </w:r>
    </w:p>
    <w:p w:rsidR="009B1CBB" w:rsidRPr="006F3E38" w:rsidRDefault="009B1CBB" w:rsidP="00CE64E4">
      <w:pPr>
        <w:pStyle w:val="enumlev2"/>
        <w:rPr>
          <w:i/>
          <w:iCs/>
        </w:rPr>
      </w:pPr>
      <w:r>
        <w:rPr>
          <w:i/>
          <w:iCs/>
        </w:rPr>
        <w:t>(the structure of this section should be based on an agreed version of Table 1)</w:t>
      </w:r>
    </w:p>
    <w:p w:rsidR="009B1CBB" w:rsidRPr="006F3E38" w:rsidRDefault="009B1CBB" w:rsidP="0049020D">
      <w:pPr>
        <w:pStyle w:val="Heading2"/>
      </w:pPr>
      <w:r w:rsidRPr="006F3E38">
        <w:t>1</w:t>
      </w:r>
      <w:r>
        <w:t>4</w:t>
      </w:r>
      <w:r w:rsidRPr="006F3E38">
        <w:tab/>
        <w:t>ITU-R Decisions</w:t>
      </w:r>
    </w:p>
    <w:p w:rsidR="009B1CBB" w:rsidRPr="006F3E38" w:rsidRDefault="009B1CBB" w:rsidP="00CE64E4">
      <w:pPr>
        <w:pStyle w:val="enumlev2"/>
        <w:rPr>
          <w:i/>
          <w:iCs/>
        </w:rPr>
      </w:pPr>
      <w:r>
        <w:rPr>
          <w:i/>
          <w:iCs/>
        </w:rPr>
        <w:t>(the structure of this section should be based on an agreed version of Table 1)</w:t>
      </w:r>
    </w:p>
    <w:p w:rsidR="009B1CBB" w:rsidRPr="006F3E38" w:rsidRDefault="009B1CBB" w:rsidP="0049020D">
      <w:pPr>
        <w:pStyle w:val="Heading2"/>
      </w:pPr>
      <w:r w:rsidRPr="006F3E38">
        <w:lastRenderedPageBreak/>
        <w:t>1</w:t>
      </w:r>
      <w:r>
        <w:t>5</w:t>
      </w:r>
      <w:r w:rsidRPr="006F3E38">
        <w:tab/>
        <w:t>ITU-R Opinions</w:t>
      </w:r>
    </w:p>
    <w:p w:rsidR="009B1CBB" w:rsidRPr="006F3E38" w:rsidRDefault="009B1CBB" w:rsidP="00CE64E4">
      <w:pPr>
        <w:pStyle w:val="enumlev2"/>
        <w:rPr>
          <w:i/>
          <w:iCs/>
        </w:rPr>
      </w:pPr>
      <w:r>
        <w:rPr>
          <w:i/>
          <w:iCs/>
        </w:rPr>
        <w:t>(the structure of this section should be based on an agreed version of Table 1)</w:t>
      </w:r>
    </w:p>
    <w:p w:rsidR="009B1CBB" w:rsidRPr="006F3E38" w:rsidRDefault="009B1CBB" w:rsidP="0049020D">
      <w:pPr>
        <w:pStyle w:val="enumlev2"/>
        <w:rPr>
          <w:i/>
          <w:iCs/>
        </w:rPr>
      </w:pPr>
    </w:p>
    <w:p w:rsidR="009B1CBB" w:rsidRPr="006F3E38" w:rsidRDefault="009B1CBB" w:rsidP="0049020D">
      <w:pPr>
        <w:pStyle w:val="AnnexNo"/>
      </w:pPr>
      <w:r w:rsidRPr="006F3E38">
        <w:t>Annex 2</w:t>
      </w:r>
    </w:p>
    <w:p w:rsidR="009B1CBB" w:rsidRPr="006F3E38" w:rsidRDefault="009B1CBB" w:rsidP="0049020D">
      <w:pPr>
        <w:pStyle w:val="Annextitle"/>
      </w:pPr>
      <w:r w:rsidRPr="006F3E38">
        <w:t>Common Patent Policy for ITU</w:t>
      </w:r>
      <w:r w:rsidRPr="006F3E38">
        <w:noBreakHyphen/>
        <w:t>T/ITU</w:t>
      </w:r>
      <w:r w:rsidRPr="006F3E38">
        <w:noBreakHyphen/>
        <w:t>R/ISO/IEC</w:t>
      </w:r>
    </w:p>
    <w:p w:rsidR="009B1CBB" w:rsidRPr="006F3E38" w:rsidRDefault="009B1CBB" w:rsidP="0049020D"/>
    <w:p w:rsidR="009B1CBB" w:rsidRPr="006F3E38" w:rsidRDefault="009B1CBB" w:rsidP="0049020D">
      <w:pPr>
        <w:tabs>
          <w:tab w:val="clear" w:pos="794"/>
          <w:tab w:val="clear" w:pos="1191"/>
          <w:tab w:val="clear" w:pos="1588"/>
          <w:tab w:val="clear" w:pos="1985"/>
        </w:tabs>
        <w:overflowPunct/>
        <w:autoSpaceDE/>
        <w:autoSpaceDN/>
        <w:adjustRightInd/>
        <w:spacing w:before="0"/>
        <w:textAlignment w:val="auto"/>
      </w:pPr>
    </w:p>
    <w:p w:rsidR="009B1CBB" w:rsidRDefault="009B1CBB" w:rsidP="009B1CBB"/>
    <w:p w:rsidR="00D40FC5" w:rsidRDefault="00D40FC5" w:rsidP="009B1CBB"/>
    <w:p w:rsidR="00D40FC5" w:rsidRDefault="00D40FC5" w:rsidP="009B1CBB"/>
    <w:p w:rsidR="00D40FC5" w:rsidRDefault="00D40FC5" w:rsidP="0032202E">
      <w:pPr>
        <w:pStyle w:val="Reasons"/>
      </w:pPr>
    </w:p>
    <w:p w:rsidR="00D40FC5" w:rsidRDefault="00D40FC5">
      <w:pPr>
        <w:jc w:val="center"/>
      </w:pPr>
      <w:r>
        <w:t>______________</w:t>
      </w:r>
    </w:p>
    <w:sectPr w:rsidR="00D40FC5" w:rsidSect="00D40FC5">
      <w:headerReference w:type="default" r:id="rId18"/>
      <w:footerReference w:type="default" r:id="rId19"/>
      <w:footerReference w:type="first" r:id="rId20"/>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CBB" w:rsidRDefault="009B1CBB">
      <w:r>
        <w:separator/>
      </w:r>
    </w:p>
  </w:endnote>
  <w:endnote w:type="continuationSeparator" w:id="0">
    <w:p w:rsidR="009B1CBB" w:rsidRDefault="009B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13" w:rsidRDefault="00877B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437" w:rsidRDefault="005A2437" w:rsidP="005A2437">
    <w:pPr>
      <w:pStyle w:val="Footer"/>
    </w:pPr>
    <w:fldSimple w:instr=" FILENAME \p  \* MERGEFORMAT ">
      <w:r w:rsidR="00761C0F">
        <w:t>P:\ENG\ITU-R\AG\RAG13\RAG-1\000\018E.docx</w:t>
      </w:r>
    </w:fldSimple>
    <w:r>
      <w:t xml:space="preserve"> (344749)</w:t>
    </w:r>
    <w:r>
      <w:tab/>
    </w:r>
    <w:r>
      <w:fldChar w:fldCharType="begin"/>
    </w:r>
    <w:r>
      <w:instrText xml:space="preserve"> SAVEDATE \@ DD.MM.YY </w:instrText>
    </w:r>
    <w:r>
      <w:fldChar w:fldCharType="separate"/>
    </w:r>
    <w:r w:rsidR="00761C0F">
      <w:t>16.05.13</w:t>
    </w:r>
    <w:r>
      <w:fldChar w:fldCharType="end"/>
    </w:r>
    <w:r>
      <w:tab/>
    </w:r>
    <w:r>
      <w:fldChar w:fldCharType="begin"/>
    </w:r>
    <w:r>
      <w:instrText xml:space="preserve"> PRINTDATE \@ DD.MM.YY </w:instrText>
    </w:r>
    <w:r>
      <w:fldChar w:fldCharType="separate"/>
    </w:r>
    <w:r w:rsidR="00761C0F">
      <w:t>16.05.13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437" w:rsidRDefault="00761C0F">
    <w:pPr>
      <w:pStyle w:val="Footer"/>
    </w:pPr>
    <w:r>
      <w:fldChar w:fldCharType="begin"/>
    </w:r>
    <w:r>
      <w:instrText xml:space="preserve"> FILENAME \p  \* MERGEFORMAT </w:instrText>
    </w:r>
    <w:r>
      <w:fldChar w:fldCharType="separate"/>
    </w:r>
    <w:r>
      <w:t>P:\ENG\ITU-R\AG\RAG13\RAG-1\000\018E.docx</w:t>
    </w:r>
    <w:r>
      <w:fldChar w:fldCharType="end"/>
    </w:r>
    <w:r w:rsidR="005A2437">
      <w:t xml:space="preserve"> (344749)</w:t>
    </w:r>
    <w:r w:rsidR="005A2437">
      <w:tab/>
    </w:r>
    <w:r w:rsidR="005A2437">
      <w:fldChar w:fldCharType="begin"/>
    </w:r>
    <w:r w:rsidR="005A2437">
      <w:instrText xml:space="preserve"> SAVEDATE \@ DD.MM.YY </w:instrText>
    </w:r>
    <w:r w:rsidR="005A2437">
      <w:fldChar w:fldCharType="separate"/>
    </w:r>
    <w:r>
      <w:t>16.05.13</w:t>
    </w:r>
    <w:r w:rsidR="005A2437">
      <w:fldChar w:fldCharType="end"/>
    </w:r>
    <w:r w:rsidR="005A2437">
      <w:tab/>
    </w:r>
    <w:r w:rsidR="005A2437">
      <w:fldChar w:fldCharType="begin"/>
    </w:r>
    <w:r w:rsidR="005A2437">
      <w:instrText xml:space="preserve"> PRINTDATE \@ DD.MM.YY </w:instrText>
    </w:r>
    <w:r w:rsidR="005A2437">
      <w:fldChar w:fldCharType="separate"/>
    </w:r>
    <w:r>
      <w:t>16.05.13</w:t>
    </w:r>
    <w:r w:rsidR="005A2437">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C5" w:rsidRDefault="00D40FC5" w:rsidP="00D40FC5">
    <w:pPr>
      <w:pStyle w:val="Footer"/>
    </w:pPr>
    <w:fldSimple w:instr=" FILENAME \p  \* MERGEFORMAT ">
      <w:r w:rsidR="00761C0F">
        <w:t>P:\ENG\ITU-R\AG\RAG13\RAG-1\000\018E.docx</w:t>
      </w:r>
    </w:fldSimple>
    <w:r>
      <w:t xml:space="preserve"> (344749)</w:t>
    </w:r>
    <w:r>
      <w:tab/>
    </w:r>
    <w:r>
      <w:fldChar w:fldCharType="begin"/>
    </w:r>
    <w:r>
      <w:instrText xml:space="preserve"> SAVEDATE \@ DD.MM.YY </w:instrText>
    </w:r>
    <w:r>
      <w:fldChar w:fldCharType="separate"/>
    </w:r>
    <w:r w:rsidR="00761C0F">
      <w:t>16.05.13</w:t>
    </w:r>
    <w:r>
      <w:fldChar w:fldCharType="end"/>
    </w:r>
    <w:r>
      <w:tab/>
    </w:r>
    <w:r>
      <w:fldChar w:fldCharType="begin"/>
    </w:r>
    <w:r>
      <w:instrText xml:space="preserve"> PRINTDATE \@ DD.MM.YY </w:instrText>
    </w:r>
    <w:r>
      <w:fldChar w:fldCharType="separate"/>
    </w:r>
    <w:r w:rsidR="00761C0F">
      <w:t>16.05.13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761C0F">
      <w:rPr>
        <w:lang w:val="en-US"/>
      </w:rPr>
      <w:t>P:\ENG\ITU-R\AG\RAG13\RAG-1\000\018E.docx</w:t>
    </w:r>
    <w:r>
      <w:rPr>
        <w:lang w:val="es-ES_tradnl"/>
      </w:rPr>
      <w:fldChar w:fldCharType="end"/>
    </w:r>
    <w:r w:rsidR="0095426A" w:rsidRPr="001E41A0">
      <w:rPr>
        <w:lang w:val="en-US"/>
      </w:rPr>
      <w:tab/>
    </w:r>
    <w:r w:rsidR="00CC1D49">
      <w:fldChar w:fldCharType="begin"/>
    </w:r>
    <w:r w:rsidR="0095426A">
      <w:instrText xml:space="preserve"> savedate \@ dd.MM.yy </w:instrText>
    </w:r>
    <w:r w:rsidR="00CC1D49">
      <w:fldChar w:fldCharType="separate"/>
    </w:r>
    <w:r w:rsidR="00761C0F">
      <w:t>16.05.13</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761C0F">
      <w:t>16.05.13</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CBB" w:rsidRDefault="009B1CBB">
      <w:r>
        <w:t>____________________</w:t>
      </w:r>
    </w:p>
  </w:footnote>
  <w:footnote w:type="continuationSeparator" w:id="0">
    <w:p w:rsidR="009B1CBB" w:rsidRDefault="009B1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13" w:rsidRDefault="00877B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CBB" w:rsidRDefault="009B1CBB" w:rsidP="001E41A0">
    <w:pPr>
      <w:pStyle w:val="Header"/>
      <w:rPr>
        <w:lang w:val="es-ES"/>
      </w:rPr>
    </w:pPr>
    <w:r>
      <w:fldChar w:fldCharType="begin"/>
    </w:r>
    <w:r>
      <w:instrText xml:space="preserve"> PAGE </w:instrText>
    </w:r>
    <w:r>
      <w:fldChar w:fldCharType="separate"/>
    </w:r>
    <w:r w:rsidR="00761C0F">
      <w:rPr>
        <w:noProof/>
      </w:rPr>
      <w:t>2</w:t>
    </w:r>
    <w:r>
      <w:rPr>
        <w:noProof/>
      </w:rPr>
      <w:fldChar w:fldCharType="end"/>
    </w:r>
  </w:p>
  <w:p w:rsidR="009B1CBB" w:rsidRDefault="009B1CBB" w:rsidP="009B1CBB">
    <w:pPr>
      <w:pStyle w:val="Header"/>
      <w:rPr>
        <w:lang w:val="es-ES"/>
      </w:rPr>
    </w:pPr>
    <w:r>
      <w:rPr>
        <w:lang w:val="es-ES"/>
      </w:rPr>
      <w:t>RAG13-1/18-E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13" w:rsidRDefault="00877B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C5" w:rsidRDefault="00D40FC5" w:rsidP="001E41A0">
    <w:pPr>
      <w:pStyle w:val="Header"/>
      <w:rPr>
        <w:lang w:val="es-ES"/>
      </w:rPr>
    </w:pPr>
    <w:r>
      <w:fldChar w:fldCharType="begin"/>
    </w:r>
    <w:r>
      <w:instrText xml:space="preserve"> PAGE </w:instrText>
    </w:r>
    <w:r>
      <w:fldChar w:fldCharType="separate"/>
    </w:r>
    <w:r w:rsidR="00761C0F">
      <w:rPr>
        <w:noProof/>
      </w:rPr>
      <w:t>4</w:t>
    </w:r>
    <w:r>
      <w:rPr>
        <w:noProof/>
      </w:rPr>
      <w:fldChar w:fldCharType="end"/>
    </w:r>
  </w:p>
  <w:p w:rsidR="00D40FC5" w:rsidRDefault="00D40FC5" w:rsidP="009B1CBB">
    <w:pPr>
      <w:pStyle w:val="Header"/>
      <w:rPr>
        <w:lang w:val="es-ES"/>
      </w:rPr>
    </w:pPr>
    <w:r>
      <w:rPr>
        <w:lang w:val="es-ES"/>
      </w:rPr>
      <w:t>RAG13-1/18-E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1E41A0" w:rsidP="001E41A0">
    <w:pPr>
      <w:pStyle w:val="Header"/>
      <w:rPr>
        <w:lang w:val="es-ES"/>
      </w:rPr>
    </w:pPr>
    <w:r>
      <w:fldChar w:fldCharType="begin"/>
    </w:r>
    <w:r>
      <w:instrText xml:space="preserve"> PAGE </w:instrText>
    </w:r>
    <w:r>
      <w:fldChar w:fldCharType="separate"/>
    </w:r>
    <w:r w:rsidR="00761C0F">
      <w:rPr>
        <w:noProof/>
      </w:rPr>
      <w:t>7</w:t>
    </w:r>
    <w:r>
      <w:rPr>
        <w:noProof/>
      </w:rPr>
      <w:fldChar w:fldCharType="end"/>
    </w:r>
  </w:p>
  <w:p w:rsidR="0095426A" w:rsidRDefault="00597657" w:rsidP="00877B13">
    <w:pPr>
      <w:pStyle w:val="Header"/>
      <w:rPr>
        <w:lang w:val="es-ES"/>
      </w:rPr>
    </w:pPr>
    <w:r>
      <w:rPr>
        <w:lang w:val="es-ES"/>
      </w:rPr>
      <w:t>RAG</w:t>
    </w:r>
    <w:r w:rsidR="00DD3BF8">
      <w:rPr>
        <w:lang w:val="es-ES"/>
      </w:rPr>
      <w:t>1</w:t>
    </w:r>
    <w:r w:rsidR="00B35BE4">
      <w:rPr>
        <w:lang w:val="es-ES"/>
      </w:rPr>
      <w:t>3</w:t>
    </w:r>
    <w:r w:rsidR="0095426A">
      <w:rPr>
        <w:lang w:val="es-ES"/>
      </w:rPr>
      <w:t>-1/</w:t>
    </w:r>
    <w:r w:rsidR="00877B13">
      <w:rPr>
        <w:lang w:val="es-ES"/>
      </w:rPr>
      <w:t>18</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CBB"/>
    <w:rsid w:val="00093C73"/>
    <w:rsid w:val="001377D6"/>
    <w:rsid w:val="001E41A0"/>
    <w:rsid w:val="002774E4"/>
    <w:rsid w:val="003D068D"/>
    <w:rsid w:val="00507DA3"/>
    <w:rsid w:val="0051782D"/>
    <w:rsid w:val="00597657"/>
    <w:rsid w:val="005A2437"/>
    <w:rsid w:val="005B2C58"/>
    <w:rsid w:val="00686043"/>
    <w:rsid w:val="00746923"/>
    <w:rsid w:val="00761C0F"/>
    <w:rsid w:val="00806E63"/>
    <w:rsid w:val="00877B13"/>
    <w:rsid w:val="008B3F50"/>
    <w:rsid w:val="0095426A"/>
    <w:rsid w:val="009B1CBB"/>
    <w:rsid w:val="00A16CB2"/>
    <w:rsid w:val="00A54CDA"/>
    <w:rsid w:val="00B35BE4"/>
    <w:rsid w:val="00B52992"/>
    <w:rsid w:val="00CC1D49"/>
    <w:rsid w:val="00CD4D80"/>
    <w:rsid w:val="00D211BC"/>
    <w:rsid w:val="00D40FC5"/>
    <w:rsid w:val="00D95FA1"/>
    <w:rsid w:val="00DD3BF8"/>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uiPriority w:val="99"/>
    <w:rsid w:val="009B1CBB"/>
    <w:rPr>
      <w:color w:val="0000FF"/>
      <w:u w:val="single"/>
    </w:rPr>
  </w:style>
  <w:style w:type="paragraph" w:customStyle="1" w:styleId="AnnexNo">
    <w:name w:val="Annex_No"/>
    <w:basedOn w:val="Normal"/>
    <w:next w:val="Annextitle"/>
    <w:rsid w:val="009B1CBB"/>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9B1CB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table" w:styleId="TableGrid">
    <w:name w:val="Table Grid"/>
    <w:basedOn w:val="TableNormal"/>
    <w:rsid w:val="009B1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
    <w:name w:val="Table_No"/>
    <w:basedOn w:val="Normal"/>
    <w:next w:val="Normal"/>
    <w:link w:val="TableNoChar"/>
    <w:uiPriority w:val="99"/>
    <w:rsid w:val="009B1CBB"/>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TableNoChar">
    <w:name w:val="Table_No Char"/>
    <w:link w:val="TableNo"/>
    <w:uiPriority w:val="99"/>
    <w:locked/>
    <w:rsid w:val="009B1CBB"/>
    <w:rPr>
      <w:rFonts w:ascii="Times New Roman" w:hAnsi="Times New Roman"/>
      <w:caps/>
      <w:lang w:val="en-GB" w:eastAsia="en-US"/>
    </w:rPr>
  </w:style>
  <w:style w:type="paragraph" w:customStyle="1" w:styleId="Tabletitle">
    <w:name w:val="Table_title"/>
    <w:basedOn w:val="Normal"/>
    <w:next w:val="Tabletext"/>
    <w:link w:val="TabletitleChar"/>
    <w:uiPriority w:val="99"/>
    <w:rsid w:val="009B1CBB"/>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uiPriority w:val="99"/>
    <w:locked/>
    <w:rsid w:val="009B1CBB"/>
    <w:rPr>
      <w:rFonts w:ascii="Times New Roman Bold" w:hAnsi="Times New Roman Bold"/>
      <w:b/>
      <w:lang w:val="en-GB" w:eastAsia="en-US"/>
    </w:rPr>
  </w:style>
  <w:style w:type="paragraph" w:customStyle="1" w:styleId="Reasons">
    <w:name w:val="Reasons"/>
    <w:basedOn w:val="Normal"/>
    <w:qFormat/>
    <w:rsid w:val="00D40FC5"/>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uiPriority w:val="99"/>
    <w:rsid w:val="009B1CBB"/>
    <w:rPr>
      <w:color w:val="0000FF"/>
      <w:u w:val="single"/>
    </w:rPr>
  </w:style>
  <w:style w:type="paragraph" w:customStyle="1" w:styleId="AnnexNo">
    <w:name w:val="Annex_No"/>
    <w:basedOn w:val="Normal"/>
    <w:next w:val="Annextitle"/>
    <w:rsid w:val="009B1CBB"/>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9B1CB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table" w:styleId="TableGrid">
    <w:name w:val="Table Grid"/>
    <w:basedOn w:val="TableNormal"/>
    <w:rsid w:val="009B1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
    <w:name w:val="Table_No"/>
    <w:basedOn w:val="Normal"/>
    <w:next w:val="Normal"/>
    <w:link w:val="TableNoChar"/>
    <w:uiPriority w:val="99"/>
    <w:rsid w:val="009B1CBB"/>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TableNoChar">
    <w:name w:val="Table_No Char"/>
    <w:link w:val="TableNo"/>
    <w:uiPriority w:val="99"/>
    <w:locked/>
    <w:rsid w:val="009B1CBB"/>
    <w:rPr>
      <w:rFonts w:ascii="Times New Roman" w:hAnsi="Times New Roman"/>
      <w:caps/>
      <w:lang w:val="en-GB" w:eastAsia="en-US"/>
    </w:rPr>
  </w:style>
  <w:style w:type="paragraph" w:customStyle="1" w:styleId="Tabletitle">
    <w:name w:val="Table_title"/>
    <w:basedOn w:val="Normal"/>
    <w:next w:val="Tabletext"/>
    <w:link w:val="TabletitleChar"/>
    <w:uiPriority w:val="99"/>
    <w:rsid w:val="009B1CBB"/>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uiPriority w:val="99"/>
    <w:locked/>
    <w:rsid w:val="009B1CBB"/>
    <w:rPr>
      <w:rFonts w:ascii="Times New Roman Bold" w:hAnsi="Times New Roman Bold"/>
      <w:b/>
      <w:lang w:val="en-GB" w:eastAsia="en-US"/>
    </w:rPr>
  </w:style>
  <w:style w:type="paragraph" w:customStyle="1" w:styleId="Reasons">
    <w:name w:val="Reasons"/>
    <w:basedOn w:val="Normal"/>
    <w:qFormat/>
    <w:rsid w:val="00D40FC5"/>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md/R12-RA12-C-0016/e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tu.int/md/R00-CA-CIR-0206/en"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RAG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PE_RAG13.dotm</Template>
  <TotalTime>29</TotalTime>
  <Pages>7</Pages>
  <Words>1606</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dc:creator>
  <cp:keywords/>
  <dc:description>PE_RAG10.dotm  For: _x000d_Document date: _x000d_Saved by TRA44246 at 12:32:17 on 12.02.2010</dc:description>
  <cp:lastModifiedBy>neal</cp:lastModifiedBy>
  <cp:revision>6</cp:revision>
  <cp:lastPrinted>2013-05-16T08:22:00Z</cp:lastPrinted>
  <dcterms:created xsi:type="dcterms:W3CDTF">2013-05-15T17:17:00Z</dcterms:created>
  <dcterms:modified xsi:type="dcterms:W3CDTF">2013-05-16T08:24:00Z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