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858"/>
        <w:tblW w:w="9889" w:type="dxa"/>
        <w:tblLayout w:type="fixed"/>
        <w:tblLook w:val="0000" w:firstRow="0" w:lastRow="0" w:firstColumn="0" w:lastColumn="0" w:noHBand="0" w:noVBand="0"/>
      </w:tblPr>
      <w:tblGrid>
        <w:gridCol w:w="6629"/>
        <w:gridCol w:w="3260"/>
      </w:tblGrid>
      <w:tr w:rsidR="006E291F" w:rsidTr="0076569B">
        <w:trPr>
          <w:cantSplit/>
        </w:trPr>
        <w:tc>
          <w:tcPr>
            <w:tcW w:w="6629" w:type="dxa"/>
          </w:tcPr>
          <w:p w:rsidR="006E291F" w:rsidRPr="006E291F" w:rsidRDefault="006E291F" w:rsidP="0031432E">
            <w:pPr>
              <w:shd w:val="solid" w:color="FFFFFF" w:fill="FFFFFF"/>
              <w:spacing w:before="360" w:after="240"/>
              <w:rPr>
                <w:rFonts w:ascii="Verdana" w:hAnsi="Verdana"/>
                <w:b/>
                <w:bCs/>
              </w:rPr>
            </w:pPr>
            <w:r w:rsidRPr="006E291F">
              <w:rPr>
                <w:rFonts w:ascii="Verdana" w:hAnsi="Verdana" w:cs="Times New Roman Bold"/>
                <w:b/>
                <w:sz w:val="26"/>
                <w:szCs w:val="26"/>
              </w:rPr>
              <w:t xml:space="preserve">Grupo Asesor </w:t>
            </w:r>
            <w:r w:rsidR="00610642" w:rsidRPr="006E291F">
              <w:rPr>
                <w:rFonts w:ascii="Verdana" w:hAnsi="Verdana" w:cs="Times New Roman Bold"/>
                <w:b/>
                <w:sz w:val="26"/>
                <w:szCs w:val="26"/>
              </w:rPr>
              <w:t>d</w:t>
            </w:r>
            <w:r w:rsidRPr="006E291F">
              <w:rPr>
                <w:rFonts w:ascii="Verdana" w:hAnsi="Verdana" w:cs="Times New Roman Bold"/>
                <w:b/>
                <w:sz w:val="26"/>
                <w:szCs w:val="26"/>
              </w:rPr>
              <w:t>e Radiocomunicaciones</w:t>
            </w:r>
            <w:r>
              <w:rPr>
                <w:b/>
                <w:caps/>
                <w:sz w:val="32"/>
              </w:rPr>
              <w:br/>
            </w:r>
            <w:r>
              <w:rPr>
                <w:rFonts w:ascii="Verdana" w:hAnsi="Verdana" w:cs="Times New Roman Bold"/>
                <w:b/>
                <w:bCs/>
                <w:sz w:val="20"/>
              </w:rPr>
              <w:t xml:space="preserve">Ginebra, </w:t>
            </w:r>
            <w:r w:rsidR="00482905">
              <w:rPr>
                <w:rFonts w:ascii="Verdana" w:hAnsi="Verdana" w:cs="Times New Roman Bold"/>
                <w:b/>
                <w:bCs/>
                <w:sz w:val="20"/>
              </w:rPr>
              <w:t>2</w:t>
            </w:r>
            <w:r w:rsidR="0031432E">
              <w:rPr>
                <w:rFonts w:ascii="Verdana" w:hAnsi="Verdana" w:cs="Times New Roman Bold"/>
                <w:b/>
                <w:bCs/>
                <w:sz w:val="20"/>
              </w:rPr>
              <w:t>2</w:t>
            </w:r>
            <w:r>
              <w:rPr>
                <w:rFonts w:ascii="Verdana" w:hAnsi="Verdana" w:cs="Times New Roman Bold"/>
                <w:b/>
                <w:bCs/>
                <w:sz w:val="20"/>
              </w:rPr>
              <w:t>-</w:t>
            </w:r>
            <w:r w:rsidR="00482905">
              <w:rPr>
                <w:rFonts w:ascii="Verdana" w:hAnsi="Verdana" w:cs="Times New Roman Bold"/>
                <w:b/>
                <w:bCs/>
                <w:sz w:val="20"/>
              </w:rPr>
              <w:t>2</w:t>
            </w:r>
            <w:r w:rsidR="0031432E">
              <w:rPr>
                <w:rFonts w:ascii="Verdana" w:hAnsi="Verdana" w:cs="Times New Roman Bold"/>
                <w:b/>
                <w:bCs/>
                <w:sz w:val="20"/>
              </w:rPr>
              <w:t>4</w:t>
            </w:r>
            <w:r>
              <w:rPr>
                <w:rFonts w:ascii="Verdana" w:hAnsi="Verdana" w:cs="Times New Roman Bold"/>
                <w:b/>
                <w:bCs/>
                <w:sz w:val="20"/>
              </w:rPr>
              <w:t xml:space="preserve"> de </w:t>
            </w:r>
            <w:r w:rsidR="0031432E">
              <w:rPr>
                <w:rFonts w:ascii="Verdana" w:hAnsi="Verdana" w:cs="Times New Roman Bold"/>
                <w:b/>
                <w:bCs/>
                <w:sz w:val="20"/>
              </w:rPr>
              <w:t>mayo</w:t>
            </w:r>
            <w:r>
              <w:rPr>
                <w:rFonts w:ascii="Verdana" w:hAnsi="Verdana" w:cs="Times New Roman Bold"/>
                <w:b/>
                <w:bCs/>
                <w:sz w:val="20"/>
              </w:rPr>
              <w:t xml:space="preserve"> de 20</w:t>
            </w:r>
            <w:r w:rsidR="005D3E02">
              <w:rPr>
                <w:rFonts w:ascii="Verdana" w:hAnsi="Verdana" w:cs="Times New Roman Bold"/>
                <w:b/>
                <w:bCs/>
                <w:sz w:val="20"/>
              </w:rPr>
              <w:t>1</w:t>
            </w:r>
            <w:r w:rsidR="0031432E">
              <w:rPr>
                <w:rFonts w:ascii="Verdana" w:hAnsi="Verdana" w:cs="Times New Roman Bold"/>
                <w:b/>
                <w:bCs/>
                <w:sz w:val="20"/>
              </w:rPr>
              <w:t>3</w:t>
            </w:r>
          </w:p>
        </w:tc>
        <w:tc>
          <w:tcPr>
            <w:tcW w:w="3260" w:type="dxa"/>
          </w:tcPr>
          <w:p w:rsidR="006E291F" w:rsidRDefault="006A42AB" w:rsidP="00CB7A43">
            <w:pPr>
              <w:shd w:val="solid" w:color="FFFFFF" w:fill="FFFFFF"/>
              <w:spacing w:before="0" w:line="240" w:lineRule="atLeast"/>
            </w:pPr>
            <w:r>
              <w:rPr>
                <w:rFonts w:ascii="Verdana" w:hAnsi="Verdana"/>
                <w:b/>
                <w:bCs/>
                <w:noProof/>
                <w:szCs w:val="24"/>
                <w:lang w:val="en-US" w:eastAsia="zh-CN"/>
              </w:rPr>
              <w:drawing>
                <wp:inline distT="0" distB="0" distL="0" distR="0" wp14:anchorId="26E38023" wp14:editId="00B78AC5">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6E291F" w:rsidRPr="0051782D" w:rsidTr="0076569B">
        <w:trPr>
          <w:cantSplit/>
        </w:trPr>
        <w:tc>
          <w:tcPr>
            <w:tcW w:w="6629" w:type="dxa"/>
            <w:tcBorders>
              <w:bottom w:val="single" w:sz="12" w:space="0" w:color="auto"/>
            </w:tcBorders>
          </w:tcPr>
          <w:p w:rsidR="006E291F" w:rsidRPr="0051782D" w:rsidRDefault="006E291F" w:rsidP="00CB7A43">
            <w:pPr>
              <w:shd w:val="solid" w:color="FFFFFF" w:fill="FFFFFF"/>
              <w:spacing w:before="0" w:after="48"/>
              <w:rPr>
                <w:rFonts w:ascii="Verdana" w:hAnsi="Verdana" w:cs="Times New Roman Bold"/>
                <w:b/>
                <w:sz w:val="22"/>
                <w:szCs w:val="22"/>
              </w:rPr>
            </w:pPr>
          </w:p>
        </w:tc>
        <w:tc>
          <w:tcPr>
            <w:tcW w:w="3260" w:type="dxa"/>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rsidTr="0076569B">
        <w:trPr>
          <w:cantSplit/>
        </w:trPr>
        <w:tc>
          <w:tcPr>
            <w:tcW w:w="6629" w:type="dxa"/>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260" w:type="dxa"/>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rsidTr="0076569B">
        <w:trPr>
          <w:cantSplit/>
        </w:trPr>
        <w:tc>
          <w:tcPr>
            <w:tcW w:w="6629" w:type="dxa"/>
            <w:vMerge w:val="restart"/>
          </w:tcPr>
          <w:p w:rsidR="006E291F" w:rsidRDefault="006E291F" w:rsidP="00CB7A43">
            <w:pPr>
              <w:shd w:val="solid" w:color="FFFFFF" w:fill="FFFFFF"/>
              <w:spacing w:after="240"/>
              <w:rPr>
                <w:sz w:val="20"/>
              </w:rPr>
            </w:pPr>
            <w:bookmarkStart w:id="0" w:name="dnum" w:colFirst="1" w:colLast="1"/>
          </w:p>
        </w:tc>
        <w:tc>
          <w:tcPr>
            <w:tcW w:w="3260" w:type="dxa"/>
          </w:tcPr>
          <w:p w:rsidR="006E291F" w:rsidRPr="0076569B" w:rsidRDefault="0076569B" w:rsidP="0076569B">
            <w:pPr>
              <w:shd w:val="solid" w:color="FFFFFF" w:fill="FFFFFF"/>
              <w:spacing w:before="0" w:line="240" w:lineRule="atLeast"/>
              <w:rPr>
                <w:rFonts w:ascii="Verdana" w:hAnsi="Verdana"/>
                <w:sz w:val="20"/>
              </w:rPr>
            </w:pPr>
            <w:r>
              <w:rPr>
                <w:rFonts w:ascii="Verdana" w:hAnsi="Verdana"/>
                <w:b/>
                <w:sz w:val="20"/>
              </w:rPr>
              <w:t>Documento RAG13-1/11-S</w:t>
            </w:r>
          </w:p>
        </w:tc>
      </w:tr>
      <w:tr w:rsidR="006E291F" w:rsidRPr="002A127E" w:rsidTr="0076569B">
        <w:trPr>
          <w:cantSplit/>
        </w:trPr>
        <w:tc>
          <w:tcPr>
            <w:tcW w:w="6629" w:type="dxa"/>
            <w:vMerge/>
          </w:tcPr>
          <w:p w:rsidR="006E291F" w:rsidRDefault="006E291F" w:rsidP="00CB7A43">
            <w:pPr>
              <w:spacing w:before="60"/>
              <w:jc w:val="center"/>
              <w:rPr>
                <w:b/>
                <w:smallCaps/>
                <w:sz w:val="32"/>
              </w:rPr>
            </w:pPr>
            <w:bookmarkStart w:id="1" w:name="ddate" w:colFirst="1" w:colLast="1"/>
            <w:bookmarkEnd w:id="0"/>
          </w:p>
        </w:tc>
        <w:tc>
          <w:tcPr>
            <w:tcW w:w="3260" w:type="dxa"/>
          </w:tcPr>
          <w:p w:rsidR="006E291F" w:rsidRPr="0076569B" w:rsidRDefault="0076569B" w:rsidP="0076569B">
            <w:pPr>
              <w:shd w:val="solid" w:color="FFFFFF" w:fill="FFFFFF"/>
              <w:spacing w:before="0" w:line="240" w:lineRule="atLeast"/>
              <w:rPr>
                <w:rFonts w:ascii="Verdana" w:hAnsi="Verdana"/>
                <w:sz w:val="20"/>
              </w:rPr>
            </w:pPr>
            <w:r>
              <w:rPr>
                <w:rFonts w:ascii="Verdana" w:hAnsi="Verdana"/>
                <w:b/>
                <w:sz w:val="20"/>
              </w:rPr>
              <w:t>30 de abril de 2013</w:t>
            </w:r>
          </w:p>
        </w:tc>
      </w:tr>
      <w:tr w:rsidR="006E291F" w:rsidRPr="002A127E" w:rsidTr="0076569B">
        <w:trPr>
          <w:cantSplit/>
        </w:trPr>
        <w:tc>
          <w:tcPr>
            <w:tcW w:w="6629" w:type="dxa"/>
            <w:vMerge/>
          </w:tcPr>
          <w:p w:rsidR="006E291F" w:rsidRDefault="006E291F" w:rsidP="00CB7A43">
            <w:pPr>
              <w:spacing w:before="60"/>
              <w:jc w:val="center"/>
              <w:rPr>
                <w:b/>
                <w:smallCaps/>
                <w:sz w:val="32"/>
              </w:rPr>
            </w:pPr>
            <w:bookmarkStart w:id="2" w:name="dorlang" w:colFirst="1" w:colLast="1"/>
            <w:bookmarkEnd w:id="1"/>
          </w:p>
        </w:tc>
        <w:tc>
          <w:tcPr>
            <w:tcW w:w="3260" w:type="dxa"/>
          </w:tcPr>
          <w:p w:rsidR="006E291F" w:rsidRPr="0076569B" w:rsidRDefault="0076569B" w:rsidP="0076569B">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trPr>
          <w:cantSplit/>
        </w:trPr>
        <w:tc>
          <w:tcPr>
            <w:tcW w:w="9889" w:type="dxa"/>
            <w:gridSpan w:val="2"/>
          </w:tcPr>
          <w:p w:rsidR="006E291F" w:rsidRDefault="0076569B" w:rsidP="00CB7A43">
            <w:pPr>
              <w:pStyle w:val="Source"/>
            </w:pPr>
            <w:bookmarkStart w:id="3" w:name="dsource" w:colFirst="0" w:colLast="0"/>
            <w:bookmarkEnd w:id="2"/>
            <w:r>
              <w:t>Brasil (República Federativa del)</w:t>
            </w:r>
          </w:p>
        </w:tc>
      </w:tr>
      <w:tr w:rsidR="006E291F">
        <w:trPr>
          <w:cantSplit/>
        </w:trPr>
        <w:tc>
          <w:tcPr>
            <w:tcW w:w="9889" w:type="dxa"/>
            <w:gridSpan w:val="2"/>
          </w:tcPr>
          <w:p w:rsidR="006E291F" w:rsidRDefault="004B73B7" w:rsidP="004B73B7">
            <w:pPr>
              <w:pStyle w:val="Title1"/>
            </w:pPr>
            <w:bookmarkStart w:id="4" w:name="dtitle1" w:colFirst="0" w:colLast="0"/>
            <w:bookmarkEnd w:id="3"/>
            <w:r>
              <w:t>PRopuesta para consideración en el contexto de la nueva base de datos de las recomendaciones uit-r</w:t>
            </w:r>
          </w:p>
        </w:tc>
      </w:tr>
    </w:tbl>
    <w:bookmarkEnd w:id="4"/>
    <w:p w:rsidR="00E72EA7" w:rsidRDefault="004B73B7" w:rsidP="00246676">
      <w:pPr>
        <w:pStyle w:val="Normalaftertitle"/>
      </w:pPr>
      <w:r>
        <w:t>En el marco del proyecto de TI en curso en la BR para el diseño de una nueva base de datos de las Recomendaciones UIT-R, Brasil desea sugerir que, dentro de esta base de datos, podría considerarse la inclusión (indexación) de una banderola que indique s</w:t>
      </w:r>
      <w:r w:rsidR="00246676">
        <w:t>i</w:t>
      </w:r>
      <w:r>
        <w:t xml:space="preserve"> la Recomendación está incorporada por referencia al Reglamento de Radiocomunicaciones.</w:t>
      </w:r>
    </w:p>
    <w:p w:rsidR="004B73B7" w:rsidRDefault="004B73B7" w:rsidP="004B73B7">
      <w:r>
        <w:t xml:space="preserve">La banderola propuesta podría informar si la Recomendación se ha incorporado por referencia al RR, </w:t>
      </w:r>
      <w:r w:rsidR="004A282B">
        <w:t xml:space="preserve">a </w:t>
      </w:r>
      <w:r>
        <w:t>qué disposición y el texto asociado de la disposición conexa del RR a la que se ha incorporado por referencia.</w:t>
      </w:r>
    </w:p>
    <w:p w:rsidR="004B73B7" w:rsidRPr="004B73B7" w:rsidRDefault="004B73B7" w:rsidP="00EF10F6">
      <w:r>
        <w:t xml:space="preserve">La característica que aquí se propone podría gestionarse con facilidad tras aprobarse la versión revisada por la CMR-12 del Anexo 3 de la Resolución 27, </w:t>
      </w:r>
      <w:r w:rsidR="004A282B">
        <w:t>por la que se crea</w:t>
      </w:r>
      <w:r>
        <w:t xml:space="preserve"> un cuadro de referencias </w:t>
      </w:r>
      <w:r w:rsidR="004A282B">
        <w:t>recíprocas</w:t>
      </w:r>
      <w:r>
        <w:t xml:space="preserve"> para las Recomendaciones incorporadas por referencia y las disposiciones y notas del RR relacionadas con éstas, según se indica en el extracto del RR (Resolución 27, Anexo</w:t>
      </w:r>
      <w:r w:rsidR="00EF10F6">
        <w:t> </w:t>
      </w:r>
      <w:r>
        <w:t>3).</w:t>
      </w:r>
    </w:p>
    <w:p w:rsidR="004662A6" w:rsidRPr="004662A6" w:rsidRDefault="00EF10F6" w:rsidP="004662A6">
      <w:pPr>
        <w:ind w:firstLine="708"/>
        <w:rPr>
          <w:i/>
          <w:szCs w:val="24"/>
        </w:rPr>
      </w:pPr>
      <w:r>
        <w:rPr>
          <w:i/>
          <w:szCs w:val="24"/>
        </w:rPr>
        <w:t>«</w:t>
      </w:r>
      <w:r w:rsidR="004662A6" w:rsidRPr="004662A6">
        <w:rPr>
          <w:i/>
          <w:szCs w:val="24"/>
        </w:rPr>
        <w:t>..</w:t>
      </w:r>
      <w:r>
        <w:rPr>
          <w:i/>
          <w:szCs w:val="24"/>
        </w:rPr>
        <w:t>.</w:t>
      </w:r>
    </w:p>
    <w:p w:rsidR="0076569B" w:rsidRPr="00CE0EAB" w:rsidRDefault="0076569B" w:rsidP="0076569B">
      <w:pPr>
        <w:pStyle w:val="AnnexNo"/>
        <w:spacing w:before="360"/>
        <w:rPr>
          <w:lang w:val="es-ES"/>
        </w:rPr>
      </w:pPr>
      <w:r w:rsidRPr="00CE0EAB">
        <w:rPr>
          <w:lang w:val="es-ES"/>
        </w:rPr>
        <w:t>ANEXO  3  A  LA  RESOLUCIÓN  27  (Rev.CMR-12)</w:t>
      </w:r>
    </w:p>
    <w:p w:rsidR="0076569B" w:rsidRPr="00CE0EAB" w:rsidRDefault="0076569B" w:rsidP="0076569B">
      <w:pPr>
        <w:pStyle w:val="Annextitle"/>
        <w:spacing w:after="120"/>
        <w:rPr>
          <w:lang w:val="es-ES"/>
        </w:rPr>
      </w:pPr>
      <w:r w:rsidRPr="00CE0EAB">
        <w:rPr>
          <w:lang w:val="es-ES"/>
        </w:rPr>
        <w:t>Procedimientos aplicables por la CMR para aprobar la incorporación</w:t>
      </w:r>
      <w:r w:rsidRPr="00CE0EAB">
        <w:rPr>
          <w:lang w:val="es-ES"/>
        </w:rPr>
        <w:br/>
        <w:t>por referencia de Recomendaciones UIT-R</w:t>
      </w:r>
      <w:r w:rsidRPr="00CE0EAB">
        <w:rPr>
          <w:lang w:val="es-ES"/>
        </w:rPr>
        <w:br/>
        <w:t>o de partes de las mismas</w:t>
      </w:r>
    </w:p>
    <w:p w:rsidR="0076569B" w:rsidRPr="00CE0EAB" w:rsidRDefault="0076569B" w:rsidP="0076569B">
      <w:pPr>
        <w:pStyle w:val="Normalaftertitle0"/>
        <w:spacing w:before="120"/>
        <w:rPr>
          <w:lang w:val="es-ES"/>
        </w:rPr>
      </w:pPr>
      <w:r w:rsidRPr="00CE0EAB">
        <w:rPr>
          <w:lang w:val="es-ES"/>
        </w:rPr>
        <w:t>Los textos referenciados se pondrán a disposición de las delegaciones con tiempo suficiente para que todas las administraciones los consulten en los idiomas de la UIT. A cada administración se le entregará un solo ejemplar de los textos como documento de conferencia.</w:t>
      </w:r>
    </w:p>
    <w:p w:rsidR="0076569B" w:rsidRPr="00CE0EAB" w:rsidRDefault="0076569B" w:rsidP="0076569B">
      <w:pPr>
        <w:spacing w:before="40"/>
        <w:rPr>
          <w:szCs w:val="22"/>
          <w:lang w:val="es-ES"/>
        </w:rPr>
      </w:pPr>
      <w:r w:rsidRPr="00CE0EAB">
        <w:rPr>
          <w:szCs w:val="22"/>
          <w:lang w:val="es-ES"/>
        </w:rPr>
        <w:t xml:space="preserve">En el curso de cada CMR, las Comisiones elaborarán y actualizarán una lista de los textos </w:t>
      </w:r>
      <w:r w:rsidRPr="00CE0EAB">
        <w:rPr>
          <w:lang w:val="es-ES"/>
        </w:rPr>
        <w:t>incorporados</w:t>
      </w:r>
      <w:r w:rsidRPr="00CE0EAB">
        <w:rPr>
          <w:szCs w:val="22"/>
          <w:lang w:val="es-ES"/>
        </w:rPr>
        <w:t xml:space="preserve"> por referencia, </w:t>
      </w:r>
      <w:r w:rsidRPr="004A282B">
        <w:rPr>
          <w:szCs w:val="22"/>
          <w:u w:val="single"/>
          <w:lang w:val="es-ES"/>
        </w:rPr>
        <w:t>y una lista de referencias recíprocas de las disposiciones reglamentarias incluidas las notas y Resoluciones</w:t>
      </w:r>
      <w:r w:rsidRPr="00CE0EAB">
        <w:rPr>
          <w:szCs w:val="22"/>
          <w:lang w:val="es-ES"/>
        </w:rPr>
        <w:t xml:space="preserve"> que incorporan por referencia tales Recomendaciones UIT-R. Estas listas se publicarán como documento de conferencia en función de la evolución de los trabajos de la misma.</w:t>
      </w:r>
    </w:p>
    <w:p w:rsidR="0076569B" w:rsidRDefault="0076569B" w:rsidP="0076569B">
      <w:pPr>
        <w:spacing w:before="40"/>
        <w:rPr>
          <w:lang w:val="es-ES"/>
        </w:rPr>
      </w:pPr>
      <w:r w:rsidRPr="00CE0EAB">
        <w:rPr>
          <w:lang w:val="es-ES"/>
        </w:rPr>
        <w:t>Al final de cada CMR, la Oficina y la Secretaría General actualizarán el volumen del Reglamento de Radiocomunicaciones en el que se recogen los textos incorporados por referencia de acuerdo con la evolución de los trabajos de la Conferencia, según figuran registrados en el documento antes mencionado.</w:t>
      </w:r>
    </w:p>
    <w:p w:rsidR="004662A6" w:rsidRPr="00EF10F6" w:rsidRDefault="00EF10F6" w:rsidP="00EF10F6">
      <w:pPr>
        <w:ind w:firstLine="708"/>
        <w:rPr>
          <w:i/>
          <w:szCs w:val="24"/>
        </w:rPr>
      </w:pPr>
      <w:r>
        <w:rPr>
          <w:i/>
          <w:szCs w:val="24"/>
        </w:rPr>
        <w:lastRenderedPageBreak/>
        <w:t>.</w:t>
      </w:r>
      <w:r w:rsidR="004662A6" w:rsidRPr="00EF10F6">
        <w:rPr>
          <w:i/>
          <w:szCs w:val="24"/>
        </w:rPr>
        <w:t>..</w:t>
      </w:r>
      <w:r>
        <w:rPr>
          <w:i/>
          <w:szCs w:val="24"/>
        </w:rPr>
        <w:t>»</w:t>
      </w:r>
    </w:p>
    <w:p w:rsidR="0076569B" w:rsidRDefault="004A282B" w:rsidP="004A282B">
      <w:pPr>
        <w:rPr>
          <w:lang w:val="es-ES"/>
        </w:rPr>
      </w:pPr>
      <w:r>
        <w:rPr>
          <w:lang w:val="es-ES"/>
        </w:rPr>
        <w:t>Mediante la información extraída de la lista de referencias recíprocas recogida en el Volumen 4 del RR, la BR podría actualizar con facilidad la información de la citada banderola en la base de datos de las Recomendaciones UIT-R inmediatamente después de cada CMR. Además, esta característica permitiría actualizaciones facilitadas del RR durante futuras CMR dado que facilitaría el acceso a los textos referenciados</w:t>
      </w:r>
      <w:r w:rsidR="00EF10F6">
        <w:rPr>
          <w:lang w:val="es-ES"/>
        </w:rPr>
        <w:t xml:space="preserve"> y a las disposiciones conexas.</w:t>
      </w:r>
    </w:p>
    <w:p w:rsidR="004662A6" w:rsidRPr="00EF10F6" w:rsidRDefault="004662A6" w:rsidP="004A282B">
      <w:pPr>
        <w:pStyle w:val="Reasons"/>
        <w:rPr>
          <w:lang w:val="es-ES_tradnl"/>
        </w:rPr>
      </w:pPr>
    </w:p>
    <w:p w:rsidR="004662A6" w:rsidRDefault="004662A6">
      <w:pPr>
        <w:jc w:val="center"/>
      </w:pPr>
      <w:r>
        <w:t>______________</w:t>
      </w:r>
      <w:bookmarkStart w:id="5" w:name="_GoBack"/>
      <w:bookmarkEnd w:id="5"/>
    </w:p>
    <w:sectPr w:rsidR="004662A6" w:rsidSect="004D6C09">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69B" w:rsidRDefault="0076569B">
      <w:r>
        <w:separator/>
      </w:r>
    </w:p>
  </w:endnote>
  <w:endnote w:type="continuationSeparator" w:id="0">
    <w:p w:rsidR="0076569B" w:rsidRDefault="0076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01" w:rsidRPr="00EF10F6" w:rsidRDefault="00EF10F6" w:rsidP="00EF10F6">
    <w:pPr>
      <w:pStyle w:val="Footer"/>
    </w:pPr>
    <w:fldSimple w:instr=" FILENAME \p  \* MERGEFORMAT ">
      <w:r w:rsidR="00246676">
        <w:t>P:\ESP\ITU-R\AG\RAG13\RAG-1\000\011S.docx</w:t>
      </w:r>
    </w:fldSimple>
    <w:r>
      <w:t xml:space="preserve"> (343620)</w:t>
    </w:r>
    <w:r>
      <w:tab/>
    </w:r>
    <w:r>
      <w:fldChar w:fldCharType="begin"/>
    </w:r>
    <w:r>
      <w:instrText xml:space="preserve"> SAVEDATE \@ DD.MM.YY </w:instrText>
    </w:r>
    <w:r>
      <w:fldChar w:fldCharType="separate"/>
    </w:r>
    <w:r w:rsidR="00246676">
      <w:t>08.05.13</w:t>
    </w:r>
    <w:r>
      <w:fldChar w:fldCharType="end"/>
    </w:r>
    <w:r>
      <w:tab/>
    </w:r>
    <w:r>
      <w:fldChar w:fldCharType="begin"/>
    </w:r>
    <w:r>
      <w:instrText xml:space="preserve"> PRINTDATE \@ DD.MM.YY </w:instrText>
    </w:r>
    <w:r>
      <w:fldChar w:fldCharType="separate"/>
    </w:r>
    <w:r w:rsidR="00246676">
      <w:t>08.05.13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01" w:rsidRPr="00EF10F6" w:rsidRDefault="00EF10F6" w:rsidP="00EF10F6">
    <w:pPr>
      <w:pStyle w:val="Footer"/>
    </w:pPr>
    <w:r>
      <w:fldChar w:fldCharType="begin"/>
    </w:r>
    <w:r>
      <w:instrText xml:space="preserve"> FILENAME \p  \* MERGEFORMAT </w:instrText>
    </w:r>
    <w:r>
      <w:fldChar w:fldCharType="separate"/>
    </w:r>
    <w:r w:rsidR="00246676">
      <w:t>P:\ESP\ITU-R\AG\RAG13\RAG-1\000\011S.docx</w:t>
    </w:r>
    <w:r>
      <w:fldChar w:fldCharType="end"/>
    </w:r>
    <w:r>
      <w:t xml:space="preserve"> (343620)</w:t>
    </w:r>
    <w:r>
      <w:tab/>
    </w:r>
    <w:r>
      <w:fldChar w:fldCharType="begin"/>
    </w:r>
    <w:r>
      <w:instrText xml:space="preserve"> SAVEDATE \@ DD.MM.YY </w:instrText>
    </w:r>
    <w:r>
      <w:fldChar w:fldCharType="separate"/>
    </w:r>
    <w:r w:rsidR="00246676">
      <w:t>08.05.13</w:t>
    </w:r>
    <w:r>
      <w:fldChar w:fldCharType="end"/>
    </w:r>
    <w:r>
      <w:tab/>
    </w:r>
    <w:r>
      <w:fldChar w:fldCharType="begin"/>
    </w:r>
    <w:r>
      <w:instrText xml:space="preserve"> PRINTDATE \@ DD.MM.YY </w:instrText>
    </w:r>
    <w:r>
      <w:fldChar w:fldCharType="separate"/>
    </w:r>
    <w:r w:rsidR="00246676">
      <w:t>08.05.13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69B" w:rsidRDefault="0076569B">
      <w:r>
        <w:t>____________________</w:t>
      </w:r>
    </w:p>
  </w:footnote>
  <w:footnote w:type="continuationSeparator" w:id="0">
    <w:p w:rsidR="0076569B" w:rsidRDefault="00765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246676">
      <w:rPr>
        <w:rStyle w:val="PageNumber"/>
        <w:noProof/>
      </w:rPr>
      <w:t>2</w:t>
    </w:r>
    <w:r>
      <w:rPr>
        <w:rStyle w:val="PageNumber"/>
      </w:rPr>
      <w:fldChar w:fldCharType="end"/>
    </w:r>
  </w:p>
  <w:p w:rsidR="00616601" w:rsidRDefault="0034043B" w:rsidP="004662A6">
    <w:pPr>
      <w:pStyle w:val="Header"/>
      <w:rPr>
        <w:lang w:val="es-ES"/>
      </w:rPr>
    </w:pPr>
    <w:r>
      <w:rPr>
        <w:lang w:val="es-ES"/>
      </w:rPr>
      <w:t>RAG</w:t>
    </w:r>
    <w:r w:rsidR="005D3E02">
      <w:rPr>
        <w:lang w:val="es-ES"/>
      </w:rPr>
      <w:t>1</w:t>
    </w:r>
    <w:r w:rsidR="0031432E">
      <w:rPr>
        <w:lang w:val="es-ES"/>
      </w:rPr>
      <w:t>3</w:t>
    </w:r>
    <w:r w:rsidR="00616601">
      <w:rPr>
        <w:lang w:val="es-ES"/>
      </w:rPr>
      <w:t>-1/</w:t>
    </w:r>
    <w:r w:rsidR="004662A6">
      <w:rPr>
        <w:lang w:val="es-ES"/>
      </w:rPr>
      <w:t>11</w:t>
    </w:r>
    <w:r w:rsidR="00616601">
      <w:rPr>
        <w:lang w:val="es-E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69B"/>
    <w:rsid w:val="0012592F"/>
    <w:rsid w:val="001F269F"/>
    <w:rsid w:val="00246676"/>
    <w:rsid w:val="0031432E"/>
    <w:rsid w:val="0034043B"/>
    <w:rsid w:val="003527C9"/>
    <w:rsid w:val="00414D8B"/>
    <w:rsid w:val="004662A6"/>
    <w:rsid w:val="00482905"/>
    <w:rsid w:val="004A282B"/>
    <w:rsid w:val="004B73B7"/>
    <w:rsid w:val="004D6C09"/>
    <w:rsid w:val="005D3E02"/>
    <w:rsid w:val="00610642"/>
    <w:rsid w:val="00616601"/>
    <w:rsid w:val="006748F6"/>
    <w:rsid w:val="006A42AB"/>
    <w:rsid w:val="006E291F"/>
    <w:rsid w:val="0076569B"/>
    <w:rsid w:val="00B32E51"/>
    <w:rsid w:val="00CB7A43"/>
    <w:rsid w:val="00E72EA7"/>
    <w:rsid w:val="00EF10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paragraph" w:customStyle="1" w:styleId="AnnexNo">
    <w:name w:val="Annex_No"/>
    <w:basedOn w:val="Normal"/>
    <w:next w:val="Normal"/>
    <w:link w:val="AnnexNoCar"/>
    <w:rsid w:val="0076569B"/>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aftertitle0"/>
    <w:link w:val="AnnextitleChar"/>
    <w:rsid w:val="0076569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76569B"/>
    <w:pPr>
      <w:tabs>
        <w:tab w:val="clear" w:pos="794"/>
        <w:tab w:val="clear" w:pos="1191"/>
        <w:tab w:val="clear" w:pos="1588"/>
        <w:tab w:val="clear" w:pos="1985"/>
        <w:tab w:val="left" w:pos="1134"/>
        <w:tab w:val="left" w:pos="1871"/>
        <w:tab w:val="left" w:pos="2268"/>
      </w:tabs>
      <w:spacing w:before="280"/>
      <w:jc w:val="both"/>
    </w:pPr>
  </w:style>
  <w:style w:type="character" w:customStyle="1" w:styleId="AnnextitleChar">
    <w:name w:val="Annex_title Char"/>
    <w:basedOn w:val="DefaultParagraphFont"/>
    <w:link w:val="Annextitle"/>
    <w:locked/>
    <w:rsid w:val="0076569B"/>
    <w:rPr>
      <w:rFonts w:ascii="Times New Roman Bold" w:hAnsi="Times New Roman Bold"/>
      <w:b/>
      <w:sz w:val="28"/>
      <w:lang w:val="es-ES_tradnl" w:eastAsia="en-US"/>
    </w:rPr>
  </w:style>
  <w:style w:type="character" w:customStyle="1" w:styleId="AnnexNoCar">
    <w:name w:val="Annex_No Car"/>
    <w:basedOn w:val="DefaultParagraphFont"/>
    <w:link w:val="AnnexNo"/>
    <w:rsid w:val="0076569B"/>
    <w:rPr>
      <w:rFonts w:ascii="Times New Roman" w:hAnsi="Times New Roman"/>
      <w:caps/>
      <w:sz w:val="28"/>
      <w:lang w:val="es-ES_tradnl" w:eastAsia="en-US"/>
    </w:rPr>
  </w:style>
  <w:style w:type="paragraph" w:customStyle="1" w:styleId="Reasons">
    <w:name w:val="Reasons"/>
    <w:basedOn w:val="Normal"/>
    <w:qFormat/>
    <w:rsid w:val="004662A6"/>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paragraph" w:customStyle="1" w:styleId="AnnexNo">
    <w:name w:val="Annex_No"/>
    <w:basedOn w:val="Normal"/>
    <w:next w:val="Normal"/>
    <w:link w:val="AnnexNoCar"/>
    <w:rsid w:val="0076569B"/>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aftertitle0"/>
    <w:link w:val="AnnextitleChar"/>
    <w:rsid w:val="0076569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76569B"/>
    <w:pPr>
      <w:tabs>
        <w:tab w:val="clear" w:pos="794"/>
        <w:tab w:val="clear" w:pos="1191"/>
        <w:tab w:val="clear" w:pos="1588"/>
        <w:tab w:val="clear" w:pos="1985"/>
        <w:tab w:val="left" w:pos="1134"/>
        <w:tab w:val="left" w:pos="1871"/>
        <w:tab w:val="left" w:pos="2268"/>
      </w:tabs>
      <w:spacing w:before="280"/>
      <w:jc w:val="both"/>
    </w:pPr>
  </w:style>
  <w:style w:type="character" w:customStyle="1" w:styleId="AnnextitleChar">
    <w:name w:val="Annex_title Char"/>
    <w:basedOn w:val="DefaultParagraphFont"/>
    <w:link w:val="Annextitle"/>
    <w:locked/>
    <w:rsid w:val="0076569B"/>
    <w:rPr>
      <w:rFonts w:ascii="Times New Roman Bold" w:hAnsi="Times New Roman Bold"/>
      <w:b/>
      <w:sz w:val="28"/>
      <w:lang w:val="es-ES_tradnl" w:eastAsia="en-US"/>
    </w:rPr>
  </w:style>
  <w:style w:type="character" w:customStyle="1" w:styleId="AnnexNoCar">
    <w:name w:val="Annex_No Car"/>
    <w:basedOn w:val="DefaultParagraphFont"/>
    <w:link w:val="AnnexNo"/>
    <w:rsid w:val="0076569B"/>
    <w:rPr>
      <w:rFonts w:ascii="Times New Roman" w:hAnsi="Times New Roman"/>
      <w:caps/>
      <w:sz w:val="28"/>
      <w:lang w:val="es-ES_tradnl" w:eastAsia="en-US"/>
    </w:rPr>
  </w:style>
  <w:style w:type="paragraph" w:customStyle="1" w:styleId="Reasons">
    <w:name w:val="Reasons"/>
    <w:basedOn w:val="Normal"/>
    <w:qFormat/>
    <w:rsid w:val="004662A6"/>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RAG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EE667-B83B-4A28-9766-CEE08FDED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PS_RAG13</Template>
  <TotalTime>14</TotalTime>
  <Pages>2</Pages>
  <Words>441</Words>
  <Characters>2373</Characters>
  <Application>Microsoft Office Word</Application>
  <DocSecurity>0</DocSecurity>
  <Lines>53</Lines>
  <Paragraphs>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PARA CONSIDERACIÓN EN EL CONTEXTO DE LA NUEVA BASE DE DATOS DE LAS RECOMENDACIONES UIT-R</dc:title>
  <dc:subject>GRUPO ASESOR DE RADIOCOMUNICACIONES</dc:subject>
  <dc:creator>Brasil (República Federativa del)</dc:creator>
  <cp:keywords>RAG03-1</cp:keywords>
  <dc:description>Documento RAG13-1/11-S  For: _x000d_Document date: 30 de abril de 2013_x000d_Saved by ITU51007802 at 09:49:26 on 08/05/2013</dc:description>
  <cp:lastModifiedBy>Hernandez, Felipe</cp:lastModifiedBy>
  <cp:revision>3</cp:revision>
  <cp:lastPrinted>2013-05-08T07:45:00Z</cp:lastPrinted>
  <dcterms:created xsi:type="dcterms:W3CDTF">2013-05-08T07:36:00Z</dcterms:created>
  <dcterms:modified xsi:type="dcterms:W3CDTF">2013-05-08T07:49:00Z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RAG13-1/11-S</vt:lpwstr>
  </property>
  <property fmtid="{D5CDD505-2E9C-101B-9397-08002B2CF9AE}" pid="3" name="Docdate">
    <vt:lpwstr>30 de abril de 2013</vt:lpwstr>
  </property>
  <property fmtid="{D5CDD505-2E9C-101B-9397-08002B2CF9AE}" pid="4" name="Docorlang">
    <vt:lpwstr>Original: inglés</vt:lpwstr>
  </property>
  <property fmtid="{D5CDD505-2E9C-101B-9397-08002B2CF9AE}" pid="5" name="Docauthor">
    <vt:lpwstr>Brasil (República Federativa del)</vt:lpwstr>
  </property>
</Properties>
</file>